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6A" w:rsidRPr="00F7665C" w:rsidRDefault="00083DFC" w:rsidP="00B80E6A">
      <w:pPr>
        <w:pStyle w:val="PanelTitle"/>
      </w:pPr>
      <w:bookmarkStart w:id="0" w:name="_GoBack"/>
      <w:bookmarkEnd w:id="0"/>
      <w:r w:rsidRPr="00F7665C">
        <w:t>United States</w:t>
      </w:r>
      <w:r w:rsidR="00B80E6A" w:rsidRPr="00F7665C">
        <w:t xml:space="preserve"> – measures concerning the importation, marketing and sale of tuna and tuna products</w:t>
      </w:r>
    </w:p>
    <w:p w:rsidR="00B80E6A" w:rsidRPr="00F7665C" w:rsidRDefault="00B80E6A" w:rsidP="00B80E6A">
      <w:pPr>
        <w:pStyle w:val="Title2"/>
      </w:pPr>
      <w:r w:rsidRPr="00F7665C">
        <w:t xml:space="preserve">recourse to </w:t>
      </w:r>
      <w:r w:rsidR="00083DFC" w:rsidRPr="00F7665C">
        <w:t>Article </w:t>
      </w:r>
      <w:r w:rsidRPr="00F7665C">
        <w:t xml:space="preserve">21.5 of the dsu by the </w:t>
      </w:r>
      <w:r w:rsidR="00083DFC" w:rsidRPr="00F7665C">
        <w:t>United States</w:t>
      </w:r>
    </w:p>
    <w:p w:rsidR="00B80E6A" w:rsidRPr="00F7665C" w:rsidRDefault="00083DFC" w:rsidP="00B80E6A">
      <w:pPr>
        <w:pStyle w:val="PanelTitle"/>
      </w:pPr>
      <w:r w:rsidRPr="00F7665C">
        <w:t>United States</w:t>
      </w:r>
      <w:r w:rsidR="00B80E6A" w:rsidRPr="00F7665C">
        <w:t xml:space="preserve"> – measures concerning the importation, marketing and sale of tuna and tuna products</w:t>
      </w:r>
    </w:p>
    <w:p w:rsidR="00B80E6A" w:rsidRPr="00F7665C" w:rsidRDefault="00B80E6A" w:rsidP="00B80E6A">
      <w:pPr>
        <w:pStyle w:val="Title2"/>
      </w:pPr>
      <w:r w:rsidRPr="00F7665C">
        <w:t xml:space="preserve">second recourse to </w:t>
      </w:r>
      <w:r w:rsidR="00083DFC" w:rsidRPr="00F7665C">
        <w:t>Article </w:t>
      </w:r>
      <w:r w:rsidRPr="00F7665C">
        <w:t>21.5 of the dsu by mexico</w:t>
      </w:r>
    </w:p>
    <w:p w:rsidR="00B80E6A" w:rsidRPr="00F7665C" w:rsidRDefault="00B80E6A" w:rsidP="00B80E6A">
      <w:pPr>
        <w:pStyle w:val="Title2"/>
      </w:pPr>
      <w:r w:rsidRPr="00F7665C">
        <w:t>AB-2017-9</w:t>
      </w:r>
    </w:p>
    <w:p w:rsidR="00EF273A" w:rsidRPr="00F7665C" w:rsidRDefault="00B80E6A" w:rsidP="00B80E6A">
      <w:pPr>
        <w:pStyle w:val="Title3"/>
      </w:pPr>
      <w:r w:rsidRPr="00F7665C">
        <w:t>Report of the Appellate</w:t>
      </w:r>
      <w:r w:rsidR="00025CB6" w:rsidRPr="00F7665C">
        <w:t> Body</w:t>
      </w:r>
      <w:r w:rsidRPr="00F7665C">
        <w:br/>
      </w:r>
    </w:p>
    <w:p w:rsidR="00EF273A" w:rsidRPr="00F7665C" w:rsidRDefault="00EF273A" w:rsidP="00EF273A">
      <w:pPr>
        <w:rPr>
          <w:lang w:eastAsia="en-GB"/>
        </w:rPr>
      </w:pPr>
    </w:p>
    <w:p w:rsidR="00EF273A" w:rsidRPr="00F7665C" w:rsidRDefault="00EF273A" w:rsidP="00EF273A">
      <w:pPr>
        <w:pStyle w:val="TOCHeading"/>
      </w:pPr>
      <w:r w:rsidRPr="00F7665C">
        <w:br w:type="page"/>
      </w:r>
      <w:r w:rsidR="00E44285" w:rsidRPr="00F7665C">
        <w:lastRenderedPageBreak/>
        <w:t xml:space="preserve">Table </w:t>
      </w:r>
      <w:r w:rsidR="00BB7DD3" w:rsidRPr="00F7665C">
        <w:t>o</w:t>
      </w:r>
      <w:r w:rsidR="00E44285" w:rsidRPr="00F7665C">
        <w:t>f Contents</w:t>
      </w:r>
    </w:p>
    <w:p w:rsidR="00EF273A" w:rsidRPr="00F7665C" w:rsidRDefault="00EF273A" w:rsidP="00EF273A"/>
    <w:p w:rsidR="00925B11" w:rsidRDefault="00EF273A" w:rsidP="00AE1A8C">
      <w:pPr>
        <w:pStyle w:val="TOC1"/>
        <w:ind w:right="95"/>
        <w:rPr>
          <w:rFonts w:asciiTheme="minorHAnsi" w:eastAsiaTheme="minorEastAsia" w:hAnsiTheme="minorHAnsi" w:cstheme="minorBidi"/>
          <w:b w:val="0"/>
          <w:caps w:val="0"/>
          <w:noProof/>
          <w:sz w:val="22"/>
          <w:szCs w:val="22"/>
        </w:rPr>
      </w:pPr>
      <w:r w:rsidRPr="00F7665C">
        <w:fldChar w:fldCharType="begin"/>
      </w:r>
      <w:r w:rsidRPr="00F7665C">
        <w:instrText xml:space="preserve"> TOC \o "1-6" \h \z \u </w:instrText>
      </w:r>
      <w:r w:rsidRPr="00F7665C">
        <w:fldChar w:fldCharType="separate"/>
      </w:r>
      <w:hyperlink w:anchor="_Toc531967458" w:history="1">
        <w:r w:rsidR="00925B11" w:rsidRPr="009F66C3">
          <w:rPr>
            <w:rStyle w:val="Hyperlink"/>
            <w:noProof/>
          </w:rPr>
          <w:t>1</w:t>
        </w:r>
        <w:r w:rsidR="00F70E38" w:rsidRPr="009F66C3">
          <w:rPr>
            <w:rStyle w:val="Hyperlink"/>
            <w:noProof/>
          </w:rPr>
          <w:t> </w:t>
        </w:r>
        <w:r w:rsidR="00925B11" w:rsidRPr="009F66C3">
          <w:rPr>
            <w:rStyle w:val="Hyperlink"/>
            <w:noProof/>
          </w:rPr>
          <w:t>Introduction</w:t>
        </w:r>
        <w:r w:rsidR="00925B11">
          <w:rPr>
            <w:noProof/>
            <w:webHidden/>
          </w:rPr>
          <w:tab/>
        </w:r>
        <w:r w:rsidR="00925B11">
          <w:rPr>
            <w:noProof/>
            <w:webHidden/>
          </w:rPr>
          <w:fldChar w:fldCharType="begin"/>
        </w:r>
        <w:r w:rsidR="00925B11">
          <w:rPr>
            <w:noProof/>
            <w:webHidden/>
          </w:rPr>
          <w:instrText xml:space="preserve"> PAGEREF _Toc531967458 \h </w:instrText>
        </w:r>
        <w:r w:rsidR="00925B11">
          <w:rPr>
            <w:noProof/>
            <w:webHidden/>
          </w:rPr>
        </w:r>
        <w:r w:rsidR="00925B11">
          <w:rPr>
            <w:noProof/>
            <w:webHidden/>
          </w:rPr>
          <w:fldChar w:fldCharType="separate"/>
        </w:r>
        <w:r w:rsidR="00194684">
          <w:rPr>
            <w:noProof/>
            <w:webHidden/>
          </w:rPr>
          <w:t>11</w:t>
        </w:r>
        <w:r w:rsidR="00925B11">
          <w:rPr>
            <w:noProof/>
            <w:webHidden/>
          </w:rPr>
          <w:fldChar w:fldCharType="end"/>
        </w:r>
      </w:hyperlink>
    </w:p>
    <w:p w:rsidR="00925B11" w:rsidRDefault="00A07155" w:rsidP="00AE1A8C">
      <w:pPr>
        <w:pStyle w:val="TOC1"/>
        <w:ind w:right="95"/>
        <w:rPr>
          <w:rFonts w:asciiTheme="minorHAnsi" w:eastAsiaTheme="minorEastAsia" w:hAnsiTheme="minorHAnsi" w:cstheme="minorBidi"/>
          <w:b w:val="0"/>
          <w:caps w:val="0"/>
          <w:noProof/>
          <w:sz w:val="22"/>
          <w:szCs w:val="22"/>
        </w:rPr>
      </w:pPr>
      <w:hyperlink w:anchor="_Toc531967459" w:history="1">
        <w:r w:rsidR="00925B11" w:rsidRPr="009F66C3">
          <w:rPr>
            <w:rStyle w:val="Hyperlink"/>
            <w:noProof/>
          </w:rPr>
          <w:t>2</w:t>
        </w:r>
        <w:r w:rsidR="00F70E38" w:rsidRPr="009F66C3">
          <w:rPr>
            <w:rStyle w:val="Hyperlink"/>
            <w:noProof/>
          </w:rPr>
          <w:t> </w:t>
        </w:r>
        <w:r w:rsidR="00925B11" w:rsidRPr="009F66C3">
          <w:rPr>
            <w:rStyle w:val="Hyperlink"/>
            <w:noProof/>
          </w:rPr>
          <w:t>Arguments of the Participants</w:t>
        </w:r>
        <w:r w:rsidR="00925B11">
          <w:rPr>
            <w:noProof/>
            <w:webHidden/>
          </w:rPr>
          <w:tab/>
        </w:r>
        <w:r w:rsidR="00925B11">
          <w:rPr>
            <w:noProof/>
            <w:webHidden/>
          </w:rPr>
          <w:fldChar w:fldCharType="begin"/>
        </w:r>
        <w:r w:rsidR="00925B11">
          <w:rPr>
            <w:noProof/>
            <w:webHidden/>
          </w:rPr>
          <w:instrText xml:space="preserve"> PAGEREF _Toc531967459 \h </w:instrText>
        </w:r>
        <w:r w:rsidR="00925B11">
          <w:rPr>
            <w:noProof/>
            <w:webHidden/>
          </w:rPr>
        </w:r>
        <w:r w:rsidR="00925B11">
          <w:rPr>
            <w:noProof/>
            <w:webHidden/>
          </w:rPr>
          <w:fldChar w:fldCharType="separate"/>
        </w:r>
        <w:r w:rsidR="00194684">
          <w:rPr>
            <w:noProof/>
            <w:webHidden/>
          </w:rPr>
          <w:t>18</w:t>
        </w:r>
        <w:r w:rsidR="00925B11">
          <w:rPr>
            <w:noProof/>
            <w:webHidden/>
          </w:rPr>
          <w:fldChar w:fldCharType="end"/>
        </w:r>
      </w:hyperlink>
    </w:p>
    <w:p w:rsidR="00925B11" w:rsidRDefault="00A07155" w:rsidP="00AE1A8C">
      <w:pPr>
        <w:pStyle w:val="TOC1"/>
        <w:ind w:right="95"/>
        <w:rPr>
          <w:rFonts w:asciiTheme="minorHAnsi" w:eastAsiaTheme="minorEastAsia" w:hAnsiTheme="minorHAnsi" w:cstheme="minorBidi"/>
          <w:b w:val="0"/>
          <w:caps w:val="0"/>
          <w:noProof/>
          <w:sz w:val="22"/>
          <w:szCs w:val="22"/>
        </w:rPr>
      </w:pPr>
      <w:hyperlink w:anchor="_Toc531967460" w:history="1">
        <w:r w:rsidR="00925B11" w:rsidRPr="009F66C3">
          <w:rPr>
            <w:rStyle w:val="Hyperlink"/>
            <w:noProof/>
          </w:rPr>
          <w:t>3</w:t>
        </w:r>
        <w:r w:rsidR="00F70E38" w:rsidRPr="009F66C3">
          <w:rPr>
            <w:rStyle w:val="Hyperlink"/>
            <w:noProof/>
          </w:rPr>
          <w:t> </w:t>
        </w:r>
        <w:r w:rsidR="00925B11" w:rsidRPr="009F66C3">
          <w:rPr>
            <w:rStyle w:val="Hyperlink"/>
            <w:noProof/>
          </w:rPr>
          <w:t>Arguments of the Third Participants</w:t>
        </w:r>
        <w:r w:rsidR="00925B11">
          <w:rPr>
            <w:noProof/>
            <w:webHidden/>
          </w:rPr>
          <w:tab/>
        </w:r>
        <w:r w:rsidR="00925B11">
          <w:rPr>
            <w:noProof/>
            <w:webHidden/>
          </w:rPr>
          <w:fldChar w:fldCharType="begin"/>
        </w:r>
        <w:r w:rsidR="00925B11">
          <w:rPr>
            <w:noProof/>
            <w:webHidden/>
          </w:rPr>
          <w:instrText xml:space="preserve"> PAGEREF _Toc531967460 \h </w:instrText>
        </w:r>
        <w:r w:rsidR="00925B11">
          <w:rPr>
            <w:noProof/>
            <w:webHidden/>
          </w:rPr>
        </w:r>
        <w:r w:rsidR="00925B11">
          <w:rPr>
            <w:noProof/>
            <w:webHidden/>
          </w:rPr>
          <w:fldChar w:fldCharType="separate"/>
        </w:r>
        <w:r w:rsidR="00194684">
          <w:rPr>
            <w:noProof/>
            <w:webHidden/>
          </w:rPr>
          <w:t>18</w:t>
        </w:r>
        <w:r w:rsidR="00925B11">
          <w:rPr>
            <w:noProof/>
            <w:webHidden/>
          </w:rPr>
          <w:fldChar w:fldCharType="end"/>
        </w:r>
      </w:hyperlink>
    </w:p>
    <w:p w:rsidR="00925B11" w:rsidRDefault="00A07155" w:rsidP="00AE1A8C">
      <w:pPr>
        <w:pStyle w:val="TOC1"/>
        <w:ind w:right="95"/>
        <w:rPr>
          <w:rFonts w:asciiTheme="minorHAnsi" w:eastAsiaTheme="minorEastAsia" w:hAnsiTheme="minorHAnsi" w:cstheme="minorBidi"/>
          <w:b w:val="0"/>
          <w:caps w:val="0"/>
          <w:noProof/>
          <w:sz w:val="22"/>
          <w:szCs w:val="22"/>
        </w:rPr>
      </w:pPr>
      <w:hyperlink w:anchor="_Toc531967461" w:history="1">
        <w:r w:rsidR="00925B11" w:rsidRPr="009F66C3">
          <w:rPr>
            <w:rStyle w:val="Hyperlink"/>
            <w:noProof/>
          </w:rPr>
          <w:t>4</w:t>
        </w:r>
        <w:r w:rsidR="00F70E38" w:rsidRPr="009F66C3">
          <w:rPr>
            <w:rStyle w:val="Hyperlink"/>
            <w:noProof/>
          </w:rPr>
          <w:t> </w:t>
        </w:r>
        <w:r w:rsidR="00925B11" w:rsidRPr="009F66C3">
          <w:rPr>
            <w:rStyle w:val="Hyperlink"/>
            <w:noProof/>
          </w:rPr>
          <w:t>Issues raised in this appeal</w:t>
        </w:r>
        <w:r w:rsidR="00925B11">
          <w:rPr>
            <w:noProof/>
            <w:webHidden/>
          </w:rPr>
          <w:tab/>
        </w:r>
        <w:r w:rsidR="00925B11">
          <w:rPr>
            <w:noProof/>
            <w:webHidden/>
          </w:rPr>
          <w:fldChar w:fldCharType="begin"/>
        </w:r>
        <w:r w:rsidR="00925B11">
          <w:rPr>
            <w:noProof/>
            <w:webHidden/>
          </w:rPr>
          <w:instrText xml:space="preserve"> PAGEREF _Toc531967461 \h </w:instrText>
        </w:r>
        <w:r w:rsidR="00925B11">
          <w:rPr>
            <w:noProof/>
            <w:webHidden/>
          </w:rPr>
        </w:r>
        <w:r w:rsidR="00925B11">
          <w:rPr>
            <w:noProof/>
            <w:webHidden/>
          </w:rPr>
          <w:fldChar w:fldCharType="separate"/>
        </w:r>
        <w:r w:rsidR="00194684">
          <w:rPr>
            <w:noProof/>
            <w:webHidden/>
          </w:rPr>
          <w:t>18</w:t>
        </w:r>
        <w:r w:rsidR="00925B11">
          <w:rPr>
            <w:noProof/>
            <w:webHidden/>
          </w:rPr>
          <w:fldChar w:fldCharType="end"/>
        </w:r>
      </w:hyperlink>
    </w:p>
    <w:p w:rsidR="00925B11" w:rsidRDefault="00A07155" w:rsidP="00AE1A8C">
      <w:pPr>
        <w:pStyle w:val="TOC1"/>
        <w:ind w:right="95"/>
        <w:rPr>
          <w:rFonts w:asciiTheme="minorHAnsi" w:eastAsiaTheme="minorEastAsia" w:hAnsiTheme="minorHAnsi" w:cstheme="minorBidi"/>
          <w:b w:val="0"/>
          <w:caps w:val="0"/>
          <w:noProof/>
          <w:sz w:val="22"/>
          <w:szCs w:val="22"/>
        </w:rPr>
      </w:pPr>
      <w:hyperlink w:anchor="_Toc531967462" w:history="1">
        <w:r w:rsidR="00925B11" w:rsidRPr="009F66C3">
          <w:rPr>
            <w:rStyle w:val="Hyperlink"/>
            <w:noProof/>
          </w:rPr>
          <w:t>5</w:t>
        </w:r>
        <w:r w:rsidR="00F70E38" w:rsidRPr="009F66C3">
          <w:rPr>
            <w:rStyle w:val="Hyperlink"/>
            <w:noProof/>
          </w:rPr>
          <w:t> </w:t>
        </w:r>
        <w:r w:rsidR="00925B11" w:rsidRPr="009F66C3">
          <w:rPr>
            <w:rStyle w:val="Hyperlink"/>
            <w:noProof/>
          </w:rPr>
          <w:t>Background and measure at issue</w:t>
        </w:r>
        <w:r w:rsidR="00925B11">
          <w:rPr>
            <w:noProof/>
            <w:webHidden/>
          </w:rPr>
          <w:tab/>
        </w:r>
        <w:r w:rsidR="00925B11">
          <w:rPr>
            <w:noProof/>
            <w:webHidden/>
          </w:rPr>
          <w:fldChar w:fldCharType="begin"/>
        </w:r>
        <w:r w:rsidR="00925B11">
          <w:rPr>
            <w:noProof/>
            <w:webHidden/>
          </w:rPr>
          <w:instrText xml:space="preserve"> PAGEREF _Toc531967462 \h </w:instrText>
        </w:r>
        <w:r w:rsidR="00925B11">
          <w:rPr>
            <w:noProof/>
            <w:webHidden/>
          </w:rPr>
        </w:r>
        <w:r w:rsidR="00925B11">
          <w:rPr>
            <w:noProof/>
            <w:webHidden/>
          </w:rPr>
          <w:fldChar w:fldCharType="separate"/>
        </w:r>
        <w:r w:rsidR="00194684">
          <w:rPr>
            <w:noProof/>
            <w:webHidden/>
          </w:rPr>
          <w:t>18</w:t>
        </w:r>
        <w:r w:rsidR="00925B11">
          <w:rPr>
            <w:noProof/>
            <w:webHidden/>
          </w:rPr>
          <w:fldChar w:fldCharType="end"/>
        </w:r>
      </w:hyperlink>
    </w:p>
    <w:p w:rsidR="00925B11" w:rsidRDefault="00A07155" w:rsidP="00AE1A8C">
      <w:pPr>
        <w:pStyle w:val="TOC2"/>
        <w:ind w:right="95"/>
        <w:rPr>
          <w:rFonts w:asciiTheme="minorHAnsi" w:eastAsiaTheme="minorEastAsia" w:hAnsiTheme="minorHAnsi" w:cstheme="minorBidi"/>
          <w:noProof/>
          <w:sz w:val="22"/>
          <w:szCs w:val="22"/>
        </w:rPr>
      </w:pPr>
      <w:hyperlink w:anchor="_Toc531967463" w:history="1">
        <w:r w:rsidR="00925B11" w:rsidRPr="009F66C3">
          <w:rPr>
            <w:rStyle w:val="Hyperlink"/>
            <w:noProof/>
          </w:rPr>
          <w:t>5.1</w:t>
        </w:r>
        <w:r w:rsidR="00F70E38" w:rsidRPr="009F66C3">
          <w:rPr>
            <w:rStyle w:val="Hyperlink"/>
            <w:noProof/>
          </w:rPr>
          <w:t> </w:t>
        </w:r>
        <w:r w:rsidR="00925B11" w:rsidRPr="009F66C3">
          <w:rPr>
            <w:rStyle w:val="Hyperlink"/>
            <w:noProof/>
          </w:rPr>
          <w:t>US participation in multilateral initiatives</w:t>
        </w:r>
        <w:r w:rsidR="00925B11">
          <w:rPr>
            <w:noProof/>
            <w:webHidden/>
          </w:rPr>
          <w:tab/>
        </w:r>
        <w:r w:rsidR="00925B11">
          <w:rPr>
            <w:noProof/>
            <w:webHidden/>
          </w:rPr>
          <w:fldChar w:fldCharType="begin"/>
        </w:r>
        <w:r w:rsidR="00925B11">
          <w:rPr>
            <w:noProof/>
            <w:webHidden/>
          </w:rPr>
          <w:instrText xml:space="preserve"> PAGEREF _Toc531967463 \h </w:instrText>
        </w:r>
        <w:r w:rsidR="00925B11">
          <w:rPr>
            <w:noProof/>
            <w:webHidden/>
          </w:rPr>
        </w:r>
        <w:r w:rsidR="00925B11">
          <w:rPr>
            <w:noProof/>
            <w:webHidden/>
          </w:rPr>
          <w:fldChar w:fldCharType="separate"/>
        </w:r>
        <w:r w:rsidR="00194684">
          <w:rPr>
            <w:noProof/>
            <w:webHidden/>
          </w:rPr>
          <w:t>19</w:t>
        </w:r>
        <w:r w:rsidR="00925B11">
          <w:rPr>
            <w:noProof/>
            <w:webHidden/>
          </w:rPr>
          <w:fldChar w:fldCharType="end"/>
        </w:r>
      </w:hyperlink>
    </w:p>
    <w:p w:rsidR="00925B11" w:rsidRDefault="00A07155" w:rsidP="00AE1A8C">
      <w:pPr>
        <w:pStyle w:val="TOC2"/>
        <w:ind w:right="95"/>
        <w:rPr>
          <w:rFonts w:asciiTheme="minorHAnsi" w:eastAsiaTheme="minorEastAsia" w:hAnsiTheme="minorHAnsi" w:cstheme="minorBidi"/>
          <w:noProof/>
          <w:sz w:val="22"/>
          <w:szCs w:val="22"/>
        </w:rPr>
      </w:pPr>
      <w:hyperlink w:anchor="_Toc531967464" w:history="1">
        <w:r w:rsidR="00925B11" w:rsidRPr="009F66C3">
          <w:rPr>
            <w:rStyle w:val="Hyperlink"/>
            <w:noProof/>
          </w:rPr>
          <w:t>5.2</w:t>
        </w:r>
        <w:r w:rsidR="00F70E38" w:rsidRPr="009F66C3">
          <w:rPr>
            <w:rStyle w:val="Hyperlink"/>
            <w:noProof/>
          </w:rPr>
          <w:t> </w:t>
        </w:r>
        <w:r w:rsidR="00925B11" w:rsidRPr="009F66C3">
          <w:rPr>
            <w:rStyle w:val="Hyperlink"/>
            <w:noProof/>
          </w:rPr>
          <w:t>US domestic dolphin</w:t>
        </w:r>
        <w:r w:rsidR="00925B11" w:rsidRPr="009F66C3">
          <w:rPr>
            <w:rStyle w:val="Hyperlink"/>
            <w:noProof/>
          </w:rPr>
          <w:noBreakHyphen/>
          <w:t>safe labelling regime: the measure at issue and its evo</w:t>
        </w:r>
        <w:r w:rsidR="00AE1A8C">
          <w:rPr>
            <w:rStyle w:val="Hyperlink"/>
            <w:noProof/>
          </w:rPr>
          <w:t>lution over</w:t>
        </w:r>
        <w:r w:rsidR="00AE1A8C">
          <w:rPr>
            <w:rStyle w:val="Hyperlink"/>
            <w:noProof/>
          </w:rPr>
          <w:br/>
        </w:r>
        <w:r w:rsidR="00925B11" w:rsidRPr="009F66C3">
          <w:rPr>
            <w:rStyle w:val="Hyperlink"/>
            <w:noProof/>
          </w:rPr>
          <w:t xml:space="preserve">the course of the </w:t>
        </w:r>
        <w:r w:rsidR="00925B11" w:rsidRPr="00F22C4A">
          <w:rPr>
            <w:rStyle w:val="Hyperlink"/>
            <w:i/>
            <w:noProof/>
          </w:rPr>
          <w:t>Tuna II</w:t>
        </w:r>
        <w:r w:rsidR="00925B11" w:rsidRPr="009F66C3">
          <w:rPr>
            <w:rStyle w:val="Hyperlink"/>
            <w:noProof/>
          </w:rPr>
          <w:t xml:space="preserve"> dispute</w:t>
        </w:r>
        <w:r w:rsidR="00925B11">
          <w:rPr>
            <w:noProof/>
            <w:webHidden/>
          </w:rPr>
          <w:tab/>
        </w:r>
        <w:r w:rsidR="00925B11">
          <w:rPr>
            <w:noProof/>
            <w:webHidden/>
          </w:rPr>
          <w:fldChar w:fldCharType="begin"/>
        </w:r>
        <w:r w:rsidR="00925B11">
          <w:rPr>
            <w:noProof/>
            <w:webHidden/>
          </w:rPr>
          <w:instrText xml:space="preserve"> PAGEREF _Toc531967464 \h </w:instrText>
        </w:r>
        <w:r w:rsidR="00925B11">
          <w:rPr>
            <w:noProof/>
            <w:webHidden/>
          </w:rPr>
        </w:r>
        <w:r w:rsidR="00925B11">
          <w:rPr>
            <w:noProof/>
            <w:webHidden/>
          </w:rPr>
          <w:fldChar w:fldCharType="separate"/>
        </w:r>
        <w:r w:rsidR="00194684">
          <w:rPr>
            <w:noProof/>
            <w:webHidden/>
          </w:rPr>
          <w:t>20</w:t>
        </w:r>
        <w:r w:rsidR="00925B11">
          <w:rPr>
            <w:noProof/>
            <w:webHidden/>
          </w:rPr>
          <w:fldChar w:fldCharType="end"/>
        </w:r>
      </w:hyperlink>
    </w:p>
    <w:p w:rsidR="00925B11" w:rsidRDefault="00A07155" w:rsidP="00AE1A8C">
      <w:pPr>
        <w:pStyle w:val="TOC1"/>
        <w:ind w:right="95"/>
        <w:rPr>
          <w:rFonts w:asciiTheme="minorHAnsi" w:eastAsiaTheme="minorEastAsia" w:hAnsiTheme="minorHAnsi" w:cstheme="minorBidi"/>
          <w:b w:val="0"/>
          <w:caps w:val="0"/>
          <w:noProof/>
          <w:sz w:val="22"/>
          <w:szCs w:val="22"/>
        </w:rPr>
      </w:pPr>
      <w:hyperlink w:anchor="_Toc531967465" w:history="1">
        <w:r w:rsidR="00925B11" w:rsidRPr="009F66C3">
          <w:rPr>
            <w:rStyle w:val="Hyperlink"/>
            <w:noProof/>
          </w:rPr>
          <w:t>6</w:t>
        </w:r>
        <w:r w:rsidR="00F70E38" w:rsidRPr="009F66C3">
          <w:rPr>
            <w:rStyle w:val="Hyperlink"/>
            <w:noProof/>
          </w:rPr>
          <w:t> </w:t>
        </w:r>
        <w:r w:rsidR="00925B11" w:rsidRPr="009F66C3">
          <w:rPr>
            <w:rStyle w:val="Hyperlink"/>
            <w:noProof/>
          </w:rPr>
          <w:t>Analysis of the Appellate Body</w:t>
        </w:r>
        <w:r w:rsidR="00925B11">
          <w:rPr>
            <w:noProof/>
            <w:webHidden/>
          </w:rPr>
          <w:tab/>
        </w:r>
        <w:r w:rsidR="00925B11">
          <w:rPr>
            <w:noProof/>
            <w:webHidden/>
          </w:rPr>
          <w:fldChar w:fldCharType="begin"/>
        </w:r>
        <w:r w:rsidR="00925B11">
          <w:rPr>
            <w:noProof/>
            <w:webHidden/>
          </w:rPr>
          <w:instrText xml:space="preserve"> PAGEREF _Toc531967465 \h </w:instrText>
        </w:r>
        <w:r w:rsidR="00925B11">
          <w:rPr>
            <w:noProof/>
            <w:webHidden/>
          </w:rPr>
        </w:r>
        <w:r w:rsidR="00925B11">
          <w:rPr>
            <w:noProof/>
            <w:webHidden/>
          </w:rPr>
          <w:fldChar w:fldCharType="separate"/>
        </w:r>
        <w:r w:rsidR="00194684">
          <w:rPr>
            <w:noProof/>
            <w:webHidden/>
          </w:rPr>
          <w:t>25</w:t>
        </w:r>
        <w:r w:rsidR="00925B11">
          <w:rPr>
            <w:noProof/>
            <w:webHidden/>
          </w:rPr>
          <w:fldChar w:fldCharType="end"/>
        </w:r>
      </w:hyperlink>
    </w:p>
    <w:p w:rsidR="00925B11" w:rsidRDefault="00A07155" w:rsidP="00AE1A8C">
      <w:pPr>
        <w:pStyle w:val="TOC2"/>
        <w:ind w:right="95"/>
        <w:rPr>
          <w:rFonts w:asciiTheme="minorHAnsi" w:eastAsiaTheme="minorEastAsia" w:hAnsiTheme="minorHAnsi" w:cstheme="minorBidi"/>
          <w:noProof/>
          <w:sz w:val="22"/>
          <w:szCs w:val="22"/>
        </w:rPr>
      </w:pPr>
      <w:hyperlink w:anchor="_Toc531967466" w:history="1">
        <w:r w:rsidR="00925B11" w:rsidRPr="009F66C3">
          <w:rPr>
            <w:rStyle w:val="Hyperlink"/>
            <w:noProof/>
          </w:rPr>
          <w:t>6.1</w:t>
        </w:r>
        <w:r w:rsidR="00F70E38" w:rsidRPr="009F66C3">
          <w:rPr>
            <w:rStyle w:val="Hyperlink"/>
            <w:noProof/>
          </w:rPr>
          <w:t> </w:t>
        </w:r>
        <w:r w:rsidR="00925B11" w:rsidRPr="009F66C3">
          <w:rPr>
            <w:rStyle w:val="Hyperlink"/>
            <w:noProof/>
          </w:rPr>
          <w:t>Article 2.1 of the TBT Agreement</w:t>
        </w:r>
        <w:r w:rsidR="00925B11">
          <w:rPr>
            <w:noProof/>
            <w:webHidden/>
          </w:rPr>
          <w:tab/>
        </w:r>
        <w:r w:rsidR="00925B11">
          <w:rPr>
            <w:noProof/>
            <w:webHidden/>
          </w:rPr>
          <w:fldChar w:fldCharType="begin"/>
        </w:r>
        <w:r w:rsidR="00925B11">
          <w:rPr>
            <w:noProof/>
            <w:webHidden/>
          </w:rPr>
          <w:instrText xml:space="preserve"> PAGEREF _Toc531967466 \h </w:instrText>
        </w:r>
        <w:r w:rsidR="00925B11">
          <w:rPr>
            <w:noProof/>
            <w:webHidden/>
          </w:rPr>
        </w:r>
        <w:r w:rsidR="00925B11">
          <w:rPr>
            <w:noProof/>
            <w:webHidden/>
          </w:rPr>
          <w:fldChar w:fldCharType="separate"/>
        </w:r>
        <w:r w:rsidR="00194684">
          <w:rPr>
            <w:noProof/>
            <w:webHidden/>
          </w:rPr>
          <w:t>25</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467" w:history="1">
        <w:r w:rsidR="00925B11" w:rsidRPr="009F66C3">
          <w:rPr>
            <w:rStyle w:val="Hyperlink"/>
            <w:noProof/>
          </w:rPr>
          <w:t>6.1.1</w:t>
        </w:r>
        <w:r w:rsidR="00F70E38" w:rsidRPr="009F66C3">
          <w:rPr>
            <w:rStyle w:val="Hyperlink"/>
            <w:noProof/>
          </w:rPr>
          <w:t> </w:t>
        </w:r>
        <w:r w:rsidR="00925B11" w:rsidRPr="009F66C3">
          <w:rPr>
            <w:rStyle w:val="Hyperlink"/>
            <w:noProof/>
          </w:rPr>
          <w:t>Introduction</w:t>
        </w:r>
        <w:r w:rsidR="00925B11">
          <w:rPr>
            <w:noProof/>
            <w:webHidden/>
          </w:rPr>
          <w:tab/>
        </w:r>
        <w:r w:rsidR="00925B11">
          <w:rPr>
            <w:noProof/>
            <w:webHidden/>
          </w:rPr>
          <w:fldChar w:fldCharType="begin"/>
        </w:r>
        <w:r w:rsidR="00925B11">
          <w:rPr>
            <w:noProof/>
            <w:webHidden/>
          </w:rPr>
          <w:instrText xml:space="preserve"> PAGEREF _Toc531967467 \h </w:instrText>
        </w:r>
        <w:r w:rsidR="00925B11">
          <w:rPr>
            <w:noProof/>
            <w:webHidden/>
          </w:rPr>
        </w:r>
        <w:r w:rsidR="00925B11">
          <w:rPr>
            <w:noProof/>
            <w:webHidden/>
          </w:rPr>
          <w:fldChar w:fldCharType="separate"/>
        </w:r>
        <w:r w:rsidR="00194684">
          <w:rPr>
            <w:noProof/>
            <w:webHidden/>
          </w:rPr>
          <w:t>25</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468" w:history="1">
        <w:r w:rsidR="00925B11" w:rsidRPr="009F66C3">
          <w:rPr>
            <w:rStyle w:val="Hyperlink"/>
            <w:noProof/>
          </w:rPr>
          <w:t>6.1.2</w:t>
        </w:r>
        <w:r w:rsidR="00F70E38" w:rsidRPr="009F66C3">
          <w:rPr>
            <w:rStyle w:val="Hyperlink"/>
            <w:noProof/>
          </w:rPr>
          <w:t> </w:t>
        </w:r>
        <w:r w:rsidR="00925B11" w:rsidRPr="009F66C3">
          <w:rPr>
            <w:rStyle w:val="Hyperlink"/>
            <w:noProof/>
          </w:rPr>
          <w:t>"Treatment no less favourable" under Article 2.1 of the TBT Agreement</w:t>
        </w:r>
        <w:r w:rsidR="00925B11">
          <w:rPr>
            <w:noProof/>
            <w:webHidden/>
          </w:rPr>
          <w:tab/>
        </w:r>
        <w:r w:rsidR="00925B11">
          <w:rPr>
            <w:noProof/>
            <w:webHidden/>
          </w:rPr>
          <w:fldChar w:fldCharType="begin"/>
        </w:r>
        <w:r w:rsidR="00925B11">
          <w:rPr>
            <w:noProof/>
            <w:webHidden/>
          </w:rPr>
          <w:instrText xml:space="preserve"> PAGEREF _Toc531967468 \h </w:instrText>
        </w:r>
        <w:r w:rsidR="00925B11">
          <w:rPr>
            <w:noProof/>
            <w:webHidden/>
          </w:rPr>
        </w:r>
        <w:r w:rsidR="00925B11">
          <w:rPr>
            <w:noProof/>
            <w:webHidden/>
          </w:rPr>
          <w:fldChar w:fldCharType="separate"/>
        </w:r>
        <w:r w:rsidR="00194684">
          <w:rPr>
            <w:noProof/>
            <w:webHidden/>
          </w:rPr>
          <w:t>27</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69" w:history="1">
        <w:r w:rsidR="00925B11" w:rsidRPr="009F66C3">
          <w:rPr>
            <w:rStyle w:val="Hyperlink"/>
            <w:noProof/>
          </w:rPr>
          <w:t>6.1.2.1</w:t>
        </w:r>
        <w:r w:rsidR="00F70E38" w:rsidRPr="009F66C3">
          <w:rPr>
            <w:rStyle w:val="Hyperlink"/>
            <w:noProof/>
          </w:rPr>
          <w:t> </w:t>
        </w:r>
        <w:r w:rsidR="00925B11" w:rsidRPr="009F66C3">
          <w:rPr>
            <w:rStyle w:val="Hyperlink"/>
            <w:noProof/>
          </w:rPr>
          <w:t>Whether the Panels erred in their articulation of the legal standard</w:t>
        </w:r>
        <w:r w:rsidR="00925B11">
          <w:rPr>
            <w:noProof/>
            <w:webHidden/>
          </w:rPr>
          <w:tab/>
        </w:r>
        <w:r w:rsidR="00925B11">
          <w:rPr>
            <w:noProof/>
            <w:webHidden/>
          </w:rPr>
          <w:fldChar w:fldCharType="begin"/>
        </w:r>
        <w:r w:rsidR="00925B11">
          <w:rPr>
            <w:noProof/>
            <w:webHidden/>
          </w:rPr>
          <w:instrText xml:space="preserve"> PAGEREF _Toc531967469 \h </w:instrText>
        </w:r>
        <w:r w:rsidR="00925B11">
          <w:rPr>
            <w:noProof/>
            <w:webHidden/>
          </w:rPr>
        </w:r>
        <w:r w:rsidR="00925B11">
          <w:rPr>
            <w:noProof/>
            <w:webHidden/>
          </w:rPr>
          <w:fldChar w:fldCharType="separate"/>
        </w:r>
        <w:r w:rsidR="00194684">
          <w:rPr>
            <w:noProof/>
            <w:webHidden/>
          </w:rPr>
          <w:t>27</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70" w:history="1">
        <w:r w:rsidR="00925B11" w:rsidRPr="009F66C3">
          <w:rPr>
            <w:rStyle w:val="Hyperlink"/>
            <w:noProof/>
          </w:rPr>
          <w:t>6.1.2.2</w:t>
        </w:r>
        <w:r w:rsidR="00F70E38" w:rsidRPr="009F66C3">
          <w:rPr>
            <w:rStyle w:val="Hyperlink"/>
            <w:noProof/>
          </w:rPr>
          <w:t> </w:t>
        </w:r>
        <w:r w:rsidR="00925B11" w:rsidRPr="009F66C3">
          <w:rPr>
            <w:rStyle w:val="Hyperlink"/>
            <w:noProof/>
          </w:rPr>
          <w:t>Whether the Panels erred in rejecting Mexico's argum</w:t>
        </w:r>
        <w:r w:rsidR="00AE1A8C">
          <w:rPr>
            <w:rStyle w:val="Hyperlink"/>
            <w:noProof/>
          </w:rPr>
          <w:t>ent concerning the relevance of</w:t>
        </w:r>
        <w:r w:rsidR="00AE1A8C">
          <w:rPr>
            <w:rStyle w:val="Hyperlink"/>
            <w:noProof/>
          </w:rPr>
          <w:br/>
        </w:r>
        <w:r w:rsidR="00925B11" w:rsidRPr="009F66C3">
          <w:rPr>
            <w:rStyle w:val="Hyperlink"/>
            <w:noProof/>
          </w:rPr>
          <w:t>the sustainability of tuna stock and the marine ecosystem</w:t>
        </w:r>
        <w:r w:rsidR="00925B11">
          <w:rPr>
            <w:noProof/>
            <w:webHidden/>
          </w:rPr>
          <w:tab/>
        </w:r>
        <w:r w:rsidR="00925B11">
          <w:rPr>
            <w:noProof/>
            <w:webHidden/>
          </w:rPr>
          <w:fldChar w:fldCharType="begin"/>
        </w:r>
        <w:r w:rsidR="00925B11">
          <w:rPr>
            <w:noProof/>
            <w:webHidden/>
          </w:rPr>
          <w:instrText xml:space="preserve"> PAGEREF _Toc531967470 \h </w:instrText>
        </w:r>
        <w:r w:rsidR="00925B11">
          <w:rPr>
            <w:noProof/>
            <w:webHidden/>
          </w:rPr>
        </w:r>
        <w:r w:rsidR="00925B11">
          <w:rPr>
            <w:noProof/>
            <w:webHidden/>
          </w:rPr>
          <w:fldChar w:fldCharType="separate"/>
        </w:r>
        <w:r w:rsidR="00194684">
          <w:rPr>
            <w:noProof/>
            <w:webHidden/>
          </w:rPr>
          <w:t>29</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471" w:history="1">
        <w:r w:rsidR="00925B11" w:rsidRPr="009F66C3">
          <w:rPr>
            <w:rStyle w:val="Hyperlink"/>
            <w:noProof/>
          </w:rPr>
          <w:t>6.1.3</w:t>
        </w:r>
        <w:r w:rsidR="00F70E38" w:rsidRPr="009F66C3">
          <w:rPr>
            <w:rStyle w:val="Hyperlink"/>
            <w:noProof/>
          </w:rPr>
          <w:t> </w:t>
        </w:r>
        <w:r w:rsidR="00925B11" w:rsidRPr="009F66C3">
          <w:rPr>
            <w:rStyle w:val="Hyperlink"/>
            <w:noProof/>
          </w:rPr>
          <w:t>What the legal standard under Article 2.1 of the TBT Agreement entails in this dispute</w:t>
        </w:r>
        <w:r w:rsidR="00925B11">
          <w:rPr>
            <w:noProof/>
            <w:webHidden/>
          </w:rPr>
          <w:tab/>
        </w:r>
        <w:r w:rsidR="00925B11">
          <w:rPr>
            <w:noProof/>
            <w:webHidden/>
          </w:rPr>
          <w:fldChar w:fldCharType="begin"/>
        </w:r>
        <w:r w:rsidR="00925B11">
          <w:rPr>
            <w:noProof/>
            <w:webHidden/>
          </w:rPr>
          <w:instrText xml:space="preserve"> PAGEREF _Toc531967471 \h </w:instrText>
        </w:r>
        <w:r w:rsidR="00925B11">
          <w:rPr>
            <w:noProof/>
            <w:webHidden/>
          </w:rPr>
        </w:r>
        <w:r w:rsidR="00925B11">
          <w:rPr>
            <w:noProof/>
            <w:webHidden/>
          </w:rPr>
          <w:fldChar w:fldCharType="separate"/>
        </w:r>
        <w:r w:rsidR="00194684">
          <w:rPr>
            <w:noProof/>
            <w:webHidden/>
          </w:rPr>
          <w:t>32</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72" w:history="1">
        <w:r w:rsidR="00925B11" w:rsidRPr="009F66C3">
          <w:rPr>
            <w:rStyle w:val="Hyperlink"/>
            <w:noProof/>
          </w:rPr>
          <w:t>6.1.3.1</w:t>
        </w:r>
        <w:r w:rsidR="00F70E38" w:rsidRPr="009F66C3">
          <w:rPr>
            <w:rStyle w:val="Hyperlink"/>
            <w:noProof/>
          </w:rPr>
          <w:t> </w:t>
        </w:r>
        <w:r w:rsidR="00925B11" w:rsidRPr="009F66C3">
          <w:rPr>
            <w:rStyle w:val="Hyperlink"/>
            <w:noProof/>
          </w:rPr>
          <w:t>Whether the Panels erred in failing to consider the nexus between the regulatory distinctions of the measure and its objectives</w:t>
        </w:r>
        <w:r w:rsidR="00925B11">
          <w:rPr>
            <w:noProof/>
            <w:webHidden/>
          </w:rPr>
          <w:tab/>
        </w:r>
        <w:r w:rsidR="00925B11">
          <w:rPr>
            <w:noProof/>
            <w:webHidden/>
          </w:rPr>
          <w:fldChar w:fldCharType="begin"/>
        </w:r>
        <w:r w:rsidR="00925B11">
          <w:rPr>
            <w:noProof/>
            <w:webHidden/>
          </w:rPr>
          <w:instrText xml:space="preserve"> PAGEREF _Toc531967472 \h </w:instrText>
        </w:r>
        <w:r w:rsidR="00925B11">
          <w:rPr>
            <w:noProof/>
            <w:webHidden/>
          </w:rPr>
        </w:r>
        <w:r w:rsidR="00925B11">
          <w:rPr>
            <w:noProof/>
            <w:webHidden/>
          </w:rPr>
          <w:fldChar w:fldCharType="separate"/>
        </w:r>
        <w:r w:rsidR="00194684">
          <w:rPr>
            <w:noProof/>
            <w:webHidden/>
          </w:rPr>
          <w:t>33</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73" w:history="1">
        <w:r w:rsidR="00925B11" w:rsidRPr="009F66C3">
          <w:rPr>
            <w:rStyle w:val="Hyperlink"/>
            <w:noProof/>
          </w:rPr>
          <w:t>6.1.3.1.1</w:t>
        </w:r>
        <w:r w:rsidR="00F70E38" w:rsidRPr="009F66C3">
          <w:rPr>
            <w:rStyle w:val="Hyperlink"/>
            <w:noProof/>
          </w:rPr>
          <w:t> </w:t>
        </w:r>
        <w:r w:rsidR="00925B11" w:rsidRPr="009F66C3">
          <w:rPr>
            <w:rStyle w:val="Hyperlink"/>
            <w:noProof/>
          </w:rPr>
          <w:t>Whether the Panels' calibration analysis took i</w:t>
        </w:r>
        <w:r w:rsidR="00AE1A8C">
          <w:rPr>
            <w:rStyle w:val="Hyperlink"/>
            <w:noProof/>
          </w:rPr>
          <w:t>nto account the accuracy of the</w:t>
        </w:r>
        <w:r w:rsidR="00AE1A8C">
          <w:rPr>
            <w:rStyle w:val="Hyperlink"/>
            <w:noProof/>
          </w:rPr>
          <w:br/>
        </w:r>
        <w:r w:rsidR="00925B11" w:rsidRPr="009F66C3">
          <w:rPr>
            <w:rStyle w:val="Hyperlink"/>
            <w:noProof/>
          </w:rPr>
          <w:t>dolphin-safe label in light of the objectives of the 2016 Tuna Measure</w:t>
        </w:r>
        <w:r w:rsidR="00925B11">
          <w:rPr>
            <w:noProof/>
            <w:webHidden/>
          </w:rPr>
          <w:tab/>
        </w:r>
        <w:r w:rsidR="00925B11">
          <w:rPr>
            <w:noProof/>
            <w:webHidden/>
          </w:rPr>
          <w:fldChar w:fldCharType="begin"/>
        </w:r>
        <w:r w:rsidR="00925B11">
          <w:rPr>
            <w:noProof/>
            <w:webHidden/>
          </w:rPr>
          <w:instrText xml:space="preserve"> PAGEREF _Toc531967473 \h </w:instrText>
        </w:r>
        <w:r w:rsidR="00925B11">
          <w:rPr>
            <w:noProof/>
            <w:webHidden/>
          </w:rPr>
        </w:r>
        <w:r w:rsidR="00925B11">
          <w:rPr>
            <w:noProof/>
            <w:webHidden/>
          </w:rPr>
          <w:fldChar w:fldCharType="separate"/>
        </w:r>
        <w:r w:rsidR="00194684">
          <w:rPr>
            <w:noProof/>
            <w:webHidden/>
          </w:rPr>
          <w:t>33</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74" w:history="1">
        <w:r w:rsidR="00925B11" w:rsidRPr="009F66C3">
          <w:rPr>
            <w:rStyle w:val="Hyperlink"/>
            <w:noProof/>
          </w:rPr>
          <w:t>6.1.3.1.2</w:t>
        </w:r>
        <w:r w:rsidR="00F70E38" w:rsidRPr="009F66C3">
          <w:rPr>
            <w:rStyle w:val="Hyperlink"/>
            <w:noProof/>
          </w:rPr>
          <w:t> </w:t>
        </w:r>
        <w:r w:rsidR="00925B11" w:rsidRPr="009F66C3">
          <w:rPr>
            <w:rStyle w:val="Hyperlink"/>
            <w:noProof/>
          </w:rPr>
          <w:t>Whether the risks of label inaccuracy form part of the risks to which the 2016 Tuna Measure must be calibrated</w:t>
        </w:r>
        <w:r w:rsidR="00925B11">
          <w:rPr>
            <w:noProof/>
            <w:webHidden/>
          </w:rPr>
          <w:tab/>
        </w:r>
        <w:r w:rsidR="00925B11">
          <w:rPr>
            <w:noProof/>
            <w:webHidden/>
          </w:rPr>
          <w:fldChar w:fldCharType="begin"/>
        </w:r>
        <w:r w:rsidR="00925B11">
          <w:rPr>
            <w:noProof/>
            <w:webHidden/>
          </w:rPr>
          <w:instrText xml:space="preserve"> PAGEREF _Toc531967474 \h </w:instrText>
        </w:r>
        <w:r w:rsidR="00925B11">
          <w:rPr>
            <w:noProof/>
            <w:webHidden/>
          </w:rPr>
        </w:r>
        <w:r w:rsidR="00925B11">
          <w:rPr>
            <w:noProof/>
            <w:webHidden/>
          </w:rPr>
          <w:fldChar w:fldCharType="separate"/>
        </w:r>
        <w:r w:rsidR="00194684">
          <w:rPr>
            <w:noProof/>
            <w:webHidden/>
          </w:rPr>
          <w:t>37</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75" w:history="1">
        <w:r w:rsidR="00925B11" w:rsidRPr="009F66C3">
          <w:rPr>
            <w:rStyle w:val="Hyperlink"/>
            <w:noProof/>
          </w:rPr>
          <w:t>6.1.3.1.3</w:t>
        </w:r>
        <w:r w:rsidR="00F70E38" w:rsidRPr="009F66C3">
          <w:rPr>
            <w:rStyle w:val="Hyperlink"/>
            <w:noProof/>
          </w:rPr>
          <w:t> </w:t>
        </w:r>
        <w:r w:rsidR="00925B11" w:rsidRPr="009F66C3">
          <w:rPr>
            <w:rStyle w:val="Hyperlink"/>
            <w:noProof/>
          </w:rPr>
          <w:t>Whether the Panels erred in referrin</w:t>
        </w:r>
        <w:r w:rsidR="00AE1A8C">
          <w:rPr>
            <w:rStyle w:val="Hyperlink"/>
            <w:noProof/>
          </w:rPr>
          <w:t>g to "margin of error" in their</w:t>
        </w:r>
        <w:r w:rsidR="00AE1A8C">
          <w:rPr>
            <w:rStyle w:val="Hyperlink"/>
            <w:noProof/>
          </w:rPr>
          <w:br/>
        </w:r>
        <w:r w:rsidR="00925B11" w:rsidRPr="009F66C3">
          <w:rPr>
            <w:rStyle w:val="Hyperlink"/>
            <w:noProof/>
          </w:rPr>
          <w:t>calibration analysis</w:t>
        </w:r>
        <w:r w:rsidR="00925B11">
          <w:rPr>
            <w:noProof/>
            <w:webHidden/>
          </w:rPr>
          <w:tab/>
        </w:r>
        <w:r w:rsidR="00925B11">
          <w:rPr>
            <w:noProof/>
            <w:webHidden/>
          </w:rPr>
          <w:fldChar w:fldCharType="begin"/>
        </w:r>
        <w:r w:rsidR="00925B11">
          <w:rPr>
            <w:noProof/>
            <w:webHidden/>
          </w:rPr>
          <w:instrText xml:space="preserve"> PAGEREF _Toc531967475 \h </w:instrText>
        </w:r>
        <w:r w:rsidR="00925B11">
          <w:rPr>
            <w:noProof/>
            <w:webHidden/>
          </w:rPr>
        </w:r>
        <w:r w:rsidR="00925B11">
          <w:rPr>
            <w:noProof/>
            <w:webHidden/>
          </w:rPr>
          <w:fldChar w:fldCharType="separate"/>
        </w:r>
        <w:r w:rsidR="00194684">
          <w:rPr>
            <w:noProof/>
            <w:webHidden/>
          </w:rPr>
          <w:t>39</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76" w:history="1">
        <w:r w:rsidR="00925B11" w:rsidRPr="009F66C3">
          <w:rPr>
            <w:rStyle w:val="Hyperlink"/>
            <w:noProof/>
          </w:rPr>
          <w:t>6.1.3.2</w:t>
        </w:r>
        <w:r w:rsidR="00F70E38" w:rsidRPr="009F66C3">
          <w:rPr>
            <w:rStyle w:val="Hyperlink"/>
            <w:noProof/>
          </w:rPr>
          <w:t> </w:t>
        </w:r>
        <w:r w:rsidR="00925B11" w:rsidRPr="009F66C3">
          <w:rPr>
            <w:rStyle w:val="Hyperlink"/>
            <w:noProof/>
          </w:rPr>
          <w:t xml:space="preserve">Whether the Panels erred by limiting aspects of </w:t>
        </w:r>
        <w:r w:rsidR="00AE1A8C">
          <w:rPr>
            <w:rStyle w:val="Hyperlink"/>
            <w:noProof/>
          </w:rPr>
          <w:t>their calibration analysis to a</w:t>
        </w:r>
        <w:r w:rsidR="00AE1A8C">
          <w:rPr>
            <w:rStyle w:val="Hyperlink"/>
            <w:noProof/>
          </w:rPr>
          <w:br/>
        </w:r>
        <w:r w:rsidR="00925B11" w:rsidRPr="009F66C3">
          <w:rPr>
            <w:rStyle w:val="Hyperlink"/>
            <w:noProof/>
          </w:rPr>
          <w:t>comparison of the risk profiles of different fishing methods</w:t>
        </w:r>
        <w:r w:rsidR="00925B11">
          <w:rPr>
            <w:noProof/>
            <w:webHidden/>
          </w:rPr>
          <w:tab/>
        </w:r>
        <w:r w:rsidR="00925B11">
          <w:rPr>
            <w:noProof/>
            <w:webHidden/>
          </w:rPr>
          <w:fldChar w:fldCharType="begin"/>
        </w:r>
        <w:r w:rsidR="00925B11">
          <w:rPr>
            <w:noProof/>
            <w:webHidden/>
          </w:rPr>
          <w:instrText xml:space="preserve"> PAGEREF _Toc531967476 \h </w:instrText>
        </w:r>
        <w:r w:rsidR="00925B11">
          <w:rPr>
            <w:noProof/>
            <w:webHidden/>
          </w:rPr>
        </w:r>
        <w:r w:rsidR="00925B11">
          <w:rPr>
            <w:noProof/>
            <w:webHidden/>
          </w:rPr>
          <w:fldChar w:fldCharType="separate"/>
        </w:r>
        <w:r w:rsidR="00194684">
          <w:rPr>
            <w:noProof/>
            <w:webHidden/>
          </w:rPr>
          <w:t>41</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77" w:history="1">
        <w:r w:rsidR="00925B11" w:rsidRPr="009F66C3">
          <w:rPr>
            <w:rStyle w:val="Hyperlink"/>
            <w:noProof/>
          </w:rPr>
          <w:t>6.1.3.3</w:t>
        </w:r>
        <w:r w:rsidR="00F70E38" w:rsidRPr="009F66C3">
          <w:rPr>
            <w:rStyle w:val="Hyperlink"/>
            <w:noProof/>
          </w:rPr>
          <w:t> </w:t>
        </w:r>
        <w:r w:rsidR="00925B11" w:rsidRPr="009F66C3">
          <w:rPr>
            <w:rStyle w:val="Hyperlink"/>
            <w:noProof/>
          </w:rPr>
          <w:t>Conclusion</w:t>
        </w:r>
        <w:r w:rsidR="00925B11">
          <w:rPr>
            <w:noProof/>
            <w:webHidden/>
          </w:rPr>
          <w:tab/>
        </w:r>
        <w:r w:rsidR="00925B11">
          <w:rPr>
            <w:noProof/>
            <w:webHidden/>
          </w:rPr>
          <w:fldChar w:fldCharType="begin"/>
        </w:r>
        <w:r w:rsidR="00925B11">
          <w:rPr>
            <w:noProof/>
            <w:webHidden/>
          </w:rPr>
          <w:instrText xml:space="preserve"> PAGEREF _Toc531967477 \h </w:instrText>
        </w:r>
        <w:r w:rsidR="00925B11">
          <w:rPr>
            <w:noProof/>
            <w:webHidden/>
          </w:rPr>
        </w:r>
        <w:r w:rsidR="00925B11">
          <w:rPr>
            <w:noProof/>
            <w:webHidden/>
          </w:rPr>
          <w:fldChar w:fldCharType="separate"/>
        </w:r>
        <w:r w:rsidR="00194684">
          <w:rPr>
            <w:noProof/>
            <w:webHidden/>
          </w:rPr>
          <w:t>47</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478" w:history="1">
        <w:r w:rsidR="00925B11" w:rsidRPr="009F66C3">
          <w:rPr>
            <w:rStyle w:val="Hyperlink"/>
            <w:noProof/>
          </w:rPr>
          <w:t>6.1.4</w:t>
        </w:r>
        <w:r w:rsidR="00F70E38" w:rsidRPr="009F66C3">
          <w:rPr>
            <w:rStyle w:val="Hyperlink"/>
            <w:noProof/>
          </w:rPr>
          <w:t> </w:t>
        </w:r>
        <w:r w:rsidR="00925B11" w:rsidRPr="009F66C3">
          <w:rPr>
            <w:rStyle w:val="Hyperlink"/>
            <w:noProof/>
          </w:rPr>
          <w:t>The Panels' assessment of risk profiles</w:t>
        </w:r>
        <w:r w:rsidR="00925B11">
          <w:rPr>
            <w:noProof/>
            <w:webHidden/>
          </w:rPr>
          <w:tab/>
        </w:r>
        <w:r w:rsidR="00925B11">
          <w:rPr>
            <w:noProof/>
            <w:webHidden/>
          </w:rPr>
          <w:fldChar w:fldCharType="begin"/>
        </w:r>
        <w:r w:rsidR="00925B11">
          <w:rPr>
            <w:noProof/>
            <w:webHidden/>
          </w:rPr>
          <w:instrText xml:space="preserve"> PAGEREF _Toc531967478 \h </w:instrText>
        </w:r>
        <w:r w:rsidR="00925B11">
          <w:rPr>
            <w:noProof/>
            <w:webHidden/>
          </w:rPr>
        </w:r>
        <w:r w:rsidR="00925B11">
          <w:rPr>
            <w:noProof/>
            <w:webHidden/>
          </w:rPr>
          <w:fldChar w:fldCharType="separate"/>
        </w:r>
        <w:r w:rsidR="00194684">
          <w:rPr>
            <w:noProof/>
            <w:webHidden/>
          </w:rPr>
          <w:t>47</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79" w:history="1">
        <w:r w:rsidR="00925B11" w:rsidRPr="009F66C3">
          <w:rPr>
            <w:rStyle w:val="Hyperlink"/>
            <w:noProof/>
          </w:rPr>
          <w:t>6.1.4.1</w:t>
        </w:r>
        <w:r w:rsidR="00F70E38" w:rsidRPr="009F66C3">
          <w:rPr>
            <w:rStyle w:val="Hyperlink"/>
            <w:noProof/>
          </w:rPr>
          <w:t> </w:t>
        </w:r>
        <w:r w:rsidR="00925B11" w:rsidRPr="009F66C3">
          <w:rPr>
            <w:rStyle w:val="Hyperlink"/>
            <w:noProof/>
          </w:rPr>
          <w:t>The Panels' findings</w:t>
        </w:r>
        <w:r w:rsidR="00925B11">
          <w:rPr>
            <w:noProof/>
            <w:webHidden/>
          </w:rPr>
          <w:tab/>
        </w:r>
        <w:r w:rsidR="00925B11">
          <w:rPr>
            <w:noProof/>
            <w:webHidden/>
          </w:rPr>
          <w:fldChar w:fldCharType="begin"/>
        </w:r>
        <w:r w:rsidR="00925B11">
          <w:rPr>
            <w:noProof/>
            <w:webHidden/>
          </w:rPr>
          <w:instrText xml:space="preserve"> PAGEREF _Toc531967479 \h </w:instrText>
        </w:r>
        <w:r w:rsidR="00925B11">
          <w:rPr>
            <w:noProof/>
            <w:webHidden/>
          </w:rPr>
        </w:r>
        <w:r w:rsidR="00925B11">
          <w:rPr>
            <w:noProof/>
            <w:webHidden/>
          </w:rPr>
          <w:fldChar w:fldCharType="separate"/>
        </w:r>
        <w:r w:rsidR="00194684">
          <w:rPr>
            <w:noProof/>
            <w:webHidden/>
          </w:rPr>
          <w:t>48</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80" w:history="1">
        <w:r w:rsidR="00925B11" w:rsidRPr="009F66C3">
          <w:rPr>
            <w:rStyle w:val="Hyperlink"/>
            <w:noProof/>
          </w:rPr>
          <w:t>6.1.4.2</w:t>
        </w:r>
        <w:r w:rsidR="00F70E38" w:rsidRPr="009F66C3">
          <w:rPr>
            <w:rStyle w:val="Hyperlink"/>
            <w:noProof/>
          </w:rPr>
          <w:t> </w:t>
        </w:r>
        <w:r w:rsidR="00925B11" w:rsidRPr="009F66C3">
          <w:rPr>
            <w:rStyle w:val="Hyperlink"/>
            <w:noProof/>
          </w:rPr>
          <w:t>Whether the Panels erred by failing to assess the risk profiles of individual fisheries</w:t>
        </w:r>
        <w:r w:rsidR="00925B11">
          <w:rPr>
            <w:noProof/>
            <w:webHidden/>
          </w:rPr>
          <w:tab/>
        </w:r>
        <w:r w:rsidR="00925B11">
          <w:rPr>
            <w:noProof/>
            <w:webHidden/>
          </w:rPr>
          <w:fldChar w:fldCharType="begin"/>
        </w:r>
        <w:r w:rsidR="00925B11">
          <w:rPr>
            <w:noProof/>
            <w:webHidden/>
          </w:rPr>
          <w:instrText xml:space="preserve"> PAGEREF _Toc531967480 \h </w:instrText>
        </w:r>
        <w:r w:rsidR="00925B11">
          <w:rPr>
            <w:noProof/>
            <w:webHidden/>
          </w:rPr>
        </w:r>
        <w:r w:rsidR="00925B11">
          <w:rPr>
            <w:noProof/>
            <w:webHidden/>
          </w:rPr>
          <w:fldChar w:fldCharType="separate"/>
        </w:r>
        <w:r w:rsidR="00194684">
          <w:rPr>
            <w:noProof/>
            <w:webHidden/>
          </w:rPr>
          <w:t>51</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81" w:history="1">
        <w:r w:rsidR="00925B11" w:rsidRPr="009F66C3">
          <w:rPr>
            <w:rStyle w:val="Hyperlink"/>
            <w:noProof/>
          </w:rPr>
          <w:t>6.1.4.3</w:t>
        </w:r>
        <w:r w:rsidR="00F70E38" w:rsidRPr="009F66C3">
          <w:rPr>
            <w:rStyle w:val="Hyperlink"/>
            <w:noProof/>
          </w:rPr>
          <w:t> </w:t>
        </w:r>
        <w:r w:rsidR="00925B11" w:rsidRPr="009F66C3">
          <w:rPr>
            <w:rStyle w:val="Hyperlink"/>
            <w:noProof/>
          </w:rPr>
          <w:t>Whether the Panels erred by using the risk profile of</w:t>
        </w:r>
        <w:r w:rsidR="00AE1A8C">
          <w:rPr>
            <w:rStyle w:val="Hyperlink"/>
            <w:noProof/>
          </w:rPr>
          <w:t xml:space="preserve"> setting on dolphins in the ETP</w:t>
        </w:r>
        <w:r w:rsidR="00AE1A8C">
          <w:rPr>
            <w:rStyle w:val="Hyperlink"/>
            <w:noProof/>
          </w:rPr>
          <w:br/>
        </w:r>
        <w:r w:rsidR="00925B11" w:rsidRPr="009F66C3">
          <w:rPr>
            <w:rStyle w:val="Hyperlink"/>
            <w:noProof/>
          </w:rPr>
          <w:t>as a benchmark</w:t>
        </w:r>
        <w:r w:rsidR="00925B11">
          <w:rPr>
            <w:noProof/>
            <w:webHidden/>
          </w:rPr>
          <w:tab/>
        </w:r>
        <w:r w:rsidR="00925B11">
          <w:rPr>
            <w:noProof/>
            <w:webHidden/>
          </w:rPr>
          <w:fldChar w:fldCharType="begin"/>
        </w:r>
        <w:r w:rsidR="00925B11">
          <w:rPr>
            <w:noProof/>
            <w:webHidden/>
          </w:rPr>
          <w:instrText xml:space="preserve"> PAGEREF _Toc531967481 \h </w:instrText>
        </w:r>
        <w:r w:rsidR="00925B11">
          <w:rPr>
            <w:noProof/>
            <w:webHidden/>
          </w:rPr>
        </w:r>
        <w:r w:rsidR="00925B11">
          <w:rPr>
            <w:noProof/>
            <w:webHidden/>
          </w:rPr>
          <w:fldChar w:fldCharType="separate"/>
        </w:r>
        <w:r w:rsidR="00194684">
          <w:rPr>
            <w:noProof/>
            <w:webHidden/>
          </w:rPr>
          <w:t>53</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82" w:history="1">
        <w:r w:rsidR="00925B11" w:rsidRPr="009F66C3">
          <w:rPr>
            <w:rStyle w:val="Hyperlink"/>
            <w:noProof/>
          </w:rPr>
          <w:t>6.1.4.4</w:t>
        </w:r>
        <w:r w:rsidR="00F70E38" w:rsidRPr="009F66C3">
          <w:rPr>
            <w:rStyle w:val="Hyperlink"/>
            <w:noProof/>
          </w:rPr>
          <w:t> </w:t>
        </w:r>
        <w:r w:rsidR="00925B11" w:rsidRPr="009F66C3">
          <w:rPr>
            <w:rStyle w:val="Hyperlink"/>
            <w:noProof/>
          </w:rPr>
          <w:t>Whether the Panels erred by relying primarily on per set data and excluding other relevant factors</w:t>
        </w:r>
        <w:r w:rsidR="00925B11">
          <w:rPr>
            <w:noProof/>
            <w:webHidden/>
          </w:rPr>
          <w:tab/>
        </w:r>
        <w:r w:rsidR="00925B11">
          <w:rPr>
            <w:noProof/>
            <w:webHidden/>
          </w:rPr>
          <w:fldChar w:fldCharType="begin"/>
        </w:r>
        <w:r w:rsidR="00925B11">
          <w:rPr>
            <w:noProof/>
            <w:webHidden/>
          </w:rPr>
          <w:instrText xml:space="preserve"> PAGEREF _Toc531967482 \h </w:instrText>
        </w:r>
        <w:r w:rsidR="00925B11">
          <w:rPr>
            <w:noProof/>
            <w:webHidden/>
          </w:rPr>
        </w:r>
        <w:r w:rsidR="00925B11">
          <w:rPr>
            <w:noProof/>
            <w:webHidden/>
          </w:rPr>
          <w:fldChar w:fldCharType="separate"/>
        </w:r>
        <w:r w:rsidR="00194684">
          <w:rPr>
            <w:noProof/>
            <w:webHidden/>
          </w:rPr>
          <w:t>58</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83" w:history="1">
        <w:r w:rsidR="00925B11" w:rsidRPr="009F66C3">
          <w:rPr>
            <w:rStyle w:val="Hyperlink"/>
            <w:noProof/>
          </w:rPr>
          <w:t>6.1.4.4.1</w:t>
        </w:r>
        <w:r w:rsidR="00F70E38" w:rsidRPr="009F66C3">
          <w:rPr>
            <w:rStyle w:val="Hyperlink"/>
            <w:noProof/>
          </w:rPr>
          <w:t> </w:t>
        </w:r>
        <w:r w:rsidR="00925B11" w:rsidRPr="009F66C3">
          <w:rPr>
            <w:rStyle w:val="Hyperlink"/>
            <w:noProof/>
          </w:rPr>
          <w:t>Risks to dolphin populations</w:t>
        </w:r>
        <w:r w:rsidR="00925B11">
          <w:rPr>
            <w:noProof/>
            <w:webHidden/>
          </w:rPr>
          <w:tab/>
        </w:r>
        <w:r w:rsidR="00925B11">
          <w:rPr>
            <w:noProof/>
            <w:webHidden/>
          </w:rPr>
          <w:fldChar w:fldCharType="begin"/>
        </w:r>
        <w:r w:rsidR="00925B11">
          <w:rPr>
            <w:noProof/>
            <w:webHidden/>
          </w:rPr>
          <w:instrText xml:space="preserve"> PAGEREF _Toc531967483 \h </w:instrText>
        </w:r>
        <w:r w:rsidR="00925B11">
          <w:rPr>
            <w:noProof/>
            <w:webHidden/>
          </w:rPr>
        </w:r>
        <w:r w:rsidR="00925B11">
          <w:rPr>
            <w:noProof/>
            <w:webHidden/>
          </w:rPr>
          <w:fldChar w:fldCharType="separate"/>
        </w:r>
        <w:r w:rsidR="00194684">
          <w:rPr>
            <w:noProof/>
            <w:webHidden/>
          </w:rPr>
          <w:t>60</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84" w:history="1">
        <w:r w:rsidR="00925B11" w:rsidRPr="009F66C3">
          <w:rPr>
            <w:rStyle w:val="Hyperlink"/>
            <w:noProof/>
          </w:rPr>
          <w:t>6.1.4.4.2</w:t>
        </w:r>
        <w:r w:rsidR="00F70E38" w:rsidRPr="009F66C3">
          <w:rPr>
            <w:rStyle w:val="Hyperlink"/>
            <w:noProof/>
          </w:rPr>
          <w:t> </w:t>
        </w:r>
        <w:r w:rsidR="00925B11" w:rsidRPr="009F66C3">
          <w:rPr>
            <w:rStyle w:val="Hyperlink"/>
            <w:noProof/>
          </w:rPr>
          <w:t>Absolute levels of adverse effects</w:t>
        </w:r>
        <w:r w:rsidR="00925B11">
          <w:rPr>
            <w:noProof/>
            <w:webHidden/>
          </w:rPr>
          <w:tab/>
        </w:r>
        <w:r w:rsidR="00925B11">
          <w:rPr>
            <w:noProof/>
            <w:webHidden/>
          </w:rPr>
          <w:fldChar w:fldCharType="begin"/>
        </w:r>
        <w:r w:rsidR="00925B11">
          <w:rPr>
            <w:noProof/>
            <w:webHidden/>
          </w:rPr>
          <w:instrText xml:space="preserve"> PAGEREF _Toc531967484 \h </w:instrText>
        </w:r>
        <w:r w:rsidR="00925B11">
          <w:rPr>
            <w:noProof/>
            <w:webHidden/>
          </w:rPr>
        </w:r>
        <w:r w:rsidR="00925B11">
          <w:rPr>
            <w:noProof/>
            <w:webHidden/>
          </w:rPr>
          <w:fldChar w:fldCharType="separate"/>
        </w:r>
        <w:r w:rsidR="00194684">
          <w:rPr>
            <w:noProof/>
            <w:webHidden/>
          </w:rPr>
          <w:t>63</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85" w:history="1">
        <w:r w:rsidR="00925B11" w:rsidRPr="009F66C3">
          <w:rPr>
            <w:rStyle w:val="Hyperlink"/>
            <w:noProof/>
          </w:rPr>
          <w:t>6.1.4.4.3</w:t>
        </w:r>
        <w:r w:rsidR="00F70E38" w:rsidRPr="009F66C3">
          <w:rPr>
            <w:rStyle w:val="Hyperlink"/>
            <w:noProof/>
          </w:rPr>
          <w:t> </w:t>
        </w:r>
        <w:r w:rsidR="00925B11" w:rsidRPr="009F66C3">
          <w:rPr>
            <w:rStyle w:val="Hyperlink"/>
            <w:noProof/>
          </w:rPr>
          <w:t>Insufficient regulatory oversight</w:t>
        </w:r>
        <w:r w:rsidR="00925B11">
          <w:rPr>
            <w:noProof/>
            <w:webHidden/>
          </w:rPr>
          <w:tab/>
        </w:r>
        <w:r w:rsidR="00925B11">
          <w:rPr>
            <w:noProof/>
            <w:webHidden/>
          </w:rPr>
          <w:fldChar w:fldCharType="begin"/>
        </w:r>
        <w:r w:rsidR="00925B11">
          <w:rPr>
            <w:noProof/>
            <w:webHidden/>
          </w:rPr>
          <w:instrText xml:space="preserve"> PAGEREF _Toc531967485 \h </w:instrText>
        </w:r>
        <w:r w:rsidR="00925B11">
          <w:rPr>
            <w:noProof/>
            <w:webHidden/>
          </w:rPr>
        </w:r>
        <w:r w:rsidR="00925B11">
          <w:rPr>
            <w:noProof/>
            <w:webHidden/>
          </w:rPr>
          <w:fldChar w:fldCharType="separate"/>
        </w:r>
        <w:r w:rsidR="00194684">
          <w:rPr>
            <w:noProof/>
            <w:webHidden/>
          </w:rPr>
          <w:t>66</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86" w:history="1">
        <w:r w:rsidR="00925B11" w:rsidRPr="009F66C3">
          <w:rPr>
            <w:rStyle w:val="Hyperlink"/>
            <w:noProof/>
          </w:rPr>
          <w:t>6.1.4.5</w:t>
        </w:r>
        <w:r w:rsidR="00F70E38" w:rsidRPr="009F66C3">
          <w:rPr>
            <w:rStyle w:val="Hyperlink"/>
            <w:noProof/>
          </w:rPr>
          <w:t> </w:t>
        </w:r>
        <w:r w:rsidR="00925B11" w:rsidRPr="009F66C3">
          <w:rPr>
            <w:rStyle w:val="Hyperlink"/>
            <w:noProof/>
          </w:rPr>
          <w:t>Conclusion</w:t>
        </w:r>
        <w:r w:rsidR="00925B11">
          <w:rPr>
            <w:noProof/>
            <w:webHidden/>
          </w:rPr>
          <w:tab/>
        </w:r>
        <w:r w:rsidR="00925B11">
          <w:rPr>
            <w:noProof/>
            <w:webHidden/>
          </w:rPr>
          <w:fldChar w:fldCharType="begin"/>
        </w:r>
        <w:r w:rsidR="00925B11">
          <w:rPr>
            <w:noProof/>
            <w:webHidden/>
          </w:rPr>
          <w:instrText xml:space="preserve"> PAGEREF _Toc531967486 \h </w:instrText>
        </w:r>
        <w:r w:rsidR="00925B11">
          <w:rPr>
            <w:noProof/>
            <w:webHidden/>
          </w:rPr>
        </w:r>
        <w:r w:rsidR="00925B11">
          <w:rPr>
            <w:noProof/>
            <w:webHidden/>
          </w:rPr>
          <w:fldChar w:fldCharType="separate"/>
        </w:r>
        <w:r w:rsidR="00194684">
          <w:rPr>
            <w:noProof/>
            <w:webHidden/>
          </w:rPr>
          <w:t>67</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487" w:history="1">
        <w:r w:rsidR="00925B11" w:rsidRPr="009F66C3">
          <w:rPr>
            <w:rStyle w:val="Hyperlink"/>
            <w:noProof/>
          </w:rPr>
          <w:t>6.1.5</w:t>
        </w:r>
        <w:r w:rsidR="00F70E38" w:rsidRPr="009F66C3">
          <w:rPr>
            <w:rStyle w:val="Hyperlink"/>
            <w:noProof/>
          </w:rPr>
          <w:t> </w:t>
        </w:r>
        <w:r w:rsidR="00925B11" w:rsidRPr="009F66C3">
          <w:rPr>
            <w:rStyle w:val="Hyperlink"/>
            <w:noProof/>
          </w:rPr>
          <w:t>The Panels' assessment of whether the 2016 Tuna Measure is calibrated to the risks to dolphins</w:t>
        </w:r>
        <w:r w:rsidR="00925B11">
          <w:rPr>
            <w:noProof/>
            <w:webHidden/>
          </w:rPr>
          <w:tab/>
        </w:r>
        <w:r w:rsidR="00925B11">
          <w:rPr>
            <w:noProof/>
            <w:webHidden/>
          </w:rPr>
          <w:fldChar w:fldCharType="begin"/>
        </w:r>
        <w:r w:rsidR="00925B11">
          <w:rPr>
            <w:noProof/>
            <w:webHidden/>
          </w:rPr>
          <w:instrText xml:space="preserve"> PAGEREF _Toc531967487 \h </w:instrText>
        </w:r>
        <w:r w:rsidR="00925B11">
          <w:rPr>
            <w:noProof/>
            <w:webHidden/>
          </w:rPr>
        </w:r>
        <w:r w:rsidR="00925B11">
          <w:rPr>
            <w:noProof/>
            <w:webHidden/>
          </w:rPr>
          <w:fldChar w:fldCharType="separate"/>
        </w:r>
        <w:r w:rsidR="00194684">
          <w:rPr>
            <w:noProof/>
            <w:webHidden/>
          </w:rPr>
          <w:t>67</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88" w:history="1">
        <w:r w:rsidR="00925B11" w:rsidRPr="009F66C3">
          <w:rPr>
            <w:rStyle w:val="Hyperlink"/>
            <w:noProof/>
          </w:rPr>
          <w:t>6.1.5.1</w:t>
        </w:r>
        <w:r w:rsidR="00F70E38" w:rsidRPr="009F66C3">
          <w:rPr>
            <w:rStyle w:val="Hyperlink"/>
            <w:noProof/>
          </w:rPr>
          <w:t> </w:t>
        </w:r>
        <w:r w:rsidR="00925B11" w:rsidRPr="009F66C3">
          <w:rPr>
            <w:rStyle w:val="Hyperlink"/>
            <w:noProof/>
          </w:rPr>
          <w:t>Introduction</w:t>
        </w:r>
        <w:r w:rsidR="00925B11">
          <w:rPr>
            <w:noProof/>
            <w:webHidden/>
          </w:rPr>
          <w:tab/>
        </w:r>
        <w:r w:rsidR="00925B11">
          <w:rPr>
            <w:noProof/>
            <w:webHidden/>
          </w:rPr>
          <w:fldChar w:fldCharType="begin"/>
        </w:r>
        <w:r w:rsidR="00925B11">
          <w:rPr>
            <w:noProof/>
            <w:webHidden/>
          </w:rPr>
          <w:instrText xml:space="preserve"> PAGEREF _Toc531967488 \h </w:instrText>
        </w:r>
        <w:r w:rsidR="00925B11">
          <w:rPr>
            <w:noProof/>
            <w:webHidden/>
          </w:rPr>
        </w:r>
        <w:r w:rsidR="00925B11">
          <w:rPr>
            <w:noProof/>
            <w:webHidden/>
          </w:rPr>
          <w:fldChar w:fldCharType="separate"/>
        </w:r>
        <w:r w:rsidR="00194684">
          <w:rPr>
            <w:noProof/>
            <w:webHidden/>
          </w:rPr>
          <w:t>67</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89" w:history="1">
        <w:r w:rsidR="00925B11" w:rsidRPr="009F66C3">
          <w:rPr>
            <w:rStyle w:val="Hyperlink"/>
            <w:noProof/>
          </w:rPr>
          <w:t>6.1.5.2</w:t>
        </w:r>
        <w:r w:rsidR="00F70E38" w:rsidRPr="009F66C3">
          <w:rPr>
            <w:rStyle w:val="Hyperlink"/>
            <w:noProof/>
          </w:rPr>
          <w:t> </w:t>
        </w:r>
        <w:r w:rsidR="00925B11" w:rsidRPr="009F66C3">
          <w:rPr>
            <w:rStyle w:val="Hyperlink"/>
            <w:noProof/>
          </w:rPr>
          <w:t>Eligibility criteria</w:t>
        </w:r>
        <w:r w:rsidR="00925B11">
          <w:rPr>
            <w:noProof/>
            <w:webHidden/>
          </w:rPr>
          <w:tab/>
        </w:r>
        <w:r w:rsidR="00925B11">
          <w:rPr>
            <w:noProof/>
            <w:webHidden/>
          </w:rPr>
          <w:fldChar w:fldCharType="begin"/>
        </w:r>
        <w:r w:rsidR="00925B11">
          <w:rPr>
            <w:noProof/>
            <w:webHidden/>
          </w:rPr>
          <w:instrText xml:space="preserve"> PAGEREF _Toc531967489 \h </w:instrText>
        </w:r>
        <w:r w:rsidR="00925B11">
          <w:rPr>
            <w:noProof/>
            <w:webHidden/>
          </w:rPr>
        </w:r>
        <w:r w:rsidR="00925B11">
          <w:rPr>
            <w:noProof/>
            <w:webHidden/>
          </w:rPr>
          <w:fldChar w:fldCharType="separate"/>
        </w:r>
        <w:r w:rsidR="00194684">
          <w:rPr>
            <w:noProof/>
            <w:webHidden/>
          </w:rPr>
          <w:t>69</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90" w:history="1">
        <w:r w:rsidR="00925B11" w:rsidRPr="009F66C3">
          <w:rPr>
            <w:rStyle w:val="Hyperlink"/>
            <w:noProof/>
          </w:rPr>
          <w:t>6.1.5.3</w:t>
        </w:r>
        <w:r w:rsidR="00F70E38" w:rsidRPr="009F66C3">
          <w:rPr>
            <w:rStyle w:val="Hyperlink"/>
            <w:noProof/>
          </w:rPr>
          <w:t> </w:t>
        </w:r>
        <w:r w:rsidR="00925B11" w:rsidRPr="009F66C3">
          <w:rPr>
            <w:rStyle w:val="Hyperlink"/>
            <w:noProof/>
          </w:rPr>
          <w:t>Certification requirements</w:t>
        </w:r>
        <w:r w:rsidR="00925B11">
          <w:rPr>
            <w:noProof/>
            <w:webHidden/>
          </w:rPr>
          <w:tab/>
        </w:r>
        <w:r w:rsidR="00925B11">
          <w:rPr>
            <w:noProof/>
            <w:webHidden/>
          </w:rPr>
          <w:fldChar w:fldCharType="begin"/>
        </w:r>
        <w:r w:rsidR="00925B11">
          <w:rPr>
            <w:noProof/>
            <w:webHidden/>
          </w:rPr>
          <w:instrText xml:space="preserve"> PAGEREF _Toc531967490 \h </w:instrText>
        </w:r>
        <w:r w:rsidR="00925B11">
          <w:rPr>
            <w:noProof/>
            <w:webHidden/>
          </w:rPr>
        </w:r>
        <w:r w:rsidR="00925B11">
          <w:rPr>
            <w:noProof/>
            <w:webHidden/>
          </w:rPr>
          <w:fldChar w:fldCharType="separate"/>
        </w:r>
        <w:r w:rsidR="00194684">
          <w:rPr>
            <w:noProof/>
            <w:webHidden/>
          </w:rPr>
          <w:t>72</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91" w:history="1">
        <w:r w:rsidR="00925B11" w:rsidRPr="009F66C3">
          <w:rPr>
            <w:rStyle w:val="Hyperlink"/>
            <w:noProof/>
          </w:rPr>
          <w:t>6.1.5.4</w:t>
        </w:r>
        <w:r w:rsidR="00F70E38" w:rsidRPr="009F66C3">
          <w:rPr>
            <w:rStyle w:val="Hyperlink"/>
            <w:noProof/>
          </w:rPr>
          <w:t> </w:t>
        </w:r>
        <w:r w:rsidR="00925B11" w:rsidRPr="009F66C3">
          <w:rPr>
            <w:rStyle w:val="Hyperlink"/>
            <w:noProof/>
          </w:rPr>
          <w:t>Tracking and verification requirements</w:t>
        </w:r>
        <w:r w:rsidR="00925B11">
          <w:rPr>
            <w:noProof/>
            <w:webHidden/>
          </w:rPr>
          <w:tab/>
        </w:r>
        <w:r w:rsidR="00925B11">
          <w:rPr>
            <w:noProof/>
            <w:webHidden/>
          </w:rPr>
          <w:fldChar w:fldCharType="begin"/>
        </w:r>
        <w:r w:rsidR="00925B11">
          <w:rPr>
            <w:noProof/>
            <w:webHidden/>
          </w:rPr>
          <w:instrText xml:space="preserve"> PAGEREF _Toc531967491 \h </w:instrText>
        </w:r>
        <w:r w:rsidR="00925B11">
          <w:rPr>
            <w:noProof/>
            <w:webHidden/>
          </w:rPr>
        </w:r>
        <w:r w:rsidR="00925B11">
          <w:rPr>
            <w:noProof/>
            <w:webHidden/>
          </w:rPr>
          <w:fldChar w:fldCharType="separate"/>
        </w:r>
        <w:r w:rsidR="00194684">
          <w:rPr>
            <w:noProof/>
            <w:webHidden/>
          </w:rPr>
          <w:t>81</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92" w:history="1">
        <w:r w:rsidR="00925B11" w:rsidRPr="009F66C3">
          <w:rPr>
            <w:rStyle w:val="Hyperlink"/>
            <w:noProof/>
          </w:rPr>
          <w:t>6.1.5.4.1</w:t>
        </w:r>
        <w:r w:rsidR="00F70E38" w:rsidRPr="009F66C3">
          <w:rPr>
            <w:rStyle w:val="Hyperlink"/>
            <w:noProof/>
          </w:rPr>
          <w:t> </w:t>
        </w:r>
        <w:r w:rsidR="00925B11" w:rsidRPr="009F66C3">
          <w:rPr>
            <w:rStyle w:val="Hyperlink"/>
            <w:noProof/>
          </w:rPr>
          <w:t>Summary of the findings from the first c</w:t>
        </w:r>
        <w:r w:rsidR="00AE1A8C">
          <w:rPr>
            <w:rStyle w:val="Hyperlink"/>
            <w:noProof/>
          </w:rPr>
          <w:t>ompliance proceedings regarding</w:t>
        </w:r>
        <w:r w:rsidR="00AE1A8C">
          <w:rPr>
            <w:rStyle w:val="Hyperlink"/>
            <w:noProof/>
          </w:rPr>
          <w:br/>
        </w:r>
        <w:r w:rsidR="00925B11" w:rsidRPr="009F66C3">
          <w:rPr>
            <w:rStyle w:val="Hyperlink"/>
            <w:noProof/>
          </w:rPr>
          <w:t>tracking and verification requirements under the 2013 Tuna Measure</w:t>
        </w:r>
        <w:r w:rsidR="00925B11">
          <w:rPr>
            <w:noProof/>
            <w:webHidden/>
          </w:rPr>
          <w:tab/>
        </w:r>
        <w:r w:rsidR="00925B11">
          <w:rPr>
            <w:noProof/>
            <w:webHidden/>
          </w:rPr>
          <w:fldChar w:fldCharType="begin"/>
        </w:r>
        <w:r w:rsidR="00925B11">
          <w:rPr>
            <w:noProof/>
            <w:webHidden/>
          </w:rPr>
          <w:instrText xml:space="preserve"> PAGEREF _Toc531967492 \h </w:instrText>
        </w:r>
        <w:r w:rsidR="00925B11">
          <w:rPr>
            <w:noProof/>
            <w:webHidden/>
          </w:rPr>
        </w:r>
        <w:r w:rsidR="00925B11">
          <w:rPr>
            <w:noProof/>
            <w:webHidden/>
          </w:rPr>
          <w:fldChar w:fldCharType="separate"/>
        </w:r>
        <w:r w:rsidR="00194684">
          <w:rPr>
            <w:noProof/>
            <w:webHidden/>
          </w:rPr>
          <w:t>81</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93" w:history="1">
        <w:r w:rsidR="00925B11" w:rsidRPr="009F66C3">
          <w:rPr>
            <w:rStyle w:val="Hyperlink"/>
            <w:noProof/>
          </w:rPr>
          <w:t>6.1.5.4.2</w:t>
        </w:r>
        <w:r w:rsidR="00F70E38" w:rsidRPr="009F66C3">
          <w:rPr>
            <w:rStyle w:val="Hyperlink"/>
            <w:noProof/>
          </w:rPr>
          <w:t> </w:t>
        </w:r>
        <w:r w:rsidR="00925B11" w:rsidRPr="009F66C3">
          <w:rPr>
            <w:rStyle w:val="Hyperlink"/>
            <w:noProof/>
          </w:rPr>
          <w:t>Summary of the Panels' findings regarding trackin</w:t>
        </w:r>
        <w:r w:rsidR="00CE6066">
          <w:rPr>
            <w:rStyle w:val="Hyperlink"/>
            <w:noProof/>
          </w:rPr>
          <w:t>g and verification requirements</w:t>
        </w:r>
        <w:r w:rsidR="00CE6066">
          <w:rPr>
            <w:rStyle w:val="Hyperlink"/>
            <w:noProof/>
          </w:rPr>
          <w:br/>
        </w:r>
        <w:r w:rsidR="00925B11" w:rsidRPr="009F66C3">
          <w:rPr>
            <w:rStyle w:val="Hyperlink"/>
            <w:noProof/>
          </w:rPr>
          <w:t>under the 2016 Tuna Measure</w:t>
        </w:r>
        <w:r w:rsidR="00925B11">
          <w:rPr>
            <w:noProof/>
            <w:webHidden/>
          </w:rPr>
          <w:tab/>
        </w:r>
        <w:r w:rsidR="00925B11">
          <w:rPr>
            <w:noProof/>
            <w:webHidden/>
          </w:rPr>
          <w:fldChar w:fldCharType="begin"/>
        </w:r>
        <w:r w:rsidR="00925B11">
          <w:rPr>
            <w:noProof/>
            <w:webHidden/>
          </w:rPr>
          <w:instrText xml:space="preserve"> PAGEREF _Toc531967493 \h </w:instrText>
        </w:r>
        <w:r w:rsidR="00925B11">
          <w:rPr>
            <w:noProof/>
            <w:webHidden/>
          </w:rPr>
        </w:r>
        <w:r w:rsidR="00925B11">
          <w:rPr>
            <w:noProof/>
            <w:webHidden/>
          </w:rPr>
          <w:fldChar w:fldCharType="separate"/>
        </w:r>
        <w:r w:rsidR="00194684">
          <w:rPr>
            <w:noProof/>
            <w:webHidden/>
          </w:rPr>
          <w:t>83</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94" w:history="1">
        <w:r w:rsidR="00925B11" w:rsidRPr="009F66C3">
          <w:rPr>
            <w:rStyle w:val="Hyperlink"/>
            <w:noProof/>
          </w:rPr>
          <w:t>6.1.5.4.3</w:t>
        </w:r>
        <w:r w:rsidR="00F70E38" w:rsidRPr="009F66C3">
          <w:rPr>
            <w:rStyle w:val="Hyperlink"/>
            <w:noProof/>
          </w:rPr>
          <w:t> </w:t>
        </w:r>
        <w:r w:rsidR="00925B11" w:rsidRPr="009F66C3">
          <w:rPr>
            <w:rStyle w:val="Hyperlink"/>
            <w:noProof/>
          </w:rPr>
          <w:t>Legal analysis</w:t>
        </w:r>
        <w:r w:rsidR="00925B11">
          <w:rPr>
            <w:noProof/>
            <w:webHidden/>
          </w:rPr>
          <w:tab/>
        </w:r>
        <w:r w:rsidR="00925B11">
          <w:rPr>
            <w:noProof/>
            <w:webHidden/>
          </w:rPr>
          <w:fldChar w:fldCharType="begin"/>
        </w:r>
        <w:r w:rsidR="00925B11">
          <w:rPr>
            <w:noProof/>
            <w:webHidden/>
          </w:rPr>
          <w:instrText xml:space="preserve"> PAGEREF _Toc531967494 \h </w:instrText>
        </w:r>
        <w:r w:rsidR="00925B11">
          <w:rPr>
            <w:noProof/>
            <w:webHidden/>
          </w:rPr>
        </w:r>
        <w:r w:rsidR="00925B11">
          <w:rPr>
            <w:noProof/>
            <w:webHidden/>
          </w:rPr>
          <w:fldChar w:fldCharType="separate"/>
        </w:r>
        <w:r w:rsidR="00194684">
          <w:rPr>
            <w:noProof/>
            <w:webHidden/>
          </w:rPr>
          <w:t>85</w:t>
        </w:r>
        <w:r w:rsidR="00925B11">
          <w:rPr>
            <w:noProof/>
            <w:webHidden/>
          </w:rPr>
          <w:fldChar w:fldCharType="end"/>
        </w:r>
      </w:hyperlink>
    </w:p>
    <w:p w:rsidR="00925B11" w:rsidRDefault="00A07155" w:rsidP="00AE1A8C">
      <w:pPr>
        <w:pStyle w:val="TOC5"/>
        <w:ind w:right="95"/>
        <w:rPr>
          <w:rFonts w:asciiTheme="minorHAnsi" w:eastAsiaTheme="minorEastAsia" w:hAnsiTheme="minorHAnsi" w:cstheme="minorBidi"/>
          <w:noProof/>
          <w:sz w:val="22"/>
          <w:szCs w:val="22"/>
        </w:rPr>
      </w:pPr>
      <w:hyperlink w:anchor="_Toc531967495" w:history="1">
        <w:r w:rsidR="00925B11" w:rsidRPr="009F66C3">
          <w:rPr>
            <w:rStyle w:val="Hyperlink"/>
            <w:noProof/>
          </w:rPr>
          <w:t>6.1.5.4.4</w:t>
        </w:r>
        <w:r w:rsidR="00F70E38" w:rsidRPr="009F66C3">
          <w:rPr>
            <w:rStyle w:val="Hyperlink"/>
            <w:noProof/>
          </w:rPr>
          <w:t> </w:t>
        </w:r>
        <w:r w:rsidR="00925B11" w:rsidRPr="009F66C3">
          <w:rPr>
            <w:rStyle w:val="Hyperlink"/>
            <w:noProof/>
          </w:rPr>
          <w:t>Conclusion for tracking and verification requirements</w:t>
        </w:r>
        <w:r w:rsidR="00925B11">
          <w:rPr>
            <w:noProof/>
            <w:webHidden/>
          </w:rPr>
          <w:tab/>
        </w:r>
        <w:r w:rsidR="00925B11">
          <w:rPr>
            <w:noProof/>
            <w:webHidden/>
          </w:rPr>
          <w:fldChar w:fldCharType="begin"/>
        </w:r>
        <w:r w:rsidR="00925B11">
          <w:rPr>
            <w:noProof/>
            <w:webHidden/>
          </w:rPr>
          <w:instrText xml:space="preserve"> PAGEREF _Toc531967495 \h </w:instrText>
        </w:r>
        <w:r w:rsidR="00925B11">
          <w:rPr>
            <w:noProof/>
            <w:webHidden/>
          </w:rPr>
        </w:r>
        <w:r w:rsidR="00925B11">
          <w:rPr>
            <w:noProof/>
            <w:webHidden/>
          </w:rPr>
          <w:fldChar w:fldCharType="separate"/>
        </w:r>
        <w:r w:rsidR="00194684">
          <w:rPr>
            <w:noProof/>
            <w:webHidden/>
          </w:rPr>
          <w:t>91</w:t>
        </w:r>
        <w:r w:rsidR="00925B11">
          <w:rPr>
            <w:noProof/>
            <w:webHidden/>
          </w:rPr>
          <w:fldChar w:fldCharType="end"/>
        </w:r>
      </w:hyperlink>
    </w:p>
    <w:p w:rsidR="00925B11" w:rsidRDefault="00A07155" w:rsidP="00AE1A8C">
      <w:pPr>
        <w:pStyle w:val="TOC4"/>
        <w:ind w:right="95"/>
        <w:rPr>
          <w:rFonts w:asciiTheme="minorHAnsi" w:eastAsiaTheme="minorEastAsia" w:hAnsiTheme="minorHAnsi" w:cstheme="minorBidi"/>
          <w:noProof/>
          <w:sz w:val="22"/>
          <w:szCs w:val="22"/>
        </w:rPr>
      </w:pPr>
      <w:hyperlink w:anchor="_Toc531967496" w:history="1">
        <w:r w:rsidR="00925B11" w:rsidRPr="009F66C3">
          <w:rPr>
            <w:rStyle w:val="Hyperlink"/>
            <w:noProof/>
          </w:rPr>
          <w:t>6.1.5.5</w:t>
        </w:r>
        <w:r w:rsidR="00F70E38" w:rsidRPr="009F66C3">
          <w:rPr>
            <w:rStyle w:val="Hyperlink"/>
            <w:noProof/>
          </w:rPr>
          <w:t> </w:t>
        </w:r>
        <w:r w:rsidR="00925B11" w:rsidRPr="009F66C3">
          <w:rPr>
            <w:rStyle w:val="Hyperlink"/>
            <w:noProof/>
          </w:rPr>
          <w:t>The 2016 Tuna Measure "as a whole"</w:t>
        </w:r>
        <w:r w:rsidR="00925B11">
          <w:rPr>
            <w:noProof/>
            <w:webHidden/>
          </w:rPr>
          <w:tab/>
        </w:r>
        <w:r w:rsidR="00925B11">
          <w:rPr>
            <w:noProof/>
            <w:webHidden/>
          </w:rPr>
          <w:fldChar w:fldCharType="begin"/>
        </w:r>
        <w:r w:rsidR="00925B11">
          <w:rPr>
            <w:noProof/>
            <w:webHidden/>
          </w:rPr>
          <w:instrText xml:space="preserve"> PAGEREF _Toc531967496 \h </w:instrText>
        </w:r>
        <w:r w:rsidR="00925B11">
          <w:rPr>
            <w:noProof/>
            <w:webHidden/>
          </w:rPr>
        </w:r>
        <w:r w:rsidR="00925B11">
          <w:rPr>
            <w:noProof/>
            <w:webHidden/>
          </w:rPr>
          <w:fldChar w:fldCharType="separate"/>
        </w:r>
        <w:r w:rsidR="00194684">
          <w:rPr>
            <w:noProof/>
            <w:webHidden/>
          </w:rPr>
          <w:t>91</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497" w:history="1">
        <w:r w:rsidR="00925B11" w:rsidRPr="009F66C3">
          <w:rPr>
            <w:rStyle w:val="Hyperlink"/>
            <w:noProof/>
          </w:rPr>
          <w:t>6.1.6</w:t>
        </w:r>
        <w:r w:rsidR="00F70E38" w:rsidRPr="009F66C3">
          <w:rPr>
            <w:rStyle w:val="Hyperlink"/>
            <w:noProof/>
          </w:rPr>
          <w:t> </w:t>
        </w:r>
        <w:r w:rsidR="00925B11" w:rsidRPr="009F66C3">
          <w:rPr>
            <w:rStyle w:val="Hyperlink"/>
            <w:noProof/>
          </w:rPr>
          <w:t>Conclusion under Article 2.1 of the TBT Agreement</w:t>
        </w:r>
        <w:r w:rsidR="00925B11">
          <w:rPr>
            <w:noProof/>
            <w:webHidden/>
          </w:rPr>
          <w:tab/>
        </w:r>
        <w:r w:rsidR="00925B11">
          <w:rPr>
            <w:noProof/>
            <w:webHidden/>
          </w:rPr>
          <w:fldChar w:fldCharType="begin"/>
        </w:r>
        <w:r w:rsidR="00925B11">
          <w:rPr>
            <w:noProof/>
            <w:webHidden/>
          </w:rPr>
          <w:instrText xml:space="preserve"> PAGEREF _Toc531967497 \h </w:instrText>
        </w:r>
        <w:r w:rsidR="00925B11">
          <w:rPr>
            <w:noProof/>
            <w:webHidden/>
          </w:rPr>
        </w:r>
        <w:r w:rsidR="00925B11">
          <w:rPr>
            <w:noProof/>
            <w:webHidden/>
          </w:rPr>
          <w:fldChar w:fldCharType="separate"/>
        </w:r>
        <w:r w:rsidR="00194684">
          <w:rPr>
            <w:noProof/>
            <w:webHidden/>
          </w:rPr>
          <w:t>93</w:t>
        </w:r>
        <w:r w:rsidR="00925B11">
          <w:rPr>
            <w:noProof/>
            <w:webHidden/>
          </w:rPr>
          <w:fldChar w:fldCharType="end"/>
        </w:r>
      </w:hyperlink>
    </w:p>
    <w:p w:rsidR="00925B11" w:rsidRDefault="00A07155" w:rsidP="00AE1A8C">
      <w:pPr>
        <w:pStyle w:val="TOC2"/>
        <w:ind w:right="95"/>
        <w:rPr>
          <w:rFonts w:asciiTheme="minorHAnsi" w:eastAsiaTheme="minorEastAsia" w:hAnsiTheme="minorHAnsi" w:cstheme="minorBidi"/>
          <w:noProof/>
          <w:sz w:val="22"/>
          <w:szCs w:val="22"/>
        </w:rPr>
      </w:pPr>
      <w:hyperlink w:anchor="_Toc531967498" w:history="1">
        <w:r w:rsidR="00925B11" w:rsidRPr="009F66C3">
          <w:rPr>
            <w:rStyle w:val="Hyperlink"/>
            <w:noProof/>
          </w:rPr>
          <w:t>6.2</w:t>
        </w:r>
        <w:r w:rsidR="00F70E38" w:rsidRPr="009F66C3">
          <w:rPr>
            <w:rStyle w:val="Hyperlink"/>
            <w:noProof/>
          </w:rPr>
          <w:t> </w:t>
        </w:r>
        <w:r w:rsidR="00925B11" w:rsidRPr="009F66C3">
          <w:rPr>
            <w:rStyle w:val="Hyperlink"/>
            <w:noProof/>
          </w:rPr>
          <w:t>Article XX of the GATT 1994</w:t>
        </w:r>
        <w:r w:rsidR="00925B11">
          <w:rPr>
            <w:noProof/>
            <w:webHidden/>
          </w:rPr>
          <w:tab/>
        </w:r>
        <w:r w:rsidR="00925B11">
          <w:rPr>
            <w:noProof/>
            <w:webHidden/>
          </w:rPr>
          <w:fldChar w:fldCharType="begin"/>
        </w:r>
        <w:r w:rsidR="00925B11">
          <w:rPr>
            <w:noProof/>
            <w:webHidden/>
          </w:rPr>
          <w:instrText xml:space="preserve"> PAGEREF _Toc531967498 \h </w:instrText>
        </w:r>
        <w:r w:rsidR="00925B11">
          <w:rPr>
            <w:noProof/>
            <w:webHidden/>
          </w:rPr>
        </w:r>
        <w:r w:rsidR="00925B11">
          <w:rPr>
            <w:noProof/>
            <w:webHidden/>
          </w:rPr>
          <w:fldChar w:fldCharType="separate"/>
        </w:r>
        <w:r w:rsidR="00194684">
          <w:rPr>
            <w:noProof/>
            <w:webHidden/>
          </w:rPr>
          <w:t>93</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499" w:history="1">
        <w:r w:rsidR="00925B11" w:rsidRPr="009F66C3">
          <w:rPr>
            <w:rStyle w:val="Hyperlink"/>
            <w:noProof/>
          </w:rPr>
          <w:t>6.2.1</w:t>
        </w:r>
        <w:r w:rsidR="00F70E38" w:rsidRPr="009F66C3">
          <w:rPr>
            <w:rStyle w:val="Hyperlink"/>
            <w:noProof/>
          </w:rPr>
          <w:t> </w:t>
        </w:r>
        <w:r w:rsidR="00925B11" w:rsidRPr="009F66C3">
          <w:rPr>
            <w:rStyle w:val="Hyperlink"/>
            <w:noProof/>
          </w:rPr>
          <w:t>The Panels' findings</w:t>
        </w:r>
        <w:r w:rsidR="00925B11">
          <w:rPr>
            <w:noProof/>
            <w:webHidden/>
          </w:rPr>
          <w:tab/>
        </w:r>
        <w:r w:rsidR="00925B11">
          <w:rPr>
            <w:noProof/>
            <w:webHidden/>
          </w:rPr>
          <w:fldChar w:fldCharType="begin"/>
        </w:r>
        <w:r w:rsidR="00925B11">
          <w:rPr>
            <w:noProof/>
            <w:webHidden/>
          </w:rPr>
          <w:instrText xml:space="preserve"> PAGEREF _Toc531967499 \h </w:instrText>
        </w:r>
        <w:r w:rsidR="00925B11">
          <w:rPr>
            <w:noProof/>
            <w:webHidden/>
          </w:rPr>
        </w:r>
        <w:r w:rsidR="00925B11">
          <w:rPr>
            <w:noProof/>
            <w:webHidden/>
          </w:rPr>
          <w:fldChar w:fldCharType="separate"/>
        </w:r>
        <w:r w:rsidR="00194684">
          <w:rPr>
            <w:noProof/>
            <w:webHidden/>
          </w:rPr>
          <w:t>93</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500" w:history="1">
        <w:r w:rsidR="00925B11" w:rsidRPr="009F66C3">
          <w:rPr>
            <w:rStyle w:val="Hyperlink"/>
            <w:noProof/>
          </w:rPr>
          <w:t>6.2.2</w:t>
        </w:r>
        <w:r w:rsidR="00F70E38" w:rsidRPr="009F66C3">
          <w:rPr>
            <w:rStyle w:val="Hyperlink"/>
            <w:noProof/>
          </w:rPr>
          <w:t> </w:t>
        </w:r>
        <w:r w:rsidR="00925B11" w:rsidRPr="009F66C3">
          <w:rPr>
            <w:rStyle w:val="Hyperlink"/>
            <w:noProof/>
          </w:rPr>
          <w:t xml:space="preserve">Whether the Panels erred in finding that the 2016 Tuna Measure complies with the requirements of the </w:t>
        </w:r>
        <w:r w:rsidR="00925B11" w:rsidRPr="006D0AD4">
          <w:rPr>
            <w:rStyle w:val="Hyperlink"/>
            <w:i/>
            <w:noProof/>
          </w:rPr>
          <w:t>chapeau</w:t>
        </w:r>
        <w:r w:rsidR="00925B11" w:rsidRPr="009F66C3">
          <w:rPr>
            <w:rStyle w:val="Hyperlink"/>
            <w:noProof/>
          </w:rPr>
          <w:t xml:space="preserve"> of Article XX of the GATT 1994</w:t>
        </w:r>
        <w:r w:rsidR="00925B11">
          <w:rPr>
            <w:noProof/>
            <w:webHidden/>
          </w:rPr>
          <w:tab/>
        </w:r>
        <w:r w:rsidR="00925B11">
          <w:rPr>
            <w:noProof/>
            <w:webHidden/>
          </w:rPr>
          <w:fldChar w:fldCharType="begin"/>
        </w:r>
        <w:r w:rsidR="00925B11">
          <w:rPr>
            <w:noProof/>
            <w:webHidden/>
          </w:rPr>
          <w:instrText xml:space="preserve"> PAGEREF _Toc531967500 \h </w:instrText>
        </w:r>
        <w:r w:rsidR="00925B11">
          <w:rPr>
            <w:noProof/>
            <w:webHidden/>
          </w:rPr>
        </w:r>
        <w:r w:rsidR="00925B11">
          <w:rPr>
            <w:noProof/>
            <w:webHidden/>
          </w:rPr>
          <w:fldChar w:fldCharType="separate"/>
        </w:r>
        <w:r w:rsidR="00194684">
          <w:rPr>
            <w:noProof/>
            <w:webHidden/>
          </w:rPr>
          <w:t>94</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501" w:history="1">
        <w:r w:rsidR="00925B11" w:rsidRPr="009F66C3">
          <w:rPr>
            <w:rStyle w:val="Hyperlink"/>
            <w:noProof/>
          </w:rPr>
          <w:t>6.2.3</w:t>
        </w:r>
        <w:r w:rsidR="00F70E38" w:rsidRPr="009F66C3">
          <w:rPr>
            <w:rStyle w:val="Hyperlink"/>
            <w:noProof/>
          </w:rPr>
          <w:t> </w:t>
        </w:r>
        <w:r w:rsidR="00925B11" w:rsidRPr="009F66C3">
          <w:rPr>
            <w:rStyle w:val="Hyperlink"/>
            <w:noProof/>
          </w:rPr>
          <w:t>Conclusion</w:t>
        </w:r>
        <w:r w:rsidR="00925B11">
          <w:rPr>
            <w:noProof/>
            <w:webHidden/>
          </w:rPr>
          <w:tab/>
        </w:r>
        <w:r w:rsidR="00925B11">
          <w:rPr>
            <w:noProof/>
            <w:webHidden/>
          </w:rPr>
          <w:fldChar w:fldCharType="begin"/>
        </w:r>
        <w:r w:rsidR="00925B11">
          <w:rPr>
            <w:noProof/>
            <w:webHidden/>
          </w:rPr>
          <w:instrText xml:space="preserve"> PAGEREF _Toc531967501 \h </w:instrText>
        </w:r>
        <w:r w:rsidR="00925B11">
          <w:rPr>
            <w:noProof/>
            <w:webHidden/>
          </w:rPr>
        </w:r>
        <w:r w:rsidR="00925B11">
          <w:rPr>
            <w:noProof/>
            <w:webHidden/>
          </w:rPr>
          <w:fldChar w:fldCharType="separate"/>
        </w:r>
        <w:r w:rsidR="00194684">
          <w:rPr>
            <w:noProof/>
            <w:webHidden/>
          </w:rPr>
          <w:t>101</w:t>
        </w:r>
        <w:r w:rsidR="00925B11">
          <w:rPr>
            <w:noProof/>
            <w:webHidden/>
          </w:rPr>
          <w:fldChar w:fldCharType="end"/>
        </w:r>
      </w:hyperlink>
    </w:p>
    <w:p w:rsidR="00925B11" w:rsidRDefault="00A07155" w:rsidP="00AE1A8C">
      <w:pPr>
        <w:pStyle w:val="TOC2"/>
        <w:ind w:right="95"/>
        <w:rPr>
          <w:rFonts w:asciiTheme="minorHAnsi" w:eastAsiaTheme="minorEastAsia" w:hAnsiTheme="minorHAnsi" w:cstheme="minorBidi"/>
          <w:noProof/>
          <w:sz w:val="22"/>
          <w:szCs w:val="22"/>
        </w:rPr>
      </w:pPr>
      <w:hyperlink w:anchor="_Toc531967502" w:history="1">
        <w:r w:rsidR="00925B11" w:rsidRPr="009F66C3">
          <w:rPr>
            <w:rStyle w:val="Hyperlink"/>
            <w:noProof/>
          </w:rPr>
          <w:t>6.3</w:t>
        </w:r>
        <w:r w:rsidR="00F70E38" w:rsidRPr="009F66C3">
          <w:rPr>
            <w:rStyle w:val="Hyperlink"/>
            <w:noProof/>
          </w:rPr>
          <w:t> </w:t>
        </w:r>
        <w:r w:rsidR="00925B11" w:rsidRPr="009F66C3">
          <w:rPr>
            <w:rStyle w:val="Hyperlink"/>
            <w:noProof/>
          </w:rPr>
          <w:t>The Panels' decision to hold a partially open meeting</w:t>
        </w:r>
        <w:r w:rsidR="00925B11">
          <w:rPr>
            <w:noProof/>
            <w:webHidden/>
          </w:rPr>
          <w:tab/>
        </w:r>
        <w:r w:rsidR="00925B11">
          <w:rPr>
            <w:noProof/>
            <w:webHidden/>
          </w:rPr>
          <w:fldChar w:fldCharType="begin"/>
        </w:r>
        <w:r w:rsidR="00925B11">
          <w:rPr>
            <w:noProof/>
            <w:webHidden/>
          </w:rPr>
          <w:instrText xml:space="preserve"> PAGEREF _Toc531967502 \h </w:instrText>
        </w:r>
        <w:r w:rsidR="00925B11">
          <w:rPr>
            <w:noProof/>
            <w:webHidden/>
          </w:rPr>
        </w:r>
        <w:r w:rsidR="00925B11">
          <w:rPr>
            <w:noProof/>
            <w:webHidden/>
          </w:rPr>
          <w:fldChar w:fldCharType="separate"/>
        </w:r>
        <w:r w:rsidR="00194684">
          <w:rPr>
            <w:noProof/>
            <w:webHidden/>
          </w:rPr>
          <w:t>102</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503" w:history="1">
        <w:r w:rsidR="00925B11" w:rsidRPr="009F66C3">
          <w:rPr>
            <w:rStyle w:val="Hyperlink"/>
            <w:noProof/>
          </w:rPr>
          <w:t>6.3.1</w:t>
        </w:r>
        <w:r w:rsidR="00F70E38" w:rsidRPr="009F66C3">
          <w:rPr>
            <w:rStyle w:val="Hyperlink"/>
            <w:noProof/>
          </w:rPr>
          <w:t> </w:t>
        </w:r>
        <w:r w:rsidR="00925B11" w:rsidRPr="009F66C3">
          <w:rPr>
            <w:rStyle w:val="Hyperlink"/>
            <w:noProof/>
          </w:rPr>
          <w:t>Procedural background</w:t>
        </w:r>
        <w:r w:rsidR="00925B11">
          <w:rPr>
            <w:noProof/>
            <w:webHidden/>
          </w:rPr>
          <w:tab/>
        </w:r>
        <w:r w:rsidR="00925B11">
          <w:rPr>
            <w:noProof/>
            <w:webHidden/>
          </w:rPr>
          <w:fldChar w:fldCharType="begin"/>
        </w:r>
        <w:r w:rsidR="00925B11">
          <w:rPr>
            <w:noProof/>
            <w:webHidden/>
          </w:rPr>
          <w:instrText xml:space="preserve"> PAGEREF _Toc531967503 \h </w:instrText>
        </w:r>
        <w:r w:rsidR="00925B11">
          <w:rPr>
            <w:noProof/>
            <w:webHidden/>
          </w:rPr>
        </w:r>
        <w:r w:rsidR="00925B11">
          <w:rPr>
            <w:noProof/>
            <w:webHidden/>
          </w:rPr>
          <w:fldChar w:fldCharType="separate"/>
        </w:r>
        <w:r w:rsidR="00194684">
          <w:rPr>
            <w:noProof/>
            <w:webHidden/>
          </w:rPr>
          <w:t>102</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504" w:history="1">
        <w:r w:rsidR="00925B11" w:rsidRPr="009F66C3">
          <w:rPr>
            <w:rStyle w:val="Hyperlink"/>
            <w:noProof/>
          </w:rPr>
          <w:t>6.3.2</w:t>
        </w:r>
        <w:r w:rsidR="00F70E38" w:rsidRPr="009F66C3">
          <w:rPr>
            <w:rStyle w:val="Hyperlink"/>
            <w:noProof/>
          </w:rPr>
          <w:t> </w:t>
        </w:r>
        <w:r w:rsidR="00925B11" w:rsidRPr="009F66C3">
          <w:rPr>
            <w:rStyle w:val="Hyperlink"/>
            <w:noProof/>
          </w:rPr>
          <w:t>Sufficiency of Mexico's Notice of Appeal</w:t>
        </w:r>
        <w:r w:rsidR="00925B11">
          <w:rPr>
            <w:noProof/>
            <w:webHidden/>
          </w:rPr>
          <w:tab/>
        </w:r>
        <w:r w:rsidR="00925B11">
          <w:rPr>
            <w:noProof/>
            <w:webHidden/>
          </w:rPr>
          <w:fldChar w:fldCharType="begin"/>
        </w:r>
        <w:r w:rsidR="00925B11">
          <w:rPr>
            <w:noProof/>
            <w:webHidden/>
          </w:rPr>
          <w:instrText xml:space="preserve"> PAGEREF _Toc531967504 \h </w:instrText>
        </w:r>
        <w:r w:rsidR="00925B11">
          <w:rPr>
            <w:noProof/>
            <w:webHidden/>
          </w:rPr>
        </w:r>
        <w:r w:rsidR="00925B11">
          <w:rPr>
            <w:noProof/>
            <w:webHidden/>
          </w:rPr>
          <w:fldChar w:fldCharType="separate"/>
        </w:r>
        <w:r w:rsidR="00194684">
          <w:rPr>
            <w:noProof/>
            <w:webHidden/>
          </w:rPr>
          <w:t>103</w:t>
        </w:r>
        <w:r w:rsidR="00925B11">
          <w:rPr>
            <w:noProof/>
            <w:webHidden/>
          </w:rPr>
          <w:fldChar w:fldCharType="end"/>
        </w:r>
      </w:hyperlink>
    </w:p>
    <w:p w:rsidR="00925B11" w:rsidRDefault="00A07155" w:rsidP="00AE1A8C">
      <w:pPr>
        <w:pStyle w:val="TOC3"/>
        <w:ind w:right="95"/>
        <w:rPr>
          <w:rFonts w:asciiTheme="minorHAnsi" w:eastAsiaTheme="minorEastAsia" w:hAnsiTheme="minorHAnsi" w:cstheme="minorBidi"/>
          <w:noProof/>
          <w:sz w:val="22"/>
          <w:szCs w:val="22"/>
        </w:rPr>
      </w:pPr>
      <w:hyperlink w:anchor="_Toc531967505" w:history="1">
        <w:r w:rsidR="00925B11" w:rsidRPr="009F66C3">
          <w:rPr>
            <w:rStyle w:val="Hyperlink"/>
            <w:noProof/>
          </w:rPr>
          <w:t>6.3.3</w:t>
        </w:r>
        <w:r w:rsidR="00F70E38" w:rsidRPr="009F66C3">
          <w:rPr>
            <w:rStyle w:val="Hyperlink"/>
            <w:noProof/>
          </w:rPr>
          <w:t> </w:t>
        </w:r>
        <w:r w:rsidR="00925B11" w:rsidRPr="009F66C3">
          <w:rPr>
            <w:rStyle w:val="Hyperlink"/>
            <w:noProof/>
          </w:rPr>
          <w:t>Whether the Appellate Body should rule on this issue</w:t>
        </w:r>
        <w:r w:rsidR="00925B11">
          <w:rPr>
            <w:noProof/>
            <w:webHidden/>
          </w:rPr>
          <w:tab/>
        </w:r>
        <w:r w:rsidR="00925B11">
          <w:rPr>
            <w:noProof/>
            <w:webHidden/>
          </w:rPr>
          <w:fldChar w:fldCharType="begin"/>
        </w:r>
        <w:r w:rsidR="00925B11">
          <w:rPr>
            <w:noProof/>
            <w:webHidden/>
          </w:rPr>
          <w:instrText xml:space="preserve"> PAGEREF _Toc531967505 \h </w:instrText>
        </w:r>
        <w:r w:rsidR="00925B11">
          <w:rPr>
            <w:noProof/>
            <w:webHidden/>
          </w:rPr>
        </w:r>
        <w:r w:rsidR="00925B11">
          <w:rPr>
            <w:noProof/>
            <w:webHidden/>
          </w:rPr>
          <w:fldChar w:fldCharType="separate"/>
        </w:r>
        <w:r w:rsidR="00194684">
          <w:rPr>
            <w:noProof/>
            <w:webHidden/>
          </w:rPr>
          <w:t>107</w:t>
        </w:r>
        <w:r w:rsidR="00925B11">
          <w:rPr>
            <w:noProof/>
            <w:webHidden/>
          </w:rPr>
          <w:fldChar w:fldCharType="end"/>
        </w:r>
      </w:hyperlink>
    </w:p>
    <w:p w:rsidR="00925B11" w:rsidRDefault="00A07155" w:rsidP="00AE1A8C">
      <w:pPr>
        <w:pStyle w:val="TOC1"/>
        <w:ind w:right="95"/>
        <w:rPr>
          <w:rFonts w:asciiTheme="minorHAnsi" w:eastAsiaTheme="minorEastAsia" w:hAnsiTheme="minorHAnsi" w:cstheme="minorBidi"/>
          <w:b w:val="0"/>
          <w:caps w:val="0"/>
          <w:noProof/>
          <w:sz w:val="22"/>
          <w:szCs w:val="22"/>
        </w:rPr>
      </w:pPr>
      <w:hyperlink w:anchor="_Toc531967506" w:history="1">
        <w:r w:rsidR="00925B11" w:rsidRPr="009F66C3">
          <w:rPr>
            <w:rStyle w:val="Hyperlink"/>
            <w:noProof/>
          </w:rPr>
          <w:t>7</w:t>
        </w:r>
        <w:r w:rsidR="00F70E38" w:rsidRPr="009F66C3">
          <w:rPr>
            <w:rStyle w:val="Hyperlink"/>
            <w:noProof/>
          </w:rPr>
          <w:t> </w:t>
        </w:r>
        <w:r w:rsidR="00925B11" w:rsidRPr="009F66C3">
          <w:rPr>
            <w:rStyle w:val="Hyperlink"/>
            <w:noProof/>
          </w:rPr>
          <w:t>Findings and conclusions</w:t>
        </w:r>
        <w:r w:rsidR="00925B11">
          <w:rPr>
            <w:noProof/>
            <w:webHidden/>
          </w:rPr>
          <w:tab/>
        </w:r>
        <w:r w:rsidR="00925B11">
          <w:rPr>
            <w:noProof/>
            <w:webHidden/>
          </w:rPr>
          <w:fldChar w:fldCharType="begin"/>
        </w:r>
        <w:r w:rsidR="00925B11">
          <w:rPr>
            <w:noProof/>
            <w:webHidden/>
          </w:rPr>
          <w:instrText xml:space="preserve"> PAGEREF _Toc531967506 \h </w:instrText>
        </w:r>
        <w:r w:rsidR="00925B11">
          <w:rPr>
            <w:noProof/>
            <w:webHidden/>
          </w:rPr>
        </w:r>
        <w:r w:rsidR="00925B11">
          <w:rPr>
            <w:noProof/>
            <w:webHidden/>
          </w:rPr>
          <w:fldChar w:fldCharType="separate"/>
        </w:r>
        <w:r w:rsidR="00194684">
          <w:rPr>
            <w:noProof/>
            <w:webHidden/>
          </w:rPr>
          <w:t>108</w:t>
        </w:r>
        <w:r w:rsidR="00925B11">
          <w:rPr>
            <w:noProof/>
            <w:webHidden/>
          </w:rPr>
          <w:fldChar w:fldCharType="end"/>
        </w:r>
      </w:hyperlink>
    </w:p>
    <w:p w:rsidR="00925B11" w:rsidRDefault="00A07155" w:rsidP="00AE1A8C">
      <w:pPr>
        <w:pStyle w:val="TOC2"/>
        <w:ind w:right="95"/>
        <w:rPr>
          <w:rFonts w:asciiTheme="minorHAnsi" w:eastAsiaTheme="minorEastAsia" w:hAnsiTheme="minorHAnsi" w:cstheme="minorBidi"/>
          <w:noProof/>
          <w:sz w:val="22"/>
          <w:szCs w:val="22"/>
        </w:rPr>
      </w:pPr>
      <w:hyperlink w:anchor="_Toc531967507" w:history="1">
        <w:r w:rsidR="00925B11" w:rsidRPr="009F66C3">
          <w:rPr>
            <w:rStyle w:val="Hyperlink"/>
            <w:noProof/>
          </w:rPr>
          <w:t>7.1</w:t>
        </w:r>
        <w:r w:rsidR="00F70E38" w:rsidRPr="009F66C3">
          <w:rPr>
            <w:rStyle w:val="Hyperlink"/>
            <w:noProof/>
          </w:rPr>
          <w:t> </w:t>
        </w:r>
        <w:r w:rsidR="00925B11" w:rsidRPr="009F66C3">
          <w:rPr>
            <w:rStyle w:val="Hyperlink"/>
            <w:noProof/>
          </w:rPr>
          <w:t>Whether the Panels erred in their findings under Article 2.1 of the TBT Agreement</w:t>
        </w:r>
        <w:r w:rsidR="00925B11">
          <w:rPr>
            <w:noProof/>
            <w:webHidden/>
          </w:rPr>
          <w:tab/>
        </w:r>
        <w:r w:rsidR="00925B11">
          <w:rPr>
            <w:noProof/>
            <w:webHidden/>
          </w:rPr>
          <w:fldChar w:fldCharType="begin"/>
        </w:r>
        <w:r w:rsidR="00925B11">
          <w:rPr>
            <w:noProof/>
            <w:webHidden/>
          </w:rPr>
          <w:instrText xml:space="preserve"> PAGEREF _Toc531967507 \h </w:instrText>
        </w:r>
        <w:r w:rsidR="00925B11">
          <w:rPr>
            <w:noProof/>
            <w:webHidden/>
          </w:rPr>
        </w:r>
        <w:r w:rsidR="00925B11">
          <w:rPr>
            <w:noProof/>
            <w:webHidden/>
          </w:rPr>
          <w:fldChar w:fldCharType="separate"/>
        </w:r>
        <w:r w:rsidR="00194684">
          <w:rPr>
            <w:noProof/>
            <w:webHidden/>
          </w:rPr>
          <w:t>108</w:t>
        </w:r>
        <w:r w:rsidR="00925B11">
          <w:rPr>
            <w:noProof/>
            <w:webHidden/>
          </w:rPr>
          <w:fldChar w:fldCharType="end"/>
        </w:r>
      </w:hyperlink>
    </w:p>
    <w:p w:rsidR="00925B11" w:rsidRDefault="00A07155" w:rsidP="00AE1A8C">
      <w:pPr>
        <w:pStyle w:val="TOC2"/>
        <w:ind w:right="95"/>
        <w:rPr>
          <w:rFonts w:asciiTheme="minorHAnsi" w:eastAsiaTheme="minorEastAsia" w:hAnsiTheme="minorHAnsi" w:cstheme="minorBidi"/>
          <w:noProof/>
          <w:sz w:val="22"/>
          <w:szCs w:val="22"/>
        </w:rPr>
      </w:pPr>
      <w:hyperlink w:anchor="_Toc531967508" w:history="1">
        <w:r w:rsidR="00925B11" w:rsidRPr="009F66C3">
          <w:rPr>
            <w:rStyle w:val="Hyperlink"/>
            <w:noProof/>
          </w:rPr>
          <w:t>7.2</w:t>
        </w:r>
        <w:r w:rsidR="00F70E38" w:rsidRPr="009F66C3">
          <w:rPr>
            <w:rStyle w:val="Hyperlink"/>
            <w:noProof/>
          </w:rPr>
          <w:t> </w:t>
        </w:r>
        <w:r w:rsidR="00925B11" w:rsidRPr="009F66C3">
          <w:rPr>
            <w:rStyle w:val="Hyperlink"/>
            <w:noProof/>
          </w:rPr>
          <w:t>Whether the Panels erred in their findings under Article XX of the GATT 1994</w:t>
        </w:r>
        <w:r w:rsidR="00925B11">
          <w:rPr>
            <w:noProof/>
            <w:webHidden/>
          </w:rPr>
          <w:tab/>
        </w:r>
        <w:r w:rsidR="00925B11">
          <w:rPr>
            <w:noProof/>
            <w:webHidden/>
          </w:rPr>
          <w:fldChar w:fldCharType="begin"/>
        </w:r>
        <w:r w:rsidR="00925B11">
          <w:rPr>
            <w:noProof/>
            <w:webHidden/>
          </w:rPr>
          <w:instrText xml:space="preserve"> PAGEREF _Toc531967508 \h </w:instrText>
        </w:r>
        <w:r w:rsidR="00925B11">
          <w:rPr>
            <w:noProof/>
            <w:webHidden/>
          </w:rPr>
        </w:r>
        <w:r w:rsidR="00925B11">
          <w:rPr>
            <w:noProof/>
            <w:webHidden/>
          </w:rPr>
          <w:fldChar w:fldCharType="separate"/>
        </w:r>
        <w:r w:rsidR="00194684">
          <w:rPr>
            <w:noProof/>
            <w:webHidden/>
          </w:rPr>
          <w:t>110</w:t>
        </w:r>
        <w:r w:rsidR="00925B11">
          <w:rPr>
            <w:noProof/>
            <w:webHidden/>
          </w:rPr>
          <w:fldChar w:fldCharType="end"/>
        </w:r>
      </w:hyperlink>
    </w:p>
    <w:p w:rsidR="00925B11" w:rsidRDefault="00A07155" w:rsidP="00AE1A8C">
      <w:pPr>
        <w:pStyle w:val="TOC2"/>
        <w:ind w:right="95"/>
        <w:rPr>
          <w:rFonts w:asciiTheme="minorHAnsi" w:eastAsiaTheme="minorEastAsia" w:hAnsiTheme="minorHAnsi" w:cstheme="minorBidi"/>
          <w:noProof/>
          <w:sz w:val="22"/>
          <w:szCs w:val="22"/>
        </w:rPr>
      </w:pPr>
      <w:hyperlink w:anchor="_Toc531967509" w:history="1">
        <w:r w:rsidR="00925B11" w:rsidRPr="009F66C3">
          <w:rPr>
            <w:rStyle w:val="Hyperlink"/>
            <w:noProof/>
          </w:rPr>
          <w:t>7.3</w:t>
        </w:r>
        <w:r w:rsidR="00F70E38" w:rsidRPr="009F66C3">
          <w:rPr>
            <w:rStyle w:val="Hyperlink"/>
            <w:noProof/>
          </w:rPr>
          <w:t> </w:t>
        </w:r>
        <w:r w:rsidR="00925B11" w:rsidRPr="009F66C3">
          <w:rPr>
            <w:rStyle w:val="Hyperlink"/>
            <w:noProof/>
          </w:rPr>
          <w:t>The Panels' decision to hold a partially open meeting</w:t>
        </w:r>
        <w:r w:rsidR="00925B11">
          <w:rPr>
            <w:noProof/>
            <w:webHidden/>
          </w:rPr>
          <w:tab/>
        </w:r>
        <w:r w:rsidR="00925B11">
          <w:rPr>
            <w:noProof/>
            <w:webHidden/>
          </w:rPr>
          <w:fldChar w:fldCharType="begin"/>
        </w:r>
        <w:r w:rsidR="00925B11">
          <w:rPr>
            <w:noProof/>
            <w:webHidden/>
          </w:rPr>
          <w:instrText xml:space="preserve"> PAGEREF _Toc531967509 \h </w:instrText>
        </w:r>
        <w:r w:rsidR="00925B11">
          <w:rPr>
            <w:noProof/>
            <w:webHidden/>
          </w:rPr>
        </w:r>
        <w:r w:rsidR="00925B11">
          <w:rPr>
            <w:noProof/>
            <w:webHidden/>
          </w:rPr>
          <w:fldChar w:fldCharType="separate"/>
        </w:r>
        <w:r w:rsidR="00194684">
          <w:rPr>
            <w:noProof/>
            <w:webHidden/>
          </w:rPr>
          <w:t>111</w:t>
        </w:r>
        <w:r w:rsidR="00925B11">
          <w:rPr>
            <w:noProof/>
            <w:webHidden/>
          </w:rPr>
          <w:fldChar w:fldCharType="end"/>
        </w:r>
      </w:hyperlink>
    </w:p>
    <w:p w:rsidR="00925B11" w:rsidRDefault="00A07155" w:rsidP="00AE1A8C">
      <w:pPr>
        <w:pStyle w:val="TOC2"/>
        <w:ind w:right="95"/>
        <w:rPr>
          <w:rFonts w:asciiTheme="minorHAnsi" w:eastAsiaTheme="minorEastAsia" w:hAnsiTheme="minorHAnsi" w:cstheme="minorBidi"/>
          <w:noProof/>
          <w:sz w:val="22"/>
          <w:szCs w:val="22"/>
        </w:rPr>
      </w:pPr>
      <w:hyperlink w:anchor="_Toc531967510" w:history="1">
        <w:r w:rsidR="00925B11" w:rsidRPr="009F66C3">
          <w:rPr>
            <w:rStyle w:val="Hyperlink"/>
            <w:noProof/>
            <w:lang w:eastAsia="zh-CN"/>
          </w:rPr>
          <w:t>7.4</w:t>
        </w:r>
        <w:r w:rsidR="00F70E38" w:rsidRPr="009F66C3">
          <w:rPr>
            <w:rStyle w:val="Hyperlink"/>
            <w:noProof/>
            <w:lang w:eastAsia="zh-CN"/>
          </w:rPr>
          <w:t> </w:t>
        </w:r>
        <w:r w:rsidR="00925B11" w:rsidRPr="009F66C3">
          <w:rPr>
            <w:rStyle w:val="Hyperlink"/>
            <w:noProof/>
          </w:rPr>
          <w:t>Recommendation</w:t>
        </w:r>
        <w:r w:rsidR="00925B11">
          <w:rPr>
            <w:noProof/>
            <w:webHidden/>
          </w:rPr>
          <w:tab/>
        </w:r>
        <w:r w:rsidR="00925B11">
          <w:rPr>
            <w:noProof/>
            <w:webHidden/>
          </w:rPr>
          <w:fldChar w:fldCharType="begin"/>
        </w:r>
        <w:r w:rsidR="00925B11">
          <w:rPr>
            <w:noProof/>
            <w:webHidden/>
          </w:rPr>
          <w:instrText xml:space="preserve"> PAGEREF _Toc531967510 \h </w:instrText>
        </w:r>
        <w:r w:rsidR="00925B11">
          <w:rPr>
            <w:noProof/>
            <w:webHidden/>
          </w:rPr>
        </w:r>
        <w:r w:rsidR="00925B11">
          <w:rPr>
            <w:noProof/>
            <w:webHidden/>
          </w:rPr>
          <w:fldChar w:fldCharType="separate"/>
        </w:r>
        <w:r w:rsidR="00194684">
          <w:rPr>
            <w:noProof/>
            <w:webHidden/>
          </w:rPr>
          <w:t>111</w:t>
        </w:r>
        <w:r w:rsidR="00925B11">
          <w:rPr>
            <w:noProof/>
            <w:webHidden/>
          </w:rPr>
          <w:fldChar w:fldCharType="end"/>
        </w:r>
      </w:hyperlink>
    </w:p>
    <w:p w:rsidR="00EF273A" w:rsidRPr="00F7665C" w:rsidRDefault="00EF273A" w:rsidP="00AE1A8C">
      <w:pPr>
        <w:ind w:right="95"/>
      </w:pPr>
      <w:r w:rsidRPr="00F7665C">
        <w:fldChar w:fldCharType="end"/>
      </w:r>
    </w:p>
    <w:p w:rsidR="00EF273A" w:rsidRPr="00F7665C" w:rsidRDefault="00EF273A" w:rsidP="00EF273A"/>
    <w:p w:rsidR="00CE371F" w:rsidRPr="00F7665C" w:rsidRDefault="00CE371F">
      <w:pPr>
        <w:jc w:val="left"/>
      </w:pPr>
      <w:r w:rsidRPr="00F7665C">
        <w:br w:type="page"/>
      </w:r>
    </w:p>
    <w:p w:rsidR="00CE371F" w:rsidRPr="00BE61E0" w:rsidRDefault="00CE371F" w:rsidP="007C7C10">
      <w:pPr>
        <w:pStyle w:val="Title"/>
        <w:rPr>
          <w:szCs w:val="18"/>
        </w:rPr>
      </w:pPr>
      <w:bookmarkStart w:id="1" w:name="Abbreviations"/>
      <w:r w:rsidRPr="00BE61E0">
        <w:rPr>
          <w:szCs w:val="18"/>
        </w:rPr>
        <w:lastRenderedPageBreak/>
        <w:t xml:space="preserve">ABBREVIATIONS </w:t>
      </w:r>
      <w:bookmarkEnd w:id="1"/>
      <w:r w:rsidRPr="00BE61E0">
        <w:rPr>
          <w:szCs w:val="18"/>
        </w:rPr>
        <w:t>USED IN THIS REPORT</w:t>
      </w:r>
    </w:p>
    <w:tbl>
      <w:tblPr>
        <w:tblStyle w:val="WTOTable1"/>
        <w:tblW w:w="9221" w:type="dxa"/>
        <w:tblLayout w:type="fixed"/>
        <w:tblLook w:val="0060" w:firstRow="1" w:lastRow="1" w:firstColumn="0" w:lastColumn="0" w:noHBand="0" w:noVBand="0"/>
      </w:tblPr>
      <w:tblGrid>
        <w:gridCol w:w="2600"/>
        <w:gridCol w:w="6621"/>
      </w:tblGrid>
      <w:tr w:rsidR="00CE371F" w:rsidRPr="00BE61E0" w:rsidTr="00A94CE5">
        <w:trPr>
          <w:cnfStyle w:val="100000000000" w:firstRow="1" w:lastRow="0" w:firstColumn="0" w:lastColumn="0" w:oddVBand="0" w:evenVBand="0" w:oddHBand="0" w:evenHBand="0" w:firstRowFirstColumn="0" w:firstRowLastColumn="0" w:lastRowFirstColumn="0" w:lastRowLastColumn="0"/>
          <w:cantSplit/>
          <w:tblHeader/>
        </w:trPr>
        <w:tc>
          <w:tcPr>
            <w:tcW w:w="2600" w:type="dxa"/>
          </w:tcPr>
          <w:p w:rsidR="00CE371F" w:rsidRPr="00BE61E0" w:rsidRDefault="00CE371F" w:rsidP="000F192E">
            <w:pPr>
              <w:keepLines/>
              <w:tabs>
                <w:tab w:val="left" w:pos="2268"/>
                <w:tab w:val="left" w:pos="4536"/>
              </w:tabs>
              <w:spacing w:before="60" w:after="60"/>
              <w:jc w:val="center"/>
              <w:rPr>
                <w:sz w:val="16"/>
                <w:szCs w:val="16"/>
              </w:rPr>
            </w:pPr>
            <w:bookmarkStart w:id="2" w:name="_Hlk529186569"/>
            <w:r w:rsidRPr="00BE61E0">
              <w:rPr>
                <w:sz w:val="16"/>
                <w:szCs w:val="16"/>
              </w:rPr>
              <w:t>Abbreviation</w:t>
            </w:r>
          </w:p>
        </w:tc>
        <w:tc>
          <w:tcPr>
            <w:tcW w:w="6621" w:type="dxa"/>
            <w:vAlign w:val="center"/>
          </w:tcPr>
          <w:p w:rsidR="00CE371F" w:rsidRPr="00BE61E0" w:rsidRDefault="00CE371F" w:rsidP="00A94CE5">
            <w:pPr>
              <w:keepLines/>
              <w:tabs>
                <w:tab w:val="left" w:pos="2268"/>
                <w:tab w:val="left" w:pos="4536"/>
              </w:tabs>
              <w:spacing w:before="60" w:after="60"/>
              <w:jc w:val="center"/>
              <w:rPr>
                <w:sz w:val="16"/>
                <w:szCs w:val="16"/>
              </w:rPr>
            </w:pPr>
            <w:r w:rsidRPr="00BE61E0">
              <w:rPr>
                <w:sz w:val="16"/>
                <w:szCs w:val="16"/>
              </w:rPr>
              <w:t>Description</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2013 Rule</w:t>
            </w:r>
          </w:p>
        </w:tc>
        <w:tc>
          <w:tcPr>
            <w:tcW w:w="6621" w:type="dxa"/>
            <w:vAlign w:val="center"/>
          </w:tcPr>
          <w:p w:rsidR="008F5A85" w:rsidRPr="00BE61E0" w:rsidRDefault="00B704A0" w:rsidP="00A94CE5">
            <w:pPr>
              <w:keepLines/>
              <w:tabs>
                <w:tab w:val="left" w:pos="2268"/>
                <w:tab w:val="left" w:pos="4536"/>
              </w:tabs>
              <w:spacing w:before="60" w:after="60"/>
              <w:jc w:val="left"/>
              <w:rPr>
                <w:sz w:val="16"/>
                <w:szCs w:val="16"/>
              </w:rPr>
            </w:pPr>
            <w:r w:rsidRPr="00BE61E0">
              <w:rPr>
                <w:sz w:val="16"/>
                <w:szCs w:val="16"/>
              </w:rPr>
              <w:t xml:space="preserve">USDOC, NOAA, </w:t>
            </w:r>
            <w:r w:rsidR="008F5A85" w:rsidRPr="00BE61E0">
              <w:rPr>
                <w:sz w:val="16"/>
                <w:szCs w:val="16"/>
              </w:rPr>
              <w:t xml:space="preserve">Enhanced Document Requirements to Support Use of the Dolphin Safe Label on Tuna Products, </w:t>
            </w:r>
            <w:r w:rsidRPr="00BE61E0">
              <w:rPr>
                <w:i/>
                <w:sz w:val="16"/>
                <w:szCs w:val="16"/>
              </w:rPr>
              <w:t>United States Federal Register</w:t>
            </w:r>
            <w:r w:rsidRPr="00BE61E0">
              <w:rPr>
                <w:sz w:val="16"/>
                <w:szCs w:val="16"/>
              </w:rPr>
              <w:t xml:space="preserve">, Vol. 78, No. 131 </w:t>
            </w:r>
            <w:r w:rsidR="008F5A85" w:rsidRPr="00BE61E0">
              <w:rPr>
                <w:sz w:val="16"/>
                <w:szCs w:val="16"/>
              </w:rPr>
              <w:t>(9</w:t>
            </w:r>
            <w:r w:rsidR="00832630" w:rsidRPr="00BE61E0">
              <w:rPr>
                <w:sz w:val="16"/>
                <w:szCs w:val="16"/>
              </w:rPr>
              <w:t> </w:t>
            </w:r>
            <w:r w:rsidR="008F5A85" w:rsidRPr="00BE61E0">
              <w:rPr>
                <w:sz w:val="16"/>
                <w:szCs w:val="16"/>
              </w:rPr>
              <w:t>July</w:t>
            </w:r>
            <w:r w:rsidR="00832630" w:rsidRPr="00BE61E0">
              <w:rPr>
                <w:sz w:val="16"/>
                <w:szCs w:val="16"/>
              </w:rPr>
              <w:t> </w:t>
            </w:r>
            <w:r w:rsidR="008F5A85" w:rsidRPr="00BE61E0">
              <w:rPr>
                <w:sz w:val="16"/>
                <w:szCs w:val="16"/>
              </w:rPr>
              <w:t>2013)</w:t>
            </w:r>
            <w:r w:rsidRPr="00BE61E0">
              <w:rPr>
                <w:sz w:val="16"/>
                <w:szCs w:val="16"/>
              </w:rPr>
              <w:t>, pp. 40997-41004</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2013 Tuna Measure</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DPCIA</w:t>
            </w:r>
            <w:r w:rsidR="00FB4848" w:rsidRPr="00BE61E0">
              <w:rPr>
                <w:sz w:val="16"/>
                <w:szCs w:val="16"/>
              </w:rPr>
              <w:t>;</w:t>
            </w:r>
            <w:r w:rsidRPr="00BE61E0">
              <w:rPr>
                <w:sz w:val="16"/>
                <w:szCs w:val="16"/>
              </w:rPr>
              <w:t xml:space="preserve"> </w:t>
            </w:r>
            <w:r w:rsidRPr="00BE61E0">
              <w:rPr>
                <w:i/>
                <w:sz w:val="16"/>
                <w:szCs w:val="16"/>
              </w:rPr>
              <w:t>U</w:t>
            </w:r>
            <w:r w:rsidR="00EE3014" w:rsidRPr="00BE61E0">
              <w:rPr>
                <w:i/>
                <w:sz w:val="16"/>
                <w:szCs w:val="16"/>
              </w:rPr>
              <w:t>nited</w:t>
            </w:r>
            <w:r w:rsidR="00832630" w:rsidRPr="00BE61E0">
              <w:rPr>
                <w:i/>
                <w:sz w:val="16"/>
                <w:szCs w:val="16"/>
              </w:rPr>
              <w:t> States</w:t>
            </w:r>
            <w:r w:rsidRPr="00BE61E0">
              <w:rPr>
                <w:sz w:val="16"/>
                <w:szCs w:val="16"/>
              </w:rPr>
              <w:t xml:space="preserve"> </w:t>
            </w:r>
            <w:r w:rsidRPr="00BE61E0">
              <w:rPr>
                <w:i/>
                <w:sz w:val="16"/>
                <w:szCs w:val="16"/>
              </w:rPr>
              <w:t>Code of Federal Regulations</w:t>
            </w:r>
            <w:r w:rsidRPr="00BE61E0">
              <w:rPr>
                <w:sz w:val="16"/>
                <w:szCs w:val="16"/>
              </w:rPr>
              <w:t>, Title 50, Part</w:t>
            </w:r>
            <w:r w:rsidR="00EE3014" w:rsidRPr="00BE61E0">
              <w:rPr>
                <w:sz w:val="16"/>
                <w:szCs w:val="16"/>
              </w:rPr>
              <w:t> </w:t>
            </w:r>
            <w:r w:rsidR="00046623">
              <w:rPr>
                <w:sz w:val="16"/>
                <w:szCs w:val="16"/>
              </w:rPr>
              <w:t>216, Subpart </w:t>
            </w:r>
            <w:r w:rsidRPr="00BE61E0">
              <w:rPr>
                <w:sz w:val="16"/>
                <w:szCs w:val="16"/>
              </w:rPr>
              <w:t xml:space="preserve">H (Dolphin Safe Tuna </w:t>
            </w:r>
            <w:proofErr w:type="spellStart"/>
            <w:r w:rsidRPr="00BE61E0">
              <w:rPr>
                <w:sz w:val="16"/>
                <w:szCs w:val="16"/>
              </w:rPr>
              <w:t>Labeling</w:t>
            </w:r>
            <w:proofErr w:type="spellEnd"/>
            <w:r w:rsidRPr="00BE61E0">
              <w:rPr>
                <w:sz w:val="16"/>
                <w:szCs w:val="16"/>
              </w:rPr>
              <w:t>), as amended by the 2013 Rule</w:t>
            </w:r>
            <w:r w:rsidR="00FB4848" w:rsidRPr="00BE61E0">
              <w:rPr>
                <w:sz w:val="16"/>
                <w:szCs w:val="16"/>
              </w:rPr>
              <w:t>;</w:t>
            </w:r>
            <w:r w:rsidRPr="00BE61E0">
              <w:rPr>
                <w:sz w:val="16"/>
                <w:szCs w:val="16"/>
              </w:rPr>
              <w:t xml:space="preserve"> and the </w:t>
            </w:r>
            <w:r w:rsidRPr="00BE61E0">
              <w:rPr>
                <w:i/>
                <w:sz w:val="16"/>
                <w:szCs w:val="16"/>
              </w:rPr>
              <w:t>Hogarth</w:t>
            </w:r>
            <w:r w:rsidRPr="00BE61E0">
              <w:rPr>
                <w:sz w:val="16"/>
                <w:szCs w:val="16"/>
              </w:rPr>
              <w:t xml:space="preserve"> ruling</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2016 implementing regulations</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i/>
                <w:sz w:val="16"/>
                <w:szCs w:val="16"/>
              </w:rPr>
              <w:t>U</w:t>
            </w:r>
            <w:r w:rsidR="00EE3014" w:rsidRPr="00BE61E0">
              <w:rPr>
                <w:i/>
                <w:sz w:val="16"/>
                <w:szCs w:val="16"/>
              </w:rPr>
              <w:t>nited</w:t>
            </w:r>
            <w:r w:rsidR="00832630" w:rsidRPr="00BE61E0">
              <w:rPr>
                <w:i/>
                <w:sz w:val="16"/>
                <w:szCs w:val="16"/>
              </w:rPr>
              <w:t> States</w:t>
            </w:r>
            <w:r w:rsidRPr="00BE61E0">
              <w:rPr>
                <w:sz w:val="16"/>
                <w:szCs w:val="16"/>
              </w:rPr>
              <w:t xml:space="preserve"> </w:t>
            </w:r>
            <w:r w:rsidRPr="00BE61E0">
              <w:rPr>
                <w:i/>
                <w:sz w:val="16"/>
                <w:szCs w:val="16"/>
              </w:rPr>
              <w:t>Code of Federal Regulations</w:t>
            </w:r>
            <w:r w:rsidRPr="00BE61E0">
              <w:rPr>
                <w:sz w:val="16"/>
                <w:szCs w:val="16"/>
              </w:rPr>
              <w:t>, Title 50, Part 216, Subpart</w:t>
            </w:r>
            <w:r w:rsidR="00EE3014" w:rsidRPr="00BE61E0">
              <w:rPr>
                <w:sz w:val="16"/>
                <w:szCs w:val="16"/>
              </w:rPr>
              <w:t> </w:t>
            </w:r>
            <w:r w:rsidRPr="00BE61E0">
              <w:rPr>
                <w:sz w:val="16"/>
                <w:szCs w:val="16"/>
              </w:rPr>
              <w:t xml:space="preserve">H (Dolphin Safe Tuna </w:t>
            </w:r>
            <w:proofErr w:type="spellStart"/>
            <w:r w:rsidRPr="00BE61E0">
              <w:rPr>
                <w:sz w:val="16"/>
                <w:szCs w:val="16"/>
              </w:rPr>
              <w:t>Labeling</w:t>
            </w:r>
            <w:proofErr w:type="spellEnd"/>
            <w:r w:rsidRPr="00BE61E0">
              <w:rPr>
                <w:sz w:val="16"/>
                <w:szCs w:val="16"/>
              </w:rPr>
              <w:t>), as amende</w:t>
            </w:r>
            <w:r w:rsidR="00046623">
              <w:rPr>
                <w:sz w:val="16"/>
                <w:szCs w:val="16"/>
              </w:rPr>
              <w:t>d by the 2013 Rule and the 2016 </w:t>
            </w:r>
            <w:r w:rsidRPr="00BE61E0">
              <w:rPr>
                <w:sz w:val="16"/>
                <w:szCs w:val="16"/>
              </w:rPr>
              <w:t>Rule</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2016 Rule</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 xml:space="preserve">Enhanced Document Requirements and Captain Training Requirements to Support Use of the Dolphin Safe Label on Tuna Products, </w:t>
            </w:r>
            <w:r w:rsidR="00F046EF" w:rsidRPr="00BE61E0">
              <w:rPr>
                <w:i/>
                <w:sz w:val="16"/>
                <w:szCs w:val="16"/>
              </w:rPr>
              <w:t>United States Federal Register</w:t>
            </w:r>
            <w:r w:rsidR="00F046EF" w:rsidRPr="00BE61E0">
              <w:rPr>
                <w:sz w:val="16"/>
                <w:szCs w:val="16"/>
              </w:rPr>
              <w:t xml:space="preserve">, Vol. </w:t>
            </w:r>
            <w:r w:rsidRPr="00BE61E0">
              <w:rPr>
                <w:sz w:val="16"/>
                <w:szCs w:val="16"/>
              </w:rPr>
              <w:t>81</w:t>
            </w:r>
            <w:r w:rsidR="00F046EF" w:rsidRPr="00BE61E0">
              <w:rPr>
                <w:sz w:val="16"/>
                <w:szCs w:val="16"/>
              </w:rPr>
              <w:t xml:space="preserve">, No. 56 </w:t>
            </w:r>
            <w:r w:rsidRPr="00BE61E0">
              <w:rPr>
                <w:sz w:val="16"/>
                <w:szCs w:val="16"/>
              </w:rPr>
              <w:t>(23</w:t>
            </w:r>
            <w:r w:rsidR="00832630" w:rsidRPr="00BE61E0">
              <w:rPr>
                <w:sz w:val="16"/>
                <w:szCs w:val="16"/>
              </w:rPr>
              <w:t> </w:t>
            </w:r>
            <w:r w:rsidRPr="00BE61E0">
              <w:rPr>
                <w:sz w:val="16"/>
                <w:szCs w:val="16"/>
              </w:rPr>
              <w:t>March</w:t>
            </w:r>
            <w:r w:rsidR="00832630" w:rsidRPr="00BE61E0">
              <w:rPr>
                <w:sz w:val="16"/>
                <w:szCs w:val="16"/>
              </w:rPr>
              <w:t> </w:t>
            </w:r>
            <w:r w:rsidRPr="00BE61E0">
              <w:rPr>
                <w:sz w:val="16"/>
                <w:szCs w:val="16"/>
              </w:rPr>
              <w:t>2016)</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2016 Tuna Measure</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DPCIA</w:t>
            </w:r>
            <w:r w:rsidR="00B704A0" w:rsidRPr="00BE61E0">
              <w:rPr>
                <w:sz w:val="16"/>
                <w:szCs w:val="16"/>
              </w:rPr>
              <w:t>;</w:t>
            </w:r>
            <w:r w:rsidRPr="00BE61E0">
              <w:rPr>
                <w:sz w:val="16"/>
                <w:szCs w:val="16"/>
              </w:rPr>
              <w:t xml:space="preserve"> the 2016 implementing regulations</w:t>
            </w:r>
            <w:r w:rsidR="00B704A0" w:rsidRPr="00BE61E0">
              <w:rPr>
                <w:sz w:val="16"/>
                <w:szCs w:val="16"/>
              </w:rPr>
              <w:t>;</w:t>
            </w:r>
            <w:r w:rsidRPr="00BE61E0">
              <w:rPr>
                <w:sz w:val="16"/>
                <w:szCs w:val="16"/>
              </w:rPr>
              <w:t xml:space="preserve"> and the </w:t>
            </w:r>
            <w:r w:rsidRPr="00BE61E0">
              <w:rPr>
                <w:i/>
                <w:sz w:val="16"/>
                <w:szCs w:val="16"/>
              </w:rPr>
              <w:t>Hogarth</w:t>
            </w:r>
            <w:r w:rsidRPr="00BE61E0">
              <w:rPr>
                <w:sz w:val="16"/>
                <w:szCs w:val="16"/>
              </w:rPr>
              <w:t> ruling</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AIDCP</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Agreement on the International Dolphin Conservation Program</w:t>
            </w:r>
          </w:p>
        </w:tc>
      </w:tr>
      <w:tr w:rsidR="002948E2" w:rsidRPr="00BE61E0" w:rsidTr="00A94CE5">
        <w:trPr>
          <w:cantSplit/>
        </w:trPr>
        <w:tc>
          <w:tcPr>
            <w:tcW w:w="2600" w:type="dxa"/>
          </w:tcPr>
          <w:p w:rsidR="002948E2" w:rsidRPr="00BE61E0" w:rsidRDefault="002948E2" w:rsidP="008F5A85">
            <w:pPr>
              <w:keepLines/>
              <w:tabs>
                <w:tab w:val="left" w:pos="2268"/>
                <w:tab w:val="left" w:pos="4536"/>
              </w:tabs>
              <w:spacing w:before="60" w:after="60"/>
              <w:jc w:val="left"/>
              <w:rPr>
                <w:sz w:val="16"/>
                <w:szCs w:val="16"/>
              </w:rPr>
            </w:pPr>
            <w:r w:rsidRPr="00BE61E0">
              <w:rPr>
                <w:sz w:val="16"/>
                <w:szCs w:val="16"/>
              </w:rPr>
              <w:t>Assistant Administrator</w:t>
            </w:r>
          </w:p>
        </w:tc>
        <w:tc>
          <w:tcPr>
            <w:tcW w:w="6621" w:type="dxa"/>
            <w:vAlign w:val="center"/>
          </w:tcPr>
          <w:p w:rsidR="002948E2" w:rsidRPr="00BE61E0" w:rsidRDefault="002948E2" w:rsidP="00A94CE5">
            <w:pPr>
              <w:keepLines/>
              <w:tabs>
                <w:tab w:val="left" w:pos="2268"/>
                <w:tab w:val="left" w:pos="4536"/>
              </w:tabs>
              <w:spacing w:before="60" w:after="60"/>
              <w:jc w:val="left"/>
              <w:rPr>
                <w:sz w:val="16"/>
                <w:szCs w:val="16"/>
              </w:rPr>
            </w:pPr>
            <w:r w:rsidRPr="00BE61E0">
              <w:rPr>
                <w:sz w:val="16"/>
                <w:szCs w:val="16"/>
              </w:rPr>
              <w:t>United States Assistant Administrator for Fisheries, N</w:t>
            </w:r>
            <w:r w:rsidR="00AE1EDF" w:rsidRPr="00BE61E0">
              <w:rPr>
                <w:sz w:val="16"/>
                <w:szCs w:val="16"/>
              </w:rPr>
              <w:t>MFS</w:t>
            </w:r>
            <w:r w:rsidRPr="00BE61E0">
              <w:rPr>
                <w:sz w:val="16"/>
                <w:szCs w:val="16"/>
              </w:rPr>
              <w:t xml:space="preserve">, </w:t>
            </w:r>
            <w:r w:rsidR="00AE1EDF" w:rsidRPr="00BE61E0">
              <w:rPr>
                <w:sz w:val="16"/>
                <w:szCs w:val="16"/>
              </w:rPr>
              <w:t>NOAA</w:t>
            </w:r>
            <w:r w:rsidRPr="00BE61E0">
              <w:rPr>
                <w:sz w:val="16"/>
                <w:szCs w:val="16"/>
              </w:rPr>
              <w:t>, or his/her designee</w:t>
            </w:r>
          </w:p>
        </w:tc>
      </w:tr>
      <w:tr w:rsidR="00AE1EDF"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AE1EDF" w:rsidRPr="00BE61E0" w:rsidRDefault="00AE1EDF" w:rsidP="008F5A85">
            <w:pPr>
              <w:keepLines/>
              <w:tabs>
                <w:tab w:val="left" w:pos="2268"/>
                <w:tab w:val="left" w:pos="4536"/>
              </w:tabs>
              <w:spacing w:before="60" w:after="60"/>
              <w:jc w:val="left"/>
              <w:rPr>
                <w:sz w:val="16"/>
                <w:szCs w:val="16"/>
              </w:rPr>
            </w:pPr>
            <w:r w:rsidRPr="00BE61E0">
              <w:rPr>
                <w:sz w:val="16"/>
                <w:szCs w:val="16"/>
              </w:rPr>
              <w:t>Captain Training Course</w:t>
            </w:r>
          </w:p>
        </w:tc>
        <w:tc>
          <w:tcPr>
            <w:tcW w:w="6621" w:type="dxa"/>
            <w:vAlign w:val="center"/>
          </w:tcPr>
          <w:p w:rsidR="00AE1EDF" w:rsidRPr="00BE61E0" w:rsidRDefault="00AE1EDF" w:rsidP="00A94CE5">
            <w:pPr>
              <w:keepLines/>
              <w:tabs>
                <w:tab w:val="left" w:pos="2268"/>
                <w:tab w:val="left" w:pos="4536"/>
              </w:tabs>
              <w:spacing w:before="60" w:after="60"/>
              <w:jc w:val="left"/>
              <w:rPr>
                <w:sz w:val="16"/>
                <w:szCs w:val="16"/>
              </w:rPr>
            </w:pPr>
            <w:r w:rsidRPr="00BE61E0">
              <w:rPr>
                <w:sz w:val="16"/>
                <w:szCs w:val="16"/>
              </w:rPr>
              <w:t>NMFS Tuna Tracking and Verification Program dolphin-safe training course</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CC</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catch certificate</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highlight w:val="green"/>
              </w:rPr>
            </w:pPr>
            <w:r w:rsidRPr="00BE61E0">
              <w:rPr>
                <w:sz w:val="16"/>
                <w:szCs w:val="16"/>
              </w:rPr>
              <w:t>CDS</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highlight w:val="green"/>
              </w:rPr>
            </w:pPr>
            <w:r w:rsidRPr="00BE61E0">
              <w:rPr>
                <w:sz w:val="16"/>
                <w:szCs w:val="16"/>
              </w:rPr>
              <w:t>catch documentation scheme</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CFR</w:t>
            </w:r>
          </w:p>
        </w:tc>
        <w:tc>
          <w:tcPr>
            <w:tcW w:w="6621" w:type="dxa"/>
            <w:vAlign w:val="center"/>
          </w:tcPr>
          <w:p w:rsidR="008F5A85" w:rsidRPr="00BE61E0" w:rsidRDefault="0099613F" w:rsidP="00A94CE5">
            <w:pPr>
              <w:keepLines/>
              <w:tabs>
                <w:tab w:val="left" w:pos="2268"/>
                <w:tab w:val="left" w:pos="4536"/>
              </w:tabs>
              <w:spacing w:before="60" w:after="60"/>
              <w:jc w:val="left"/>
              <w:rPr>
                <w:i/>
                <w:sz w:val="16"/>
                <w:szCs w:val="16"/>
              </w:rPr>
            </w:pPr>
            <w:r w:rsidRPr="00BE61E0">
              <w:rPr>
                <w:i/>
                <w:sz w:val="16"/>
                <w:szCs w:val="16"/>
              </w:rPr>
              <w:t xml:space="preserve">United States </w:t>
            </w:r>
            <w:r w:rsidR="008F5A85" w:rsidRPr="00BE61E0">
              <w:rPr>
                <w:i/>
                <w:sz w:val="16"/>
                <w:szCs w:val="16"/>
              </w:rPr>
              <w:t>Code of Federal Regulations</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DML</w:t>
            </w:r>
          </w:p>
        </w:tc>
        <w:tc>
          <w:tcPr>
            <w:tcW w:w="6621" w:type="dxa"/>
            <w:vAlign w:val="center"/>
          </w:tcPr>
          <w:p w:rsidR="008F5A85" w:rsidRPr="00BE61E0" w:rsidRDefault="00D26456" w:rsidP="00A94CE5">
            <w:pPr>
              <w:keepLines/>
              <w:tabs>
                <w:tab w:val="left" w:pos="2268"/>
                <w:tab w:val="left" w:pos="4536"/>
              </w:tabs>
              <w:spacing w:before="60" w:after="60"/>
              <w:jc w:val="left"/>
              <w:rPr>
                <w:sz w:val="16"/>
                <w:szCs w:val="16"/>
              </w:rPr>
            </w:pPr>
            <w:r w:rsidRPr="00BE61E0">
              <w:rPr>
                <w:sz w:val="16"/>
                <w:szCs w:val="16"/>
              </w:rPr>
              <w:t>d</w:t>
            </w:r>
            <w:r w:rsidR="008F5A85" w:rsidRPr="00BE61E0">
              <w:rPr>
                <w:sz w:val="16"/>
                <w:szCs w:val="16"/>
              </w:rPr>
              <w:t xml:space="preserve">olphin </w:t>
            </w:r>
            <w:r w:rsidRPr="00BE61E0">
              <w:rPr>
                <w:sz w:val="16"/>
                <w:szCs w:val="16"/>
              </w:rPr>
              <w:t>m</w:t>
            </w:r>
            <w:r w:rsidR="008F5A85" w:rsidRPr="00BE61E0">
              <w:rPr>
                <w:sz w:val="16"/>
                <w:szCs w:val="16"/>
              </w:rPr>
              <w:t xml:space="preserve">ortality </w:t>
            </w:r>
            <w:r w:rsidRPr="00BE61E0">
              <w:rPr>
                <w:sz w:val="16"/>
                <w:szCs w:val="16"/>
              </w:rPr>
              <w:t>l</w:t>
            </w:r>
            <w:r w:rsidR="008F5A85" w:rsidRPr="00BE61E0">
              <w:rPr>
                <w:sz w:val="16"/>
                <w:szCs w:val="16"/>
              </w:rPr>
              <w:t>imit</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DPCIA</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proofErr w:type="gramStart"/>
            <w:r w:rsidRPr="00BE61E0">
              <w:rPr>
                <w:sz w:val="16"/>
                <w:szCs w:val="16"/>
              </w:rPr>
              <w:t>Dolphin Protection Consumer Information Act of 1990,</w:t>
            </w:r>
            <w:proofErr w:type="gramEnd"/>
            <w:r w:rsidRPr="00BE61E0">
              <w:rPr>
                <w:sz w:val="16"/>
                <w:szCs w:val="16"/>
              </w:rPr>
              <w:t xml:space="preserve"> codified in </w:t>
            </w:r>
            <w:r w:rsidRPr="00BE61E0">
              <w:rPr>
                <w:i/>
                <w:sz w:val="16"/>
                <w:szCs w:val="16"/>
              </w:rPr>
              <w:t>United</w:t>
            </w:r>
            <w:r w:rsidR="00832630" w:rsidRPr="00BE61E0">
              <w:rPr>
                <w:i/>
                <w:sz w:val="16"/>
                <w:szCs w:val="16"/>
              </w:rPr>
              <w:t> States</w:t>
            </w:r>
            <w:r w:rsidRPr="00BE61E0">
              <w:rPr>
                <w:i/>
                <w:sz w:val="16"/>
                <w:szCs w:val="16"/>
              </w:rPr>
              <w:t xml:space="preserve"> Code</w:t>
            </w:r>
            <w:r w:rsidRPr="00BE61E0">
              <w:rPr>
                <w:sz w:val="16"/>
                <w:szCs w:val="16"/>
              </w:rPr>
              <w:t xml:space="preserve">, Title 16, Section 1385 </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DSB</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Dispute Settlement Body</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DSU</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Understanding on Rules and Procedures Governing the Settlement of Disputes</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ETAO</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Eastern Tropical Atlantic Ocean</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ETP</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Eastern Tropical Pacific</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FAD</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fish aggregating device</w:t>
            </w:r>
          </w:p>
        </w:tc>
      </w:tr>
      <w:tr w:rsidR="00483FAD" w:rsidRPr="00BE61E0" w:rsidTr="00A94CE5">
        <w:trPr>
          <w:cantSplit/>
        </w:trPr>
        <w:tc>
          <w:tcPr>
            <w:tcW w:w="2600" w:type="dxa"/>
          </w:tcPr>
          <w:p w:rsidR="00483FAD" w:rsidRPr="00BE61E0" w:rsidRDefault="00483FAD" w:rsidP="008F5A85">
            <w:pPr>
              <w:keepLines/>
              <w:tabs>
                <w:tab w:val="left" w:pos="2268"/>
                <w:tab w:val="left" w:pos="4536"/>
              </w:tabs>
              <w:spacing w:before="60" w:after="60"/>
              <w:jc w:val="left"/>
              <w:rPr>
                <w:sz w:val="16"/>
                <w:szCs w:val="16"/>
              </w:rPr>
            </w:pPr>
            <w:r w:rsidRPr="00BE61E0">
              <w:rPr>
                <w:sz w:val="16"/>
                <w:szCs w:val="16"/>
              </w:rPr>
              <w:t>FAO</w:t>
            </w:r>
          </w:p>
        </w:tc>
        <w:tc>
          <w:tcPr>
            <w:tcW w:w="6621" w:type="dxa"/>
            <w:vAlign w:val="center"/>
          </w:tcPr>
          <w:p w:rsidR="00483FAD" w:rsidRPr="00BE61E0" w:rsidRDefault="00483FAD" w:rsidP="00A94CE5">
            <w:pPr>
              <w:keepLines/>
              <w:tabs>
                <w:tab w:val="left" w:pos="2268"/>
                <w:tab w:val="left" w:pos="4536"/>
              </w:tabs>
              <w:spacing w:before="60" w:after="60"/>
              <w:jc w:val="left"/>
              <w:rPr>
                <w:color w:val="000000"/>
                <w:sz w:val="16"/>
                <w:szCs w:val="16"/>
              </w:rPr>
            </w:pPr>
            <w:r w:rsidRPr="00BE61E0">
              <w:rPr>
                <w:color w:val="000000"/>
                <w:sz w:val="16"/>
                <w:szCs w:val="16"/>
              </w:rPr>
              <w:t>Food and Agricultural Organization of the United Nations</w:t>
            </w:r>
          </w:p>
        </w:tc>
      </w:tr>
      <w:tr w:rsidR="00A91164"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A91164" w:rsidRPr="00BE61E0" w:rsidRDefault="00A91164" w:rsidP="008F5A85">
            <w:pPr>
              <w:keepLines/>
              <w:tabs>
                <w:tab w:val="left" w:pos="2268"/>
                <w:tab w:val="left" w:pos="4536"/>
              </w:tabs>
              <w:spacing w:before="60" w:after="60"/>
              <w:jc w:val="left"/>
              <w:rPr>
                <w:sz w:val="16"/>
                <w:szCs w:val="16"/>
              </w:rPr>
            </w:pPr>
            <w:r w:rsidRPr="00BE61E0">
              <w:rPr>
                <w:sz w:val="16"/>
                <w:szCs w:val="16"/>
              </w:rPr>
              <w:t xml:space="preserve">First Compliance Panel Report </w:t>
            </w:r>
          </w:p>
        </w:tc>
        <w:tc>
          <w:tcPr>
            <w:tcW w:w="6621" w:type="dxa"/>
            <w:vAlign w:val="center"/>
          </w:tcPr>
          <w:p w:rsidR="00A91164" w:rsidRPr="00BE61E0" w:rsidRDefault="00A94CE5" w:rsidP="00A94CE5">
            <w:pPr>
              <w:keepLines/>
              <w:tabs>
                <w:tab w:val="left" w:pos="2268"/>
                <w:tab w:val="left" w:pos="4536"/>
              </w:tabs>
              <w:spacing w:before="60" w:after="60"/>
              <w:jc w:val="left"/>
              <w:rPr>
                <w:sz w:val="16"/>
                <w:szCs w:val="16"/>
              </w:rPr>
            </w:pPr>
            <w:r w:rsidRPr="00BE61E0">
              <w:rPr>
                <w:color w:val="000000"/>
                <w:sz w:val="16"/>
                <w:szCs w:val="16"/>
              </w:rPr>
              <w:t xml:space="preserve">Panel </w:t>
            </w:r>
            <w:r w:rsidRPr="00BE61E0">
              <w:rPr>
                <w:sz w:val="16"/>
                <w:szCs w:val="16"/>
              </w:rPr>
              <w:t>Report</w:t>
            </w:r>
            <w:r w:rsidRPr="00BE61E0">
              <w:rPr>
                <w:color w:val="000000"/>
                <w:sz w:val="16"/>
                <w:szCs w:val="16"/>
              </w:rPr>
              <w:t xml:space="preserve">, </w:t>
            </w:r>
            <w:r w:rsidRPr="00BE61E0">
              <w:rPr>
                <w:i/>
                <w:color w:val="000000"/>
                <w:sz w:val="16"/>
                <w:szCs w:val="16"/>
              </w:rPr>
              <w:t>United States – Measures Concerning the Importation, Marketing and Sale of Tuna and Tuna Products – Recourse to Article 21.5 of the DSU by Mexico</w:t>
            </w:r>
            <w:r w:rsidRPr="00BE61E0">
              <w:rPr>
                <w:color w:val="000000"/>
                <w:sz w:val="16"/>
                <w:szCs w:val="16"/>
              </w:rPr>
              <w:t xml:space="preserve">, </w:t>
            </w:r>
            <w:r w:rsidRPr="00BE61E0">
              <w:rPr>
                <w:sz w:val="16"/>
                <w:szCs w:val="16"/>
              </w:rPr>
              <w:t>WT/DS381/RW</w:t>
            </w:r>
            <w:r w:rsidR="00656374" w:rsidRPr="00BE61E0">
              <w:rPr>
                <w:color w:val="000000"/>
                <w:sz w:val="16"/>
                <w:szCs w:val="16"/>
              </w:rPr>
              <w:t>, Add.1 and Corr.1</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GATT</w:t>
            </w:r>
            <w:r w:rsidR="00832630" w:rsidRPr="00BE61E0">
              <w:rPr>
                <w:sz w:val="16"/>
                <w:szCs w:val="16"/>
              </w:rPr>
              <w:t> 1994</w:t>
            </w:r>
          </w:p>
        </w:tc>
        <w:tc>
          <w:tcPr>
            <w:tcW w:w="6621" w:type="dxa"/>
            <w:vAlign w:val="center"/>
          </w:tcPr>
          <w:p w:rsidR="008F5A85" w:rsidRPr="00BE61E0" w:rsidRDefault="008F5A85" w:rsidP="00BE61E0">
            <w:pPr>
              <w:keepLines/>
              <w:tabs>
                <w:tab w:val="left" w:pos="2268"/>
                <w:tab w:val="left" w:pos="4536"/>
              </w:tabs>
              <w:spacing w:before="60" w:after="60"/>
              <w:jc w:val="left"/>
              <w:rPr>
                <w:sz w:val="16"/>
                <w:szCs w:val="16"/>
              </w:rPr>
            </w:pPr>
            <w:r w:rsidRPr="00BE61E0">
              <w:rPr>
                <w:sz w:val="16"/>
                <w:szCs w:val="16"/>
              </w:rPr>
              <w:t>General Agreement on Tariffs and Trade 1994</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i/>
                <w:sz w:val="16"/>
                <w:szCs w:val="16"/>
              </w:rPr>
              <w:t>Hogarth</w:t>
            </w:r>
            <w:r w:rsidRPr="00BE61E0">
              <w:rPr>
                <w:sz w:val="16"/>
                <w:szCs w:val="16"/>
              </w:rPr>
              <w:t xml:space="preserve"> ruling</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United</w:t>
            </w:r>
            <w:r w:rsidR="00832630" w:rsidRPr="00BE61E0">
              <w:rPr>
                <w:sz w:val="16"/>
                <w:szCs w:val="16"/>
              </w:rPr>
              <w:t> States</w:t>
            </w:r>
            <w:r w:rsidRPr="00BE61E0">
              <w:rPr>
                <w:sz w:val="16"/>
                <w:szCs w:val="16"/>
              </w:rPr>
              <w:t xml:space="preserve"> Court of Appeals for the Ninth Circuit, </w:t>
            </w:r>
            <w:r w:rsidRPr="00BE61E0">
              <w:rPr>
                <w:i/>
                <w:sz w:val="16"/>
                <w:szCs w:val="16"/>
              </w:rPr>
              <w:t>Earth Island Institute v. Hogarth</w:t>
            </w:r>
            <w:r w:rsidRPr="00BE61E0">
              <w:rPr>
                <w:sz w:val="16"/>
                <w:szCs w:val="16"/>
              </w:rPr>
              <w:t>, 494 F.3d 757 (9th Cir. 2007)</w:t>
            </w:r>
            <w:r w:rsidR="00EE3014" w:rsidRPr="00BE61E0">
              <w:rPr>
                <w:sz w:val="16"/>
                <w:szCs w:val="16"/>
              </w:rPr>
              <w:t>; United</w:t>
            </w:r>
            <w:r w:rsidR="00832630" w:rsidRPr="00BE61E0">
              <w:rPr>
                <w:sz w:val="16"/>
                <w:szCs w:val="16"/>
              </w:rPr>
              <w:t> States</w:t>
            </w:r>
            <w:r w:rsidR="00EE3014" w:rsidRPr="00BE61E0">
              <w:rPr>
                <w:sz w:val="16"/>
                <w:szCs w:val="16"/>
              </w:rPr>
              <w:t xml:space="preserve"> Court of Appeals for the Ninth Circuit, </w:t>
            </w:r>
            <w:r w:rsidR="00EE3014" w:rsidRPr="00BE61E0">
              <w:rPr>
                <w:i/>
                <w:sz w:val="16"/>
                <w:szCs w:val="16"/>
              </w:rPr>
              <w:t>Earth Island Institute v. Hogarth</w:t>
            </w:r>
            <w:r w:rsidR="00EE3014" w:rsidRPr="00BE61E0">
              <w:rPr>
                <w:sz w:val="16"/>
                <w:szCs w:val="16"/>
              </w:rPr>
              <w:t>, 494 F.3d 1123 (9th Cir. 2007)</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IATTC</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Inter-American Tropical Tuna Commission</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IDCP</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rFonts w:cs="Arial"/>
                <w:sz w:val="16"/>
                <w:szCs w:val="16"/>
              </w:rPr>
              <w:t>International Dolphin Conservation Program</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IDCPA</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International Dolphin Conservation Program Act</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ISSF</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International Seafood Sustainability Foundation</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IUU</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illegal, unreported</w:t>
            </w:r>
            <w:r w:rsidR="003807C7" w:rsidRPr="00BE61E0">
              <w:rPr>
                <w:sz w:val="16"/>
                <w:szCs w:val="16"/>
              </w:rPr>
              <w:t>,</w:t>
            </w:r>
            <w:r w:rsidRPr="00BE61E0">
              <w:rPr>
                <w:sz w:val="16"/>
                <w:szCs w:val="16"/>
              </w:rPr>
              <w:t xml:space="preserve"> and unregulated</w:t>
            </w:r>
          </w:p>
        </w:tc>
      </w:tr>
      <w:tr w:rsidR="00A91164"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A91164" w:rsidRPr="00BE61E0" w:rsidRDefault="00A24B96" w:rsidP="008F5A85">
            <w:pPr>
              <w:keepLines/>
              <w:tabs>
                <w:tab w:val="left" w:pos="2268"/>
                <w:tab w:val="left" w:pos="4536"/>
              </w:tabs>
              <w:spacing w:before="60" w:after="60"/>
              <w:jc w:val="left"/>
              <w:rPr>
                <w:sz w:val="16"/>
                <w:szCs w:val="16"/>
              </w:rPr>
            </w:pPr>
            <w:r w:rsidRPr="00BE61E0">
              <w:rPr>
                <w:sz w:val="16"/>
                <w:szCs w:val="16"/>
              </w:rPr>
              <w:t>Mexico's panel r</w:t>
            </w:r>
            <w:r w:rsidR="00A91164" w:rsidRPr="00BE61E0">
              <w:rPr>
                <w:sz w:val="16"/>
                <w:szCs w:val="16"/>
              </w:rPr>
              <w:t>equest</w:t>
            </w:r>
          </w:p>
        </w:tc>
        <w:tc>
          <w:tcPr>
            <w:tcW w:w="6621" w:type="dxa"/>
            <w:vAlign w:val="center"/>
          </w:tcPr>
          <w:p w:rsidR="00A91164" w:rsidRPr="00BE61E0" w:rsidRDefault="00C97CB0" w:rsidP="00A94CE5">
            <w:pPr>
              <w:keepLines/>
              <w:tabs>
                <w:tab w:val="left" w:pos="2268"/>
                <w:tab w:val="left" w:pos="4536"/>
              </w:tabs>
              <w:spacing w:before="60" w:after="60"/>
              <w:jc w:val="left"/>
              <w:rPr>
                <w:sz w:val="16"/>
                <w:szCs w:val="16"/>
              </w:rPr>
            </w:pPr>
            <w:r w:rsidRPr="00BE61E0">
              <w:rPr>
                <w:sz w:val="16"/>
                <w:szCs w:val="16"/>
              </w:rPr>
              <w:t>Request for the Establishment of a Panel by Mexico</w:t>
            </w:r>
            <w:r w:rsidR="00794967" w:rsidRPr="00BE61E0">
              <w:rPr>
                <w:sz w:val="16"/>
                <w:szCs w:val="16"/>
              </w:rPr>
              <w:t xml:space="preserve"> pursuant to Article 21.5 of the DSU</w:t>
            </w:r>
            <w:r w:rsidRPr="00BE61E0">
              <w:rPr>
                <w:sz w:val="16"/>
                <w:szCs w:val="16"/>
              </w:rPr>
              <w:t>, WT/DS381/</w:t>
            </w:r>
            <w:r w:rsidR="00C52A1A" w:rsidRPr="00BE61E0">
              <w:rPr>
                <w:sz w:val="16"/>
                <w:szCs w:val="16"/>
              </w:rPr>
              <w:t>38</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NMFS</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National Marine Fisheries Service</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NOAA</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National Oceanic and Atmospheric Administration</w:t>
            </w:r>
          </w:p>
        </w:tc>
      </w:tr>
      <w:tr w:rsidR="00A91164" w:rsidRPr="00BE61E0" w:rsidTr="00A94CE5">
        <w:trPr>
          <w:cantSplit/>
        </w:trPr>
        <w:tc>
          <w:tcPr>
            <w:tcW w:w="2600" w:type="dxa"/>
          </w:tcPr>
          <w:p w:rsidR="00A91164" w:rsidRPr="00BE61E0" w:rsidRDefault="00A91164" w:rsidP="008F5A85">
            <w:pPr>
              <w:keepLines/>
              <w:tabs>
                <w:tab w:val="left" w:pos="2268"/>
                <w:tab w:val="left" w:pos="4536"/>
              </w:tabs>
              <w:spacing w:before="60" w:after="60"/>
              <w:jc w:val="left"/>
              <w:rPr>
                <w:sz w:val="16"/>
                <w:szCs w:val="16"/>
              </w:rPr>
            </w:pPr>
            <w:r w:rsidRPr="00BE61E0">
              <w:rPr>
                <w:sz w:val="16"/>
                <w:szCs w:val="16"/>
              </w:rPr>
              <w:t>Original Panel Report</w:t>
            </w:r>
          </w:p>
        </w:tc>
        <w:tc>
          <w:tcPr>
            <w:tcW w:w="6621" w:type="dxa"/>
            <w:vAlign w:val="center"/>
          </w:tcPr>
          <w:p w:rsidR="00A91164" w:rsidRPr="00BE61E0" w:rsidRDefault="00A94CE5" w:rsidP="00A94CE5">
            <w:pPr>
              <w:keepLines/>
              <w:tabs>
                <w:tab w:val="left" w:pos="2268"/>
                <w:tab w:val="left" w:pos="4536"/>
              </w:tabs>
              <w:spacing w:before="60" w:after="60"/>
              <w:jc w:val="left"/>
              <w:rPr>
                <w:sz w:val="16"/>
                <w:szCs w:val="16"/>
              </w:rPr>
            </w:pPr>
            <w:r w:rsidRPr="00BE61E0">
              <w:rPr>
                <w:color w:val="000000"/>
                <w:sz w:val="16"/>
                <w:szCs w:val="16"/>
              </w:rPr>
              <w:t xml:space="preserve">Panel Report, </w:t>
            </w:r>
            <w:r w:rsidRPr="00BE61E0">
              <w:rPr>
                <w:i/>
                <w:color w:val="000000"/>
                <w:sz w:val="16"/>
                <w:szCs w:val="16"/>
              </w:rPr>
              <w:t>United States – Measures Concerning the Importation, Marketing and Sale of Tuna and Tuna Products</w:t>
            </w:r>
            <w:r w:rsidRPr="00BE61E0">
              <w:rPr>
                <w:color w:val="000000"/>
                <w:sz w:val="16"/>
                <w:szCs w:val="16"/>
              </w:rPr>
              <w:t xml:space="preserve">, </w:t>
            </w:r>
            <w:r w:rsidRPr="00BE61E0">
              <w:rPr>
                <w:sz w:val="16"/>
                <w:szCs w:val="16"/>
              </w:rPr>
              <w:t>WT/DS381/R</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lastRenderedPageBreak/>
              <w:t>Original Tuna Measure</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 xml:space="preserve">DPCIA; </w:t>
            </w:r>
            <w:r w:rsidRPr="00BE61E0">
              <w:rPr>
                <w:i/>
                <w:sz w:val="16"/>
                <w:szCs w:val="16"/>
              </w:rPr>
              <w:t>United</w:t>
            </w:r>
            <w:r w:rsidR="00832630" w:rsidRPr="00BE61E0">
              <w:rPr>
                <w:i/>
                <w:sz w:val="16"/>
                <w:szCs w:val="16"/>
              </w:rPr>
              <w:t> States</w:t>
            </w:r>
            <w:r w:rsidRPr="00BE61E0">
              <w:rPr>
                <w:sz w:val="16"/>
                <w:szCs w:val="16"/>
              </w:rPr>
              <w:t xml:space="preserve"> </w:t>
            </w:r>
            <w:r w:rsidRPr="00BE61E0">
              <w:rPr>
                <w:i/>
                <w:sz w:val="16"/>
                <w:szCs w:val="16"/>
              </w:rPr>
              <w:t>Code of Federal Regulations</w:t>
            </w:r>
            <w:r w:rsidR="00230919" w:rsidRPr="00BE61E0">
              <w:rPr>
                <w:sz w:val="16"/>
                <w:szCs w:val="16"/>
              </w:rPr>
              <w:t xml:space="preserve">, </w:t>
            </w:r>
            <w:r w:rsidRPr="00BE61E0">
              <w:rPr>
                <w:sz w:val="16"/>
                <w:szCs w:val="16"/>
              </w:rPr>
              <w:t>Title 50</w:t>
            </w:r>
            <w:r w:rsidR="00FD4BF2" w:rsidRPr="00BE61E0">
              <w:rPr>
                <w:sz w:val="16"/>
                <w:szCs w:val="16"/>
              </w:rPr>
              <w:t>, Sections </w:t>
            </w:r>
            <w:r w:rsidR="00EE3014" w:rsidRPr="00BE61E0">
              <w:rPr>
                <w:sz w:val="16"/>
                <w:szCs w:val="16"/>
              </w:rPr>
              <w:t>216.91 and 216.92</w:t>
            </w:r>
            <w:r w:rsidRPr="00BE61E0">
              <w:rPr>
                <w:sz w:val="16"/>
                <w:szCs w:val="16"/>
              </w:rPr>
              <w:t xml:space="preserve"> (Dolphin Safe Tuna </w:t>
            </w:r>
            <w:proofErr w:type="spellStart"/>
            <w:r w:rsidRPr="00BE61E0">
              <w:rPr>
                <w:sz w:val="16"/>
                <w:szCs w:val="16"/>
              </w:rPr>
              <w:t>Labeling</w:t>
            </w:r>
            <w:proofErr w:type="spellEnd"/>
            <w:r w:rsidRPr="00BE61E0">
              <w:rPr>
                <w:sz w:val="16"/>
                <w:szCs w:val="16"/>
              </w:rPr>
              <w:t xml:space="preserve">), as of 13 September 2004; and the </w:t>
            </w:r>
            <w:r w:rsidRPr="00BE61E0">
              <w:rPr>
                <w:i/>
                <w:sz w:val="16"/>
                <w:szCs w:val="16"/>
              </w:rPr>
              <w:t>Hogarth</w:t>
            </w:r>
            <w:r w:rsidRPr="00BE61E0">
              <w:rPr>
                <w:sz w:val="16"/>
                <w:szCs w:val="16"/>
              </w:rPr>
              <w:t xml:space="preserve"> ruling</w:t>
            </w:r>
          </w:p>
        </w:tc>
      </w:tr>
      <w:tr w:rsidR="00A91164" w:rsidRPr="00BE61E0" w:rsidTr="00A94CE5">
        <w:trPr>
          <w:cantSplit/>
        </w:trPr>
        <w:tc>
          <w:tcPr>
            <w:tcW w:w="2600" w:type="dxa"/>
          </w:tcPr>
          <w:p w:rsidR="00A91164" w:rsidRPr="00BE61E0" w:rsidRDefault="00A91164" w:rsidP="008F5A85">
            <w:pPr>
              <w:keepLines/>
              <w:tabs>
                <w:tab w:val="left" w:pos="2268"/>
                <w:tab w:val="left" w:pos="4536"/>
              </w:tabs>
              <w:spacing w:before="60" w:after="60"/>
              <w:jc w:val="left"/>
              <w:rPr>
                <w:sz w:val="16"/>
                <w:szCs w:val="16"/>
              </w:rPr>
            </w:pPr>
            <w:r w:rsidRPr="00BE61E0">
              <w:rPr>
                <w:sz w:val="16"/>
                <w:szCs w:val="16"/>
              </w:rPr>
              <w:t>Panel Reports</w:t>
            </w:r>
          </w:p>
        </w:tc>
        <w:tc>
          <w:tcPr>
            <w:tcW w:w="6621" w:type="dxa"/>
            <w:vAlign w:val="center"/>
          </w:tcPr>
          <w:p w:rsidR="00A91164" w:rsidRPr="00BE61E0" w:rsidRDefault="00A94CE5" w:rsidP="00A94CE5">
            <w:pPr>
              <w:keepLines/>
              <w:tabs>
                <w:tab w:val="left" w:pos="2268"/>
                <w:tab w:val="left" w:pos="4536"/>
              </w:tabs>
              <w:spacing w:before="60" w:after="60"/>
              <w:jc w:val="left"/>
              <w:rPr>
                <w:sz w:val="16"/>
                <w:szCs w:val="16"/>
              </w:rPr>
            </w:pPr>
            <w:r w:rsidRPr="00BE61E0">
              <w:rPr>
                <w:color w:val="000000"/>
                <w:sz w:val="16"/>
                <w:szCs w:val="16"/>
              </w:rPr>
              <w:t xml:space="preserve">Panel Reports, </w:t>
            </w:r>
            <w:r w:rsidRPr="00BE61E0">
              <w:rPr>
                <w:i/>
                <w:color w:val="000000"/>
                <w:sz w:val="16"/>
                <w:szCs w:val="16"/>
              </w:rPr>
              <w:t>United States – Measures Concerning the Importation, Marketing and Sale of Tuna and Tuna Products – Recourse to Article 21.5 of the DSU by the United States</w:t>
            </w:r>
            <w:r w:rsidRPr="00BE61E0">
              <w:rPr>
                <w:color w:val="000000"/>
                <w:sz w:val="16"/>
                <w:szCs w:val="16"/>
              </w:rPr>
              <w:t xml:space="preserve">, </w:t>
            </w:r>
            <w:r w:rsidRPr="00BE61E0">
              <w:rPr>
                <w:sz w:val="16"/>
                <w:szCs w:val="16"/>
              </w:rPr>
              <w:t>WT/DS381/RW/USA</w:t>
            </w:r>
            <w:r w:rsidRPr="00BE61E0">
              <w:rPr>
                <w:color w:val="000000"/>
                <w:sz w:val="16"/>
                <w:szCs w:val="16"/>
              </w:rPr>
              <w:t xml:space="preserve"> and Add.1 / </w:t>
            </w:r>
            <w:r w:rsidRPr="00BE61E0">
              <w:rPr>
                <w:i/>
                <w:color w:val="000000"/>
                <w:sz w:val="16"/>
                <w:szCs w:val="16"/>
              </w:rPr>
              <w:t>United States – Measures Concerning the Importation, Marketing and Sale of Tuna and Tuna Products – Second Recourse to Article 21.5 of the DSU by Mexico</w:t>
            </w:r>
            <w:r w:rsidRPr="00BE61E0">
              <w:rPr>
                <w:color w:val="000000"/>
                <w:sz w:val="16"/>
                <w:szCs w:val="16"/>
              </w:rPr>
              <w:t xml:space="preserve">, </w:t>
            </w:r>
            <w:r w:rsidRPr="00BE61E0">
              <w:rPr>
                <w:sz w:val="16"/>
                <w:szCs w:val="16"/>
              </w:rPr>
              <w:t>WT/DS381/RW2</w:t>
            </w:r>
            <w:r w:rsidRPr="00BE61E0">
              <w:rPr>
                <w:color w:val="000000"/>
                <w:sz w:val="16"/>
                <w:szCs w:val="16"/>
              </w:rPr>
              <w:t xml:space="preserve"> and Add.1</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PBR</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Potential Biological Removal</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RFMO</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Regional Fishery Management Organization</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TBT</w:t>
            </w:r>
            <w:r w:rsidR="00832630" w:rsidRPr="00BE61E0">
              <w:rPr>
                <w:sz w:val="16"/>
                <w:szCs w:val="16"/>
              </w:rPr>
              <w:t> Agreement</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Agreement on Technical Barriers to Trade</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TTF</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Tuna Tracking Form</w:t>
            </w:r>
          </w:p>
        </w:tc>
      </w:tr>
      <w:tr w:rsidR="00A91164"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A91164" w:rsidRPr="00BE61E0" w:rsidRDefault="00A91164" w:rsidP="008F5A85">
            <w:pPr>
              <w:keepLines/>
              <w:tabs>
                <w:tab w:val="left" w:pos="2268"/>
                <w:tab w:val="left" w:pos="4536"/>
              </w:tabs>
              <w:spacing w:before="60" w:after="60"/>
              <w:jc w:val="left"/>
              <w:rPr>
                <w:sz w:val="16"/>
                <w:szCs w:val="16"/>
              </w:rPr>
            </w:pPr>
            <w:r w:rsidRPr="00BE61E0">
              <w:rPr>
                <w:sz w:val="16"/>
                <w:szCs w:val="16"/>
              </w:rPr>
              <w:t xml:space="preserve">United States' </w:t>
            </w:r>
            <w:r w:rsidR="00384BDA" w:rsidRPr="00BE61E0">
              <w:rPr>
                <w:sz w:val="16"/>
                <w:szCs w:val="16"/>
              </w:rPr>
              <w:t>panel r</w:t>
            </w:r>
            <w:r w:rsidR="00AE1EDF" w:rsidRPr="00BE61E0">
              <w:rPr>
                <w:sz w:val="16"/>
                <w:szCs w:val="16"/>
              </w:rPr>
              <w:t>equest</w:t>
            </w:r>
          </w:p>
        </w:tc>
        <w:tc>
          <w:tcPr>
            <w:tcW w:w="6621" w:type="dxa"/>
            <w:vAlign w:val="center"/>
          </w:tcPr>
          <w:p w:rsidR="00A91164" w:rsidRPr="00BE61E0" w:rsidRDefault="00C97CB0" w:rsidP="00A94CE5">
            <w:pPr>
              <w:keepLines/>
              <w:tabs>
                <w:tab w:val="left" w:pos="2268"/>
                <w:tab w:val="left" w:pos="4536"/>
              </w:tabs>
              <w:spacing w:before="60" w:after="60"/>
              <w:jc w:val="left"/>
              <w:rPr>
                <w:sz w:val="16"/>
                <w:szCs w:val="16"/>
              </w:rPr>
            </w:pPr>
            <w:r w:rsidRPr="00BE61E0">
              <w:rPr>
                <w:sz w:val="16"/>
                <w:szCs w:val="16"/>
              </w:rPr>
              <w:t>Request for the Establishment of a Panel by the United States</w:t>
            </w:r>
            <w:r w:rsidR="00794967" w:rsidRPr="00BE61E0">
              <w:rPr>
                <w:sz w:val="16"/>
                <w:szCs w:val="16"/>
              </w:rPr>
              <w:t xml:space="preserve"> pursuant to Article 21.5 of the DSU</w:t>
            </w:r>
            <w:r w:rsidRPr="00BE61E0">
              <w:rPr>
                <w:sz w:val="16"/>
                <w:szCs w:val="16"/>
              </w:rPr>
              <w:t>, WT/DS381/</w:t>
            </w:r>
            <w:r w:rsidR="00C52A1A" w:rsidRPr="00BE61E0">
              <w:rPr>
                <w:sz w:val="16"/>
                <w:szCs w:val="16"/>
              </w:rPr>
              <w:t>32</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USDOC</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United</w:t>
            </w:r>
            <w:r w:rsidR="00832630" w:rsidRPr="00BE61E0">
              <w:rPr>
                <w:sz w:val="16"/>
                <w:szCs w:val="16"/>
              </w:rPr>
              <w:t> States</w:t>
            </w:r>
            <w:r w:rsidRPr="00BE61E0">
              <w:rPr>
                <w:sz w:val="16"/>
                <w:szCs w:val="16"/>
              </w:rPr>
              <w:t xml:space="preserve"> Department of Commerce</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WCPO</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Western and Central Pacific Ocean</w:t>
            </w:r>
          </w:p>
        </w:tc>
      </w:tr>
      <w:tr w:rsidR="00A616F3" w:rsidRPr="00BE61E0" w:rsidTr="00A94CE5">
        <w:trPr>
          <w:cantSplit/>
        </w:trPr>
        <w:tc>
          <w:tcPr>
            <w:tcW w:w="2600" w:type="dxa"/>
          </w:tcPr>
          <w:p w:rsidR="00A616F3" w:rsidRPr="00BE61E0" w:rsidRDefault="00A616F3" w:rsidP="008F5A85">
            <w:pPr>
              <w:keepLines/>
              <w:tabs>
                <w:tab w:val="left" w:pos="2268"/>
                <w:tab w:val="left" w:pos="4536"/>
              </w:tabs>
              <w:spacing w:before="60" w:after="60"/>
              <w:jc w:val="left"/>
              <w:rPr>
                <w:sz w:val="16"/>
                <w:szCs w:val="16"/>
              </w:rPr>
            </w:pPr>
            <w:r w:rsidRPr="00BE61E0">
              <w:rPr>
                <w:sz w:val="16"/>
                <w:szCs w:val="16"/>
              </w:rPr>
              <w:t>Working Procedures</w:t>
            </w:r>
          </w:p>
        </w:tc>
        <w:tc>
          <w:tcPr>
            <w:tcW w:w="6621" w:type="dxa"/>
            <w:vAlign w:val="center"/>
          </w:tcPr>
          <w:p w:rsidR="00A616F3" w:rsidRPr="00BE61E0" w:rsidRDefault="00A616F3" w:rsidP="00A94CE5">
            <w:pPr>
              <w:keepLines/>
              <w:tabs>
                <w:tab w:val="left" w:pos="2268"/>
                <w:tab w:val="left" w:pos="4536"/>
              </w:tabs>
              <w:spacing w:before="60" w:after="60"/>
              <w:jc w:val="left"/>
              <w:rPr>
                <w:sz w:val="16"/>
                <w:szCs w:val="16"/>
              </w:rPr>
            </w:pPr>
            <w:r w:rsidRPr="00BE61E0">
              <w:rPr>
                <w:sz w:val="16"/>
                <w:szCs w:val="16"/>
              </w:rPr>
              <w:t>Working Procedures for Appellate Review, WT/AB/WP/6, 16 August 2010</w:t>
            </w:r>
          </w:p>
        </w:tc>
      </w:tr>
      <w:tr w:rsidR="008F5A85" w:rsidRPr="00BE61E0" w:rsidTr="00A94CE5">
        <w:trPr>
          <w:cnfStyle w:val="000000010000" w:firstRow="0" w:lastRow="0" w:firstColumn="0" w:lastColumn="0" w:oddVBand="0" w:evenVBand="0" w:oddHBand="0" w:evenHBand="1" w:firstRowFirstColumn="0" w:firstRowLastColumn="0" w:lastRowFirstColumn="0" w:lastRowLastColumn="0"/>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WTO</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World Trade Organization</w:t>
            </w:r>
          </w:p>
        </w:tc>
      </w:tr>
      <w:tr w:rsidR="008F5A85" w:rsidRPr="00BE61E0" w:rsidTr="00A94CE5">
        <w:trPr>
          <w:cantSplit/>
        </w:trPr>
        <w:tc>
          <w:tcPr>
            <w:tcW w:w="2600" w:type="dxa"/>
          </w:tcPr>
          <w:p w:rsidR="008F5A85" w:rsidRPr="00BE61E0" w:rsidRDefault="008F5A85" w:rsidP="008F5A85">
            <w:pPr>
              <w:keepLines/>
              <w:tabs>
                <w:tab w:val="left" w:pos="2268"/>
                <w:tab w:val="left" w:pos="4536"/>
              </w:tabs>
              <w:spacing w:before="60" w:after="60"/>
              <w:jc w:val="left"/>
              <w:rPr>
                <w:sz w:val="16"/>
                <w:szCs w:val="16"/>
              </w:rPr>
            </w:pPr>
            <w:r w:rsidRPr="00BE61E0">
              <w:rPr>
                <w:sz w:val="16"/>
                <w:szCs w:val="16"/>
              </w:rPr>
              <w:t>WTO</w:t>
            </w:r>
            <w:r w:rsidR="00832630" w:rsidRPr="00BE61E0">
              <w:rPr>
                <w:sz w:val="16"/>
                <w:szCs w:val="16"/>
              </w:rPr>
              <w:t> Agreement</w:t>
            </w:r>
          </w:p>
        </w:tc>
        <w:tc>
          <w:tcPr>
            <w:tcW w:w="6621" w:type="dxa"/>
            <w:vAlign w:val="center"/>
          </w:tcPr>
          <w:p w:rsidR="008F5A85" w:rsidRPr="00BE61E0" w:rsidRDefault="008F5A85" w:rsidP="00A94CE5">
            <w:pPr>
              <w:keepLines/>
              <w:tabs>
                <w:tab w:val="left" w:pos="2268"/>
                <w:tab w:val="left" w:pos="4536"/>
              </w:tabs>
              <w:spacing w:before="60" w:after="60"/>
              <w:jc w:val="left"/>
              <w:rPr>
                <w:sz w:val="16"/>
                <w:szCs w:val="16"/>
              </w:rPr>
            </w:pPr>
            <w:r w:rsidRPr="00BE61E0">
              <w:rPr>
                <w:sz w:val="16"/>
                <w:szCs w:val="16"/>
              </w:rPr>
              <w:t>Marrakesh Agreement Establishing the World Trade Organization</w:t>
            </w:r>
          </w:p>
        </w:tc>
      </w:tr>
    </w:tbl>
    <w:bookmarkEnd w:id="2"/>
    <w:p w:rsidR="00BB7DD3" w:rsidRPr="00F7665C" w:rsidRDefault="00BB7DD3" w:rsidP="00BB7DD3">
      <w:pPr>
        <w:pStyle w:val="Title"/>
      </w:pPr>
      <w:r w:rsidRPr="00F7665C">
        <w:t>PANEL EXHIBITS CITED IN THIS REPORT</w:t>
      </w:r>
    </w:p>
    <w:tbl>
      <w:tblPr>
        <w:tblStyle w:val="WTOTable1"/>
        <w:tblW w:w="9180" w:type="dxa"/>
        <w:tblLayout w:type="fixed"/>
        <w:tblLook w:val="0060" w:firstRow="1" w:lastRow="1" w:firstColumn="0" w:lastColumn="0" w:noHBand="0" w:noVBand="0"/>
      </w:tblPr>
      <w:tblGrid>
        <w:gridCol w:w="2405"/>
        <w:gridCol w:w="1701"/>
        <w:gridCol w:w="5074"/>
      </w:tblGrid>
      <w:tr w:rsidR="003105F8" w:rsidRPr="00BE61E0" w:rsidTr="00993C64">
        <w:trPr>
          <w:cnfStyle w:val="100000000000" w:firstRow="1" w:lastRow="0" w:firstColumn="0" w:lastColumn="0" w:oddVBand="0" w:evenVBand="0" w:oddHBand="0" w:evenHBand="0" w:firstRowFirstColumn="0" w:firstRowLastColumn="0" w:lastRowFirstColumn="0" w:lastRowLastColumn="0"/>
          <w:cantSplit/>
          <w:tblHeader/>
        </w:trPr>
        <w:tc>
          <w:tcPr>
            <w:tcW w:w="2405" w:type="dxa"/>
            <w:vAlign w:val="center"/>
          </w:tcPr>
          <w:p w:rsidR="003105F8" w:rsidRPr="00BE61E0" w:rsidRDefault="003105F8" w:rsidP="00993C64">
            <w:pPr>
              <w:keepLines/>
              <w:tabs>
                <w:tab w:val="left" w:pos="2268"/>
                <w:tab w:val="left" w:pos="4536"/>
              </w:tabs>
              <w:spacing w:before="60" w:after="60"/>
              <w:jc w:val="center"/>
              <w:rPr>
                <w:sz w:val="16"/>
                <w:szCs w:val="16"/>
              </w:rPr>
            </w:pPr>
            <w:bookmarkStart w:id="3" w:name="_Hlk530061535"/>
            <w:r w:rsidRPr="00BE61E0">
              <w:rPr>
                <w:sz w:val="16"/>
                <w:szCs w:val="16"/>
              </w:rPr>
              <w:t>Exhibit Number</w:t>
            </w:r>
          </w:p>
        </w:tc>
        <w:tc>
          <w:tcPr>
            <w:tcW w:w="1701" w:type="dxa"/>
            <w:vAlign w:val="center"/>
          </w:tcPr>
          <w:p w:rsidR="003105F8" w:rsidRPr="00BE61E0" w:rsidRDefault="003105F8" w:rsidP="00993C64">
            <w:pPr>
              <w:keepLines/>
              <w:tabs>
                <w:tab w:val="left" w:pos="2268"/>
                <w:tab w:val="left" w:pos="4536"/>
              </w:tabs>
              <w:spacing w:before="60" w:after="60"/>
              <w:jc w:val="center"/>
              <w:rPr>
                <w:sz w:val="16"/>
                <w:szCs w:val="16"/>
              </w:rPr>
            </w:pPr>
            <w:r w:rsidRPr="00BE61E0">
              <w:rPr>
                <w:sz w:val="16"/>
                <w:szCs w:val="16"/>
              </w:rPr>
              <w:t xml:space="preserve">Short Title </w:t>
            </w:r>
            <w:r w:rsidRPr="00BE61E0">
              <w:rPr>
                <w:sz w:val="16"/>
                <w:szCs w:val="16"/>
              </w:rPr>
              <w:br/>
              <w:t>(if applicable)</w:t>
            </w:r>
          </w:p>
        </w:tc>
        <w:tc>
          <w:tcPr>
            <w:tcW w:w="5074" w:type="dxa"/>
            <w:vAlign w:val="center"/>
          </w:tcPr>
          <w:p w:rsidR="003105F8" w:rsidRPr="00BE61E0" w:rsidRDefault="003105F8" w:rsidP="00993C64">
            <w:pPr>
              <w:keepLines/>
              <w:tabs>
                <w:tab w:val="left" w:pos="2268"/>
                <w:tab w:val="left" w:pos="4536"/>
              </w:tabs>
              <w:spacing w:before="60" w:after="60"/>
              <w:jc w:val="center"/>
              <w:rPr>
                <w:sz w:val="16"/>
                <w:szCs w:val="16"/>
              </w:rPr>
            </w:pPr>
            <w:r w:rsidRPr="00BE61E0">
              <w:rPr>
                <w:sz w:val="16"/>
                <w:szCs w:val="16"/>
              </w:rPr>
              <w:t>Description</w:t>
            </w:r>
          </w:p>
        </w:tc>
      </w:tr>
      <w:tr w:rsidR="003105F8" w:rsidRPr="00BE61E0" w:rsidTr="00DC1704">
        <w:trPr>
          <w:cantSplit/>
        </w:trPr>
        <w:tc>
          <w:tcPr>
            <w:tcW w:w="9180" w:type="dxa"/>
            <w:gridSpan w:val="3"/>
          </w:tcPr>
          <w:p w:rsidR="003105F8" w:rsidRPr="00BE61E0" w:rsidRDefault="003105F8" w:rsidP="00DC1704">
            <w:pPr>
              <w:spacing w:before="60" w:after="60"/>
              <w:jc w:val="center"/>
              <w:rPr>
                <w:b/>
                <w:sz w:val="16"/>
                <w:szCs w:val="16"/>
                <w:u w:val="single"/>
              </w:rPr>
            </w:pPr>
            <w:r w:rsidRPr="00BE61E0">
              <w:rPr>
                <w:b/>
                <w:sz w:val="16"/>
                <w:szCs w:val="16"/>
                <w:u w:val="single"/>
              </w:rPr>
              <w:t>Original Panel Record</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Original Panel Exhibit MEX</w:t>
            </w:r>
            <w:r w:rsidRPr="00BE61E0">
              <w:rPr>
                <w:sz w:val="16"/>
                <w:szCs w:val="16"/>
              </w:rPr>
              <w:noBreakHyphen/>
              <w:t>11</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AIDCP</w:t>
            </w:r>
          </w:p>
        </w:tc>
        <w:tc>
          <w:tcPr>
            <w:tcW w:w="5074" w:type="dxa"/>
          </w:tcPr>
          <w:p w:rsidR="003105F8" w:rsidRPr="00BE61E0" w:rsidRDefault="003105F8" w:rsidP="00DC1704">
            <w:pPr>
              <w:spacing w:before="60" w:after="60"/>
              <w:jc w:val="left"/>
              <w:rPr>
                <w:sz w:val="16"/>
                <w:szCs w:val="16"/>
              </w:rPr>
            </w:pPr>
            <w:r w:rsidRPr="00BE61E0">
              <w:rPr>
                <w:sz w:val="16"/>
                <w:szCs w:val="16"/>
              </w:rPr>
              <w:t>Agreement on the International Dolphin Conservation Progr</w:t>
            </w:r>
            <w:r w:rsidR="00C327AF" w:rsidRPr="00BE61E0">
              <w:rPr>
                <w:sz w:val="16"/>
                <w:szCs w:val="16"/>
              </w:rPr>
              <w:t>am (Annexes I, IV(I)(3)(c), and </w:t>
            </w:r>
            <w:proofErr w:type="gramStart"/>
            <w:r w:rsidRPr="00BE61E0">
              <w:rPr>
                <w:sz w:val="16"/>
                <w:szCs w:val="16"/>
              </w:rPr>
              <w:t>VII(</w:t>
            </w:r>
            <w:proofErr w:type="gramEnd"/>
            <w:r w:rsidRPr="00BE61E0">
              <w:rPr>
                <w:sz w:val="16"/>
                <w:szCs w:val="16"/>
              </w:rPr>
              <w:t>6))</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Original Panel Exhibit MEX</w:t>
            </w:r>
            <w:r w:rsidRPr="00BE61E0">
              <w:rPr>
                <w:sz w:val="16"/>
                <w:szCs w:val="16"/>
              </w:rPr>
              <w:noBreakHyphen/>
              <w:t>29</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spacing w:before="60" w:after="60"/>
              <w:jc w:val="left"/>
              <w:rPr>
                <w:sz w:val="16"/>
                <w:szCs w:val="16"/>
              </w:rPr>
            </w:pPr>
            <w:r w:rsidRPr="00BE61E0">
              <w:rPr>
                <w:sz w:val="16"/>
                <w:szCs w:val="16"/>
              </w:rPr>
              <w:t>United States District Court for the Northern District of California,</w:t>
            </w:r>
            <w:r w:rsidRPr="00BE61E0">
              <w:rPr>
                <w:i/>
                <w:sz w:val="16"/>
                <w:szCs w:val="16"/>
              </w:rPr>
              <w:t xml:space="preserve"> Earth Island Institute et al. v. Donald Evans et al.</w:t>
            </w:r>
            <w:r w:rsidRPr="00BE61E0">
              <w:rPr>
                <w:sz w:val="16"/>
                <w:szCs w:val="16"/>
              </w:rPr>
              <w:t>, 34 ELR 20069 (N.D. Cal. 2004)</w:t>
            </w:r>
          </w:p>
        </w:tc>
      </w:tr>
      <w:tr w:rsidR="00DD1BFE"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DD1BFE" w:rsidRPr="00BE61E0" w:rsidRDefault="00DD1BFE" w:rsidP="00DC1704">
            <w:pPr>
              <w:spacing w:before="60" w:after="60"/>
              <w:jc w:val="left"/>
              <w:rPr>
                <w:sz w:val="16"/>
                <w:szCs w:val="16"/>
              </w:rPr>
            </w:pPr>
            <w:r w:rsidRPr="00BE61E0">
              <w:rPr>
                <w:sz w:val="16"/>
                <w:szCs w:val="16"/>
              </w:rPr>
              <w:t>Original Panel Exhibit MEX</w:t>
            </w:r>
            <w:r w:rsidRPr="00BE61E0">
              <w:rPr>
                <w:sz w:val="16"/>
                <w:szCs w:val="16"/>
              </w:rPr>
              <w:noBreakHyphen/>
              <w:t>30</w:t>
            </w:r>
          </w:p>
        </w:tc>
        <w:tc>
          <w:tcPr>
            <w:tcW w:w="1701" w:type="dxa"/>
          </w:tcPr>
          <w:p w:rsidR="00DD1BFE" w:rsidRPr="00BE61E0" w:rsidRDefault="00DD1BFE" w:rsidP="00DC1704">
            <w:pPr>
              <w:keepLines/>
              <w:tabs>
                <w:tab w:val="left" w:pos="2268"/>
                <w:tab w:val="left" w:pos="4536"/>
              </w:tabs>
              <w:spacing w:before="60" w:after="60"/>
              <w:jc w:val="left"/>
              <w:rPr>
                <w:sz w:val="16"/>
                <w:szCs w:val="16"/>
                <w:highlight w:val="yellow"/>
              </w:rPr>
            </w:pPr>
          </w:p>
        </w:tc>
        <w:tc>
          <w:tcPr>
            <w:tcW w:w="5074" w:type="dxa"/>
          </w:tcPr>
          <w:p w:rsidR="00DD1BFE" w:rsidRPr="00BE61E0" w:rsidRDefault="00DD1BFE" w:rsidP="00DC1704">
            <w:pPr>
              <w:spacing w:before="60" w:after="60"/>
              <w:jc w:val="left"/>
              <w:rPr>
                <w:sz w:val="16"/>
                <w:szCs w:val="16"/>
              </w:rPr>
            </w:pPr>
            <w:r w:rsidRPr="00BE61E0">
              <w:rPr>
                <w:sz w:val="16"/>
                <w:szCs w:val="16"/>
              </w:rPr>
              <w:t xml:space="preserve">United States Court of Appeals for the Ninth Circuit, </w:t>
            </w:r>
            <w:r w:rsidRPr="00BE61E0">
              <w:rPr>
                <w:i/>
                <w:sz w:val="16"/>
                <w:szCs w:val="16"/>
              </w:rPr>
              <w:t>Earth Island Institute et al. v. William T. Hogarth</w:t>
            </w:r>
            <w:r w:rsidRPr="00BE61E0">
              <w:rPr>
                <w:sz w:val="16"/>
                <w:szCs w:val="16"/>
              </w:rPr>
              <w:t>, 484 F.3d 1123 (9th Cir. 2007)</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Original Panel Exhibit MEX</w:t>
            </w:r>
            <w:r w:rsidRPr="00BE61E0">
              <w:rPr>
                <w:sz w:val="16"/>
                <w:szCs w:val="16"/>
              </w:rPr>
              <w:noBreakHyphen/>
              <w:t>31</w:t>
            </w:r>
          </w:p>
        </w:tc>
        <w:tc>
          <w:tcPr>
            <w:tcW w:w="1701" w:type="dxa"/>
          </w:tcPr>
          <w:p w:rsidR="003105F8" w:rsidRPr="00BE61E0" w:rsidRDefault="003105F8" w:rsidP="00DC1704">
            <w:pPr>
              <w:keepLines/>
              <w:tabs>
                <w:tab w:val="left" w:pos="2268"/>
                <w:tab w:val="left" w:pos="4536"/>
              </w:tabs>
              <w:spacing w:before="60" w:after="60"/>
              <w:jc w:val="left"/>
              <w:rPr>
                <w:sz w:val="16"/>
                <w:szCs w:val="16"/>
                <w:highlight w:val="yellow"/>
              </w:rPr>
            </w:pPr>
          </w:p>
        </w:tc>
        <w:tc>
          <w:tcPr>
            <w:tcW w:w="5074" w:type="dxa"/>
          </w:tcPr>
          <w:p w:rsidR="003105F8" w:rsidRPr="00BE61E0" w:rsidRDefault="003105F8" w:rsidP="00DC1704">
            <w:pPr>
              <w:spacing w:before="60" w:after="60"/>
              <w:jc w:val="left"/>
              <w:rPr>
                <w:sz w:val="16"/>
                <w:szCs w:val="16"/>
              </w:rPr>
            </w:pPr>
            <w:r w:rsidRPr="00BE61E0">
              <w:rPr>
                <w:sz w:val="16"/>
                <w:szCs w:val="16"/>
              </w:rPr>
              <w:t xml:space="preserve">United States Court of Appeals for the Ninth Circuit, </w:t>
            </w:r>
            <w:r w:rsidRPr="00BE61E0">
              <w:rPr>
                <w:i/>
                <w:sz w:val="16"/>
                <w:szCs w:val="16"/>
              </w:rPr>
              <w:t>Earth Island Institute et al. v. William T. Hogarth</w:t>
            </w:r>
            <w:r w:rsidRPr="00BE61E0">
              <w:rPr>
                <w:sz w:val="16"/>
                <w:szCs w:val="16"/>
              </w:rPr>
              <w:t>, 494 F.3d 757 (9th Cir. 2007)</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i/>
                <w:sz w:val="16"/>
                <w:szCs w:val="16"/>
              </w:rPr>
            </w:pPr>
            <w:r w:rsidRPr="00BE61E0">
              <w:rPr>
                <w:sz w:val="16"/>
                <w:szCs w:val="16"/>
              </w:rPr>
              <w:t>Original Panel Exhibit MEX</w:t>
            </w:r>
            <w:r w:rsidRPr="00BE61E0">
              <w:rPr>
                <w:sz w:val="16"/>
                <w:szCs w:val="16"/>
              </w:rPr>
              <w:noBreakHyphen/>
              <w:t>55</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AIDCP, Resolution to Adopt the Modified System for Tracking and Verification of Tuna (20 June 2001) </w:t>
            </w:r>
          </w:p>
        </w:tc>
      </w:tr>
      <w:tr w:rsidR="003105F8" w:rsidRPr="00BE61E0" w:rsidTr="00DC1704">
        <w:trPr>
          <w:cantSplit/>
        </w:trPr>
        <w:tc>
          <w:tcPr>
            <w:tcW w:w="2405" w:type="dxa"/>
          </w:tcPr>
          <w:p w:rsidR="003105F8" w:rsidRPr="00BE61E0" w:rsidRDefault="003105F8" w:rsidP="00DC1704">
            <w:pPr>
              <w:spacing w:before="60" w:after="60"/>
              <w:jc w:val="left"/>
              <w:rPr>
                <w:i/>
                <w:sz w:val="16"/>
                <w:szCs w:val="16"/>
              </w:rPr>
            </w:pPr>
            <w:r w:rsidRPr="00BE61E0">
              <w:rPr>
                <w:sz w:val="16"/>
                <w:szCs w:val="16"/>
              </w:rPr>
              <w:t>Original Panel Exhibit US-5</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DPCIA</w:t>
            </w:r>
          </w:p>
        </w:tc>
        <w:tc>
          <w:tcPr>
            <w:tcW w:w="5074" w:type="dxa"/>
          </w:tcPr>
          <w:p w:rsidR="003105F8" w:rsidRPr="00BE61E0" w:rsidRDefault="003105F8" w:rsidP="00DC1704">
            <w:pPr>
              <w:spacing w:before="60" w:after="60"/>
              <w:jc w:val="left"/>
              <w:rPr>
                <w:sz w:val="16"/>
                <w:szCs w:val="16"/>
              </w:rPr>
            </w:pPr>
            <w:proofErr w:type="gramStart"/>
            <w:r w:rsidRPr="00BE61E0">
              <w:rPr>
                <w:sz w:val="16"/>
                <w:szCs w:val="16"/>
              </w:rPr>
              <w:t>Dolphin Protection Consumer Information Act of 1990,</w:t>
            </w:r>
            <w:proofErr w:type="gramEnd"/>
            <w:r w:rsidRPr="00BE61E0">
              <w:rPr>
                <w:sz w:val="16"/>
                <w:szCs w:val="16"/>
              </w:rPr>
              <w:t xml:space="preserve"> codified in </w:t>
            </w:r>
            <w:r w:rsidRPr="00BE61E0">
              <w:rPr>
                <w:i/>
                <w:sz w:val="16"/>
                <w:szCs w:val="16"/>
              </w:rPr>
              <w:t>United States Code</w:t>
            </w:r>
            <w:r w:rsidRPr="00BE61E0">
              <w:rPr>
                <w:sz w:val="16"/>
                <w:szCs w:val="16"/>
              </w:rPr>
              <w:t>, Title 16, Section 1385</w:t>
            </w:r>
          </w:p>
        </w:tc>
      </w:tr>
      <w:tr w:rsidR="0067446F"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67446F" w:rsidRPr="00BE61E0" w:rsidRDefault="0067446F" w:rsidP="00DC1704">
            <w:pPr>
              <w:spacing w:before="60" w:after="60"/>
              <w:jc w:val="left"/>
              <w:rPr>
                <w:sz w:val="16"/>
                <w:szCs w:val="16"/>
              </w:rPr>
            </w:pPr>
            <w:r w:rsidRPr="00BE61E0">
              <w:rPr>
                <w:sz w:val="16"/>
                <w:szCs w:val="16"/>
              </w:rPr>
              <w:t>Original Panel Exhibit US-6</w:t>
            </w:r>
          </w:p>
        </w:tc>
        <w:tc>
          <w:tcPr>
            <w:tcW w:w="1701" w:type="dxa"/>
          </w:tcPr>
          <w:p w:rsidR="0067446F" w:rsidRPr="00BE61E0" w:rsidRDefault="0067446F" w:rsidP="00DC1704">
            <w:pPr>
              <w:keepLines/>
              <w:tabs>
                <w:tab w:val="left" w:pos="2268"/>
                <w:tab w:val="left" w:pos="4536"/>
              </w:tabs>
              <w:spacing w:before="60" w:after="60"/>
              <w:jc w:val="left"/>
              <w:rPr>
                <w:sz w:val="16"/>
                <w:szCs w:val="16"/>
              </w:rPr>
            </w:pPr>
          </w:p>
        </w:tc>
        <w:tc>
          <w:tcPr>
            <w:tcW w:w="5074" w:type="dxa"/>
          </w:tcPr>
          <w:p w:rsidR="0067446F" w:rsidRPr="00BE61E0" w:rsidRDefault="0067446F" w:rsidP="00DC1704">
            <w:pPr>
              <w:spacing w:before="60" w:after="60"/>
              <w:jc w:val="left"/>
              <w:rPr>
                <w:i/>
                <w:sz w:val="16"/>
                <w:szCs w:val="16"/>
              </w:rPr>
            </w:pPr>
            <w:r w:rsidRPr="00BE61E0">
              <w:rPr>
                <w:i/>
                <w:sz w:val="16"/>
                <w:szCs w:val="16"/>
              </w:rPr>
              <w:t>United States Code of Federal Regulations</w:t>
            </w:r>
            <w:r w:rsidRPr="00BE61E0">
              <w:rPr>
                <w:sz w:val="16"/>
                <w:szCs w:val="16"/>
              </w:rPr>
              <w:t>, Title 50, Sections 216.91 and 216.92</w:t>
            </w:r>
          </w:p>
        </w:tc>
      </w:tr>
      <w:tr w:rsidR="003105F8" w:rsidRPr="00BE61E0" w:rsidTr="00DC1704">
        <w:trPr>
          <w:cantSplit/>
        </w:trPr>
        <w:tc>
          <w:tcPr>
            <w:tcW w:w="2405" w:type="dxa"/>
          </w:tcPr>
          <w:p w:rsidR="003105F8" w:rsidRPr="00BE61E0" w:rsidRDefault="004D4FD1" w:rsidP="00DC1704">
            <w:pPr>
              <w:spacing w:before="60" w:after="60"/>
              <w:jc w:val="left"/>
              <w:rPr>
                <w:sz w:val="16"/>
                <w:szCs w:val="16"/>
              </w:rPr>
            </w:pPr>
            <w:r>
              <w:rPr>
                <w:sz w:val="16"/>
                <w:szCs w:val="16"/>
              </w:rPr>
              <w:t>Original Panel Exhibit US</w:t>
            </w:r>
            <w:r>
              <w:rPr>
                <w:sz w:val="16"/>
                <w:szCs w:val="16"/>
              </w:rPr>
              <w:noBreakHyphen/>
            </w:r>
            <w:r w:rsidR="003105F8" w:rsidRPr="00BE61E0">
              <w:rPr>
                <w:sz w:val="16"/>
                <w:szCs w:val="16"/>
              </w:rPr>
              <w:t>58</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spacing w:before="60" w:after="60"/>
              <w:jc w:val="left"/>
              <w:rPr>
                <w:sz w:val="16"/>
                <w:szCs w:val="16"/>
              </w:rPr>
            </w:pPr>
            <w:r w:rsidRPr="00BE61E0">
              <w:rPr>
                <w:i/>
                <w:sz w:val="16"/>
                <w:szCs w:val="16"/>
              </w:rPr>
              <w:t>United States Code of Federal Regulations</w:t>
            </w:r>
            <w:r w:rsidRPr="00BE61E0">
              <w:rPr>
                <w:sz w:val="16"/>
                <w:szCs w:val="16"/>
              </w:rPr>
              <w:t>, Title 50, Sections 216.9</w:t>
            </w:r>
            <w:r w:rsidR="00AD7CF6" w:rsidRPr="00BE61E0">
              <w:rPr>
                <w:sz w:val="16"/>
                <w:szCs w:val="16"/>
              </w:rPr>
              <w:t>1</w:t>
            </w:r>
            <w:r w:rsidRPr="00BE61E0">
              <w:rPr>
                <w:sz w:val="16"/>
                <w:szCs w:val="16"/>
              </w:rPr>
              <w:t>-216.9</w:t>
            </w:r>
            <w:r w:rsidR="00B41F45" w:rsidRPr="00BE61E0">
              <w:rPr>
                <w:sz w:val="16"/>
                <w:szCs w:val="16"/>
              </w:rPr>
              <w:t>5</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9180" w:type="dxa"/>
            <w:gridSpan w:val="3"/>
          </w:tcPr>
          <w:p w:rsidR="003105F8" w:rsidRPr="00BE61E0" w:rsidRDefault="003105F8" w:rsidP="00DC1704">
            <w:pPr>
              <w:spacing w:before="60" w:after="60"/>
              <w:jc w:val="center"/>
              <w:rPr>
                <w:b/>
                <w:sz w:val="16"/>
                <w:szCs w:val="16"/>
                <w:u w:val="single"/>
              </w:rPr>
            </w:pPr>
            <w:r w:rsidRPr="00BE61E0">
              <w:rPr>
                <w:b/>
                <w:sz w:val="16"/>
                <w:szCs w:val="16"/>
                <w:u w:val="single"/>
              </w:rPr>
              <w:t>First Compliance Panel Record</w:t>
            </w:r>
          </w:p>
        </w:tc>
      </w:tr>
      <w:tr w:rsidR="003105F8" w:rsidRPr="00BE61E0" w:rsidTr="00DC1704">
        <w:trPr>
          <w:cantSplit/>
        </w:trPr>
        <w:tc>
          <w:tcPr>
            <w:tcW w:w="2405" w:type="dxa"/>
          </w:tcPr>
          <w:p w:rsidR="003105F8" w:rsidRPr="00BE61E0" w:rsidRDefault="003105F8" w:rsidP="00DC1704">
            <w:pPr>
              <w:spacing w:before="60" w:after="60"/>
              <w:jc w:val="left"/>
              <w:rPr>
                <w:i/>
                <w:sz w:val="16"/>
                <w:szCs w:val="16"/>
              </w:rPr>
            </w:pPr>
            <w:r w:rsidRPr="00BE61E0">
              <w:rPr>
                <w:sz w:val="16"/>
                <w:szCs w:val="16"/>
              </w:rPr>
              <w:t>First Compliance Panel Exhibit MEX-7</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2013 Rule</w:t>
            </w: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 xml:space="preserve">USDOC, NOAA, Enhanced Document Requirements to Support Use of the Dolphin Safe Label on Tuna Products, </w:t>
            </w:r>
            <w:r w:rsidRPr="00BE61E0">
              <w:rPr>
                <w:i/>
                <w:sz w:val="16"/>
                <w:szCs w:val="16"/>
              </w:rPr>
              <w:t>United States Federal Register</w:t>
            </w:r>
            <w:r w:rsidRPr="00BE61E0">
              <w:rPr>
                <w:sz w:val="16"/>
                <w:szCs w:val="16"/>
              </w:rPr>
              <w:t>, Vol. 78, No. 131 (9 July 2013), pp. 40997-41004</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lastRenderedPageBreak/>
              <w:t>First Compliance Panel Exhibit MEX</w:t>
            </w:r>
            <w:r w:rsidRPr="00BE61E0">
              <w:rPr>
                <w:sz w:val="16"/>
                <w:szCs w:val="16"/>
              </w:rPr>
              <w:noBreakHyphen/>
              <w:t>8</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DPCIA</w:t>
            </w:r>
          </w:p>
        </w:tc>
        <w:tc>
          <w:tcPr>
            <w:tcW w:w="5074" w:type="dxa"/>
          </w:tcPr>
          <w:p w:rsidR="003105F8" w:rsidRPr="00BE61E0" w:rsidRDefault="003105F8" w:rsidP="00DC1704">
            <w:pPr>
              <w:keepLines/>
              <w:tabs>
                <w:tab w:val="left" w:pos="2268"/>
                <w:tab w:val="left" w:pos="4536"/>
              </w:tabs>
              <w:spacing w:before="60" w:after="60"/>
              <w:jc w:val="left"/>
              <w:rPr>
                <w:sz w:val="16"/>
                <w:szCs w:val="16"/>
              </w:rPr>
            </w:pPr>
            <w:proofErr w:type="gramStart"/>
            <w:r w:rsidRPr="00BE61E0">
              <w:rPr>
                <w:sz w:val="16"/>
                <w:szCs w:val="16"/>
              </w:rPr>
              <w:t>Dolphin Protection Consumer Information Act of 1990,</w:t>
            </w:r>
            <w:proofErr w:type="gramEnd"/>
            <w:r w:rsidRPr="00BE61E0">
              <w:rPr>
                <w:sz w:val="16"/>
                <w:szCs w:val="16"/>
              </w:rPr>
              <w:t xml:space="preserve"> codified in </w:t>
            </w:r>
            <w:r w:rsidRPr="00BE61E0">
              <w:rPr>
                <w:i/>
                <w:sz w:val="16"/>
                <w:szCs w:val="16"/>
              </w:rPr>
              <w:t>United States Code</w:t>
            </w:r>
            <w:r w:rsidRPr="00BE61E0">
              <w:rPr>
                <w:sz w:val="16"/>
                <w:szCs w:val="16"/>
              </w:rPr>
              <w:t>, Title 16, Section 1385</w:t>
            </w:r>
          </w:p>
        </w:tc>
      </w:tr>
      <w:tr w:rsidR="00126661" w:rsidRPr="00BE61E0" w:rsidTr="00DC1704">
        <w:trPr>
          <w:cantSplit/>
        </w:trPr>
        <w:tc>
          <w:tcPr>
            <w:tcW w:w="2405" w:type="dxa"/>
          </w:tcPr>
          <w:p w:rsidR="00126661" w:rsidRPr="00BE61E0" w:rsidRDefault="000472AA" w:rsidP="00DC1704">
            <w:pPr>
              <w:spacing w:before="60" w:after="60"/>
              <w:jc w:val="left"/>
              <w:rPr>
                <w:sz w:val="16"/>
                <w:szCs w:val="16"/>
              </w:rPr>
            </w:pPr>
            <w:r w:rsidRPr="00BE61E0">
              <w:rPr>
                <w:sz w:val="16"/>
                <w:szCs w:val="16"/>
              </w:rPr>
              <w:t>First Compliance Panel Exhibit MEX-20</w:t>
            </w:r>
          </w:p>
        </w:tc>
        <w:tc>
          <w:tcPr>
            <w:tcW w:w="1701" w:type="dxa"/>
          </w:tcPr>
          <w:p w:rsidR="00126661" w:rsidRPr="00BE61E0" w:rsidRDefault="00126661" w:rsidP="00DC1704">
            <w:pPr>
              <w:keepLines/>
              <w:tabs>
                <w:tab w:val="left" w:pos="2268"/>
                <w:tab w:val="left" w:pos="4536"/>
              </w:tabs>
              <w:spacing w:before="60" w:after="60"/>
              <w:jc w:val="left"/>
              <w:rPr>
                <w:sz w:val="16"/>
                <w:szCs w:val="16"/>
              </w:rPr>
            </w:pPr>
          </w:p>
        </w:tc>
        <w:tc>
          <w:tcPr>
            <w:tcW w:w="5074" w:type="dxa"/>
          </w:tcPr>
          <w:p w:rsidR="00126661" w:rsidRPr="00BE61E0" w:rsidRDefault="000472AA" w:rsidP="00DC1704">
            <w:pPr>
              <w:keepLines/>
              <w:tabs>
                <w:tab w:val="left" w:pos="2268"/>
                <w:tab w:val="left" w:pos="4536"/>
              </w:tabs>
              <w:spacing w:before="60" w:after="60"/>
              <w:jc w:val="left"/>
              <w:rPr>
                <w:sz w:val="16"/>
                <w:szCs w:val="16"/>
              </w:rPr>
            </w:pPr>
            <w:r w:rsidRPr="00BE61E0">
              <w:rPr>
                <w:rFonts w:eastAsia="Times New Roman"/>
                <w:i/>
                <w:iCs/>
                <w:sz w:val="16"/>
                <w:szCs w:val="16"/>
              </w:rPr>
              <w:t>United States Code of Federal Regulations</w:t>
            </w:r>
            <w:r w:rsidRPr="00BE61E0">
              <w:rPr>
                <w:rFonts w:eastAsia="Times New Roman"/>
                <w:sz w:val="16"/>
                <w:szCs w:val="16"/>
              </w:rPr>
              <w:t>, Title 50, Section 216</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First Compliance Panel Exhibit MEX</w:t>
            </w:r>
            <w:r w:rsidRPr="00BE61E0">
              <w:rPr>
                <w:sz w:val="16"/>
                <w:szCs w:val="16"/>
              </w:rPr>
              <w:noBreakHyphen/>
              <w:t>30</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B63350" w:rsidP="00DC1704">
            <w:pPr>
              <w:keepLines/>
              <w:tabs>
                <w:tab w:val="left" w:pos="2268"/>
                <w:tab w:val="left" w:pos="4536"/>
              </w:tabs>
              <w:spacing w:before="60" w:after="60"/>
              <w:jc w:val="left"/>
              <w:rPr>
                <w:sz w:val="16"/>
                <w:szCs w:val="16"/>
              </w:rPr>
            </w:pPr>
            <w:r w:rsidRPr="00BE61E0">
              <w:rPr>
                <w:sz w:val="16"/>
                <w:szCs w:val="16"/>
              </w:rPr>
              <w:t xml:space="preserve">AIDCP, as amended October 2009, </w:t>
            </w:r>
            <w:r w:rsidR="003105F8" w:rsidRPr="00BE61E0">
              <w:rPr>
                <w:sz w:val="16"/>
                <w:szCs w:val="16"/>
              </w:rPr>
              <w:t>Artic</w:t>
            </w:r>
            <w:r w:rsidRPr="00BE61E0">
              <w:rPr>
                <w:sz w:val="16"/>
                <w:szCs w:val="16"/>
              </w:rPr>
              <w:t>le I:8 and Annex II, paras. 1-3</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First Compliance Panel Exhibit MEX-36</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AIDCP, Resolution to Adopt the Modified System for Tracking and Verification of Tuna (20 June 2001) </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First Compliance Panel Exhibit US-2</w:t>
            </w:r>
          </w:p>
        </w:tc>
        <w:tc>
          <w:tcPr>
            <w:tcW w:w="1701" w:type="dxa"/>
          </w:tcPr>
          <w:p w:rsidR="003105F8" w:rsidRPr="00BE61E0" w:rsidRDefault="00B63350" w:rsidP="00DC1704">
            <w:pPr>
              <w:keepLines/>
              <w:tabs>
                <w:tab w:val="left" w:pos="2268"/>
                <w:tab w:val="left" w:pos="4536"/>
              </w:tabs>
              <w:spacing w:before="60" w:after="60"/>
              <w:jc w:val="left"/>
              <w:rPr>
                <w:sz w:val="16"/>
                <w:szCs w:val="16"/>
              </w:rPr>
            </w:pPr>
            <w:r w:rsidRPr="00BE61E0">
              <w:rPr>
                <w:sz w:val="16"/>
                <w:szCs w:val="16"/>
              </w:rPr>
              <w:t>2013 implementing regulations</w:t>
            </w:r>
          </w:p>
        </w:tc>
        <w:tc>
          <w:tcPr>
            <w:tcW w:w="5074" w:type="dxa"/>
          </w:tcPr>
          <w:p w:rsidR="003105F8" w:rsidRPr="00BE61E0" w:rsidRDefault="003105F8" w:rsidP="00DC1704">
            <w:pPr>
              <w:spacing w:before="60" w:after="60"/>
              <w:jc w:val="left"/>
              <w:rPr>
                <w:sz w:val="16"/>
                <w:szCs w:val="16"/>
              </w:rPr>
            </w:pPr>
            <w:r w:rsidRPr="00BE61E0">
              <w:rPr>
                <w:sz w:val="16"/>
                <w:szCs w:val="16"/>
              </w:rPr>
              <w:t xml:space="preserve">USDOC, NMFS/NOAA, </w:t>
            </w:r>
            <w:r w:rsidRPr="00BE61E0">
              <w:rPr>
                <w:sz w:val="16"/>
                <w:szCs w:val="16"/>
                <w:lang w:eastAsia="es-ES"/>
              </w:rPr>
              <w:t xml:space="preserve">Dolphin Safe Tuna </w:t>
            </w:r>
            <w:proofErr w:type="spellStart"/>
            <w:r w:rsidRPr="00BE61E0">
              <w:rPr>
                <w:sz w:val="16"/>
                <w:szCs w:val="16"/>
                <w:lang w:eastAsia="es-ES"/>
              </w:rPr>
              <w:t>Labeling</w:t>
            </w:r>
            <w:proofErr w:type="spellEnd"/>
            <w:r w:rsidRPr="00BE61E0">
              <w:rPr>
                <w:sz w:val="16"/>
                <w:szCs w:val="16"/>
                <w:lang w:eastAsia="es-ES"/>
              </w:rPr>
              <w:t>,</w:t>
            </w:r>
            <w:r w:rsidRPr="00BE61E0">
              <w:rPr>
                <w:i/>
                <w:sz w:val="16"/>
                <w:szCs w:val="16"/>
              </w:rPr>
              <w:t xml:space="preserve"> United States Code of Federal Regulations</w:t>
            </w:r>
            <w:r w:rsidRPr="00BE61E0">
              <w:rPr>
                <w:sz w:val="16"/>
                <w:szCs w:val="16"/>
              </w:rPr>
              <w:t>, Title 50, Part 216, Subpart H (Sections 216.90</w:t>
            </w:r>
            <w:r w:rsidRPr="00BE61E0">
              <w:rPr>
                <w:sz w:val="16"/>
                <w:szCs w:val="16"/>
              </w:rPr>
              <w:noBreakHyphen/>
              <w:t>216.95)</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First Compliance Panel Exhibit US</w:t>
            </w:r>
            <w:r w:rsidRPr="00BE61E0">
              <w:rPr>
                <w:sz w:val="16"/>
                <w:szCs w:val="16"/>
              </w:rPr>
              <w:noBreakHyphen/>
              <w:t>113</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spacing w:before="60" w:after="60"/>
              <w:jc w:val="left"/>
              <w:rPr>
                <w:sz w:val="16"/>
                <w:szCs w:val="16"/>
              </w:rPr>
            </w:pPr>
            <w:r w:rsidRPr="00BE61E0">
              <w:rPr>
                <w:sz w:val="16"/>
                <w:szCs w:val="16"/>
              </w:rPr>
              <w:t xml:space="preserve">Determination of Observer Programs as Qualified and Authorized by the Assistant Administrator for Fisheries, </w:t>
            </w:r>
            <w:r w:rsidRPr="00BE61E0">
              <w:rPr>
                <w:i/>
                <w:sz w:val="16"/>
                <w:szCs w:val="16"/>
              </w:rPr>
              <w:t>United States Federal Register</w:t>
            </w:r>
            <w:r w:rsidRPr="00BE61E0">
              <w:rPr>
                <w:sz w:val="16"/>
                <w:szCs w:val="16"/>
              </w:rPr>
              <w:t>, Vol. 79, No. 134 (14 July 2014), pp. 40718-40720</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First Compliance Panel Exhibit US</w:t>
            </w:r>
            <w:r w:rsidRPr="00BE61E0">
              <w:rPr>
                <w:sz w:val="16"/>
                <w:szCs w:val="16"/>
              </w:rPr>
              <w:noBreakHyphen/>
              <w:t>114</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spacing w:before="60" w:after="60"/>
              <w:jc w:val="left"/>
              <w:rPr>
                <w:sz w:val="16"/>
                <w:szCs w:val="16"/>
              </w:rPr>
            </w:pPr>
            <w:r w:rsidRPr="00BE61E0">
              <w:rPr>
                <w:sz w:val="16"/>
                <w:szCs w:val="16"/>
              </w:rPr>
              <w:t xml:space="preserve">NMFS, </w:t>
            </w:r>
            <w:r w:rsidRPr="00BE61E0">
              <w:rPr>
                <w:i/>
                <w:sz w:val="16"/>
                <w:szCs w:val="16"/>
              </w:rPr>
              <w:t>National Observer Program FY 2012 Annual Report</w:t>
            </w:r>
            <w:r w:rsidRPr="00BE61E0">
              <w:rPr>
                <w:sz w:val="16"/>
                <w:szCs w:val="16"/>
              </w:rPr>
              <w:t xml:space="preserve"> (2013)</w:t>
            </w:r>
          </w:p>
        </w:tc>
      </w:tr>
      <w:tr w:rsidR="003105F8" w:rsidRPr="00BE61E0" w:rsidTr="00DC1704">
        <w:trPr>
          <w:cantSplit/>
        </w:trPr>
        <w:tc>
          <w:tcPr>
            <w:tcW w:w="9180" w:type="dxa"/>
            <w:gridSpan w:val="3"/>
          </w:tcPr>
          <w:p w:rsidR="003105F8" w:rsidRPr="00BE61E0" w:rsidRDefault="003105F8" w:rsidP="00DC1704">
            <w:pPr>
              <w:spacing w:before="60" w:after="60"/>
              <w:jc w:val="center"/>
              <w:rPr>
                <w:b/>
                <w:sz w:val="16"/>
                <w:szCs w:val="16"/>
                <w:u w:val="single"/>
                <w:lang w:val="en-CA"/>
              </w:rPr>
            </w:pPr>
            <w:r w:rsidRPr="00BE61E0">
              <w:rPr>
                <w:b/>
                <w:sz w:val="16"/>
                <w:szCs w:val="16"/>
                <w:u w:val="single"/>
              </w:rPr>
              <w:t>Panel Record in these Compliance Proceedings</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w:t>
            </w:r>
            <w:r w:rsidRPr="00BE61E0">
              <w:rPr>
                <w:sz w:val="16"/>
                <w:szCs w:val="16"/>
              </w:rPr>
              <w:noBreakHyphen/>
              <w:t>1</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DPCIA</w:t>
            </w:r>
          </w:p>
        </w:tc>
        <w:tc>
          <w:tcPr>
            <w:tcW w:w="5074" w:type="dxa"/>
          </w:tcPr>
          <w:p w:rsidR="003105F8" w:rsidRPr="00BE61E0" w:rsidRDefault="003105F8" w:rsidP="00DC1704">
            <w:pPr>
              <w:keepLines/>
              <w:tabs>
                <w:tab w:val="left" w:pos="2268"/>
                <w:tab w:val="left" w:pos="4536"/>
              </w:tabs>
              <w:spacing w:before="60" w:after="60"/>
              <w:jc w:val="left"/>
              <w:rPr>
                <w:sz w:val="16"/>
                <w:szCs w:val="16"/>
              </w:rPr>
            </w:pPr>
            <w:proofErr w:type="gramStart"/>
            <w:r w:rsidRPr="00BE61E0">
              <w:rPr>
                <w:sz w:val="16"/>
                <w:szCs w:val="16"/>
              </w:rPr>
              <w:t>Dolphin Protection Consumer Information Act of 1990,</w:t>
            </w:r>
            <w:proofErr w:type="gramEnd"/>
            <w:r w:rsidRPr="00BE61E0">
              <w:rPr>
                <w:sz w:val="16"/>
                <w:szCs w:val="16"/>
              </w:rPr>
              <w:t xml:space="preserve"> codified in </w:t>
            </w:r>
            <w:r w:rsidRPr="00BE61E0">
              <w:rPr>
                <w:i/>
                <w:sz w:val="16"/>
                <w:szCs w:val="16"/>
              </w:rPr>
              <w:t>United States Code</w:t>
            </w:r>
            <w:r w:rsidRPr="00BE61E0">
              <w:rPr>
                <w:sz w:val="16"/>
                <w:szCs w:val="16"/>
              </w:rPr>
              <w:t>, Title 16, Section 1385</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w:t>
            </w:r>
            <w:r w:rsidRPr="00BE61E0">
              <w:rPr>
                <w:sz w:val="16"/>
                <w:szCs w:val="16"/>
              </w:rPr>
              <w:noBreakHyphen/>
              <w:t>2</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2016 implementing regulations</w:t>
            </w: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 xml:space="preserve">USDOC, NMFS/NOAA, </w:t>
            </w:r>
            <w:r w:rsidRPr="00BE61E0">
              <w:rPr>
                <w:sz w:val="16"/>
                <w:szCs w:val="16"/>
                <w:lang w:eastAsia="es-ES"/>
              </w:rPr>
              <w:t xml:space="preserve">Dolphin Safe Tuna </w:t>
            </w:r>
            <w:proofErr w:type="spellStart"/>
            <w:r w:rsidRPr="00BE61E0">
              <w:rPr>
                <w:sz w:val="16"/>
                <w:szCs w:val="16"/>
                <w:lang w:eastAsia="es-ES"/>
              </w:rPr>
              <w:t>Labeling</w:t>
            </w:r>
            <w:proofErr w:type="spellEnd"/>
            <w:r w:rsidRPr="00BE61E0">
              <w:rPr>
                <w:sz w:val="16"/>
                <w:szCs w:val="16"/>
                <w:lang w:eastAsia="es-ES"/>
              </w:rPr>
              <w:t>,</w:t>
            </w:r>
            <w:r w:rsidR="00B0231B">
              <w:rPr>
                <w:i/>
                <w:sz w:val="16"/>
                <w:szCs w:val="16"/>
              </w:rPr>
              <w:t xml:space="preserve"> United </w:t>
            </w:r>
            <w:r w:rsidRPr="00BE61E0">
              <w:rPr>
                <w:i/>
                <w:sz w:val="16"/>
                <w:szCs w:val="16"/>
              </w:rPr>
              <w:t xml:space="preserve">States Code of Federal Regulations, </w:t>
            </w:r>
            <w:r w:rsidRPr="00BE61E0">
              <w:rPr>
                <w:sz w:val="16"/>
                <w:szCs w:val="16"/>
              </w:rPr>
              <w:t>Title 50, Part 216, Subpart H, Sections 216.90</w:t>
            </w:r>
            <w:r w:rsidRPr="00BE61E0">
              <w:rPr>
                <w:sz w:val="16"/>
                <w:szCs w:val="16"/>
              </w:rPr>
              <w:noBreakHyphen/>
              <w:t>216.95</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w:t>
            </w:r>
            <w:r w:rsidRPr="00BE61E0">
              <w:rPr>
                <w:sz w:val="16"/>
                <w:szCs w:val="16"/>
              </w:rPr>
              <w:noBreakHyphen/>
              <w:t>3</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i/>
                <w:sz w:val="16"/>
                <w:szCs w:val="16"/>
              </w:rPr>
              <w:t>Hogarth</w:t>
            </w:r>
            <w:r w:rsidRPr="00BE61E0">
              <w:rPr>
                <w:sz w:val="16"/>
                <w:szCs w:val="16"/>
              </w:rPr>
              <w:t xml:space="preserve"> ruling</w:t>
            </w:r>
          </w:p>
        </w:tc>
        <w:tc>
          <w:tcPr>
            <w:tcW w:w="5074" w:type="dxa"/>
          </w:tcPr>
          <w:p w:rsidR="003105F8" w:rsidRPr="00BE61E0" w:rsidRDefault="00B41F45" w:rsidP="00DC1704">
            <w:pPr>
              <w:keepLines/>
              <w:tabs>
                <w:tab w:val="left" w:pos="2268"/>
                <w:tab w:val="left" w:pos="4536"/>
              </w:tabs>
              <w:spacing w:before="60" w:after="60"/>
              <w:jc w:val="left"/>
              <w:rPr>
                <w:sz w:val="16"/>
                <w:szCs w:val="16"/>
              </w:rPr>
            </w:pPr>
            <w:r w:rsidRPr="00BE61E0">
              <w:rPr>
                <w:sz w:val="16"/>
                <w:szCs w:val="16"/>
              </w:rPr>
              <w:t xml:space="preserve">United States Court of Appeals for the Ninth Circuit, </w:t>
            </w:r>
            <w:r w:rsidRPr="00BE61E0">
              <w:rPr>
                <w:i/>
                <w:sz w:val="16"/>
                <w:szCs w:val="16"/>
              </w:rPr>
              <w:t>Earth Island Institute et al. v. William T. Hogarth</w:t>
            </w:r>
            <w:r w:rsidRPr="00BE61E0">
              <w:rPr>
                <w:sz w:val="16"/>
                <w:szCs w:val="16"/>
              </w:rPr>
              <w:t xml:space="preserve">, 484 F.3d 1123 (9th Cir. 2007) and </w:t>
            </w:r>
            <w:r w:rsidR="003105F8" w:rsidRPr="00BE61E0">
              <w:rPr>
                <w:sz w:val="16"/>
                <w:szCs w:val="16"/>
              </w:rPr>
              <w:t xml:space="preserve">United States Court of Appeals for the Ninth Circuit, </w:t>
            </w:r>
            <w:r w:rsidR="003105F8" w:rsidRPr="00BE61E0">
              <w:rPr>
                <w:i/>
                <w:sz w:val="16"/>
                <w:szCs w:val="16"/>
              </w:rPr>
              <w:t>Earth Island Institute et al. v. William T. Hogarth</w:t>
            </w:r>
            <w:r w:rsidR="003105F8" w:rsidRPr="00BE61E0">
              <w:rPr>
                <w:sz w:val="16"/>
                <w:szCs w:val="16"/>
              </w:rPr>
              <w:t>, 494 F.3d 757 (9th Cir. 2007)</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MEX-8</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 xml:space="preserve">AIDCP, </w:t>
            </w:r>
            <w:r w:rsidRPr="00BE61E0">
              <w:rPr>
                <w:i/>
                <w:sz w:val="16"/>
                <w:szCs w:val="16"/>
              </w:rPr>
              <w:t>Report on the International Dolphin Conservation Program</w:t>
            </w:r>
            <w:r w:rsidRPr="00BE61E0">
              <w:rPr>
                <w:sz w:val="16"/>
                <w:szCs w:val="16"/>
              </w:rPr>
              <w:t>, Doc. MOP-28-05, 18 October 2013</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MEX-15</w:t>
            </w:r>
          </w:p>
        </w:tc>
        <w:tc>
          <w:tcPr>
            <w:tcW w:w="1701" w:type="dxa"/>
          </w:tcPr>
          <w:p w:rsidR="003105F8" w:rsidRPr="00BE61E0" w:rsidRDefault="003105F8" w:rsidP="00DC1704">
            <w:pPr>
              <w:keepLines/>
              <w:tabs>
                <w:tab w:val="left" w:pos="2268"/>
                <w:tab w:val="left" w:pos="4536"/>
              </w:tabs>
              <w:spacing w:before="60" w:after="60"/>
              <w:jc w:val="left"/>
              <w:rPr>
                <w:i/>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Food and Agricult</w:t>
            </w:r>
            <w:r w:rsidR="00A616F3" w:rsidRPr="00BE61E0">
              <w:rPr>
                <w:sz w:val="16"/>
                <w:szCs w:val="16"/>
              </w:rPr>
              <w:t>ural Organization of the United </w:t>
            </w:r>
            <w:r w:rsidRPr="00BE61E0">
              <w:rPr>
                <w:sz w:val="16"/>
                <w:szCs w:val="16"/>
              </w:rPr>
              <w:t>Nations</w:t>
            </w:r>
            <w:r w:rsidR="008C30A1" w:rsidRPr="00BE61E0">
              <w:rPr>
                <w:sz w:val="16"/>
                <w:szCs w:val="16"/>
              </w:rPr>
              <w:t>,</w:t>
            </w:r>
            <w:r w:rsidRPr="00BE61E0">
              <w:rPr>
                <w:sz w:val="16"/>
                <w:szCs w:val="16"/>
              </w:rPr>
              <w:t xml:space="preserve"> "Tuna Drifting Gillnet", http://www.fao.org/fisher</w:t>
            </w:r>
            <w:r w:rsidR="00BC48A8">
              <w:rPr>
                <w:sz w:val="16"/>
                <w:szCs w:val="16"/>
              </w:rPr>
              <w:t>y/fishtech/1011/en, accessed 17 </w:t>
            </w:r>
            <w:r w:rsidRPr="00BE61E0">
              <w:rPr>
                <w:sz w:val="16"/>
                <w:szCs w:val="16"/>
              </w:rPr>
              <w:t>March 2014</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MEX-18</w:t>
            </w:r>
          </w:p>
        </w:tc>
        <w:tc>
          <w:tcPr>
            <w:tcW w:w="1701" w:type="dxa"/>
          </w:tcPr>
          <w:p w:rsidR="003105F8" w:rsidRPr="00BE61E0" w:rsidRDefault="003105F8" w:rsidP="00DC1704">
            <w:pPr>
              <w:keepLines/>
              <w:tabs>
                <w:tab w:val="left" w:pos="2268"/>
                <w:tab w:val="left" w:pos="4536"/>
              </w:tabs>
              <w:spacing w:before="60" w:after="60"/>
              <w:jc w:val="left"/>
              <w:rPr>
                <w:i/>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lang w:val="en-CA"/>
              </w:rPr>
              <w:t xml:space="preserve">Natural Resources Defense Council, </w:t>
            </w:r>
            <w:r w:rsidR="00A616F3" w:rsidRPr="00BE61E0">
              <w:rPr>
                <w:i/>
                <w:sz w:val="16"/>
                <w:szCs w:val="16"/>
                <w:lang w:val="en-CA"/>
              </w:rPr>
              <w:t>Net Loss: The </w:t>
            </w:r>
            <w:r w:rsidRPr="00BE61E0">
              <w:rPr>
                <w:i/>
                <w:sz w:val="16"/>
                <w:szCs w:val="16"/>
                <w:lang w:val="en-CA"/>
              </w:rPr>
              <w:t>Killing of Marine Mammals in Foreign Fisheries</w:t>
            </w:r>
            <w:r w:rsidR="00A616F3" w:rsidRPr="00BE61E0">
              <w:rPr>
                <w:sz w:val="16"/>
                <w:szCs w:val="16"/>
                <w:lang w:val="en-CA"/>
              </w:rPr>
              <w:t xml:space="preserve"> (New </w:t>
            </w:r>
            <w:r w:rsidRPr="00BE61E0">
              <w:rPr>
                <w:sz w:val="16"/>
                <w:szCs w:val="16"/>
                <w:lang w:val="en-CA"/>
              </w:rPr>
              <w:t>York, January 2014)</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MEX-26</w:t>
            </w:r>
          </w:p>
        </w:tc>
        <w:tc>
          <w:tcPr>
            <w:tcW w:w="1701" w:type="dxa"/>
          </w:tcPr>
          <w:p w:rsidR="003105F8" w:rsidRPr="00BE61E0" w:rsidRDefault="003105F8" w:rsidP="00DC1704">
            <w:pPr>
              <w:keepLines/>
              <w:tabs>
                <w:tab w:val="left" w:pos="2268"/>
                <w:tab w:val="left" w:pos="4536"/>
              </w:tabs>
              <w:spacing w:before="60" w:after="60"/>
              <w:jc w:val="left"/>
              <w:rPr>
                <w:i/>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lang w:val="en-CA"/>
              </w:rPr>
              <w:t>Food and Agricult</w:t>
            </w:r>
            <w:r w:rsidR="00B41F45" w:rsidRPr="00BE61E0">
              <w:rPr>
                <w:sz w:val="16"/>
                <w:szCs w:val="16"/>
                <w:lang w:val="en-CA"/>
              </w:rPr>
              <w:t>ural Organization of the United </w:t>
            </w:r>
            <w:r w:rsidRPr="00BE61E0">
              <w:rPr>
                <w:sz w:val="16"/>
                <w:szCs w:val="16"/>
                <w:lang w:val="en-CA"/>
              </w:rPr>
              <w:t>Nations, "Industrial Tuna Longlining", http://www.fao.org/fisher</w:t>
            </w:r>
            <w:r w:rsidR="00BC48A8">
              <w:rPr>
                <w:sz w:val="16"/>
                <w:szCs w:val="16"/>
                <w:lang w:val="en-CA"/>
              </w:rPr>
              <w:t>y/fishtech/1010/en, accessed 17 </w:t>
            </w:r>
            <w:r w:rsidRPr="00BE61E0">
              <w:rPr>
                <w:sz w:val="16"/>
                <w:szCs w:val="16"/>
                <w:lang w:val="en-CA"/>
              </w:rPr>
              <w:t>March 2014</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MEX-37</w:t>
            </w:r>
          </w:p>
        </w:tc>
        <w:tc>
          <w:tcPr>
            <w:tcW w:w="1701" w:type="dxa"/>
          </w:tcPr>
          <w:p w:rsidR="003105F8" w:rsidRPr="00BE61E0" w:rsidRDefault="003105F8" w:rsidP="00DC1704">
            <w:pPr>
              <w:keepLines/>
              <w:tabs>
                <w:tab w:val="left" w:pos="2268"/>
                <w:tab w:val="left" w:pos="4536"/>
              </w:tabs>
              <w:spacing w:before="60" w:after="60"/>
              <w:jc w:val="left"/>
              <w:rPr>
                <w:i/>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lang w:val="en-CA"/>
              </w:rPr>
            </w:pPr>
            <w:r w:rsidRPr="00BE61E0">
              <w:rPr>
                <w:sz w:val="16"/>
                <w:szCs w:val="16"/>
                <w:lang w:val="en-CA"/>
              </w:rPr>
              <w:t>Food and Agricult</w:t>
            </w:r>
            <w:r w:rsidR="00A616F3" w:rsidRPr="00BE61E0">
              <w:rPr>
                <w:sz w:val="16"/>
                <w:szCs w:val="16"/>
                <w:lang w:val="en-CA"/>
              </w:rPr>
              <w:t>ural Organization of the United </w:t>
            </w:r>
            <w:r w:rsidRPr="00BE61E0">
              <w:rPr>
                <w:sz w:val="16"/>
                <w:szCs w:val="16"/>
                <w:lang w:val="en-CA"/>
              </w:rPr>
              <w:t>Nations, "Trawl Nets", http://www.fao.org/fishery/geartype/103/en, accessed 23 March 2014</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MEX-38</w:t>
            </w:r>
          </w:p>
        </w:tc>
        <w:tc>
          <w:tcPr>
            <w:tcW w:w="1701" w:type="dxa"/>
          </w:tcPr>
          <w:p w:rsidR="003105F8" w:rsidRPr="00BE61E0" w:rsidRDefault="003105F8" w:rsidP="00DC1704">
            <w:pPr>
              <w:keepLines/>
              <w:tabs>
                <w:tab w:val="left" w:pos="2268"/>
                <w:tab w:val="left" w:pos="4536"/>
              </w:tabs>
              <w:spacing w:before="60" w:after="60"/>
              <w:jc w:val="left"/>
              <w:rPr>
                <w:i/>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lang w:val="en-CA"/>
              </w:rPr>
              <w:t>Food and Agricult</w:t>
            </w:r>
            <w:r w:rsidR="00B41F45" w:rsidRPr="00BE61E0">
              <w:rPr>
                <w:sz w:val="16"/>
                <w:szCs w:val="16"/>
                <w:lang w:val="en-CA"/>
              </w:rPr>
              <w:t>ural Organization of the United </w:t>
            </w:r>
            <w:r w:rsidRPr="00BE61E0">
              <w:rPr>
                <w:sz w:val="16"/>
                <w:szCs w:val="16"/>
                <w:lang w:val="en-CA"/>
              </w:rPr>
              <w:t>Nations, "Tuna Handlining," http://www.fao.org/fishe</w:t>
            </w:r>
            <w:r w:rsidR="00BC48A8">
              <w:rPr>
                <w:sz w:val="16"/>
                <w:szCs w:val="16"/>
                <w:lang w:val="en-CA"/>
              </w:rPr>
              <w:t>ry/fishtech/1012/en, accessed 5 </w:t>
            </w:r>
            <w:r w:rsidRPr="00BE61E0">
              <w:rPr>
                <w:sz w:val="16"/>
                <w:szCs w:val="16"/>
                <w:lang w:val="en-CA"/>
              </w:rPr>
              <w:t>September 2016</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MEX-47</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spacing w:before="60" w:after="60"/>
              <w:jc w:val="left"/>
              <w:rPr>
                <w:sz w:val="16"/>
                <w:szCs w:val="16"/>
              </w:rPr>
            </w:pPr>
            <w:r w:rsidRPr="00BE61E0">
              <w:rPr>
                <w:sz w:val="16"/>
                <w:szCs w:val="16"/>
              </w:rPr>
              <w:t xml:space="preserve">Enhanced Document Requirements and Captain Training Requirements to Support Use of the Dolphin Safe Label on Tuna Products, </w:t>
            </w:r>
            <w:r w:rsidRPr="00BE61E0">
              <w:rPr>
                <w:i/>
                <w:sz w:val="16"/>
                <w:szCs w:val="16"/>
              </w:rPr>
              <w:t>United States Federal Register</w:t>
            </w:r>
            <w:r w:rsidRPr="00BE61E0">
              <w:rPr>
                <w:sz w:val="16"/>
                <w:szCs w:val="16"/>
              </w:rPr>
              <w:t xml:space="preserve">, Vol. </w:t>
            </w:r>
            <w:r w:rsidR="00BC48A8">
              <w:rPr>
                <w:sz w:val="16"/>
                <w:szCs w:val="16"/>
              </w:rPr>
              <w:t>81, No. </w:t>
            </w:r>
            <w:r w:rsidR="00B41F45" w:rsidRPr="00BE61E0">
              <w:rPr>
                <w:sz w:val="16"/>
                <w:szCs w:val="16"/>
              </w:rPr>
              <w:t>56 (23 March 2016), pp. </w:t>
            </w:r>
            <w:r w:rsidRPr="00BE61E0">
              <w:rPr>
                <w:sz w:val="16"/>
                <w:szCs w:val="16"/>
              </w:rPr>
              <w:t>15444-15449</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i/>
                <w:sz w:val="16"/>
                <w:szCs w:val="16"/>
              </w:rPr>
            </w:pPr>
            <w:r w:rsidRPr="00BE61E0">
              <w:rPr>
                <w:noProof/>
                <w:sz w:val="16"/>
                <w:szCs w:val="16"/>
              </w:rPr>
              <w:t>Panel Exhibit MEX-104</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noProof/>
                <w:sz w:val="16"/>
                <w:szCs w:val="16"/>
              </w:rPr>
              <w:t xml:space="preserve">National Oceanic and Atmospheric Administration, 2015 NOAA Marine Debris Program Report, </w:t>
            </w:r>
            <w:r w:rsidRPr="00BE61E0">
              <w:rPr>
                <w:i/>
                <w:noProof/>
                <w:sz w:val="16"/>
                <w:szCs w:val="16"/>
              </w:rPr>
              <w:t>Impact of "Ghost Fishing" via Derelict Fishing Gear</w:t>
            </w:r>
            <w:r w:rsidRPr="00BE61E0">
              <w:rPr>
                <w:noProof/>
                <w:sz w:val="16"/>
                <w:szCs w:val="16"/>
              </w:rPr>
              <w:t xml:space="preserve"> (Charleston, March 2015)</w:t>
            </w:r>
          </w:p>
        </w:tc>
      </w:tr>
      <w:tr w:rsidR="003105F8" w:rsidRPr="00BE61E0" w:rsidTr="00DC1704">
        <w:trPr>
          <w:cantSplit/>
        </w:trPr>
        <w:tc>
          <w:tcPr>
            <w:tcW w:w="2405" w:type="dxa"/>
          </w:tcPr>
          <w:p w:rsidR="003105F8" w:rsidRPr="00BE61E0" w:rsidRDefault="003105F8" w:rsidP="00DC1704">
            <w:pPr>
              <w:spacing w:before="60" w:after="60"/>
              <w:jc w:val="left"/>
              <w:rPr>
                <w:i/>
                <w:sz w:val="16"/>
                <w:szCs w:val="16"/>
              </w:rPr>
            </w:pPr>
            <w:r w:rsidRPr="00BE61E0">
              <w:rPr>
                <w:sz w:val="16"/>
                <w:szCs w:val="16"/>
              </w:rPr>
              <w:lastRenderedPageBreak/>
              <w:t>Panel Exhibit MEX</w:t>
            </w:r>
            <w:r w:rsidRPr="00BE61E0">
              <w:rPr>
                <w:sz w:val="16"/>
                <w:szCs w:val="16"/>
              </w:rPr>
              <w:noBreakHyphen/>
              <w:t>127</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 xml:space="preserve">ISSF, </w:t>
            </w:r>
            <w:r w:rsidRPr="00BE61E0">
              <w:rPr>
                <w:i/>
                <w:sz w:val="16"/>
                <w:szCs w:val="16"/>
              </w:rPr>
              <w:t>RFMO</w:t>
            </w:r>
            <w:r w:rsidR="00A616F3" w:rsidRPr="00BE61E0">
              <w:rPr>
                <w:i/>
                <w:sz w:val="16"/>
                <w:szCs w:val="16"/>
              </w:rPr>
              <w:t xml:space="preserve"> Catch Documentation Schemes: A </w:t>
            </w:r>
            <w:r w:rsidRPr="00BE61E0">
              <w:rPr>
                <w:i/>
                <w:sz w:val="16"/>
                <w:szCs w:val="16"/>
              </w:rPr>
              <w:t>Summary</w:t>
            </w:r>
            <w:r w:rsidRPr="00BE61E0">
              <w:rPr>
                <w:sz w:val="16"/>
                <w:szCs w:val="16"/>
              </w:rPr>
              <w:t xml:space="preserve"> (Washington</w:t>
            </w:r>
            <w:r w:rsidR="00DA705D" w:rsidRPr="00BE61E0">
              <w:rPr>
                <w:sz w:val="16"/>
                <w:szCs w:val="16"/>
              </w:rPr>
              <w:t>,</w:t>
            </w:r>
            <w:r w:rsidRPr="00BE61E0">
              <w:rPr>
                <w:sz w:val="16"/>
                <w:szCs w:val="16"/>
              </w:rPr>
              <w:t xml:space="preserve"> DC, 14 September 2016)</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1</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DPCIA</w:t>
            </w:r>
          </w:p>
        </w:tc>
        <w:tc>
          <w:tcPr>
            <w:tcW w:w="5074" w:type="dxa"/>
          </w:tcPr>
          <w:p w:rsidR="003105F8" w:rsidRPr="00BE61E0" w:rsidRDefault="003105F8" w:rsidP="00DC1704">
            <w:pPr>
              <w:keepLines/>
              <w:tabs>
                <w:tab w:val="left" w:pos="2268"/>
                <w:tab w:val="left" w:pos="4536"/>
              </w:tabs>
              <w:spacing w:before="60" w:after="60"/>
              <w:jc w:val="left"/>
              <w:rPr>
                <w:sz w:val="16"/>
                <w:szCs w:val="16"/>
                <w:lang w:val="en-CA"/>
              </w:rPr>
            </w:pPr>
            <w:proofErr w:type="gramStart"/>
            <w:r w:rsidRPr="00BE61E0">
              <w:rPr>
                <w:sz w:val="16"/>
                <w:szCs w:val="16"/>
              </w:rPr>
              <w:t>Dolphin Protection Consumer Information Act of 1990,</w:t>
            </w:r>
            <w:proofErr w:type="gramEnd"/>
            <w:r w:rsidRPr="00BE61E0">
              <w:rPr>
                <w:sz w:val="16"/>
                <w:szCs w:val="16"/>
              </w:rPr>
              <w:t xml:space="preserve"> codified in </w:t>
            </w:r>
            <w:r w:rsidRPr="00BE61E0">
              <w:rPr>
                <w:i/>
                <w:sz w:val="16"/>
                <w:szCs w:val="16"/>
              </w:rPr>
              <w:t>United States Code</w:t>
            </w:r>
            <w:r w:rsidRPr="00BE61E0">
              <w:rPr>
                <w:sz w:val="16"/>
                <w:szCs w:val="16"/>
              </w:rPr>
              <w:t>, Title 16, Section 1385</w:t>
            </w:r>
          </w:p>
        </w:tc>
      </w:tr>
      <w:tr w:rsidR="003105F8" w:rsidRPr="00BE61E0" w:rsidTr="00DC1704">
        <w:trPr>
          <w:cantSplit/>
        </w:trPr>
        <w:tc>
          <w:tcPr>
            <w:tcW w:w="2405" w:type="dxa"/>
          </w:tcPr>
          <w:p w:rsidR="003105F8" w:rsidRPr="00BE61E0" w:rsidRDefault="003105F8" w:rsidP="00DC1704">
            <w:pPr>
              <w:spacing w:before="60" w:after="60"/>
              <w:jc w:val="left"/>
              <w:rPr>
                <w:i/>
                <w:sz w:val="16"/>
                <w:szCs w:val="16"/>
              </w:rPr>
            </w:pPr>
            <w:r w:rsidRPr="00BE61E0">
              <w:rPr>
                <w:sz w:val="16"/>
                <w:szCs w:val="16"/>
              </w:rPr>
              <w:t>Panel Exhibit USA</w:t>
            </w:r>
            <w:r w:rsidRPr="00BE61E0">
              <w:rPr>
                <w:sz w:val="16"/>
                <w:szCs w:val="16"/>
              </w:rPr>
              <w:noBreakHyphen/>
              <w:t>2</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2016 implementing regulations</w:t>
            </w:r>
          </w:p>
        </w:tc>
        <w:tc>
          <w:tcPr>
            <w:tcW w:w="5074" w:type="dxa"/>
          </w:tcPr>
          <w:p w:rsidR="003105F8" w:rsidRPr="00BE61E0" w:rsidRDefault="003105F8" w:rsidP="00DC1704">
            <w:pPr>
              <w:keepLines/>
              <w:tabs>
                <w:tab w:val="left" w:pos="2268"/>
                <w:tab w:val="left" w:pos="4536"/>
              </w:tabs>
              <w:spacing w:before="60" w:after="60"/>
              <w:jc w:val="left"/>
              <w:rPr>
                <w:sz w:val="16"/>
                <w:szCs w:val="16"/>
                <w:lang w:val="en-CA"/>
              </w:rPr>
            </w:pPr>
            <w:r w:rsidRPr="00BE61E0">
              <w:rPr>
                <w:sz w:val="16"/>
                <w:szCs w:val="16"/>
              </w:rPr>
              <w:t xml:space="preserve">USDOC, NMFS/NOAA, </w:t>
            </w:r>
            <w:r w:rsidRPr="00BE61E0">
              <w:rPr>
                <w:sz w:val="16"/>
                <w:szCs w:val="16"/>
                <w:lang w:eastAsia="es-ES"/>
              </w:rPr>
              <w:t xml:space="preserve">Dolphin Safe Tuna </w:t>
            </w:r>
            <w:proofErr w:type="spellStart"/>
            <w:r w:rsidRPr="00BE61E0">
              <w:rPr>
                <w:sz w:val="16"/>
                <w:szCs w:val="16"/>
                <w:lang w:eastAsia="es-ES"/>
              </w:rPr>
              <w:t>Labeling</w:t>
            </w:r>
            <w:proofErr w:type="spellEnd"/>
            <w:r w:rsidRPr="00BE61E0">
              <w:rPr>
                <w:sz w:val="16"/>
                <w:szCs w:val="16"/>
                <w:lang w:eastAsia="es-ES"/>
              </w:rPr>
              <w:t>,</w:t>
            </w:r>
            <w:r w:rsidRPr="00BE61E0">
              <w:rPr>
                <w:i/>
                <w:sz w:val="16"/>
                <w:szCs w:val="16"/>
              </w:rPr>
              <w:t xml:space="preserve"> United States Code of Federal Regulations</w:t>
            </w:r>
            <w:r w:rsidRPr="00BE61E0">
              <w:rPr>
                <w:sz w:val="16"/>
                <w:szCs w:val="16"/>
              </w:rPr>
              <w:t>,</w:t>
            </w:r>
            <w:r w:rsidRPr="00BE61E0">
              <w:rPr>
                <w:i/>
                <w:sz w:val="16"/>
                <w:szCs w:val="16"/>
              </w:rPr>
              <w:t xml:space="preserve"> </w:t>
            </w:r>
            <w:r w:rsidRPr="00BE61E0">
              <w:rPr>
                <w:sz w:val="16"/>
                <w:szCs w:val="16"/>
              </w:rPr>
              <w:t>Title 50, Part 216, Su</w:t>
            </w:r>
            <w:r w:rsidR="00C769F8" w:rsidRPr="00BE61E0">
              <w:rPr>
                <w:sz w:val="16"/>
                <w:szCs w:val="16"/>
              </w:rPr>
              <w:t>bpart H, Sections 216.90</w:t>
            </w:r>
            <w:r w:rsidR="00C769F8" w:rsidRPr="00BE61E0">
              <w:rPr>
                <w:sz w:val="16"/>
                <w:szCs w:val="16"/>
              </w:rPr>
              <w:noBreakHyphen/>
              <w:t>216.95</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3</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lang w:val="en-CA"/>
              </w:rPr>
              <w:t>Taking and Related Acts Incidental to Commercial Fishing Operations by Tuna Purse Seine Vessels in the Eastern Tropical Pacific Ocean,</w:t>
            </w:r>
            <w:r w:rsidRPr="00BE61E0">
              <w:rPr>
                <w:i/>
                <w:sz w:val="16"/>
                <w:szCs w:val="16"/>
                <w:lang w:val="en-CA"/>
              </w:rPr>
              <w:t xml:space="preserve"> United States Code of Federal Regulations</w:t>
            </w:r>
            <w:r w:rsidRPr="00BE61E0">
              <w:rPr>
                <w:sz w:val="16"/>
                <w:szCs w:val="16"/>
                <w:lang w:val="en-CA"/>
              </w:rPr>
              <w:t>, Title 50, Section </w:t>
            </w:r>
            <w:r w:rsidRPr="00BE61E0">
              <w:rPr>
                <w:sz w:val="16"/>
                <w:szCs w:val="16"/>
              </w:rPr>
              <w:t>216.24 (2016)</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4</w:t>
            </w:r>
          </w:p>
        </w:tc>
        <w:tc>
          <w:tcPr>
            <w:tcW w:w="1701"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NOAA Form 370</w:t>
            </w: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NOAA, Form 370: Fisheries Certificate of Origin (2016)</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noProof/>
                <w:sz w:val="16"/>
                <w:szCs w:val="16"/>
              </w:rPr>
              <w:t>Panel Exhibit USA-12</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noProof/>
                <w:sz w:val="16"/>
                <w:szCs w:val="16"/>
              </w:rPr>
              <w:t>T. </w:t>
            </w:r>
            <w:proofErr w:type="spellStart"/>
            <w:r w:rsidRPr="00BE61E0">
              <w:rPr>
                <w:sz w:val="16"/>
                <w:szCs w:val="16"/>
              </w:rPr>
              <w:t>Gerrodette</w:t>
            </w:r>
            <w:proofErr w:type="spellEnd"/>
            <w:r w:rsidRPr="00BE61E0">
              <w:rPr>
                <w:noProof/>
                <w:sz w:val="16"/>
                <w:szCs w:val="16"/>
              </w:rPr>
              <w:t xml:space="preserve">, "The Tuna-Dolphin Issue", in Perrin, Wursig, and Thewissen (eds.), </w:t>
            </w:r>
            <w:r w:rsidRPr="00BE61E0">
              <w:rPr>
                <w:i/>
                <w:noProof/>
                <w:sz w:val="16"/>
                <w:szCs w:val="16"/>
              </w:rPr>
              <w:t>Encyclopedia of Marine Mammals</w:t>
            </w:r>
            <w:r w:rsidR="00B41F45" w:rsidRPr="00BE61E0">
              <w:rPr>
                <w:noProof/>
                <w:sz w:val="16"/>
                <w:szCs w:val="16"/>
              </w:rPr>
              <w:t>, 2nd edn (Elsevier, 2009), pp. </w:t>
            </w:r>
            <w:r w:rsidRPr="00BE61E0">
              <w:rPr>
                <w:noProof/>
                <w:sz w:val="16"/>
                <w:szCs w:val="16"/>
              </w:rPr>
              <w:t>1192-1195</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USA-15</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997343" w:rsidP="00DC1704">
            <w:pPr>
              <w:keepLines/>
              <w:tabs>
                <w:tab w:val="left" w:pos="2268"/>
                <w:tab w:val="left" w:pos="4536"/>
              </w:tabs>
              <w:spacing w:before="60" w:after="60"/>
              <w:jc w:val="left"/>
              <w:rPr>
                <w:sz w:val="16"/>
                <w:szCs w:val="16"/>
              </w:rPr>
            </w:pPr>
            <w:r w:rsidRPr="00BE61E0">
              <w:rPr>
                <w:sz w:val="16"/>
                <w:szCs w:val="16"/>
              </w:rPr>
              <w:t xml:space="preserve">AIDCP, </w:t>
            </w:r>
            <w:r w:rsidR="003105F8" w:rsidRPr="00BE61E0">
              <w:rPr>
                <w:i/>
                <w:sz w:val="16"/>
                <w:szCs w:val="16"/>
              </w:rPr>
              <w:t>Report on the Internation</w:t>
            </w:r>
            <w:r w:rsidRPr="00BE61E0">
              <w:rPr>
                <w:i/>
                <w:sz w:val="16"/>
                <w:szCs w:val="16"/>
              </w:rPr>
              <w:t>al Dolphin Conservation Program</w:t>
            </w:r>
            <w:r w:rsidR="003105F8" w:rsidRPr="00BE61E0">
              <w:rPr>
                <w:sz w:val="16"/>
                <w:szCs w:val="16"/>
              </w:rPr>
              <w:t>, Doc. MOP</w:t>
            </w:r>
            <w:r w:rsidR="003105F8" w:rsidRPr="00BE61E0">
              <w:rPr>
                <w:sz w:val="16"/>
                <w:szCs w:val="16"/>
              </w:rPr>
              <w:noBreakHyphen/>
              <w:t>32-05, 20 October 2015</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USA-60</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Food and Agriculture Organization of the United Nations,</w:t>
            </w:r>
            <w:r w:rsidRPr="00BE61E0">
              <w:rPr>
                <w:rFonts w:cs="FrutigerLTStd-Bold"/>
                <w:b/>
                <w:bCs/>
                <w:sz w:val="16"/>
                <w:szCs w:val="16"/>
              </w:rPr>
              <w:t xml:space="preserve"> </w:t>
            </w:r>
            <w:r w:rsidRPr="00BE61E0">
              <w:rPr>
                <w:sz w:val="16"/>
                <w:szCs w:val="16"/>
              </w:rPr>
              <w:t>FAO Fisheries and Aquaculture Technical Paper 5</w:t>
            </w:r>
            <w:r w:rsidR="00B41F45" w:rsidRPr="00BE61E0">
              <w:rPr>
                <w:sz w:val="16"/>
                <w:szCs w:val="16"/>
              </w:rPr>
              <w:t>68</w:t>
            </w:r>
            <w:r w:rsidRPr="00BE61E0">
              <w:rPr>
                <w:sz w:val="16"/>
                <w:szCs w:val="16"/>
              </w:rPr>
              <w:t xml:space="preserve">, </w:t>
            </w:r>
            <w:r w:rsidRPr="00BE61E0">
              <w:rPr>
                <w:i/>
                <w:sz w:val="16"/>
                <w:szCs w:val="16"/>
              </w:rPr>
              <w:t>Bycatch and Non-Tuna Catch in the Tropical Purse Seine Fisheries of the World</w:t>
            </w:r>
            <w:r w:rsidRPr="00BE61E0">
              <w:rPr>
                <w:sz w:val="16"/>
                <w:szCs w:val="16"/>
              </w:rPr>
              <w:t xml:space="preserve"> (Rome, 2013)</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90</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International</w:t>
            </w:r>
            <w:r w:rsidR="00A616F3" w:rsidRPr="00BE61E0">
              <w:rPr>
                <w:sz w:val="16"/>
                <w:szCs w:val="16"/>
              </w:rPr>
              <w:t xml:space="preserve"> Dolphin Conservation Program, </w:t>
            </w:r>
            <w:r w:rsidRPr="00BE61E0">
              <w:rPr>
                <w:sz w:val="16"/>
                <w:szCs w:val="16"/>
              </w:rPr>
              <w:t>System for Tracking and Verifying Tuna, as amended (2015)</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USA-111</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Dolphin Mortalities Per Set Due to ETP Dolphin Sets and in Other Fisheries</w:t>
            </w:r>
          </w:p>
        </w:tc>
      </w:tr>
      <w:tr w:rsidR="003105F8" w:rsidRPr="00BE61E0" w:rsidTr="00DC1704">
        <w:trPr>
          <w:cantSplit/>
        </w:trPr>
        <w:tc>
          <w:tcPr>
            <w:tcW w:w="2405" w:type="dxa"/>
          </w:tcPr>
          <w:p w:rsidR="003105F8" w:rsidRPr="00BE61E0" w:rsidRDefault="003105F8" w:rsidP="00DC1704">
            <w:pPr>
              <w:pStyle w:val="FootnoteText"/>
              <w:spacing w:before="60" w:after="60"/>
              <w:ind w:firstLine="0"/>
              <w:rPr>
                <w:szCs w:val="16"/>
              </w:rPr>
            </w:pPr>
            <w:r w:rsidRPr="00BE61E0">
              <w:rPr>
                <w:szCs w:val="16"/>
              </w:rPr>
              <w:t>Panel Exhibit USA</w:t>
            </w:r>
            <w:r w:rsidRPr="00BE61E0">
              <w:rPr>
                <w:szCs w:val="16"/>
              </w:rPr>
              <w:noBreakHyphen/>
              <w:t>166</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i/>
                <w:sz w:val="16"/>
                <w:szCs w:val="16"/>
                <w:lang w:val="en-CA"/>
              </w:rPr>
              <w:t>United States Code</w:t>
            </w:r>
            <w:r w:rsidRPr="00BE61E0">
              <w:rPr>
                <w:sz w:val="16"/>
                <w:szCs w:val="16"/>
              </w:rPr>
              <w:t>, Title 18, Section 545</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167</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pStyle w:val="FootnoteText"/>
              <w:spacing w:before="60" w:after="60"/>
              <w:ind w:firstLine="0"/>
              <w:rPr>
                <w:szCs w:val="16"/>
              </w:rPr>
            </w:pPr>
            <w:r w:rsidRPr="00BE61E0">
              <w:rPr>
                <w:i/>
                <w:szCs w:val="16"/>
                <w:lang w:val="en-CA"/>
              </w:rPr>
              <w:t>United States Code</w:t>
            </w:r>
            <w:r w:rsidRPr="00BE61E0">
              <w:rPr>
                <w:szCs w:val="16"/>
                <w:lang w:val="en-CA"/>
              </w:rPr>
              <w:t xml:space="preserve">, Title 18, </w:t>
            </w:r>
            <w:r w:rsidRPr="00BE61E0">
              <w:rPr>
                <w:szCs w:val="16"/>
              </w:rPr>
              <w:t>Section 3571</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169</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pStyle w:val="FootnoteText"/>
              <w:spacing w:before="60" w:after="60"/>
              <w:ind w:firstLine="0"/>
              <w:rPr>
                <w:szCs w:val="16"/>
              </w:rPr>
            </w:pPr>
            <w:r w:rsidRPr="00BE61E0">
              <w:rPr>
                <w:i/>
                <w:szCs w:val="16"/>
                <w:lang w:val="en-CA"/>
              </w:rPr>
              <w:t>United States Code</w:t>
            </w:r>
            <w:r w:rsidRPr="00BE61E0">
              <w:rPr>
                <w:szCs w:val="16"/>
                <w:lang w:val="en-CA"/>
              </w:rPr>
              <w:t xml:space="preserve">, Title 16, </w:t>
            </w:r>
            <w:r w:rsidRPr="00BE61E0">
              <w:rPr>
                <w:szCs w:val="16"/>
              </w:rPr>
              <w:t>Section 3372</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170</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sz w:val="16"/>
                <w:szCs w:val="16"/>
              </w:rPr>
              <w:t xml:space="preserve">Civil Monetary Penalty Adjustments for Inflation, </w:t>
            </w:r>
            <w:r w:rsidR="00BC48A8">
              <w:rPr>
                <w:i/>
                <w:sz w:val="16"/>
                <w:szCs w:val="16"/>
              </w:rPr>
              <w:t>United </w:t>
            </w:r>
            <w:r w:rsidRPr="00BE61E0">
              <w:rPr>
                <w:i/>
                <w:sz w:val="16"/>
                <w:szCs w:val="16"/>
              </w:rPr>
              <w:t>States Federal Register</w:t>
            </w:r>
            <w:r w:rsidRPr="00BE61E0">
              <w:rPr>
                <w:sz w:val="16"/>
                <w:szCs w:val="16"/>
              </w:rPr>
              <w:t>, Vol. 81, No. 109 (7 June 2016)</w:t>
            </w:r>
            <w:r w:rsidR="0050563D" w:rsidRPr="00BE61E0">
              <w:rPr>
                <w:sz w:val="16"/>
                <w:szCs w:val="16"/>
              </w:rPr>
              <w:t>,</w:t>
            </w:r>
            <w:r w:rsidRPr="00BE61E0">
              <w:rPr>
                <w:sz w:val="16"/>
                <w:szCs w:val="16"/>
              </w:rPr>
              <w:t xml:space="preserve"> pp. 36454-36458</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171</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keepLines/>
              <w:tabs>
                <w:tab w:val="left" w:pos="2268"/>
                <w:tab w:val="left" w:pos="4536"/>
              </w:tabs>
              <w:spacing w:before="60" w:after="60"/>
              <w:jc w:val="left"/>
              <w:rPr>
                <w:sz w:val="16"/>
                <w:szCs w:val="16"/>
              </w:rPr>
            </w:pPr>
            <w:r w:rsidRPr="00BE61E0">
              <w:rPr>
                <w:i/>
                <w:sz w:val="16"/>
                <w:szCs w:val="16"/>
                <w:lang w:val="en-CA"/>
              </w:rPr>
              <w:t>United States Code</w:t>
            </w:r>
            <w:r w:rsidRPr="00BE61E0">
              <w:rPr>
                <w:sz w:val="16"/>
                <w:szCs w:val="16"/>
              </w:rPr>
              <w:t>, Title 16, Section 3373</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172</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pStyle w:val="FootnoteText"/>
              <w:spacing w:before="60" w:after="60"/>
              <w:ind w:firstLine="0"/>
              <w:rPr>
                <w:szCs w:val="16"/>
              </w:rPr>
            </w:pPr>
            <w:r w:rsidRPr="00BE61E0">
              <w:rPr>
                <w:i/>
                <w:szCs w:val="16"/>
                <w:lang w:val="en-CA"/>
              </w:rPr>
              <w:t>United States Code</w:t>
            </w:r>
            <w:r w:rsidRPr="00BE61E0">
              <w:rPr>
                <w:szCs w:val="16"/>
              </w:rPr>
              <w:t>, Title 16, Section 3374</w:t>
            </w:r>
          </w:p>
        </w:tc>
      </w:tr>
      <w:tr w:rsidR="003105F8" w:rsidRPr="00BE61E0" w:rsidTr="00DC1704">
        <w:trPr>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173</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pStyle w:val="FootnoteText"/>
              <w:spacing w:before="60" w:after="60"/>
              <w:ind w:firstLine="0"/>
              <w:rPr>
                <w:szCs w:val="16"/>
              </w:rPr>
            </w:pPr>
            <w:r w:rsidRPr="00BE61E0">
              <w:rPr>
                <w:i/>
                <w:szCs w:val="16"/>
                <w:lang w:val="en-CA"/>
              </w:rPr>
              <w:t>United States Code</w:t>
            </w:r>
            <w:r w:rsidRPr="00BE61E0">
              <w:rPr>
                <w:szCs w:val="16"/>
                <w:lang w:val="en-CA"/>
              </w:rPr>
              <w:t>, Title 18,</w:t>
            </w:r>
            <w:r w:rsidRPr="00BE61E0">
              <w:rPr>
                <w:szCs w:val="16"/>
              </w:rPr>
              <w:t xml:space="preserve"> Section 1001</w:t>
            </w:r>
          </w:p>
        </w:tc>
      </w:tr>
      <w:tr w:rsidR="003105F8" w:rsidRPr="00BE61E0" w:rsidTr="00DC1704">
        <w:trPr>
          <w:cnfStyle w:val="000000010000" w:firstRow="0" w:lastRow="0" w:firstColumn="0" w:lastColumn="0" w:oddVBand="0" w:evenVBand="0" w:oddHBand="0" w:evenHBand="1" w:firstRowFirstColumn="0" w:firstRowLastColumn="0" w:lastRowFirstColumn="0" w:lastRowLastColumn="0"/>
          <w:cantSplit/>
        </w:trPr>
        <w:tc>
          <w:tcPr>
            <w:tcW w:w="2405" w:type="dxa"/>
          </w:tcPr>
          <w:p w:rsidR="003105F8" w:rsidRPr="00BE61E0" w:rsidRDefault="003105F8" w:rsidP="00DC1704">
            <w:pPr>
              <w:spacing w:before="60" w:after="60"/>
              <w:jc w:val="left"/>
              <w:rPr>
                <w:sz w:val="16"/>
                <w:szCs w:val="16"/>
              </w:rPr>
            </w:pPr>
            <w:r w:rsidRPr="00BE61E0">
              <w:rPr>
                <w:sz w:val="16"/>
                <w:szCs w:val="16"/>
              </w:rPr>
              <w:t>Panel Exhibit USA</w:t>
            </w:r>
            <w:r w:rsidRPr="00BE61E0">
              <w:rPr>
                <w:sz w:val="16"/>
                <w:szCs w:val="16"/>
              </w:rPr>
              <w:noBreakHyphen/>
              <w:t>174</w:t>
            </w:r>
          </w:p>
        </w:tc>
        <w:tc>
          <w:tcPr>
            <w:tcW w:w="1701" w:type="dxa"/>
          </w:tcPr>
          <w:p w:rsidR="003105F8" w:rsidRPr="00BE61E0" w:rsidRDefault="003105F8" w:rsidP="00DC1704">
            <w:pPr>
              <w:keepLines/>
              <w:tabs>
                <w:tab w:val="left" w:pos="2268"/>
                <w:tab w:val="left" w:pos="4536"/>
              </w:tabs>
              <w:spacing w:before="60" w:after="60"/>
              <w:jc w:val="left"/>
              <w:rPr>
                <w:sz w:val="16"/>
                <w:szCs w:val="16"/>
              </w:rPr>
            </w:pPr>
          </w:p>
        </w:tc>
        <w:tc>
          <w:tcPr>
            <w:tcW w:w="5074" w:type="dxa"/>
          </w:tcPr>
          <w:p w:rsidR="003105F8" w:rsidRPr="00BE61E0" w:rsidRDefault="003105F8" w:rsidP="00DC1704">
            <w:pPr>
              <w:pStyle w:val="FootnoteText"/>
              <w:spacing w:before="60" w:after="60"/>
              <w:ind w:firstLine="0"/>
              <w:rPr>
                <w:szCs w:val="16"/>
                <w:highlight w:val="yellow"/>
              </w:rPr>
            </w:pPr>
            <w:r w:rsidRPr="00BE61E0">
              <w:rPr>
                <w:i/>
                <w:szCs w:val="16"/>
                <w:lang w:val="en-CA"/>
              </w:rPr>
              <w:t>United States Code</w:t>
            </w:r>
            <w:r w:rsidRPr="00BE61E0">
              <w:rPr>
                <w:szCs w:val="16"/>
              </w:rPr>
              <w:t>, Title 16, Section 1375</w:t>
            </w:r>
          </w:p>
        </w:tc>
      </w:tr>
    </w:tbl>
    <w:bookmarkEnd w:id="3"/>
    <w:p w:rsidR="00BB7DD3" w:rsidRPr="00F7665C" w:rsidRDefault="00BB7DD3" w:rsidP="00BB7DD3">
      <w:pPr>
        <w:pStyle w:val="Title"/>
      </w:pPr>
      <w:r w:rsidRPr="00F7665C">
        <w:t>CASES CITED IN THIS REPORT</w:t>
      </w:r>
    </w:p>
    <w:tbl>
      <w:tblPr>
        <w:tblStyle w:val="WTOTable1"/>
        <w:tblW w:w="9221" w:type="dxa"/>
        <w:tblLayout w:type="fixed"/>
        <w:tblLook w:val="0060" w:firstRow="1" w:lastRow="1" w:firstColumn="0" w:lastColumn="0" w:noHBand="0" w:noVBand="0"/>
      </w:tblPr>
      <w:tblGrid>
        <w:gridCol w:w="2600"/>
        <w:gridCol w:w="6621"/>
      </w:tblGrid>
      <w:tr w:rsidR="00BB7DD3" w:rsidRPr="00BE61E0" w:rsidTr="00ED6C8F">
        <w:trPr>
          <w:cnfStyle w:val="100000000000" w:firstRow="1" w:lastRow="0" w:firstColumn="0" w:lastColumn="0" w:oddVBand="0" w:evenVBand="0" w:oddHBand="0" w:evenHBand="0" w:firstRowFirstColumn="0" w:firstRowLastColumn="0" w:lastRowFirstColumn="0" w:lastRowLastColumn="0"/>
          <w:cantSplit/>
          <w:tblHeader/>
        </w:trPr>
        <w:tc>
          <w:tcPr>
            <w:tcW w:w="2600" w:type="dxa"/>
          </w:tcPr>
          <w:p w:rsidR="00BB7DD3" w:rsidRPr="00BE61E0" w:rsidRDefault="00BB7DD3" w:rsidP="000F192E">
            <w:pPr>
              <w:keepLines/>
              <w:tabs>
                <w:tab w:val="left" w:pos="2268"/>
                <w:tab w:val="left" w:pos="4536"/>
              </w:tabs>
              <w:spacing w:before="60" w:after="60"/>
              <w:jc w:val="center"/>
              <w:rPr>
                <w:sz w:val="16"/>
                <w:szCs w:val="16"/>
              </w:rPr>
            </w:pPr>
            <w:bookmarkStart w:id="4" w:name="_Hlk529199299"/>
            <w:r w:rsidRPr="00BE61E0">
              <w:rPr>
                <w:sz w:val="16"/>
                <w:szCs w:val="16"/>
              </w:rPr>
              <w:t>Short Title</w:t>
            </w:r>
          </w:p>
        </w:tc>
        <w:tc>
          <w:tcPr>
            <w:tcW w:w="6621" w:type="dxa"/>
          </w:tcPr>
          <w:p w:rsidR="00BB7DD3" w:rsidRPr="00BE61E0" w:rsidRDefault="00BB7DD3" w:rsidP="000F192E">
            <w:pPr>
              <w:keepLines/>
              <w:tabs>
                <w:tab w:val="left" w:pos="2268"/>
                <w:tab w:val="left" w:pos="4536"/>
              </w:tabs>
              <w:spacing w:before="60" w:after="60"/>
              <w:jc w:val="center"/>
              <w:rPr>
                <w:sz w:val="16"/>
                <w:szCs w:val="16"/>
              </w:rPr>
            </w:pPr>
            <w:r w:rsidRPr="00BE61E0">
              <w:rPr>
                <w:sz w:val="16"/>
                <w:szCs w:val="16"/>
              </w:rPr>
              <w:t>Full Case Title and Citation</w:t>
            </w:r>
          </w:p>
        </w:tc>
      </w:tr>
      <w:tr w:rsidR="00251EAF" w:rsidRPr="00BE61E0" w:rsidTr="00ED6C8F">
        <w:trPr>
          <w:cantSplit/>
        </w:trPr>
        <w:tc>
          <w:tcPr>
            <w:tcW w:w="2600" w:type="dxa"/>
          </w:tcPr>
          <w:p w:rsidR="00251EAF" w:rsidRPr="00BE61E0" w:rsidRDefault="00251EAF" w:rsidP="00251EAF">
            <w:pPr>
              <w:spacing w:before="60" w:after="60"/>
              <w:jc w:val="left"/>
              <w:rPr>
                <w:i/>
                <w:sz w:val="16"/>
                <w:szCs w:val="16"/>
              </w:rPr>
            </w:pPr>
            <w:r w:rsidRPr="00BE61E0">
              <w:rPr>
                <w:i/>
                <w:color w:val="000000"/>
                <w:sz w:val="16"/>
                <w:szCs w:val="16"/>
              </w:rPr>
              <w:t>Argentina – Footwear (EC)</w:t>
            </w:r>
          </w:p>
        </w:tc>
        <w:tc>
          <w:tcPr>
            <w:tcW w:w="6621" w:type="dxa"/>
          </w:tcPr>
          <w:p w:rsidR="00251EAF" w:rsidRPr="00BE61E0" w:rsidRDefault="00251EAF" w:rsidP="00251EAF">
            <w:pPr>
              <w:keepLines/>
              <w:tabs>
                <w:tab w:val="left" w:pos="2268"/>
                <w:tab w:val="left" w:pos="4536"/>
              </w:tabs>
              <w:spacing w:before="60" w:after="60"/>
              <w:jc w:val="left"/>
              <w:rPr>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Argentina – Safeguard Measures on Imports of Footwear</w:t>
            </w:r>
            <w:r w:rsidRPr="00BE61E0">
              <w:rPr>
                <w:color w:val="000000"/>
                <w:sz w:val="16"/>
                <w:szCs w:val="16"/>
              </w:rPr>
              <w:t xml:space="preserve">, </w:t>
            </w:r>
            <w:r w:rsidRPr="00BE61E0">
              <w:rPr>
                <w:rFonts w:eastAsia="Times New Roman"/>
                <w:bCs/>
                <w:sz w:val="16"/>
                <w:szCs w:val="16"/>
              </w:rPr>
              <w:t>WT/DS121/AB/R</w:t>
            </w:r>
            <w:r w:rsidRPr="00BE61E0">
              <w:rPr>
                <w:color w:val="000000"/>
                <w:sz w:val="16"/>
                <w:szCs w:val="16"/>
              </w:rPr>
              <w:t>, adopted 12</w:t>
            </w:r>
            <w:r w:rsidR="00832630" w:rsidRPr="00BE61E0">
              <w:rPr>
                <w:color w:val="000000"/>
                <w:sz w:val="16"/>
                <w:szCs w:val="16"/>
              </w:rPr>
              <w:t> </w:t>
            </w:r>
            <w:r w:rsidRPr="00BE61E0">
              <w:rPr>
                <w:color w:val="000000"/>
                <w:sz w:val="16"/>
                <w:szCs w:val="16"/>
              </w:rPr>
              <w:t>January</w:t>
            </w:r>
            <w:r w:rsidR="00832630" w:rsidRPr="00BE61E0">
              <w:rPr>
                <w:color w:val="000000"/>
                <w:sz w:val="16"/>
                <w:szCs w:val="16"/>
              </w:rPr>
              <w:t> </w:t>
            </w:r>
            <w:r w:rsidRPr="00BE61E0">
              <w:rPr>
                <w:color w:val="000000"/>
                <w:sz w:val="16"/>
                <w:szCs w:val="16"/>
              </w:rPr>
              <w:t xml:space="preserve">2000, DSR </w:t>
            </w:r>
            <w:proofErr w:type="gramStart"/>
            <w:r w:rsidRPr="00BE61E0">
              <w:rPr>
                <w:color w:val="000000"/>
                <w:sz w:val="16"/>
                <w:szCs w:val="16"/>
              </w:rPr>
              <w:t>2000:I</w:t>
            </w:r>
            <w:proofErr w:type="gramEnd"/>
            <w:r w:rsidRPr="00BE61E0">
              <w:rPr>
                <w:color w:val="000000"/>
                <w:sz w:val="16"/>
                <w:szCs w:val="16"/>
              </w:rPr>
              <w:t>, p. 515</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sz w:val="16"/>
                <w:szCs w:val="16"/>
              </w:rPr>
            </w:pPr>
            <w:r w:rsidRPr="00BE61E0">
              <w:rPr>
                <w:i/>
                <w:color w:val="000000"/>
                <w:sz w:val="16"/>
                <w:szCs w:val="16"/>
              </w:rPr>
              <w:t>Australia – Salmon</w:t>
            </w:r>
          </w:p>
        </w:tc>
        <w:tc>
          <w:tcPr>
            <w:tcW w:w="6621" w:type="dxa"/>
          </w:tcPr>
          <w:p w:rsidR="00251EAF" w:rsidRPr="00BE61E0" w:rsidRDefault="00251EAF" w:rsidP="00251EAF">
            <w:pPr>
              <w:keepLines/>
              <w:tabs>
                <w:tab w:val="left" w:pos="2268"/>
                <w:tab w:val="left" w:pos="4536"/>
              </w:tabs>
              <w:spacing w:before="60" w:after="60"/>
              <w:jc w:val="left"/>
              <w:rPr>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Australia – Measures Affecting Importation of Salmon</w:t>
            </w:r>
            <w:r w:rsidRPr="00BE61E0">
              <w:rPr>
                <w:color w:val="000000"/>
                <w:sz w:val="16"/>
                <w:szCs w:val="16"/>
              </w:rPr>
              <w:t xml:space="preserve">, </w:t>
            </w:r>
            <w:r w:rsidRPr="00BE61E0">
              <w:rPr>
                <w:sz w:val="16"/>
                <w:szCs w:val="16"/>
              </w:rPr>
              <w:t>WT/DS18/AB/R</w:t>
            </w:r>
            <w:r w:rsidRPr="00BE61E0">
              <w:rPr>
                <w:color w:val="000000"/>
                <w:sz w:val="16"/>
                <w:szCs w:val="16"/>
              </w:rPr>
              <w:t>, adopted 6</w:t>
            </w:r>
            <w:r w:rsidR="00832630" w:rsidRPr="00BE61E0">
              <w:rPr>
                <w:color w:val="000000"/>
                <w:sz w:val="16"/>
                <w:szCs w:val="16"/>
              </w:rPr>
              <w:t> </w:t>
            </w:r>
            <w:r w:rsidRPr="00BE61E0">
              <w:rPr>
                <w:color w:val="000000"/>
                <w:sz w:val="16"/>
                <w:szCs w:val="16"/>
              </w:rPr>
              <w:t>November</w:t>
            </w:r>
            <w:r w:rsidR="00832630" w:rsidRPr="00BE61E0">
              <w:rPr>
                <w:color w:val="000000"/>
                <w:sz w:val="16"/>
                <w:szCs w:val="16"/>
              </w:rPr>
              <w:t> </w:t>
            </w:r>
            <w:r w:rsidRPr="00BE61E0">
              <w:rPr>
                <w:color w:val="000000"/>
                <w:sz w:val="16"/>
                <w:szCs w:val="16"/>
              </w:rPr>
              <w:t xml:space="preserve">1998, DSR </w:t>
            </w:r>
            <w:proofErr w:type="gramStart"/>
            <w:r w:rsidRPr="00BE61E0">
              <w:rPr>
                <w:color w:val="000000"/>
                <w:sz w:val="16"/>
                <w:szCs w:val="16"/>
              </w:rPr>
              <w:t>1998:VIII</w:t>
            </w:r>
            <w:proofErr w:type="gramEnd"/>
            <w:r w:rsidRPr="00BE61E0">
              <w:rPr>
                <w:color w:val="000000"/>
                <w:sz w:val="16"/>
                <w:szCs w:val="16"/>
              </w:rPr>
              <w:t>, p. 3327</w:t>
            </w:r>
          </w:p>
        </w:tc>
      </w:tr>
      <w:tr w:rsidR="00251EAF" w:rsidRPr="00BE61E0" w:rsidTr="00ED6C8F">
        <w:trPr>
          <w:cantSplit/>
        </w:trPr>
        <w:tc>
          <w:tcPr>
            <w:tcW w:w="2600" w:type="dxa"/>
          </w:tcPr>
          <w:p w:rsidR="00251EAF" w:rsidRPr="00BE61E0" w:rsidRDefault="00251EAF" w:rsidP="00251EAF">
            <w:pPr>
              <w:spacing w:before="60" w:after="60"/>
              <w:jc w:val="left"/>
              <w:rPr>
                <w:i/>
                <w:sz w:val="16"/>
                <w:szCs w:val="16"/>
              </w:rPr>
            </w:pPr>
            <w:r w:rsidRPr="00BE61E0">
              <w:rPr>
                <w:i/>
                <w:color w:val="000000"/>
                <w:sz w:val="16"/>
                <w:szCs w:val="16"/>
              </w:rPr>
              <w:t xml:space="preserve">Brazil – </w:t>
            </w:r>
            <w:proofErr w:type="spellStart"/>
            <w:r w:rsidRPr="00BE61E0">
              <w:rPr>
                <w:i/>
                <w:color w:val="000000"/>
                <w:sz w:val="16"/>
                <w:szCs w:val="16"/>
              </w:rPr>
              <w:t>Retreaded</w:t>
            </w:r>
            <w:proofErr w:type="spellEnd"/>
            <w:r w:rsidRPr="00BE61E0">
              <w:rPr>
                <w:i/>
                <w:color w:val="000000"/>
                <w:sz w:val="16"/>
                <w:szCs w:val="16"/>
              </w:rPr>
              <w:t xml:space="preserve"> Tyres</w:t>
            </w:r>
          </w:p>
        </w:tc>
        <w:tc>
          <w:tcPr>
            <w:tcW w:w="6621" w:type="dxa"/>
          </w:tcPr>
          <w:p w:rsidR="00251EAF" w:rsidRPr="00BE61E0" w:rsidRDefault="00251EAF" w:rsidP="00251EAF">
            <w:pPr>
              <w:keepLines/>
              <w:tabs>
                <w:tab w:val="left" w:pos="2268"/>
                <w:tab w:val="left" w:pos="4536"/>
              </w:tabs>
              <w:spacing w:before="60" w:after="60"/>
              <w:jc w:val="left"/>
              <w:rPr>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 xml:space="preserve">Brazil – Measures Affecting Imports of </w:t>
            </w:r>
            <w:proofErr w:type="spellStart"/>
            <w:r w:rsidRPr="00BE61E0">
              <w:rPr>
                <w:i/>
                <w:color w:val="000000"/>
                <w:sz w:val="16"/>
                <w:szCs w:val="16"/>
              </w:rPr>
              <w:t>Retreaded</w:t>
            </w:r>
            <w:proofErr w:type="spellEnd"/>
            <w:r w:rsidRPr="00BE61E0">
              <w:rPr>
                <w:i/>
                <w:color w:val="000000"/>
                <w:sz w:val="16"/>
                <w:szCs w:val="16"/>
              </w:rPr>
              <w:t xml:space="preserve"> Tyres</w:t>
            </w:r>
            <w:r w:rsidRPr="00BE61E0">
              <w:rPr>
                <w:color w:val="000000"/>
                <w:sz w:val="16"/>
                <w:szCs w:val="16"/>
              </w:rPr>
              <w:t xml:space="preserve">, </w:t>
            </w:r>
            <w:r w:rsidRPr="00BE61E0">
              <w:rPr>
                <w:sz w:val="16"/>
                <w:szCs w:val="16"/>
              </w:rPr>
              <w:t>WT/DS332/AB/R</w:t>
            </w:r>
            <w:r w:rsidRPr="00BE61E0">
              <w:rPr>
                <w:color w:val="000000"/>
                <w:sz w:val="16"/>
                <w:szCs w:val="16"/>
              </w:rPr>
              <w:t>, adopted 17</w:t>
            </w:r>
            <w:r w:rsidR="00832630" w:rsidRPr="00BE61E0">
              <w:rPr>
                <w:color w:val="000000"/>
                <w:sz w:val="16"/>
                <w:szCs w:val="16"/>
              </w:rPr>
              <w:t> </w:t>
            </w:r>
            <w:r w:rsidRPr="00BE61E0">
              <w:rPr>
                <w:color w:val="000000"/>
                <w:sz w:val="16"/>
                <w:szCs w:val="16"/>
              </w:rPr>
              <w:t>December</w:t>
            </w:r>
            <w:r w:rsidR="00832630" w:rsidRPr="00BE61E0">
              <w:rPr>
                <w:color w:val="000000"/>
                <w:sz w:val="16"/>
                <w:szCs w:val="16"/>
              </w:rPr>
              <w:t> </w:t>
            </w:r>
            <w:r w:rsidRPr="00BE61E0">
              <w:rPr>
                <w:color w:val="000000"/>
                <w:sz w:val="16"/>
                <w:szCs w:val="16"/>
              </w:rPr>
              <w:t xml:space="preserve">2007, DSR </w:t>
            </w:r>
            <w:proofErr w:type="gramStart"/>
            <w:r w:rsidRPr="00BE61E0">
              <w:rPr>
                <w:color w:val="000000"/>
                <w:sz w:val="16"/>
                <w:szCs w:val="16"/>
              </w:rPr>
              <w:t>2007:IV</w:t>
            </w:r>
            <w:proofErr w:type="gramEnd"/>
            <w:r w:rsidRPr="00BE61E0">
              <w:rPr>
                <w:color w:val="000000"/>
                <w:sz w:val="16"/>
                <w:szCs w:val="16"/>
              </w:rPr>
              <w:t>, p. 1527</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sz w:val="16"/>
                <w:szCs w:val="16"/>
              </w:rPr>
            </w:pPr>
            <w:r w:rsidRPr="00BE61E0">
              <w:rPr>
                <w:i/>
                <w:color w:val="000000"/>
                <w:sz w:val="16"/>
                <w:szCs w:val="16"/>
              </w:rPr>
              <w:t>Canada – Wheat Exports and Grain Imports</w:t>
            </w:r>
          </w:p>
        </w:tc>
        <w:tc>
          <w:tcPr>
            <w:tcW w:w="6621" w:type="dxa"/>
          </w:tcPr>
          <w:p w:rsidR="00251EAF" w:rsidRPr="00BE61E0" w:rsidRDefault="00251EAF" w:rsidP="00251EAF">
            <w:pPr>
              <w:keepLines/>
              <w:tabs>
                <w:tab w:val="left" w:pos="2268"/>
                <w:tab w:val="left" w:pos="4536"/>
              </w:tabs>
              <w:spacing w:before="60" w:after="60"/>
              <w:jc w:val="left"/>
              <w:rPr>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Canada – Measures Relating to Exports of Wheat and Treatment of Imported Grain</w:t>
            </w:r>
            <w:r w:rsidRPr="00BE61E0">
              <w:rPr>
                <w:color w:val="000000"/>
                <w:sz w:val="16"/>
                <w:szCs w:val="16"/>
              </w:rPr>
              <w:t xml:space="preserve">, </w:t>
            </w:r>
            <w:r w:rsidRPr="00BE61E0">
              <w:rPr>
                <w:sz w:val="16"/>
                <w:szCs w:val="16"/>
              </w:rPr>
              <w:t>WT/DS276/AB/R</w:t>
            </w:r>
            <w:r w:rsidRPr="00BE61E0">
              <w:rPr>
                <w:color w:val="000000"/>
                <w:sz w:val="16"/>
                <w:szCs w:val="16"/>
              </w:rPr>
              <w:t>, adopted 27</w:t>
            </w:r>
            <w:r w:rsidR="00832630" w:rsidRPr="00BE61E0">
              <w:rPr>
                <w:color w:val="000000"/>
                <w:sz w:val="16"/>
                <w:szCs w:val="16"/>
              </w:rPr>
              <w:t> </w:t>
            </w:r>
            <w:r w:rsidRPr="00BE61E0">
              <w:rPr>
                <w:color w:val="000000"/>
                <w:sz w:val="16"/>
                <w:szCs w:val="16"/>
              </w:rPr>
              <w:t>September</w:t>
            </w:r>
            <w:r w:rsidR="00832630" w:rsidRPr="00BE61E0">
              <w:rPr>
                <w:color w:val="000000"/>
                <w:sz w:val="16"/>
                <w:szCs w:val="16"/>
              </w:rPr>
              <w:t> </w:t>
            </w:r>
            <w:r w:rsidRPr="00BE61E0">
              <w:rPr>
                <w:color w:val="000000"/>
                <w:sz w:val="16"/>
                <w:szCs w:val="16"/>
              </w:rPr>
              <w:t>2004, DSR 2004:VI, p. 2739</w:t>
            </w:r>
          </w:p>
        </w:tc>
      </w:tr>
      <w:tr w:rsidR="00251EAF" w:rsidRPr="00BE61E0" w:rsidTr="00ED6C8F">
        <w:trPr>
          <w:cantSplit/>
        </w:trPr>
        <w:tc>
          <w:tcPr>
            <w:tcW w:w="2600" w:type="dxa"/>
          </w:tcPr>
          <w:p w:rsidR="00251EAF" w:rsidRPr="00BE61E0" w:rsidRDefault="00251EAF" w:rsidP="00251EAF">
            <w:pPr>
              <w:spacing w:before="60" w:after="60"/>
              <w:jc w:val="left"/>
              <w:rPr>
                <w:i/>
                <w:sz w:val="16"/>
                <w:szCs w:val="16"/>
                <w:lang w:val="fr-CH"/>
              </w:rPr>
            </w:pPr>
            <w:r w:rsidRPr="00BE61E0">
              <w:rPr>
                <w:i/>
                <w:color w:val="000000"/>
                <w:sz w:val="16"/>
                <w:szCs w:val="16"/>
                <w:lang w:val="fr-CH"/>
              </w:rPr>
              <w:lastRenderedPageBreak/>
              <w:t>China – HP-SSST (EU)</w:t>
            </w:r>
          </w:p>
        </w:tc>
        <w:tc>
          <w:tcPr>
            <w:tcW w:w="6621" w:type="dxa"/>
          </w:tcPr>
          <w:p w:rsidR="00251EAF" w:rsidRPr="00BE61E0" w:rsidRDefault="00251EAF" w:rsidP="00251EAF">
            <w:pPr>
              <w:keepLines/>
              <w:tabs>
                <w:tab w:val="left" w:pos="2268"/>
                <w:tab w:val="left" w:pos="4536"/>
              </w:tabs>
              <w:spacing w:before="60" w:after="60"/>
              <w:jc w:val="left"/>
              <w:rPr>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China – Measures Imposing Anti-Dumping Duties on High-Performance Stainless Steel Seamless Tubes ("HP-SSST") from the European</w:t>
            </w:r>
            <w:r w:rsidR="00832630" w:rsidRPr="00BE61E0">
              <w:rPr>
                <w:i/>
                <w:color w:val="000000"/>
                <w:sz w:val="16"/>
                <w:szCs w:val="16"/>
              </w:rPr>
              <w:t> Union</w:t>
            </w:r>
            <w:r w:rsidRPr="00BE61E0">
              <w:rPr>
                <w:color w:val="000000"/>
                <w:sz w:val="16"/>
                <w:szCs w:val="16"/>
              </w:rPr>
              <w:t xml:space="preserve">, </w:t>
            </w:r>
            <w:r w:rsidRPr="00BE61E0">
              <w:rPr>
                <w:sz w:val="16"/>
                <w:szCs w:val="16"/>
              </w:rPr>
              <w:t>WT/DS460/AB/R</w:t>
            </w:r>
            <w:r w:rsidRPr="00BE61E0">
              <w:rPr>
                <w:color w:val="000000"/>
                <w:sz w:val="16"/>
                <w:szCs w:val="16"/>
              </w:rPr>
              <w:t xml:space="preserve"> and Add.1, adopted 28</w:t>
            </w:r>
            <w:r w:rsidR="00832630" w:rsidRPr="00BE61E0">
              <w:rPr>
                <w:color w:val="000000"/>
                <w:sz w:val="16"/>
                <w:szCs w:val="16"/>
              </w:rPr>
              <w:t> </w:t>
            </w:r>
            <w:r w:rsidRPr="00BE61E0">
              <w:rPr>
                <w:color w:val="000000"/>
                <w:sz w:val="16"/>
                <w:szCs w:val="16"/>
              </w:rPr>
              <w:t>October</w:t>
            </w:r>
            <w:r w:rsidR="00832630" w:rsidRPr="00BE61E0">
              <w:rPr>
                <w:color w:val="000000"/>
                <w:sz w:val="16"/>
                <w:szCs w:val="16"/>
              </w:rPr>
              <w:t> </w:t>
            </w:r>
            <w:r w:rsidRPr="00BE61E0">
              <w:rPr>
                <w:color w:val="000000"/>
                <w:sz w:val="16"/>
                <w:szCs w:val="16"/>
              </w:rPr>
              <w:t>2015, DSR</w:t>
            </w:r>
            <w:r w:rsidR="0033166C" w:rsidRPr="00BE61E0">
              <w:rPr>
                <w:color w:val="000000"/>
                <w:sz w:val="16"/>
                <w:szCs w:val="16"/>
              </w:rPr>
              <w:t> </w:t>
            </w:r>
            <w:proofErr w:type="gramStart"/>
            <w:r w:rsidRPr="00BE61E0">
              <w:rPr>
                <w:color w:val="000000"/>
                <w:sz w:val="16"/>
                <w:szCs w:val="16"/>
              </w:rPr>
              <w:t>2015:IX</w:t>
            </w:r>
            <w:proofErr w:type="gramEnd"/>
            <w:r w:rsidRPr="00BE61E0">
              <w:rPr>
                <w:color w:val="000000"/>
                <w:sz w:val="16"/>
                <w:szCs w:val="16"/>
              </w:rPr>
              <w:t>, p. 4573</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sz w:val="16"/>
                <w:szCs w:val="16"/>
              </w:rPr>
            </w:pPr>
            <w:r w:rsidRPr="00BE61E0">
              <w:rPr>
                <w:i/>
                <w:color w:val="000000"/>
                <w:sz w:val="16"/>
                <w:szCs w:val="16"/>
              </w:rPr>
              <w:t>China – Rare Earths</w:t>
            </w:r>
          </w:p>
        </w:tc>
        <w:tc>
          <w:tcPr>
            <w:tcW w:w="6621" w:type="dxa"/>
          </w:tcPr>
          <w:p w:rsidR="00251EAF" w:rsidRPr="00BE61E0" w:rsidRDefault="00251EAF" w:rsidP="00251EAF">
            <w:pPr>
              <w:keepLines/>
              <w:tabs>
                <w:tab w:val="left" w:pos="2268"/>
                <w:tab w:val="left" w:pos="4536"/>
              </w:tabs>
              <w:spacing w:before="60" w:after="60"/>
              <w:jc w:val="left"/>
              <w:rPr>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Reports, </w:t>
            </w:r>
            <w:r w:rsidRPr="00BE61E0">
              <w:rPr>
                <w:i/>
                <w:color w:val="000000"/>
                <w:sz w:val="16"/>
                <w:szCs w:val="16"/>
              </w:rPr>
              <w:t>China – Measures Related to the Exportation of Rare Earths, Tungsten, and Molybdenum</w:t>
            </w:r>
            <w:r w:rsidRPr="00BE61E0">
              <w:rPr>
                <w:color w:val="000000"/>
                <w:sz w:val="16"/>
                <w:szCs w:val="16"/>
              </w:rPr>
              <w:t xml:space="preserve">, </w:t>
            </w:r>
            <w:r w:rsidRPr="00BE61E0">
              <w:rPr>
                <w:sz w:val="16"/>
                <w:szCs w:val="16"/>
              </w:rPr>
              <w:t>WT/DS431/AB/R</w:t>
            </w:r>
            <w:r w:rsidRPr="00BE61E0">
              <w:rPr>
                <w:color w:val="000000"/>
                <w:sz w:val="16"/>
                <w:szCs w:val="16"/>
              </w:rPr>
              <w:t xml:space="preserve"> / </w:t>
            </w:r>
            <w:r w:rsidRPr="00BE61E0">
              <w:rPr>
                <w:sz w:val="16"/>
                <w:szCs w:val="16"/>
              </w:rPr>
              <w:t>WT/DS432/AB/R</w:t>
            </w:r>
            <w:r w:rsidRPr="00BE61E0">
              <w:rPr>
                <w:color w:val="000000"/>
                <w:sz w:val="16"/>
                <w:szCs w:val="16"/>
              </w:rPr>
              <w:t xml:space="preserve"> / </w:t>
            </w:r>
            <w:r w:rsidRPr="00BE61E0">
              <w:rPr>
                <w:sz w:val="16"/>
                <w:szCs w:val="16"/>
              </w:rPr>
              <w:t>WT/DS433/AB/R</w:t>
            </w:r>
            <w:r w:rsidRPr="00BE61E0">
              <w:rPr>
                <w:color w:val="000000"/>
                <w:sz w:val="16"/>
                <w:szCs w:val="16"/>
              </w:rPr>
              <w:t>, adopted 29</w:t>
            </w:r>
            <w:r w:rsidR="00832630" w:rsidRPr="00BE61E0">
              <w:rPr>
                <w:color w:val="000000"/>
                <w:sz w:val="16"/>
                <w:szCs w:val="16"/>
              </w:rPr>
              <w:t> </w:t>
            </w:r>
            <w:r w:rsidRPr="00BE61E0">
              <w:rPr>
                <w:color w:val="000000"/>
                <w:sz w:val="16"/>
                <w:szCs w:val="16"/>
              </w:rPr>
              <w:t>August</w:t>
            </w:r>
            <w:r w:rsidR="00832630" w:rsidRPr="00BE61E0">
              <w:rPr>
                <w:color w:val="000000"/>
                <w:sz w:val="16"/>
                <w:szCs w:val="16"/>
              </w:rPr>
              <w:t> </w:t>
            </w:r>
            <w:r w:rsidRPr="00BE61E0">
              <w:rPr>
                <w:color w:val="000000"/>
                <w:sz w:val="16"/>
                <w:szCs w:val="16"/>
              </w:rPr>
              <w:t xml:space="preserve">2014, DSR </w:t>
            </w:r>
            <w:proofErr w:type="gramStart"/>
            <w:r w:rsidRPr="00BE61E0">
              <w:rPr>
                <w:color w:val="000000"/>
                <w:sz w:val="16"/>
                <w:szCs w:val="16"/>
              </w:rPr>
              <w:t>2014:III</w:t>
            </w:r>
            <w:proofErr w:type="gramEnd"/>
            <w:r w:rsidRPr="00BE61E0">
              <w:rPr>
                <w:color w:val="000000"/>
                <w:sz w:val="16"/>
                <w:szCs w:val="16"/>
              </w:rPr>
              <w:t>, p. 805</w:t>
            </w:r>
          </w:p>
        </w:tc>
      </w:tr>
      <w:tr w:rsidR="00251EAF" w:rsidRPr="00BE61E0" w:rsidTr="00ED6C8F">
        <w:trPr>
          <w:cantSplit/>
        </w:trPr>
        <w:tc>
          <w:tcPr>
            <w:tcW w:w="2600" w:type="dxa"/>
          </w:tcPr>
          <w:p w:rsidR="00251EAF" w:rsidRPr="00BE61E0" w:rsidRDefault="00251EAF" w:rsidP="00251EAF">
            <w:pPr>
              <w:spacing w:before="60" w:after="60"/>
              <w:jc w:val="left"/>
              <w:rPr>
                <w:i/>
                <w:sz w:val="16"/>
                <w:szCs w:val="16"/>
              </w:rPr>
            </w:pPr>
            <w:r w:rsidRPr="00BE61E0">
              <w:rPr>
                <w:i/>
                <w:color w:val="000000"/>
                <w:sz w:val="16"/>
                <w:szCs w:val="16"/>
              </w:rPr>
              <w:t>Colombia – Textiles</w:t>
            </w:r>
          </w:p>
        </w:tc>
        <w:tc>
          <w:tcPr>
            <w:tcW w:w="6621" w:type="dxa"/>
          </w:tcPr>
          <w:p w:rsidR="00251EAF" w:rsidRPr="00BE61E0" w:rsidRDefault="00251EAF" w:rsidP="00251EAF">
            <w:pPr>
              <w:keepLines/>
              <w:tabs>
                <w:tab w:val="left" w:pos="2268"/>
                <w:tab w:val="left" w:pos="4536"/>
              </w:tabs>
              <w:spacing w:before="60" w:after="60"/>
              <w:jc w:val="left"/>
              <w:rPr>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Colombia – Measures Relating to the Importation of Textiles, Apparel and Footwear</w:t>
            </w:r>
            <w:r w:rsidRPr="00BE61E0">
              <w:rPr>
                <w:color w:val="000000"/>
                <w:sz w:val="16"/>
                <w:szCs w:val="16"/>
              </w:rPr>
              <w:t>,</w:t>
            </w:r>
            <w:r w:rsidRPr="00BE61E0">
              <w:rPr>
                <w:color w:val="76923C"/>
                <w:sz w:val="16"/>
                <w:szCs w:val="16"/>
              </w:rPr>
              <w:t xml:space="preserve"> </w:t>
            </w:r>
            <w:r w:rsidRPr="00BE61E0">
              <w:rPr>
                <w:sz w:val="16"/>
                <w:szCs w:val="16"/>
              </w:rPr>
              <w:t>WT/DS461/AB/R</w:t>
            </w:r>
            <w:r w:rsidRPr="00BE61E0">
              <w:rPr>
                <w:color w:val="76923C"/>
                <w:sz w:val="16"/>
                <w:szCs w:val="16"/>
              </w:rPr>
              <w:t xml:space="preserve"> </w:t>
            </w:r>
            <w:r w:rsidRPr="00BE61E0">
              <w:rPr>
                <w:color w:val="000000"/>
                <w:sz w:val="16"/>
                <w:szCs w:val="16"/>
              </w:rPr>
              <w:t>and Add.1, adopted 22</w:t>
            </w:r>
            <w:r w:rsidR="00832630" w:rsidRPr="00BE61E0">
              <w:rPr>
                <w:color w:val="000000"/>
                <w:sz w:val="16"/>
                <w:szCs w:val="16"/>
              </w:rPr>
              <w:t> </w:t>
            </w:r>
            <w:r w:rsidRPr="00BE61E0">
              <w:rPr>
                <w:color w:val="000000"/>
                <w:sz w:val="16"/>
                <w:szCs w:val="16"/>
              </w:rPr>
              <w:t>June</w:t>
            </w:r>
            <w:r w:rsidR="00832630" w:rsidRPr="00BE61E0">
              <w:rPr>
                <w:color w:val="000000"/>
                <w:sz w:val="16"/>
                <w:szCs w:val="16"/>
              </w:rPr>
              <w:t> </w:t>
            </w:r>
            <w:r w:rsidRPr="00BE61E0">
              <w:rPr>
                <w:color w:val="000000"/>
                <w:sz w:val="16"/>
                <w:szCs w:val="16"/>
              </w:rPr>
              <w:t xml:space="preserve">2016, DSR </w:t>
            </w:r>
            <w:proofErr w:type="gramStart"/>
            <w:r w:rsidRPr="00BE61E0">
              <w:rPr>
                <w:color w:val="000000"/>
                <w:sz w:val="16"/>
                <w:szCs w:val="16"/>
              </w:rPr>
              <w:t>2016:III</w:t>
            </w:r>
            <w:proofErr w:type="gramEnd"/>
            <w:r w:rsidRPr="00BE61E0">
              <w:rPr>
                <w:color w:val="000000"/>
                <w:sz w:val="16"/>
                <w:szCs w:val="16"/>
              </w:rPr>
              <w:t>, p. 1131</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EC – Asbestos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European Communities – Measures Affecting Asbestos and Asbestos-Containing Products</w:t>
            </w:r>
            <w:r w:rsidRPr="00BE61E0">
              <w:rPr>
                <w:color w:val="000000"/>
                <w:sz w:val="16"/>
                <w:szCs w:val="16"/>
              </w:rPr>
              <w:t xml:space="preserve">, </w:t>
            </w:r>
            <w:r w:rsidRPr="00BE61E0">
              <w:rPr>
                <w:sz w:val="16"/>
                <w:szCs w:val="16"/>
              </w:rPr>
              <w:t>WT/DS135/AB/R</w:t>
            </w:r>
            <w:r w:rsidRPr="00BE61E0">
              <w:rPr>
                <w:color w:val="000000"/>
                <w:sz w:val="16"/>
                <w:szCs w:val="16"/>
              </w:rPr>
              <w:t>, adopted 5</w:t>
            </w:r>
            <w:r w:rsidR="00832630" w:rsidRPr="00BE61E0">
              <w:rPr>
                <w:color w:val="000000"/>
                <w:sz w:val="16"/>
                <w:szCs w:val="16"/>
              </w:rPr>
              <w:t> </w:t>
            </w:r>
            <w:r w:rsidRPr="00BE61E0">
              <w:rPr>
                <w:color w:val="000000"/>
                <w:sz w:val="16"/>
                <w:szCs w:val="16"/>
              </w:rPr>
              <w:t>April</w:t>
            </w:r>
            <w:r w:rsidR="00832630" w:rsidRPr="00BE61E0">
              <w:rPr>
                <w:color w:val="000000"/>
                <w:sz w:val="16"/>
                <w:szCs w:val="16"/>
              </w:rPr>
              <w:t> </w:t>
            </w:r>
            <w:r w:rsidRPr="00BE61E0">
              <w:rPr>
                <w:color w:val="000000"/>
                <w:sz w:val="16"/>
                <w:szCs w:val="16"/>
              </w:rPr>
              <w:t xml:space="preserve">2001, DSR </w:t>
            </w:r>
            <w:proofErr w:type="gramStart"/>
            <w:r w:rsidRPr="00BE61E0">
              <w:rPr>
                <w:color w:val="000000"/>
                <w:sz w:val="16"/>
                <w:szCs w:val="16"/>
              </w:rPr>
              <w:t>2001:VII</w:t>
            </w:r>
            <w:proofErr w:type="gramEnd"/>
            <w:r w:rsidRPr="00BE61E0">
              <w:rPr>
                <w:color w:val="000000"/>
                <w:sz w:val="16"/>
                <w:szCs w:val="16"/>
              </w:rPr>
              <w:t>, p. 3243</w:t>
            </w:r>
          </w:p>
        </w:tc>
      </w:tr>
      <w:tr w:rsidR="00251EAF" w:rsidRPr="00BE61E0" w:rsidTr="00ED6C8F">
        <w:trPr>
          <w:cantSplit/>
        </w:trPr>
        <w:tc>
          <w:tcPr>
            <w:tcW w:w="2600" w:type="dxa"/>
          </w:tcPr>
          <w:p w:rsidR="00251EAF" w:rsidRPr="00BE61E0" w:rsidRDefault="00251EAF" w:rsidP="00251EAF">
            <w:pPr>
              <w:spacing w:before="60" w:after="60"/>
              <w:jc w:val="left"/>
              <w:rPr>
                <w:i/>
                <w:color w:val="000000"/>
                <w:sz w:val="16"/>
                <w:szCs w:val="16"/>
                <w:lang w:val="es-ES"/>
              </w:rPr>
            </w:pPr>
            <w:r w:rsidRPr="00BE61E0">
              <w:rPr>
                <w:i/>
                <w:color w:val="000000"/>
                <w:sz w:val="16"/>
                <w:szCs w:val="16"/>
                <w:lang w:val="es-ES"/>
              </w:rPr>
              <w:t xml:space="preserve">EC – Bananas III </w:t>
            </w:r>
            <w:r w:rsidRPr="00BE61E0">
              <w:rPr>
                <w:i/>
                <w:color w:val="000000"/>
                <w:sz w:val="16"/>
                <w:szCs w:val="16"/>
                <w:lang w:val="es-ES"/>
              </w:rPr>
              <w:br/>
              <w:t>(</w:t>
            </w:r>
            <w:proofErr w:type="spellStart"/>
            <w:r w:rsidRPr="00BE61E0">
              <w:rPr>
                <w:i/>
                <w:color w:val="000000"/>
                <w:sz w:val="16"/>
                <w:szCs w:val="16"/>
                <w:lang w:val="es-ES"/>
              </w:rPr>
              <w:t>Article</w:t>
            </w:r>
            <w:proofErr w:type="spellEnd"/>
            <w:r w:rsidRPr="00BE61E0">
              <w:rPr>
                <w:i/>
                <w:color w:val="000000"/>
                <w:sz w:val="16"/>
                <w:szCs w:val="16"/>
                <w:lang w:val="es-ES"/>
              </w:rPr>
              <w:t xml:space="preserve"> 21.5 – Ecuador II) / </w:t>
            </w:r>
            <w:r w:rsidRPr="00BE61E0">
              <w:rPr>
                <w:i/>
                <w:color w:val="000000"/>
                <w:sz w:val="16"/>
                <w:szCs w:val="16"/>
                <w:lang w:val="es-ES"/>
              </w:rPr>
              <w:br/>
              <w:t xml:space="preserve">EC – Bananas III </w:t>
            </w:r>
            <w:r w:rsidRPr="00BE61E0">
              <w:rPr>
                <w:i/>
                <w:color w:val="000000"/>
                <w:sz w:val="16"/>
                <w:szCs w:val="16"/>
                <w:lang w:val="es-ES"/>
              </w:rPr>
              <w:br/>
              <w:t>(</w:t>
            </w:r>
            <w:proofErr w:type="spellStart"/>
            <w:r w:rsidRPr="00BE61E0">
              <w:rPr>
                <w:i/>
                <w:color w:val="000000"/>
                <w:sz w:val="16"/>
                <w:szCs w:val="16"/>
                <w:lang w:val="es-ES"/>
              </w:rPr>
              <w:t>Article</w:t>
            </w:r>
            <w:proofErr w:type="spellEnd"/>
            <w:r w:rsidRPr="00BE61E0">
              <w:rPr>
                <w:i/>
                <w:color w:val="000000"/>
                <w:sz w:val="16"/>
                <w:szCs w:val="16"/>
                <w:lang w:val="es-ES"/>
              </w:rPr>
              <w:t> 21.5 – US)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Reports, </w:t>
            </w:r>
            <w:r w:rsidRPr="00BE61E0">
              <w:rPr>
                <w:i/>
                <w:color w:val="000000"/>
                <w:sz w:val="16"/>
                <w:szCs w:val="16"/>
              </w:rPr>
              <w:t>European Communities – Regime for the Importation, Sale and Distribution of Bananas – Second Recourse to Article 21.5 of the DSU by Ecuador</w:t>
            </w:r>
            <w:r w:rsidRPr="00BE61E0">
              <w:rPr>
                <w:color w:val="000000"/>
                <w:sz w:val="16"/>
                <w:szCs w:val="16"/>
              </w:rPr>
              <w:t>,</w:t>
            </w:r>
            <w:r w:rsidRPr="00BE61E0">
              <w:rPr>
                <w:i/>
                <w:color w:val="000000"/>
                <w:sz w:val="16"/>
                <w:szCs w:val="16"/>
              </w:rPr>
              <w:t xml:space="preserve"> </w:t>
            </w:r>
            <w:r w:rsidRPr="00BE61E0">
              <w:rPr>
                <w:sz w:val="16"/>
                <w:szCs w:val="16"/>
              </w:rPr>
              <w:t>WT/DS27/AB/RW2/ECU</w:t>
            </w:r>
            <w:r w:rsidRPr="00BE61E0">
              <w:rPr>
                <w:color w:val="000000"/>
                <w:sz w:val="16"/>
                <w:szCs w:val="16"/>
              </w:rPr>
              <w:t>, adopted 11</w:t>
            </w:r>
            <w:r w:rsidR="00832630" w:rsidRPr="00BE61E0">
              <w:rPr>
                <w:color w:val="000000"/>
                <w:sz w:val="16"/>
                <w:szCs w:val="16"/>
              </w:rPr>
              <w:t> </w:t>
            </w:r>
            <w:r w:rsidRPr="00BE61E0">
              <w:rPr>
                <w:color w:val="000000"/>
                <w:sz w:val="16"/>
                <w:szCs w:val="16"/>
              </w:rPr>
              <w:t>December</w:t>
            </w:r>
            <w:r w:rsidR="00832630" w:rsidRPr="00BE61E0">
              <w:rPr>
                <w:color w:val="000000"/>
                <w:sz w:val="16"/>
                <w:szCs w:val="16"/>
              </w:rPr>
              <w:t> </w:t>
            </w:r>
            <w:r w:rsidRPr="00BE61E0">
              <w:rPr>
                <w:color w:val="000000"/>
                <w:sz w:val="16"/>
                <w:szCs w:val="16"/>
              </w:rPr>
              <w:t xml:space="preserve">2008, and Corr.1 / </w:t>
            </w:r>
            <w:r w:rsidRPr="00BE61E0">
              <w:rPr>
                <w:i/>
                <w:color w:val="000000"/>
                <w:sz w:val="16"/>
                <w:szCs w:val="16"/>
              </w:rPr>
              <w:t>European Communities – Regime for the Importation, Sale and Distribution of Bananas – Recourse to Article 21.5 of the DSU by the United</w:t>
            </w:r>
            <w:r w:rsidR="00832630" w:rsidRPr="00BE61E0">
              <w:rPr>
                <w:i/>
                <w:color w:val="000000"/>
                <w:sz w:val="16"/>
                <w:szCs w:val="16"/>
              </w:rPr>
              <w:t> States</w:t>
            </w:r>
            <w:r w:rsidRPr="00BE61E0">
              <w:rPr>
                <w:color w:val="000000"/>
                <w:sz w:val="16"/>
                <w:szCs w:val="16"/>
              </w:rPr>
              <w:t xml:space="preserve">, </w:t>
            </w:r>
            <w:r w:rsidRPr="00BE61E0">
              <w:rPr>
                <w:sz w:val="16"/>
                <w:szCs w:val="16"/>
              </w:rPr>
              <w:t>WT/DS27/AB/RW/USA</w:t>
            </w:r>
            <w:r w:rsidRPr="00BE61E0">
              <w:rPr>
                <w:color w:val="000000"/>
                <w:sz w:val="16"/>
                <w:szCs w:val="16"/>
              </w:rPr>
              <w:t xml:space="preserve"> and Corr.1, adopted 22</w:t>
            </w:r>
            <w:r w:rsidR="00832630" w:rsidRPr="00BE61E0">
              <w:rPr>
                <w:color w:val="000000"/>
                <w:sz w:val="16"/>
                <w:szCs w:val="16"/>
              </w:rPr>
              <w:t> </w:t>
            </w:r>
            <w:r w:rsidRPr="00BE61E0">
              <w:rPr>
                <w:color w:val="000000"/>
                <w:sz w:val="16"/>
                <w:szCs w:val="16"/>
              </w:rPr>
              <w:t>December</w:t>
            </w:r>
            <w:r w:rsidR="00832630" w:rsidRPr="00BE61E0">
              <w:rPr>
                <w:color w:val="000000"/>
                <w:sz w:val="16"/>
                <w:szCs w:val="16"/>
              </w:rPr>
              <w:t> </w:t>
            </w:r>
            <w:r w:rsidR="0033166C" w:rsidRPr="00BE61E0">
              <w:rPr>
                <w:color w:val="000000"/>
                <w:sz w:val="16"/>
                <w:szCs w:val="16"/>
              </w:rPr>
              <w:t>2008, DSR </w:t>
            </w:r>
            <w:r w:rsidRPr="00BE61E0">
              <w:rPr>
                <w:color w:val="000000"/>
                <w:sz w:val="16"/>
                <w:szCs w:val="16"/>
              </w:rPr>
              <w:t>2008:XVIII, p. 7165</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 xml:space="preserve">EC – Bed Linen </w:t>
            </w:r>
            <w:r w:rsidRPr="00BE61E0">
              <w:rPr>
                <w:i/>
                <w:color w:val="000000"/>
                <w:sz w:val="16"/>
                <w:szCs w:val="16"/>
              </w:rPr>
              <w:br/>
              <w:t>(Article 21.5 – India)</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European Communities – Anti-Dumping Duties on Imports of Cotton-Type Bed Linen from India – Recourse to Article 21.5 of the DSU</w:t>
            </w:r>
            <w:r w:rsidRPr="00BE61E0">
              <w:rPr>
                <w:color w:val="000000"/>
                <w:sz w:val="16"/>
                <w:szCs w:val="16"/>
              </w:rPr>
              <w:t xml:space="preserve"> </w:t>
            </w:r>
            <w:r w:rsidRPr="00BE61E0">
              <w:rPr>
                <w:i/>
                <w:color w:val="000000"/>
                <w:sz w:val="16"/>
                <w:szCs w:val="16"/>
              </w:rPr>
              <w:t>by India</w:t>
            </w:r>
            <w:r w:rsidRPr="00BE61E0">
              <w:rPr>
                <w:color w:val="000000"/>
                <w:sz w:val="16"/>
                <w:szCs w:val="16"/>
              </w:rPr>
              <w:t xml:space="preserve">, </w:t>
            </w:r>
            <w:r w:rsidRPr="00BE61E0">
              <w:rPr>
                <w:sz w:val="16"/>
                <w:szCs w:val="16"/>
              </w:rPr>
              <w:t>WT/DS141/AB/RW</w:t>
            </w:r>
            <w:r w:rsidRPr="00BE61E0">
              <w:rPr>
                <w:color w:val="000000"/>
                <w:sz w:val="16"/>
                <w:szCs w:val="16"/>
              </w:rPr>
              <w:t>, adopted 24</w:t>
            </w:r>
            <w:r w:rsidR="00832630" w:rsidRPr="00BE61E0">
              <w:rPr>
                <w:color w:val="000000"/>
                <w:sz w:val="16"/>
                <w:szCs w:val="16"/>
              </w:rPr>
              <w:t> </w:t>
            </w:r>
            <w:r w:rsidRPr="00BE61E0">
              <w:rPr>
                <w:color w:val="000000"/>
                <w:sz w:val="16"/>
                <w:szCs w:val="16"/>
              </w:rPr>
              <w:t>April</w:t>
            </w:r>
            <w:r w:rsidR="00832630" w:rsidRPr="00BE61E0">
              <w:rPr>
                <w:color w:val="000000"/>
                <w:sz w:val="16"/>
                <w:szCs w:val="16"/>
              </w:rPr>
              <w:t> </w:t>
            </w:r>
            <w:r w:rsidRPr="00BE61E0">
              <w:rPr>
                <w:color w:val="000000"/>
                <w:sz w:val="16"/>
                <w:szCs w:val="16"/>
              </w:rPr>
              <w:t xml:space="preserve">2003, DSR </w:t>
            </w:r>
            <w:proofErr w:type="gramStart"/>
            <w:r w:rsidRPr="00BE61E0">
              <w:rPr>
                <w:color w:val="000000"/>
                <w:sz w:val="16"/>
                <w:szCs w:val="16"/>
              </w:rPr>
              <w:t>2003:III</w:t>
            </w:r>
            <w:proofErr w:type="gramEnd"/>
            <w:r w:rsidRPr="00BE61E0">
              <w:rPr>
                <w:color w:val="000000"/>
                <w:sz w:val="16"/>
                <w:szCs w:val="16"/>
              </w:rPr>
              <w:t>, p. 965</w:t>
            </w:r>
          </w:p>
        </w:tc>
      </w:tr>
      <w:tr w:rsidR="00251EAF" w:rsidRPr="00BE61E0" w:rsidTr="00ED6C8F">
        <w:trPr>
          <w:cantSplit/>
        </w:trPr>
        <w:tc>
          <w:tcPr>
            <w:tcW w:w="2600" w:type="dxa"/>
          </w:tcPr>
          <w:p w:rsidR="00251EAF" w:rsidRPr="00BE61E0" w:rsidRDefault="00251EAF" w:rsidP="00251EAF">
            <w:pPr>
              <w:spacing w:before="60" w:after="60"/>
              <w:jc w:val="left"/>
              <w:rPr>
                <w:i/>
                <w:color w:val="000000"/>
                <w:sz w:val="16"/>
                <w:szCs w:val="16"/>
              </w:rPr>
            </w:pPr>
            <w:r w:rsidRPr="00BE61E0">
              <w:rPr>
                <w:i/>
                <w:iCs/>
                <w:color w:val="000000"/>
                <w:sz w:val="16"/>
                <w:szCs w:val="16"/>
              </w:rPr>
              <w:t>EC – Fasteners (China)</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iCs/>
                <w:color w:val="000000"/>
                <w:sz w:val="16"/>
                <w:szCs w:val="16"/>
              </w:rPr>
              <w:t>European Communities – Definitive Anti-Dumping Measures on Certain Iron or Steel Fasteners from China</w:t>
            </w:r>
            <w:r w:rsidRPr="00BE61E0">
              <w:rPr>
                <w:color w:val="000000"/>
                <w:sz w:val="16"/>
                <w:szCs w:val="16"/>
              </w:rPr>
              <w:t xml:space="preserve">, </w:t>
            </w:r>
            <w:r w:rsidRPr="00BE61E0">
              <w:rPr>
                <w:sz w:val="16"/>
                <w:szCs w:val="16"/>
              </w:rPr>
              <w:t>WT/DS397/AB/R</w:t>
            </w:r>
            <w:r w:rsidRPr="00BE61E0">
              <w:rPr>
                <w:color w:val="000000"/>
                <w:sz w:val="16"/>
                <w:szCs w:val="16"/>
              </w:rPr>
              <w:t>, adopted 28</w:t>
            </w:r>
            <w:r w:rsidR="00832630" w:rsidRPr="00BE61E0">
              <w:rPr>
                <w:color w:val="000000"/>
                <w:sz w:val="16"/>
                <w:szCs w:val="16"/>
              </w:rPr>
              <w:t> </w:t>
            </w:r>
            <w:r w:rsidRPr="00BE61E0">
              <w:rPr>
                <w:color w:val="000000"/>
                <w:sz w:val="16"/>
                <w:szCs w:val="16"/>
              </w:rPr>
              <w:t>July</w:t>
            </w:r>
            <w:r w:rsidR="00832630" w:rsidRPr="00BE61E0">
              <w:rPr>
                <w:color w:val="000000"/>
                <w:sz w:val="16"/>
                <w:szCs w:val="16"/>
              </w:rPr>
              <w:t> </w:t>
            </w:r>
            <w:r w:rsidRPr="00BE61E0">
              <w:rPr>
                <w:color w:val="000000"/>
                <w:sz w:val="16"/>
                <w:szCs w:val="16"/>
              </w:rPr>
              <w:t xml:space="preserve">2011, DSR </w:t>
            </w:r>
            <w:proofErr w:type="gramStart"/>
            <w:r w:rsidRPr="00BE61E0">
              <w:rPr>
                <w:color w:val="000000"/>
                <w:sz w:val="16"/>
                <w:szCs w:val="16"/>
              </w:rPr>
              <w:t>2011:VII</w:t>
            </w:r>
            <w:proofErr w:type="gramEnd"/>
            <w:r w:rsidRPr="00BE61E0">
              <w:rPr>
                <w:color w:val="000000"/>
                <w:sz w:val="16"/>
                <w:szCs w:val="16"/>
              </w:rPr>
              <w:t>, p. 3995</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iCs/>
                <w:color w:val="000000"/>
                <w:sz w:val="16"/>
                <w:szCs w:val="16"/>
              </w:rPr>
            </w:pPr>
            <w:r w:rsidRPr="00BE61E0">
              <w:rPr>
                <w:i/>
                <w:color w:val="000000"/>
                <w:sz w:val="16"/>
                <w:szCs w:val="16"/>
              </w:rPr>
              <w:t>EC – Hormones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EC Measures Concerning Meat and Meat Products (Hormones)</w:t>
            </w:r>
            <w:r w:rsidRPr="00BE61E0">
              <w:rPr>
                <w:color w:val="000000"/>
                <w:sz w:val="16"/>
                <w:szCs w:val="16"/>
              </w:rPr>
              <w:t xml:space="preserve">, </w:t>
            </w:r>
            <w:r w:rsidRPr="00BE61E0">
              <w:rPr>
                <w:sz w:val="16"/>
                <w:szCs w:val="16"/>
              </w:rPr>
              <w:t>WT/DS26/AB/R</w:t>
            </w:r>
            <w:r w:rsidRPr="00BE61E0">
              <w:rPr>
                <w:color w:val="000000"/>
                <w:sz w:val="16"/>
                <w:szCs w:val="16"/>
              </w:rPr>
              <w:t xml:space="preserve">, </w:t>
            </w:r>
            <w:r w:rsidRPr="00BE61E0">
              <w:rPr>
                <w:sz w:val="16"/>
                <w:szCs w:val="16"/>
              </w:rPr>
              <w:t>WT/DS48/AB/R</w:t>
            </w:r>
            <w:r w:rsidRPr="00BE61E0">
              <w:rPr>
                <w:color w:val="000000"/>
                <w:sz w:val="16"/>
                <w:szCs w:val="16"/>
              </w:rPr>
              <w:t>, adopted 13</w:t>
            </w:r>
            <w:r w:rsidR="00832630" w:rsidRPr="00BE61E0">
              <w:rPr>
                <w:color w:val="000000"/>
                <w:sz w:val="16"/>
                <w:szCs w:val="16"/>
              </w:rPr>
              <w:t> </w:t>
            </w:r>
            <w:r w:rsidRPr="00BE61E0">
              <w:rPr>
                <w:color w:val="000000"/>
                <w:sz w:val="16"/>
                <w:szCs w:val="16"/>
              </w:rPr>
              <w:t>February</w:t>
            </w:r>
            <w:r w:rsidR="00832630" w:rsidRPr="00BE61E0">
              <w:rPr>
                <w:color w:val="000000"/>
                <w:sz w:val="16"/>
                <w:szCs w:val="16"/>
              </w:rPr>
              <w:t> </w:t>
            </w:r>
            <w:r w:rsidRPr="00BE61E0">
              <w:rPr>
                <w:color w:val="000000"/>
                <w:sz w:val="16"/>
                <w:szCs w:val="16"/>
              </w:rPr>
              <w:t xml:space="preserve">1998, DSR </w:t>
            </w:r>
            <w:proofErr w:type="gramStart"/>
            <w:r w:rsidRPr="00BE61E0">
              <w:rPr>
                <w:color w:val="000000"/>
                <w:sz w:val="16"/>
                <w:szCs w:val="16"/>
              </w:rPr>
              <w:t>1998:I</w:t>
            </w:r>
            <w:proofErr w:type="gramEnd"/>
            <w:r w:rsidRPr="00BE61E0">
              <w:rPr>
                <w:color w:val="000000"/>
                <w:sz w:val="16"/>
                <w:szCs w:val="16"/>
              </w:rPr>
              <w:t>, p. 135</w:t>
            </w:r>
          </w:p>
        </w:tc>
      </w:tr>
      <w:tr w:rsidR="00251EAF" w:rsidRPr="00BE61E0" w:rsidTr="00ED6C8F">
        <w:trPr>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EC – Sardines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European Communities – Trade Description of Sardines</w:t>
            </w:r>
            <w:r w:rsidRPr="00BE61E0">
              <w:rPr>
                <w:color w:val="000000"/>
                <w:sz w:val="16"/>
                <w:szCs w:val="16"/>
              </w:rPr>
              <w:t xml:space="preserve">, </w:t>
            </w:r>
            <w:r w:rsidRPr="00BE61E0">
              <w:rPr>
                <w:sz w:val="16"/>
                <w:szCs w:val="16"/>
              </w:rPr>
              <w:t>WT/DS231/AB/R</w:t>
            </w:r>
            <w:r w:rsidRPr="00BE61E0">
              <w:rPr>
                <w:color w:val="000000"/>
                <w:sz w:val="16"/>
                <w:szCs w:val="16"/>
              </w:rPr>
              <w:t>, adopted 23</w:t>
            </w:r>
            <w:r w:rsidR="00832630" w:rsidRPr="00BE61E0">
              <w:rPr>
                <w:color w:val="000000"/>
                <w:sz w:val="16"/>
                <w:szCs w:val="16"/>
              </w:rPr>
              <w:t> </w:t>
            </w:r>
            <w:r w:rsidRPr="00BE61E0">
              <w:rPr>
                <w:color w:val="000000"/>
                <w:sz w:val="16"/>
                <w:szCs w:val="16"/>
              </w:rPr>
              <w:t>October</w:t>
            </w:r>
            <w:r w:rsidR="00832630" w:rsidRPr="00BE61E0">
              <w:rPr>
                <w:color w:val="000000"/>
                <w:sz w:val="16"/>
                <w:szCs w:val="16"/>
              </w:rPr>
              <w:t> </w:t>
            </w:r>
            <w:r w:rsidRPr="00BE61E0">
              <w:rPr>
                <w:color w:val="000000"/>
                <w:sz w:val="16"/>
                <w:szCs w:val="16"/>
              </w:rPr>
              <w:t xml:space="preserve">2002, DSR </w:t>
            </w:r>
            <w:proofErr w:type="gramStart"/>
            <w:r w:rsidRPr="00BE61E0">
              <w:rPr>
                <w:color w:val="000000"/>
                <w:sz w:val="16"/>
                <w:szCs w:val="16"/>
              </w:rPr>
              <w:t>2002:VIII</w:t>
            </w:r>
            <w:proofErr w:type="gramEnd"/>
            <w:r w:rsidRPr="00BE61E0">
              <w:rPr>
                <w:color w:val="000000"/>
                <w:sz w:val="16"/>
                <w:szCs w:val="16"/>
              </w:rPr>
              <w:t>, p. 3359</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EC – Seal Products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Reports, </w:t>
            </w:r>
            <w:r w:rsidRPr="00BE61E0">
              <w:rPr>
                <w:i/>
                <w:color w:val="000000"/>
                <w:sz w:val="16"/>
                <w:szCs w:val="16"/>
              </w:rPr>
              <w:t>European Communities – Measures Prohibiting the Importation and Marketing of Seal Products</w:t>
            </w:r>
            <w:r w:rsidRPr="00BE61E0">
              <w:rPr>
                <w:color w:val="000000"/>
                <w:sz w:val="16"/>
                <w:szCs w:val="16"/>
              </w:rPr>
              <w:t xml:space="preserve">, </w:t>
            </w:r>
            <w:r w:rsidRPr="00BE61E0">
              <w:rPr>
                <w:sz w:val="16"/>
                <w:szCs w:val="16"/>
              </w:rPr>
              <w:t>WT/DS400/AB/R</w:t>
            </w:r>
            <w:r w:rsidRPr="00BE61E0">
              <w:rPr>
                <w:color w:val="000000"/>
                <w:sz w:val="16"/>
                <w:szCs w:val="16"/>
              </w:rPr>
              <w:t xml:space="preserve"> / </w:t>
            </w:r>
            <w:r w:rsidRPr="00BE61E0">
              <w:rPr>
                <w:sz w:val="16"/>
                <w:szCs w:val="16"/>
              </w:rPr>
              <w:t>WT/DS401/AB/R</w:t>
            </w:r>
            <w:r w:rsidRPr="00BE61E0">
              <w:rPr>
                <w:color w:val="000000"/>
                <w:sz w:val="16"/>
                <w:szCs w:val="16"/>
              </w:rPr>
              <w:t>, adopted 18</w:t>
            </w:r>
            <w:r w:rsidR="00832630" w:rsidRPr="00BE61E0">
              <w:rPr>
                <w:color w:val="000000"/>
                <w:sz w:val="16"/>
                <w:szCs w:val="16"/>
              </w:rPr>
              <w:t> </w:t>
            </w:r>
            <w:r w:rsidRPr="00BE61E0">
              <w:rPr>
                <w:color w:val="000000"/>
                <w:sz w:val="16"/>
                <w:szCs w:val="16"/>
              </w:rPr>
              <w:t>June</w:t>
            </w:r>
            <w:r w:rsidR="00832630" w:rsidRPr="00BE61E0">
              <w:rPr>
                <w:color w:val="000000"/>
                <w:sz w:val="16"/>
                <w:szCs w:val="16"/>
              </w:rPr>
              <w:t> </w:t>
            </w:r>
            <w:r w:rsidRPr="00BE61E0">
              <w:rPr>
                <w:color w:val="000000"/>
                <w:sz w:val="16"/>
                <w:szCs w:val="16"/>
              </w:rPr>
              <w:t xml:space="preserve">2014, DSR </w:t>
            </w:r>
            <w:proofErr w:type="gramStart"/>
            <w:r w:rsidRPr="00BE61E0">
              <w:rPr>
                <w:color w:val="000000"/>
                <w:sz w:val="16"/>
                <w:szCs w:val="16"/>
              </w:rPr>
              <w:t>2014:I</w:t>
            </w:r>
            <w:proofErr w:type="gramEnd"/>
            <w:r w:rsidRPr="00BE61E0">
              <w:rPr>
                <w:color w:val="000000"/>
                <w:sz w:val="16"/>
                <w:szCs w:val="16"/>
              </w:rPr>
              <w:t>, p. 7</w:t>
            </w:r>
          </w:p>
        </w:tc>
      </w:tr>
      <w:tr w:rsidR="00251EAF" w:rsidRPr="00BE61E0" w:rsidTr="00ED6C8F">
        <w:trPr>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EC – Selected Customs Matters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European Communities – Selected Customs Matters</w:t>
            </w:r>
            <w:r w:rsidRPr="00BE61E0">
              <w:rPr>
                <w:color w:val="000000"/>
                <w:sz w:val="16"/>
                <w:szCs w:val="16"/>
              </w:rPr>
              <w:t xml:space="preserve">, </w:t>
            </w:r>
            <w:r w:rsidRPr="00BE61E0">
              <w:rPr>
                <w:sz w:val="16"/>
                <w:szCs w:val="16"/>
              </w:rPr>
              <w:t>WT/DS315/AB/R</w:t>
            </w:r>
            <w:r w:rsidRPr="00BE61E0">
              <w:rPr>
                <w:color w:val="000000"/>
                <w:sz w:val="16"/>
                <w:szCs w:val="16"/>
              </w:rPr>
              <w:t>, adopted 11</w:t>
            </w:r>
            <w:r w:rsidR="00832630" w:rsidRPr="00BE61E0">
              <w:rPr>
                <w:color w:val="000000"/>
                <w:sz w:val="16"/>
                <w:szCs w:val="16"/>
              </w:rPr>
              <w:t> </w:t>
            </w:r>
            <w:r w:rsidRPr="00BE61E0">
              <w:rPr>
                <w:color w:val="000000"/>
                <w:sz w:val="16"/>
                <w:szCs w:val="16"/>
              </w:rPr>
              <w:t>December</w:t>
            </w:r>
            <w:r w:rsidR="00832630" w:rsidRPr="00BE61E0">
              <w:rPr>
                <w:color w:val="000000"/>
                <w:sz w:val="16"/>
                <w:szCs w:val="16"/>
              </w:rPr>
              <w:t> </w:t>
            </w:r>
            <w:r w:rsidRPr="00BE61E0">
              <w:rPr>
                <w:color w:val="000000"/>
                <w:sz w:val="16"/>
                <w:szCs w:val="16"/>
              </w:rPr>
              <w:t xml:space="preserve">2006, DSR </w:t>
            </w:r>
            <w:proofErr w:type="gramStart"/>
            <w:r w:rsidRPr="00BE61E0">
              <w:rPr>
                <w:color w:val="000000"/>
                <w:sz w:val="16"/>
                <w:szCs w:val="16"/>
              </w:rPr>
              <w:t>2006:IX</w:t>
            </w:r>
            <w:proofErr w:type="gramEnd"/>
            <w:r w:rsidRPr="00BE61E0">
              <w:rPr>
                <w:color w:val="000000"/>
                <w:sz w:val="16"/>
                <w:szCs w:val="16"/>
              </w:rPr>
              <w:t>, p. 3791</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EC – Tube or Pipe Fittings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European Communities – Anti-Dumping Duties on Malleable Cast Iron Tube or Pipe Fittings from Brazil</w:t>
            </w:r>
            <w:r w:rsidRPr="00BE61E0">
              <w:rPr>
                <w:color w:val="000000"/>
                <w:sz w:val="16"/>
                <w:szCs w:val="16"/>
              </w:rPr>
              <w:t xml:space="preserve">, </w:t>
            </w:r>
            <w:r w:rsidRPr="00BE61E0">
              <w:rPr>
                <w:sz w:val="16"/>
                <w:szCs w:val="16"/>
              </w:rPr>
              <w:t>WT/DS219/AB/R</w:t>
            </w:r>
            <w:r w:rsidRPr="00BE61E0">
              <w:rPr>
                <w:color w:val="000000"/>
                <w:sz w:val="16"/>
                <w:szCs w:val="16"/>
              </w:rPr>
              <w:t>, adopted 18</w:t>
            </w:r>
            <w:r w:rsidR="00832630" w:rsidRPr="00BE61E0">
              <w:rPr>
                <w:color w:val="000000"/>
                <w:sz w:val="16"/>
                <w:szCs w:val="16"/>
              </w:rPr>
              <w:t> </w:t>
            </w:r>
            <w:r w:rsidRPr="00BE61E0">
              <w:rPr>
                <w:color w:val="000000"/>
                <w:sz w:val="16"/>
                <w:szCs w:val="16"/>
              </w:rPr>
              <w:t>August</w:t>
            </w:r>
            <w:r w:rsidR="00832630" w:rsidRPr="00BE61E0">
              <w:rPr>
                <w:color w:val="000000"/>
                <w:sz w:val="16"/>
                <w:szCs w:val="16"/>
              </w:rPr>
              <w:t> </w:t>
            </w:r>
            <w:r w:rsidRPr="00BE61E0">
              <w:rPr>
                <w:color w:val="000000"/>
                <w:sz w:val="16"/>
                <w:szCs w:val="16"/>
              </w:rPr>
              <w:t>2003, DSR 2003:VI, p. 2613</w:t>
            </w:r>
          </w:p>
        </w:tc>
      </w:tr>
      <w:tr w:rsidR="00251EAF" w:rsidRPr="00BE61E0" w:rsidTr="00ED6C8F">
        <w:trPr>
          <w:cantSplit/>
        </w:trPr>
        <w:tc>
          <w:tcPr>
            <w:tcW w:w="2600" w:type="dxa"/>
          </w:tcPr>
          <w:p w:rsidR="00251EAF" w:rsidRPr="00BE61E0" w:rsidRDefault="00251EAF" w:rsidP="00251EAF">
            <w:pPr>
              <w:spacing w:before="60" w:after="60"/>
              <w:jc w:val="left"/>
              <w:rPr>
                <w:i/>
                <w:iCs/>
                <w:color w:val="000000"/>
                <w:sz w:val="16"/>
                <w:szCs w:val="16"/>
              </w:rPr>
            </w:pPr>
            <w:r w:rsidRPr="00BE61E0">
              <w:rPr>
                <w:i/>
                <w:iCs/>
                <w:color w:val="000000"/>
                <w:sz w:val="16"/>
                <w:szCs w:val="16"/>
              </w:rPr>
              <w:t xml:space="preserve">EC and certain member States – Large Civil Aircraft </w:t>
            </w:r>
            <w:r w:rsidRPr="00BE61E0">
              <w:rPr>
                <w:i/>
                <w:color w:val="000000"/>
                <w:sz w:val="16"/>
                <w:szCs w:val="16"/>
              </w:rPr>
              <w:t>(Article 21.5 – US)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iCs/>
                <w:color w:val="000000"/>
                <w:sz w:val="16"/>
                <w:szCs w:val="16"/>
              </w:rPr>
              <w:t>European Communities and Certain Member States – Measures Affecting Trade in Large Civil Aircraft</w:t>
            </w:r>
            <w:r w:rsidRPr="00BE61E0">
              <w:rPr>
                <w:i/>
                <w:color w:val="000000"/>
                <w:sz w:val="16"/>
                <w:szCs w:val="16"/>
              </w:rPr>
              <w:t xml:space="preserve"> – Recourse to Article 21.5 of the DSU by the United</w:t>
            </w:r>
            <w:r w:rsidR="00832630" w:rsidRPr="00BE61E0">
              <w:rPr>
                <w:i/>
                <w:color w:val="000000"/>
                <w:sz w:val="16"/>
                <w:szCs w:val="16"/>
              </w:rPr>
              <w:t> States</w:t>
            </w:r>
            <w:r w:rsidRPr="00BE61E0">
              <w:rPr>
                <w:color w:val="000000"/>
                <w:sz w:val="16"/>
                <w:szCs w:val="16"/>
              </w:rPr>
              <w:t xml:space="preserve">, </w:t>
            </w:r>
            <w:r w:rsidRPr="00BE61E0">
              <w:rPr>
                <w:sz w:val="16"/>
                <w:szCs w:val="16"/>
              </w:rPr>
              <w:t>WT/DS316/AB/RW</w:t>
            </w:r>
            <w:r w:rsidRPr="00BE61E0">
              <w:rPr>
                <w:color w:val="000000"/>
                <w:sz w:val="16"/>
                <w:szCs w:val="16"/>
              </w:rPr>
              <w:t xml:space="preserve"> and Add.1, adopted 28</w:t>
            </w:r>
            <w:r w:rsidR="00832630" w:rsidRPr="00BE61E0">
              <w:rPr>
                <w:color w:val="000000"/>
                <w:sz w:val="16"/>
                <w:szCs w:val="16"/>
              </w:rPr>
              <w:t> </w:t>
            </w:r>
            <w:r w:rsidRPr="00BE61E0">
              <w:rPr>
                <w:color w:val="000000"/>
                <w:sz w:val="16"/>
                <w:szCs w:val="16"/>
              </w:rPr>
              <w:t>May</w:t>
            </w:r>
            <w:r w:rsidR="00832630" w:rsidRPr="00BE61E0">
              <w:rPr>
                <w:color w:val="000000"/>
                <w:sz w:val="16"/>
                <w:szCs w:val="16"/>
              </w:rPr>
              <w:t> </w:t>
            </w:r>
            <w:r w:rsidRPr="00BE61E0">
              <w:rPr>
                <w:color w:val="000000"/>
                <w:sz w:val="16"/>
                <w:szCs w:val="16"/>
              </w:rPr>
              <w:t>2018</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iCs/>
                <w:color w:val="000000"/>
                <w:sz w:val="16"/>
                <w:szCs w:val="16"/>
              </w:rPr>
            </w:pPr>
            <w:r w:rsidRPr="00BE61E0">
              <w:rPr>
                <w:i/>
                <w:color w:val="000000"/>
                <w:sz w:val="16"/>
                <w:szCs w:val="16"/>
              </w:rPr>
              <w:t>EU – Biodiesel (Argentina)</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European</w:t>
            </w:r>
            <w:r w:rsidR="00832630" w:rsidRPr="00BE61E0">
              <w:rPr>
                <w:i/>
                <w:color w:val="000000"/>
                <w:sz w:val="16"/>
                <w:szCs w:val="16"/>
              </w:rPr>
              <w:t> Union</w:t>
            </w:r>
            <w:r w:rsidRPr="00BE61E0">
              <w:rPr>
                <w:i/>
                <w:color w:val="000000"/>
                <w:sz w:val="16"/>
                <w:szCs w:val="16"/>
              </w:rPr>
              <w:t xml:space="preserve"> – Anti-Dumping Measures on Biodiesel from Argentina</w:t>
            </w:r>
            <w:r w:rsidRPr="00BE61E0">
              <w:rPr>
                <w:color w:val="000000"/>
                <w:sz w:val="16"/>
                <w:szCs w:val="16"/>
              </w:rPr>
              <w:t xml:space="preserve">, </w:t>
            </w:r>
            <w:r w:rsidRPr="00BE61E0">
              <w:rPr>
                <w:sz w:val="16"/>
                <w:szCs w:val="16"/>
              </w:rPr>
              <w:t>WT/DS473/AB/R</w:t>
            </w:r>
            <w:r w:rsidRPr="00BE61E0">
              <w:rPr>
                <w:color w:val="000000"/>
                <w:sz w:val="16"/>
                <w:szCs w:val="16"/>
              </w:rPr>
              <w:t xml:space="preserve"> </w:t>
            </w:r>
            <w:r w:rsidRPr="00BE61E0">
              <w:rPr>
                <w:color w:val="000000"/>
                <w:spacing w:val="-2"/>
                <w:sz w:val="16"/>
                <w:szCs w:val="16"/>
              </w:rPr>
              <w:t xml:space="preserve">and Add.1, </w:t>
            </w:r>
            <w:r w:rsidRPr="00BE61E0">
              <w:rPr>
                <w:color w:val="000000"/>
                <w:sz w:val="16"/>
                <w:szCs w:val="16"/>
              </w:rPr>
              <w:t>adopted 26</w:t>
            </w:r>
            <w:r w:rsidR="00832630" w:rsidRPr="00BE61E0">
              <w:rPr>
                <w:color w:val="000000"/>
                <w:sz w:val="16"/>
                <w:szCs w:val="16"/>
              </w:rPr>
              <w:t> </w:t>
            </w:r>
            <w:r w:rsidRPr="00BE61E0">
              <w:rPr>
                <w:color w:val="000000"/>
                <w:sz w:val="16"/>
                <w:szCs w:val="16"/>
              </w:rPr>
              <w:t>October</w:t>
            </w:r>
            <w:r w:rsidR="00832630" w:rsidRPr="00BE61E0">
              <w:rPr>
                <w:color w:val="000000"/>
                <w:sz w:val="16"/>
                <w:szCs w:val="16"/>
              </w:rPr>
              <w:t> </w:t>
            </w:r>
            <w:r w:rsidRPr="00BE61E0">
              <w:rPr>
                <w:color w:val="000000"/>
                <w:sz w:val="16"/>
                <w:szCs w:val="16"/>
              </w:rPr>
              <w:t>2016, DSR 2016:VI, p. 2871</w:t>
            </w:r>
          </w:p>
        </w:tc>
      </w:tr>
      <w:tr w:rsidR="00251EAF" w:rsidRPr="00BE61E0" w:rsidTr="00ED6C8F">
        <w:trPr>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EU – Fatty Alcohols (Indonesia)</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European</w:t>
            </w:r>
            <w:r w:rsidR="00832630" w:rsidRPr="00BE61E0">
              <w:rPr>
                <w:i/>
                <w:color w:val="000000"/>
                <w:sz w:val="16"/>
                <w:szCs w:val="16"/>
              </w:rPr>
              <w:t> Union</w:t>
            </w:r>
            <w:r w:rsidRPr="00BE61E0">
              <w:rPr>
                <w:i/>
                <w:color w:val="000000"/>
                <w:sz w:val="16"/>
                <w:szCs w:val="16"/>
              </w:rPr>
              <w:t xml:space="preserve"> – Anti-Dumping Measures on Imports of Certain Fatty Alcohols from Indonesia</w:t>
            </w:r>
            <w:r w:rsidRPr="00BE61E0">
              <w:rPr>
                <w:color w:val="000000"/>
                <w:sz w:val="16"/>
                <w:szCs w:val="16"/>
              </w:rPr>
              <w:t xml:space="preserve">, </w:t>
            </w:r>
            <w:r w:rsidRPr="00BE61E0">
              <w:rPr>
                <w:sz w:val="16"/>
                <w:szCs w:val="16"/>
              </w:rPr>
              <w:t>WT/DS442/AB/R</w:t>
            </w:r>
            <w:r w:rsidRPr="00BE61E0">
              <w:rPr>
                <w:color w:val="000000"/>
                <w:sz w:val="16"/>
                <w:szCs w:val="16"/>
              </w:rPr>
              <w:t xml:space="preserve"> and Add.1, adopted 29</w:t>
            </w:r>
            <w:r w:rsidR="00832630" w:rsidRPr="00BE61E0">
              <w:rPr>
                <w:color w:val="000000"/>
                <w:sz w:val="16"/>
                <w:szCs w:val="16"/>
              </w:rPr>
              <w:t> </w:t>
            </w:r>
            <w:r w:rsidRPr="00BE61E0">
              <w:rPr>
                <w:color w:val="000000"/>
                <w:sz w:val="16"/>
                <w:szCs w:val="16"/>
              </w:rPr>
              <w:t>September</w:t>
            </w:r>
            <w:r w:rsidR="00832630" w:rsidRPr="00BE61E0">
              <w:rPr>
                <w:color w:val="000000"/>
                <w:sz w:val="16"/>
                <w:szCs w:val="16"/>
              </w:rPr>
              <w:t> </w:t>
            </w:r>
            <w:r w:rsidRPr="00BE61E0">
              <w:rPr>
                <w:color w:val="000000"/>
                <w:sz w:val="16"/>
                <w:szCs w:val="16"/>
              </w:rPr>
              <w:t>2017</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EU – PET (Pakistan)</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iCs/>
                <w:color w:val="000000"/>
                <w:sz w:val="16"/>
                <w:szCs w:val="16"/>
              </w:rPr>
              <w:t>European</w:t>
            </w:r>
            <w:r w:rsidR="00832630" w:rsidRPr="00BE61E0">
              <w:rPr>
                <w:i/>
                <w:iCs/>
                <w:color w:val="000000"/>
                <w:sz w:val="16"/>
                <w:szCs w:val="16"/>
              </w:rPr>
              <w:t> Union</w:t>
            </w:r>
            <w:r w:rsidRPr="00BE61E0">
              <w:rPr>
                <w:i/>
                <w:iCs/>
                <w:color w:val="000000"/>
                <w:sz w:val="16"/>
                <w:szCs w:val="16"/>
              </w:rPr>
              <w:t xml:space="preserve"> – Countervailing Measures on Certain Polyethylene Terephthalate from Pakistan</w:t>
            </w:r>
            <w:r w:rsidRPr="00BE61E0">
              <w:rPr>
                <w:iCs/>
                <w:color w:val="000000"/>
                <w:sz w:val="16"/>
                <w:szCs w:val="16"/>
              </w:rPr>
              <w:t xml:space="preserve">, </w:t>
            </w:r>
            <w:r w:rsidRPr="00BE61E0">
              <w:rPr>
                <w:iCs/>
                <w:sz w:val="16"/>
                <w:szCs w:val="16"/>
              </w:rPr>
              <w:t>WT/DS486/AB/R</w:t>
            </w:r>
            <w:r w:rsidRPr="00BE61E0">
              <w:rPr>
                <w:iCs/>
                <w:color w:val="000000"/>
                <w:sz w:val="16"/>
                <w:szCs w:val="16"/>
              </w:rPr>
              <w:t xml:space="preserve"> and Add.1, </w:t>
            </w:r>
            <w:r w:rsidRPr="00BE61E0">
              <w:rPr>
                <w:sz w:val="16"/>
                <w:szCs w:val="16"/>
              </w:rPr>
              <w:t>adopted 28</w:t>
            </w:r>
            <w:r w:rsidR="00832630" w:rsidRPr="00BE61E0">
              <w:rPr>
                <w:sz w:val="16"/>
                <w:szCs w:val="16"/>
              </w:rPr>
              <w:t> </w:t>
            </w:r>
            <w:r w:rsidRPr="00BE61E0">
              <w:rPr>
                <w:sz w:val="16"/>
                <w:szCs w:val="16"/>
              </w:rPr>
              <w:t>May</w:t>
            </w:r>
            <w:r w:rsidR="00832630" w:rsidRPr="00BE61E0">
              <w:rPr>
                <w:sz w:val="16"/>
                <w:szCs w:val="16"/>
              </w:rPr>
              <w:t> </w:t>
            </w:r>
            <w:r w:rsidRPr="00BE61E0">
              <w:rPr>
                <w:sz w:val="16"/>
                <w:szCs w:val="16"/>
              </w:rPr>
              <w:t>2018</w:t>
            </w:r>
          </w:p>
        </w:tc>
      </w:tr>
      <w:tr w:rsidR="00251EAF" w:rsidRPr="00BE61E0" w:rsidTr="00ED6C8F">
        <w:trPr>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India – Patents (US)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India – Patent Protection for Pharmaceutical and Agricultural Chemical Products</w:t>
            </w:r>
            <w:r w:rsidRPr="00BE61E0">
              <w:rPr>
                <w:color w:val="000000"/>
                <w:sz w:val="16"/>
                <w:szCs w:val="16"/>
              </w:rPr>
              <w:t xml:space="preserve">, </w:t>
            </w:r>
            <w:r w:rsidRPr="00BE61E0">
              <w:rPr>
                <w:sz w:val="16"/>
                <w:szCs w:val="16"/>
              </w:rPr>
              <w:t>WT/DS50/AB/R</w:t>
            </w:r>
            <w:r w:rsidRPr="00BE61E0">
              <w:rPr>
                <w:color w:val="000000"/>
                <w:sz w:val="16"/>
                <w:szCs w:val="16"/>
              </w:rPr>
              <w:t>, adopted 16</w:t>
            </w:r>
            <w:r w:rsidR="00832630" w:rsidRPr="00BE61E0">
              <w:rPr>
                <w:color w:val="000000"/>
                <w:sz w:val="16"/>
                <w:szCs w:val="16"/>
              </w:rPr>
              <w:t> </w:t>
            </w:r>
            <w:r w:rsidRPr="00BE61E0">
              <w:rPr>
                <w:color w:val="000000"/>
                <w:sz w:val="16"/>
                <w:szCs w:val="16"/>
              </w:rPr>
              <w:t>January</w:t>
            </w:r>
            <w:r w:rsidR="00832630" w:rsidRPr="00BE61E0">
              <w:rPr>
                <w:color w:val="000000"/>
                <w:sz w:val="16"/>
                <w:szCs w:val="16"/>
              </w:rPr>
              <w:t> </w:t>
            </w:r>
            <w:r w:rsidRPr="00BE61E0">
              <w:rPr>
                <w:color w:val="000000"/>
                <w:sz w:val="16"/>
                <w:szCs w:val="16"/>
              </w:rPr>
              <w:t xml:space="preserve">1998, DSR </w:t>
            </w:r>
            <w:proofErr w:type="gramStart"/>
            <w:r w:rsidRPr="00BE61E0">
              <w:rPr>
                <w:color w:val="000000"/>
                <w:sz w:val="16"/>
                <w:szCs w:val="16"/>
              </w:rPr>
              <w:t>1998:I</w:t>
            </w:r>
            <w:proofErr w:type="gramEnd"/>
            <w:r w:rsidRPr="00BE61E0">
              <w:rPr>
                <w:color w:val="000000"/>
                <w:sz w:val="16"/>
                <w:szCs w:val="16"/>
              </w:rPr>
              <w:t>, p. 9</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lastRenderedPageBreak/>
              <w:t>Indonesia – Iron or Steel Products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Indonesia – Safeguard on Certain Iron or Steel Products</w:t>
            </w:r>
            <w:r w:rsidRPr="00BE61E0">
              <w:rPr>
                <w:color w:val="000000"/>
                <w:sz w:val="16"/>
                <w:szCs w:val="16"/>
              </w:rPr>
              <w:t xml:space="preserve">, </w:t>
            </w:r>
            <w:r w:rsidRPr="00BE61E0">
              <w:rPr>
                <w:sz w:val="16"/>
                <w:szCs w:val="16"/>
              </w:rPr>
              <w:t>WT/DS490/AB/R</w:t>
            </w:r>
            <w:r w:rsidRPr="00BE61E0">
              <w:rPr>
                <w:color w:val="000000"/>
                <w:sz w:val="16"/>
                <w:szCs w:val="16"/>
              </w:rPr>
              <w:t xml:space="preserve">, </w:t>
            </w:r>
            <w:r w:rsidRPr="00BE61E0">
              <w:rPr>
                <w:sz w:val="16"/>
                <w:szCs w:val="16"/>
              </w:rPr>
              <w:t>WT/DS496/AB/R</w:t>
            </w:r>
            <w:r w:rsidRPr="00BE61E0">
              <w:rPr>
                <w:color w:val="000000"/>
                <w:sz w:val="16"/>
                <w:szCs w:val="16"/>
              </w:rPr>
              <w:t>, and Add.1, adopted 27</w:t>
            </w:r>
            <w:r w:rsidR="00832630" w:rsidRPr="00BE61E0">
              <w:rPr>
                <w:color w:val="000000"/>
                <w:sz w:val="16"/>
                <w:szCs w:val="16"/>
              </w:rPr>
              <w:t> </w:t>
            </w:r>
            <w:r w:rsidRPr="00BE61E0">
              <w:rPr>
                <w:color w:val="000000"/>
                <w:sz w:val="16"/>
                <w:szCs w:val="16"/>
              </w:rPr>
              <w:t>August</w:t>
            </w:r>
            <w:r w:rsidR="00832630" w:rsidRPr="00BE61E0">
              <w:rPr>
                <w:color w:val="000000"/>
                <w:sz w:val="16"/>
                <w:szCs w:val="16"/>
              </w:rPr>
              <w:t> </w:t>
            </w:r>
            <w:r w:rsidRPr="00BE61E0">
              <w:rPr>
                <w:color w:val="000000"/>
                <w:sz w:val="16"/>
                <w:szCs w:val="16"/>
              </w:rPr>
              <w:t>2018</w:t>
            </w:r>
          </w:p>
        </w:tc>
      </w:tr>
      <w:tr w:rsidR="00251EAF" w:rsidRPr="00BE61E0" w:rsidTr="00ED6C8F">
        <w:trPr>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 xml:space="preserve">Japan – Agricultural </w:t>
            </w:r>
            <w:r w:rsidRPr="00BE61E0">
              <w:rPr>
                <w:i/>
                <w:color w:val="000000"/>
                <w:sz w:val="16"/>
                <w:szCs w:val="16"/>
              </w:rPr>
              <w:br/>
              <w:t>Products II</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Japan – Measures Affecting Agricultural Products</w:t>
            </w:r>
            <w:r w:rsidRPr="00BE61E0">
              <w:rPr>
                <w:color w:val="000000"/>
                <w:sz w:val="16"/>
                <w:szCs w:val="16"/>
              </w:rPr>
              <w:t xml:space="preserve">, </w:t>
            </w:r>
            <w:r w:rsidRPr="00BE61E0">
              <w:rPr>
                <w:sz w:val="16"/>
                <w:szCs w:val="16"/>
              </w:rPr>
              <w:t>WT/DS76/AB/R</w:t>
            </w:r>
            <w:r w:rsidRPr="00BE61E0">
              <w:rPr>
                <w:color w:val="000000"/>
                <w:sz w:val="16"/>
                <w:szCs w:val="16"/>
              </w:rPr>
              <w:t>, adopted 19</w:t>
            </w:r>
            <w:r w:rsidR="00832630" w:rsidRPr="00BE61E0">
              <w:rPr>
                <w:color w:val="000000"/>
                <w:sz w:val="16"/>
                <w:szCs w:val="16"/>
              </w:rPr>
              <w:t> </w:t>
            </w:r>
            <w:r w:rsidRPr="00BE61E0">
              <w:rPr>
                <w:color w:val="000000"/>
                <w:sz w:val="16"/>
                <w:szCs w:val="16"/>
              </w:rPr>
              <w:t>March</w:t>
            </w:r>
            <w:r w:rsidR="00832630" w:rsidRPr="00BE61E0">
              <w:rPr>
                <w:color w:val="000000"/>
                <w:sz w:val="16"/>
                <w:szCs w:val="16"/>
              </w:rPr>
              <w:t> </w:t>
            </w:r>
            <w:r w:rsidRPr="00BE61E0">
              <w:rPr>
                <w:color w:val="000000"/>
                <w:sz w:val="16"/>
                <w:szCs w:val="16"/>
              </w:rPr>
              <w:t xml:space="preserve">1999, DSR </w:t>
            </w:r>
            <w:proofErr w:type="gramStart"/>
            <w:r w:rsidRPr="00BE61E0">
              <w:rPr>
                <w:color w:val="000000"/>
                <w:sz w:val="16"/>
                <w:szCs w:val="16"/>
              </w:rPr>
              <w:t>1999:I</w:t>
            </w:r>
            <w:proofErr w:type="gramEnd"/>
            <w:r w:rsidRPr="00BE61E0">
              <w:rPr>
                <w:color w:val="000000"/>
                <w:sz w:val="16"/>
                <w:szCs w:val="16"/>
              </w:rPr>
              <w:t>, p. 277</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Japan – Alcoholic Beverages II</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Japan – Taxes on Alcoholic Beverages</w:t>
            </w:r>
            <w:r w:rsidRPr="00BE61E0">
              <w:rPr>
                <w:color w:val="000000"/>
                <w:sz w:val="16"/>
                <w:szCs w:val="16"/>
              </w:rPr>
              <w:t xml:space="preserve">, </w:t>
            </w:r>
            <w:r w:rsidRPr="00BE61E0">
              <w:rPr>
                <w:sz w:val="16"/>
                <w:szCs w:val="16"/>
              </w:rPr>
              <w:t>WT/DS8/AB/R</w:t>
            </w:r>
            <w:r w:rsidRPr="00BE61E0">
              <w:rPr>
                <w:color w:val="000000"/>
                <w:sz w:val="16"/>
                <w:szCs w:val="16"/>
              </w:rPr>
              <w:t xml:space="preserve">, </w:t>
            </w:r>
            <w:r w:rsidRPr="00BE61E0">
              <w:rPr>
                <w:sz w:val="16"/>
                <w:szCs w:val="16"/>
              </w:rPr>
              <w:t>WT/DS10/AB/R</w:t>
            </w:r>
            <w:r w:rsidRPr="00BE61E0">
              <w:rPr>
                <w:color w:val="000000"/>
                <w:sz w:val="16"/>
                <w:szCs w:val="16"/>
              </w:rPr>
              <w:t xml:space="preserve">, </w:t>
            </w:r>
            <w:r w:rsidRPr="00BE61E0">
              <w:rPr>
                <w:sz w:val="16"/>
                <w:szCs w:val="16"/>
              </w:rPr>
              <w:t>WT/DS11/AB/R</w:t>
            </w:r>
            <w:r w:rsidRPr="00BE61E0">
              <w:rPr>
                <w:color w:val="000000"/>
                <w:sz w:val="16"/>
                <w:szCs w:val="16"/>
              </w:rPr>
              <w:t>, adopted 1</w:t>
            </w:r>
            <w:r w:rsidR="00832630" w:rsidRPr="00BE61E0">
              <w:rPr>
                <w:color w:val="000000"/>
                <w:sz w:val="16"/>
                <w:szCs w:val="16"/>
              </w:rPr>
              <w:t> </w:t>
            </w:r>
            <w:r w:rsidRPr="00BE61E0">
              <w:rPr>
                <w:color w:val="000000"/>
                <w:sz w:val="16"/>
                <w:szCs w:val="16"/>
              </w:rPr>
              <w:t>November</w:t>
            </w:r>
            <w:r w:rsidR="00832630" w:rsidRPr="00BE61E0">
              <w:rPr>
                <w:color w:val="000000"/>
                <w:sz w:val="16"/>
                <w:szCs w:val="16"/>
              </w:rPr>
              <w:t> </w:t>
            </w:r>
            <w:r w:rsidR="0033166C" w:rsidRPr="00BE61E0">
              <w:rPr>
                <w:color w:val="000000"/>
                <w:sz w:val="16"/>
                <w:szCs w:val="16"/>
              </w:rPr>
              <w:t xml:space="preserve">1996, DSR </w:t>
            </w:r>
            <w:proofErr w:type="gramStart"/>
            <w:r w:rsidR="0033166C" w:rsidRPr="00BE61E0">
              <w:rPr>
                <w:color w:val="000000"/>
                <w:sz w:val="16"/>
                <w:szCs w:val="16"/>
              </w:rPr>
              <w:t>1996:I</w:t>
            </w:r>
            <w:proofErr w:type="gramEnd"/>
            <w:r w:rsidR="0033166C" w:rsidRPr="00BE61E0">
              <w:rPr>
                <w:color w:val="000000"/>
                <w:sz w:val="16"/>
                <w:szCs w:val="16"/>
              </w:rPr>
              <w:t>, p. </w:t>
            </w:r>
            <w:r w:rsidRPr="00BE61E0">
              <w:rPr>
                <w:color w:val="000000"/>
                <w:sz w:val="16"/>
                <w:szCs w:val="16"/>
              </w:rPr>
              <w:t>97</w:t>
            </w:r>
          </w:p>
        </w:tc>
      </w:tr>
      <w:tr w:rsidR="00251EAF" w:rsidRPr="00BE61E0" w:rsidTr="00ED6C8F">
        <w:trPr>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Japan – Apples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Japan – Measures Affecting the Importation of Apples</w:t>
            </w:r>
            <w:r w:rsidRPr="00BE61E0">
              <w:rPr>
                <w:color w:val="000000"/>
                <w:sz w:val="16"/>
                <w:szCs w:val="16"/>
              </w:rPr>
              <w:t xml:space="preserve">, </w:t>
            </w:r>
            <w:r w:rsidRPr="00BE61E0">
              <w:rPr>
                <w:sz w:val="16"/>
                <w:szCs w:val="16"/>
              </w:rPr>
              <w:t>WT/DS245/AB/R</w:t>
            </w:r>
            <w:r w:rsidRPr="00BE61E0">
              <w:rPr>
                <w:color w:val="000000"/>
                <w:sz w:val="16"/>
                <w:szCs w:val="16"/>
              </w:rPr>
              <w:t>, adopted 10</w:t>
            </w:r>
            <w:r w:rsidR="00832630" w:rsidRPr="00BE61E0">
              <w:rPr>
                <w:color w:val="000000"/>
                <w:sz w:val="16"/>
                <w:szCs w:val="16"/>
              </w:rPr>
              <w:t> </w:t>
            </w:r>
            <w:r w:rsidRPr="00BE61E0">
              <w:rPr>
                <w:color w:val="000000"/>
                <w:sz w:val="16"/>
                <w:szCs w:val="16"/>
              </w:rPr>
              <w:t>December</w:t>
            </w:r>
            <w:r w:rsidR="00832630" w:rsidRPr="00BE61E0">
              <w:rPr>
                <w:color w:val="000000"/>
                <w:sz w:val="16"/>
                <w:szCs w:val="16"/>
              </w:rPr>
              <w:t> </w:t>
            </w:r>
            <w:r w:rsidRPr="00BE61E0">
              <w:rPr>
                <w:color w:val="000000"/>
                <w:sz w:val="16"/>
                <w:szCs w:val="16"/>
              </w:rPr>
              <w:t xml:space="preserve">2003, DSR </w:t>
            </w:r>
            <w:proofErr w:type="gramStart"/>
            <w:r w:rsidRPr="00BE61E0">
              <w:rPr>
                <w:color w:val="000000"/>
                <w:sz w:val="16"/>
                <w:szCs w:val="16"/>
              </w:rPr>
              <w:t>2003:IX</w:t>
            </w:r>
            <w:proofErr w:type="gramEnd"/>
            <w:r w:rsidRPr="00BE61E0">
              <w:rPr>
                <w:color w:val="000000"/>
                <w:sz w:val="16"/>
                <w:szCs w:val="16"/>
              </w:rPr>
              <w:t>, p. 4391</w:t>
            </w:r>
          </w:p>
        </w:tc>
      </w:tr>
      <w:tr w:rsidR="00251EAF"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Korea – Alcoholic Beverages</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Korea – Taxes on Alcoholic Beverages</w:t>
            </w:r>
            <w:r w:rsidRPr="00BE61E0">
              <w:rPr>
                <w:color w:val="000000"/>
                <w:sz w:val="16"/>
                <w:szCs w:val="16"/>
              </w:rPr>
              <w:t xml:space="preserve">, </w:t>
            </w:r>
            <w:r w:rsidRPr="00BE61E0">
              <w:rPr>
                <w:sz w:val="16"/>
                <w:szCs w:val="16"/>
              </w:rPr>
              <w:t>WT/DS75/AB/R</w:t>
            </w:r>
            <w:r w:rsidRPr="00BE61E0">
              <w:rPr>
                <w:color w:val="000000"/>
                <w:sz w:val="16"/>
                <w:szCs w:val="16"/>
              </w:rPr>
              <w:t xml:space="preserve">, </w:t>
            </w:r>
            <w:r w:rsidRPr="00BE61E0">
              <w:rPr>
                <w:sz w:val="16"/>
                <w:szCs w:val="16"/>
              </w:rPr>
              <w:t>WT/DS84/AB/R</w:t>
            </w:r>
            <w:r w:rsidRPr="00BE61E0">
              <w:rPr>
                <w:color w:val="000000"/>
                <w:sz w:val="16"/>
                <w:szCs w:val="16"/>
              </w:rPr>
              <w:t>, adopted 17</w:t>
            </w:r>
            <w:r w:rsidR="00832630" w:rsidRPr="00BE61E0">
              <w:rPr>
                <w:color w:val="000000"/>
                <w:sz w:val="16"/>
                <w:szCs w:val="16"/>
              </w:rPr>
              <w:t> </w:t>
            </w:r>
            <w:r w:rsidRPr="00BE61E0">
              <w:rPr>
                <w:color w:val="000000"/>
                <w:sz w:val="16"/>
                <w:szCs w:val="16"/>
              </w:rPr>
              <w:t>February</w:t>
            </w:r>
            <w:r w:rsidR="00832630" w:rsidRPr="00BE61E0">
              <w:rPr>
                <w:color w:val="000000"/>
                <w:sz w:val="16"/>
                <w:szCs w:val="16"/>
              </w:rPr>
              <w:t> </w:t>
            </w:r>
            <w:r w:rsidRPr="00BE61E0">
              <w:rPr>
                <w:color w:val="000000"/>
                <w:sz w:val="16"/>
                <w:szCs w:val="16"/>
              </w:rPr>
              <w:t xml:space="preserve">1999, DSR </w:t>
            </w:r>
            <w:proofErr w:type="gramStart"/>
            <w:r w:rsidRPr="00BE61E0">
              <w:rPr>
                <w:color w:val="000000"/>
                <w:sz w:val="16"/>
                <w:szCs w:val="16"/>
              </w:rPr>
              <w:t>1999:I</w:t>
            </w:r>
            <w:proofErr w:type="gramEnd"/>
            <w:r w:rsidRPr="00BE61E0">
              <w:rPr>
                <w:color w:val="000000"/>
                <w:sz w:val="16"/>
                <w:szCs w:val="16"/>
              </w:rPr>
              <w:t>, p. 3</w:t>
            </w:r>
          </w:p>
        </w:tc>
      </w:tr>
      <w:tr w:rsidR="00251EAF" w:rsidRPr="00BE61E0" w:rsidTr="00ED6C8F">
        <w:trPr>
          <w:cantSplit/>
        </w:trPr>
        <w:tc>
          <w:tcPr>
            <w:tcW w:w="2600" w:type="dxa"/>
          </w:tcPr>
          <w:p w:rsidR="00251EAF" w:rsidRPr="00BE61E0" w:rsidRDefault="00251EAF" w:rsidP="00251EAF">
            <w:pPr>
              <w:spacing w:before="60" w:after="60"/>
              <w:jc w:val="left"/>
              <w:rPr>
                <w:i/>
                <w:color w:val="000000"/>
                <w:sz w:val="16"/>
                <w:szCs w:val="16"/>
              </w:rPr>
            </w:pPr>
            <w:r w:rsidRPr="00BE61E0">
              <w:rPr>
                <w:i/>
                <w:color w:val="000000"/>
                <w:sz w:val="16"/>
                <w:szCs w:val="16"/>
              </w:rPr>
              <w:t>Korea – Dairy</w:t>
            </w:r>
          </w:p>
        </w:tc>
        <w:tc>
          <w:tcPr>
            <w:tcW w:w="6621" w:type="dxa"/>
          </w:tcPr>
          <w:p w:rsidR="00251EAF" w:rsidRPr="00BE61E0" w:rsidRDefault="00251EAF" w:rsidP="00251EAF">
            <w:pPr>
              <w:keepLines/>
              <w:tabs>
                <w:tab w:val="left" w:pos="2268"/>
                <w:tab w:val="left" w:pos="4536"/>
              </w:tabs>
              <w:spacing w:before="60" w:after="60"/>
              <w:jc w:val="left"/>
              <w:rPr>
                <w:color w:val="000000"/>
                <w:sz w:val="16"/>
                <w:szCs w:val="16"/>
              </w:rPr>
            </w:pPr>
            <w:r w:rsidRPr="00BE61E0">
              <w:rPr>
                <w:color w:val="000000"/>
                <w:sz w:val="16"/>
                <w:szCs w:val="16"/>
              </w:rPr>
              <w:t>Appellate</w:t>
            </w:r>
            <w:r w:rsidR="00832630" w:rsidRPr="00BE61E0">
              <w:rPr>
                <w:color w:val="000000"/>
                <w:sz w:val="16"/>
                <w:szCs w:val="16"/>
              </w:rPr>
              <w:t> Body</w:t>
            </w:r>
            <w:r w:rsidRPr="00BE61E0">
              <w:rPr>
                <w:color w:val="000000"/>
                <w:sz w:val="16"/>
                <w:szCs w:val="16"/>
              </w:rPr>
              <w:t xml:space="preserve"> Report, </w:t>
            </w:r>
            <w:r w:rsidRPr="00BE61E0">
              <w:rPr>
                <w:i/>
                <w:color w:val="000000"/>
                <w:sz w:val="16"/>
                <w:szCs w:val="16"/>
              </w:rPr>
              <w:t>Korea – Definitive Safeguard Measure on Imports of Certain Dairy Products</w:t>
            </w:r>
            <w:r w:rsidRPr="00BE61E0">
              <w:rPr>
                <w:color w:val="000000"/>
                <w:sz w:val="16"/>
                <w:szCs w:val="16"/>
              </w:rPr>
              <w:t xml:space="preserve">, </w:t>
            </w:r>
            <w:r w:rsidRPr="00BE61E0">
              <w:rPr>
                <w:sz w:val="16"/>
                <w:szCs w:val="16"/>
              </w:rPr>
              <w:t>WT/DS98/AB/R</w:t>
            </w:r>
            <w:r w:rsidRPr="00BE61E0">
              <w:rPr>
                <w:color w:val="000000"/>
                <w:sz w:val="16"/>
                <w:szCs w:val="16"/>
              </w:rPr>
              <w:t>, adopted 12</w:t>
            </w:r>
            <w:r w:rsidR="00832630" w:rsidRPr="00BE61E0">
              <w:rPr>
                <w:color w:val="000000"/>
                <w:sz w:val="16"/>
                <w:szCs w:val="16"/>
              </w:rPr>
              <w:t> </w:t>
            </w:r>
            <w:r w:rsidRPr="00BE61E0">
              <w:rPr>
                <w:color w:val="000000"/>
                <w:sz w:val="16"/>
                <w:szCs w:val="16"/>
              </w:rPr>
              <w:t>January</w:t>
            </w:r>
            <w:r w:rsidR="00832630" w:rsidRPr="00BE61E0">
              <w:rPr>
                <w:color w:val="000000"/>
                <w:sz w:val="16"/>
                <w:szCs w:val="16"/>
              </w:rPr>
              <w:t> </w:t>
            </w:r>
            <w:r w:rsidR="0033166C" w:rsidRPr="00BE61E0">
              <w:rPr>
                <w:color w:val="000000"/>
                <w:sz w:val="16"/>
                <w:szCs w:val="16"/>
              </w:rPr>
              <w:t>2000, DSR </w:t>
            </w:r>
            <w:proofErr w:type="gramStart"/>
            <w:r w:rsidRPr="00BE61E0">
              <w:rPr>
                <w:color w:val="000000"/>
                <w:sz w:val="16"/>
                <w:szCs w:val="16"/>
              </w:rPr>
              <w:t>2000:I</w:t>
            </w:r>
            <w:proofErr w:type="gramEnd"/>
            <w:r w:rsidRPr="00BE61E0">
              <w:rPr>
                <w:color w:val="000000"/>
                <w:sz w:val="16"/>
                <w:szCs w:val="16"/>
              </w:rPr>
              <w:t>, p. 3</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Mexico – Anti-Dumping Measures on Rice</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Mexico – Definitive Anti-Dumping Measures on Beef and Rice, Complaint with Respect to Rice</w:t>
            </w:r>
            <w:r w:rsidRPr="00BE61E0">
              <w:rPr>
                <w:color w:val="000000"/>
                <w:sz w:val="16"/>
                <w:szCs w:val="16"/>
              </w:rPr>
              <w:t xml:space="preserve">, </w:t>
            </w:r>
            <w:r w:rsidRPr="00BE61E0">
              <w:rPr>
                <w:sz w:val="16"/>
                <w:szCs w:val="16"/>
              </w:rPr>
              <w:t>WT/DS295/AB/R</w:t>
            </w:r>
            <w:r w:rsidR="0033166C" w:rsidRPr="00BE61E0">
              <w:rPr>
                <w:color w:val="000000"/>
                <w:sz w:val="16"/>
                <w:szCs w:val="16"/>
              </w:rPr>
              <w:t>, adopted 20 </w:t>
            </w:r>
            <w:r w:rsidRPr="00BE61E0">
              <w:rPr>
                <w:color w:val="000000"/>
                <w:sz w:val="16"/>
                <w:szCs w:val="16"/>
              </w:rPr>
              <w:t xml:space="preserve">December 2005, DSR </w:t>
            </w:r>
            <w:proofErr w:type="gramStart"/>
            <w:r w:rsidRPr="00BE61E0">
              <w:rPr>
                <w:color w:val="000000"/>
                <w:sz w:val="16"/>
                <w:szCs w:val="16"/>
              </w:rPr>
              <w:t>2005:XXII</w:t>
            </w:r>
            <w:proofErr w:type="gramEnd"/>
            <w:r w:rsidRPr="00BE61E0">
              <w:rPr>
                <w:color w:val="000000"/>
                <w:sz w:val="16"/>
                <w:szCs w:val="16"/>
              </w:rPr>
              <w:t>, p. 10853</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Carbon Steel</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Countervailing Duties on Certain Corrosion-Resistant Carbon Steel Flat Products from Germany</w:t>
            </w:r>
            <w:r w:rsidRPr="00BE61E0">
              <w:rPr>
                <w:color w:val="000000"/>
                <w:sz w:val="16"/>
                <w:szCs w:val="16"/>
              </w:rPr>
              <w:t xml:space="preserve">, </w:t>
            </w:r>
            <w:r w:rsidRPr="00BE61E0">
              <w:rPr>
                <w:sz w:val="16"/>
                <w:szCs w:val="16"/>
              </w:rPr>
              <w:t>WT/DS213/AB/R</w:t>
            </w:r>
            <w:r w:rsidRPr="00BE61E0">
              <w:rPr>
                <w:color w:val="000000"/>
                <w:sz w:val="16"/>
                <w:szCs w:val="16"/>
              </w:rPr>
              <w:t xml:space="preserve"> and Corr.1, adopted 19</w:t>
            </w:r>
            <w:r w:rsidR="0033166C" w:rsidRPr="00BE61E0">
              <w:rPr>
                <w:color w:val="000000"/>
                <w:sz w:val="16"/>
                <w:szCs w:val="16"/>
              </w:rPr>
              <w:t xml:space="preserve"> December 2002, DSR </w:t>
            </w:r>
            <w:proofErr w:type="gramStart"/>
            <w:r w:rsidR="0033166C" w:rsidRPr="00BE61E0">
              <w:rPr>
                <w:color w:val="000000"/>
                <w:sz w:val="16"/>
                <w:szCs w:val="16"/>
              </w:rPr>
              <w:t>2002:IX</w:t>
            </w:r>
            <w:proofErr w:type="gramEnd"/>
            <w:r w:rsidR="0033166C" w:rsidRPr="00BE61E0">
              <w:rPr>
                <w:color w:val="000000"/>
                <w:sz w:val="16"/>
                <w:szCs w:val="16"/>
              </w:rPr>
              <w:t>, p. </w:t>
            </w:r>
            <w:r w:rsidRPr="00BE61E0">
              <w:rPr>
                <w:color w:val="000000"/>
                <w:sz w:val="16"/>
                <w:szCs w:val="16"/>
              </w:rPr>
              <w:t>3779</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Clove Cigarettes</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Measures Affecting the Production and Sale of Clove Cigarettes</w:t>
            </w:r>
            <w:r w:rsidRPr="00BE61E0">
              <w:rPr>
                <w:color w:val="000000"/>
                <w:sz w:val="16"/>
                <w:szCs w:val="16"/>
              </w:rPr>
              <w:t xml:space="preserve">, </w:t>
            </w:r>
            <w:r w:rsidRPr="00BE61E0">
              <w:rPr>
                <w:sz w:val="16"/>
                <w:szCs w:val="16"/>
              </w:rPr>
              <w:t>WT/DS406/AB/R</w:t>
            </w:r>
            <w:r w:rsidR="0033166C" w:rsidRPr="00BE61E0">
              <w:rPr>
                <w:color w:val="000000"/>
                <w:sz w:val="16"/>
                <w:szCs w:val="16"/>
              </w:rPr>
              <w:t>, adopted 24 April 2012, DSR </w:t>
            </w:r>
            <w:proofErr w:type="gramStart"/>
            <w:r w:rsidRPr="00BE61E0">
              <w:rPr>
                <w:color w:val="000000"/>
                <w:sz w:val="16"/>
                <w:szCs w:val="16"/>
              </w:rPr>
              <w:t>2012:XI</w:t>
            </w:r>
            <w:proofErr w:type="gramEnd"/>
            <w:r w:rsidRPr="00BE61E0">
              <w:rPr>
                <w:color w:val="000000"/>
                <w:sz w:val="16"/>
                <w:szCs w:val="16"/>
              </w:rPr>
              <w:t>, p. 5751</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COOL</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Reports, </w:t>
            </w:r>
            <w:r w:rsidRPr="00BE61E0">
              <w:rPr>
                <w:i/>
                <w:color w:val="000000"/>
                <w:sz w:val="16"/>
                <w:szCs w:val="16"/>
              </w:rPr>
              <w:t>United States – Certain Country of Origin Labelling (COOL) Requirements</w:t>
            </w:r>
            <w:r w:rsidRPr="00BE61E0">
              <w:rPr>
                <w:color w:val="000000"/>
                <w:sz w:val="16"/>
                <w:szCs w:val="16"/>
              </w:rPr>
              <w:t xml:space="preserve">, </w:t>
            </w:r>
            <w:r w:rsidRPr="00BE61E0">
              <w:rPr>
                <w:sz w:val="16"/>
                <w:szCs w:val="16"/>
              </w:rPr>
              <w:t>WT/DS384/AB/R</w:t>
            </w:r>
            <w:r w:rsidRPr="00BE61E0">
              <w:rPr>
                <w:color w:val="000000"/>
                <w:sz w:val="16"/>
                <w:szCs w:val="16"/>
              </w:rPr>
              <w:t xml:space="preserve"> / </w:t>
            </w:r>
            <w:r w:rsidRPr="00BE61E0">
              <w:rPr>
                <w:sz w:val="16"/>
                <w:szCs w:val="16"/>
              </w:rPr>
              <w:t>WT/DS386/AB/R</w:t>
            </w:r>
            <w:r w:rsidRPr="00BE61E0">
              <w:rPr>
                <w:color w:val="000000"/>
                <w:sz w:val="16"/>
                <w:szCs w:val="16"/>
              </w:rPr>
              <w:t xml:space="preserve">, adopted 23 July 2012, DSR </w:t>
            </w:r>
            <w:proofErr w:type="gramStart"/>
            <w:r w:rsidRPr="00BE61E0">
              <w:rPr>
                <w:color w:val="000000"/>
                <w:sz w:val="16"/>
                <w:szCs w:val="16"/>
              </w:rPr>
              <w:t>2012:V</w:t>
            </w:r>
            <w:proofErr w:type="gramEnd"/>
            <w:r w:rsidRPr="00BE61E0">
              <w:rPr>
                <w:color w:val="000000"/>
                <w:sz w:val="16"/>
                <w:szCs w:val="16"/>
              </w:rPr>
              <w:t>, p. 2449</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COOL (Article 21.5 – Canada and Mexico)</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Reports, </w:t>
            </w:r>
            <w:r w:rsidRPr="00BE61E0">
              <w:rPr>
                <w:i/>
                <w:color w:val="000000"/>
                <w:sz w:val="16"/>
                <w:szCs w:val="16"/>
              </w:rPr>
              <w:t>United States – Certain Country of Origin Labelling (COOL) Requirements – Recourse to Article 21.5 of the DSU by Canada and Mexico</w:t>
            </w:r>
            <w:r w:rsidRPr="00BE61E0">
              <w:rPr>
                <w:color w:val="000000"/>
                <w:sz w:val="16"/>
                <w:szCs w:val="16"/>
              </w:rPr>
              <w:t xml:space="preserve">, </w:t>
            </w:r>
            <w:r w:rsidRPr="00BE61E0">
              <w:rPr>
                <w:sz w:val="16"/>
                <w:szCs w:val="16"/>
              </w:rPr>
              <w:t>WT/DS384/AB/RW</w:t>
            </w:r>
            <w:r w:rsidRPr="00BE61E0">
              <w:rPr>
                <w:color w:val="000000"/>
                <w:sz w:val="16"/>
                <w:szCs w:val="16"/>
              </w:rPr>
              <w:t xml:space="preserve"> / </w:t>
            </w:r>
            <w:r w:rsidRPr="00BE61E0">
              <w:rPr>
                <w:sz w:val="16"/>
                <w:szCs w:val="16"/>
              </w:rPr>
              <w:t>WT/DS386/AB/RW</w:t>
            </w:r>
            <w:r w:rsidR="0033166C" w:rsidRPr="00BE61E0">
              <w:rPr>
                <w:color w:val="000000"/>
                <w:sz w:val="16"/>
                <w:szCs w:val="16"/>
              </w:rPr>
              <w:t>, adopted 29 May 2015, DSR </w:t>
            </w:r>
            <w:proofErr w:type="gramStart"/>
            <w:r w:rsidRPr="00BE61E0">
              <w:rPr>
                <w:color w:val="000000"/>
                <w:sz w:val="16"/>
                <w:szCs w:val="16"/>
              </w:rPr>
              <w:t>2015:IV</w:t>
            </w:r>
            <w:proofErr w:type="gramEnd"/>
            <w:r w:rsidRPr="00BE61E0">
              <w:rPr>
                <w:color w:val="000000"/>
                <w:sz w:val="16"/>
                <w:szCs w:val="16"/>
              </w:rPr>
              <w:t>, p. 1725</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Countervailing Measures on Certain EC Products</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Countervailing Measures Concerning Certain Products from the European Communities</w:t>
            </w:r>
            <w:r w:rsidRPr="00BE61E0">
              <w:rPr>
                <w:color w:val="000000"/>
                <w:sz w:val="16"/>
                <w:szCs w:val="16"/>
              </w:rPr>
              <w:t xml:space="preserve">, </w:t>
            </w:r>
            <w:r w:rsidRPr="00BE61E0">
              <w:rPr>
                <w:rFonts w:eastAsia="Times New Roman"/>
                <w:bCs/>
                <w:sz w:val="16"/>
                <w:szCs w:val="16"/>
              </w:rPr>
              <w:t>WT/DS212/AB/R</w:t>
            </w:r>
            <w:r w:rsidRPr="00BE61E0">
              <w:rPr>
                <w:color w:val="000000"/>
                <w:sz w:val="16"/>
                <w:szCs w:val="16"/>
              </w:rPr>
              <w:t xml:space="preserve">, adopted 8 January 2003, DSR </w:t>
            </w:r>
            <w:proofErr w:type="gramStart"/>
            <w:r w:rsidRPr="00BE61E0">
              <w:rPr>
                <w:color w:val="000000"/>
                <w:sz w:val="16"/>
                <w:szCs w:val="16"/>
              </w:rPr>
              <w:t>2003:I</w:t>
            </w:r>
            <w:proofErr w:type="gramEnd"/>
            <w:r w:rsidRPr="00BE61E0">
              <w:rPr>
                <w:color w:val="000000"/>
                <w:sz w:val="16"/>
                <w:szCs w:val="16"/>
              </w:rPr>
              <w:t>, p. 5</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Gambling</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Measures Affecting the Cross-Border Supply of Gambling and Betting Services</w:t>
            </w:r>
            <w:r w:rsidRPr="00BE61E0">
              <w:rPr>
                <w:color w:val="000000"/>
                <w:sz w:val="16"/>
                <w:szCs w:val="16"/>
              </w:rPr>
              <w:t xml:space="preserve">, </w:t>
            </w:r>
            <w:r w:rsidRPr="00BE61E0">
              <w:rPr>
                <w:sz w:val="16"/>
                <w:szCs w:val="16"/>
              </w:rPr>
              <w:t>WT/DS285/AB/R</w:t>
            </w:r>
            <w:r w:rsidRPr="00BE61E0">
              <w:rPr>
                <w:color w:val="000000"/>
                <w:sz w:val="16"/>
                <w:szCs w:val="16"/>
              </w:rPr>
              <w:t xml:space="preserve">, adopted 20 April 2005, DSR </w:t>
            </w:r>
            <w:proofErr w:type="gramStart"/>
            <w:r w:rsidRPr="00BE61E0">
              <w:rPr>
                <w:color w:val="000000"/>
                <w:sz w:val="16"/>
                <w:szCs w:val="16"/>
              </w:rPr>
              <w:t>2005:XII</w:t>
            </w:r>
            <w:proofErr w:type="gramEnd"/>
            <w:r w:rsidRPr="00BE61E0">
              <w:rPr>
                <w:color w:val="000000"/>
                <w:sz w:val="16"/>
                <w:szCs w:val="16"/>
              </w:rPr>
              <w:t>, p. 5663 (and Corr.1, DSR 2006:XII, p. 5475)</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rPr>
            </w:pPr>
            <w:r w:rsidRPr="00BE61E0">
              <w:rPr>
                <w:i/>
                <w:sz w:val="16"/>
                <w:szCs w:val="16"/>
              </w:rPr>
              <w:t>US – Gasoline</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Standards for Reformulated and Conventional Gasoline</w:t>
            </w:r>
            <w:r w:rsidRPr="00BE61E0">
              <w:rPr>
                <w:color w:val="000000"/>
                <w:sz w:val="16"/>
                <w:szCs w:val="16"/>
              </w:rPr>
              <w:t xml:space="preserve">, WT/DS2/AB/R, adopted 20 May 1996, DSR </w:t>
            </w:r>
            <w:proofErr w:type="gramStart"/>
            <w:r w:rsidRPr="00BE61E0">
              <w:rPr>
                <w:color w:val="000000"/>
                <w:sz w:val="16"/>
                <w:szCs w:val="16"/>
              </w:rPr>
              <w:t>1996:I</w:t>
            </w:r>
            <w:proofErr w:type="gramEnd"/>
            <w:r w:rsidRPr="00BE61E0">
              <w:rPr>
                <w:color w:val="000000"/>
                <w:sz w:val="16"/>
                <w:szCs w:val="16"/>
              </w:rPr>
              <w:t>, p. 3</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Large Civil Aircraft</w:t>
            </w:r>
            <w:r w:rsidRPr="00BE61E0">
              <w:rPr>
                <w:i/>
                <w:color w:val="000000"/>
                <w:sz w:val="16"/>
                <w:szCs w:val="16"/>
              </w:rPr>
              <w:br/>
              <w:t>(2</w:t>
            </w:r>
            <w:r w:rsidRPr="00BE61E0">
              <w:rPr>
                <w:i/>
                <w:color w:val="000000"/>
                <w:sz w:val="16"/>
                <w:szCs w:val="16"/>
                <w:vertAlign w:val="superscript"/>
              </w:rPr>
              <w:t>nd</w:t>
            </w:r>
            <w:r w:rsidRPr="00BE61E0">
              <w:rPr>
                <w:i/>
                <w:color w:val="000000"/>
                <w:sz w:val="16"/>
                <w:szCs w:val="16"/>
              </w:rPr>
              <w:t xml:space="preserve"> complaint)</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Measures Affecting Trade in Large Civil Aircraft (Second Complaint)</w:t>
            </w:r>
            <w:r w:rsidRPr="00BE61E0">
              <w:rPr>
                <w:color w:val="000000"/>
                <w:sz w:val="16"/>
                <w:szCs w:val="16"/>
              </w:rPr>
              <w:t xml:space="preserve">, </w:t>
            </w:r>
            <w:r w:rsidRPr="00BE61E0">
              <w:rPr>
                <w:sz w:val="16"/>
                <w:szCs w:val="16"/>
              </w:rPr>
              <w:t>WT/DS353/AB/R</w:t>
            </w:r>
            <w:r w:rsidRPr="00BE61E0">
              <w:rPr>
                <w:color w:val="000000"/>
                <w:sz w:val="16"/>
                <w:szCs w:val="16"/>
              </w:rPr>
              <w:t xml:space="preserve">, adopted 23 March 2012, DSR </w:t>
            </w:r>
            <w:proofErr w:type="gramStart"/>
            <w:r w:rsidRPr="00BE61E0">
              <w:rPr>
                <w:color w:val="000000"/>
                <w:sz w:val="16"/>
                <w:szCs w:val="16"/>
              </w:rPr>
              <w:t>2012:I</w:t>
            </w:r>
            <w:proofErr w:type="gramEnd"/>
            <w:r w:rsidRPr="00BE61E0">
              <w:rPr>
                <w:color w:val="000000"/>
                <w:sz w:val="16"/>
                <w:szCs w:val="16"/>
              </w:rPr>
              <w:t>, p. 7</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Lead and Bismuth II</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Imposition of Countervailing Duties on Certain Hot-Rolled Lead and Bismuth Carbon Steel Products Originating in the United Kingdom</w:t>
            </w:r>
            <w:r w:rsidRPr="00BE61E0">
              <w:rPr>
                <w:color w:val="000000"/>
                <w:sz w:val="16"/>
                <w:szCs w:val="16"/>
              </w:rPr>
              <w:t xml:space="preserve">, </w:t>
            </w:r>
            <w:r w:rsidRPr="00BE61E0">
              <w:rPr>
                <w:sz w:val="16"/>
                <w:szCs w:val="16"/>
              </w:rPr>
              <w:t>WT/DS138/AB/R</w:t>
            </w:r>
            <w:r w:rsidRPr="00BE61E0">
              <w:rPr>
                <w:color w:val="000000"/>
                <w:sz w:val="16"/>
                <w:szCs w:val="16"/>
              </w:rPr>
              <w:t xml:space="preserve">, adopted 7 June 2000, DSR </w:t>
            </w:r>
            <w:proofErr w:type="gramStart"/>
            <w:r w:rsidRPr="00BE61E0">
              <w:rPr>
                <w:color w:val="000000"/>
                <w:sz w:val="16"/>
                <w:szCs w:val="16"/>
              </w:rPr>
              <w:t>2000:V</w:t>
            </w:r>
            <w:proofErr w:type="gramEnd"/>
            <w:r w:rsidRPr="00BE61E0">
              <w:rPr>
                <w:color w:val="000000"/>
                <w:sz w:val="16"/>
                <w:szCs w:val="16"/>
              </w:rPr>
              <w:t>, p. 2595</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Offset Act (Byrd Amendment)</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Continued Dumping and Subsidy Offset Act of 2000</w:t>
            </w:r>
            <w:r w:rsidRPr="00BE61E0">
              <w:rPr>
                <w:color w:val="000000"/>
                <w:sz w:val="16"/>
                <w:szCs w:val="16"/>
              </w:rPr>
              <w:t xml:space="preserve">, </w:t>
            </w:r>
            <w:r w:rsidRPr="00BE61E0">
              <w:rPr>
                <w:sz w:val="16"/>
                <w:szCs w:val="16"/>
              </w:rPr>
              <w:t>WT/DS217/AB/R</w:t>
            </w:r>
            <w:r w:rsidRPr="00BE61E0">
              <w:rPr>
                <w:color w:val="000000"/>
                <w:sz w:val="16"/>
                <w:szCs w:val="16"/>
              </w:rPr>
              <w:t xml:space="preserve">, </w:t>
            </w:r>
            <w:r w:rsidRPr="00BE61E0">
              <w:rPr>
                <w:sz w:val="16"/>
                <w:szCs w:val="16"/>
              </w:rPr>
              <w:t>WT/DS234/AB/R</w:t>
            </w:r>
            <w:r w:rsidRPr="00BE61E0">
              <w:rPr>
                <w:color w:val="000000"/>
                <w:sz w:val="16"/>
                <w:szCs w:val="16"/>
              </w:rPr>
              <w:t xml:space="preserve">, adopted 27 January 2003, DSR </w:t>
            </w:r>
            <w:proofErr w:type="gramStart"/>
            <w:r w:rsidRPr="00BE61E0">
              <w:rPr>
                <w:color w:val="000000"/>
                <w:sz w:val="16"/>
                <w:szCs w:val="16"/>
              </w:rPr>
              <w:t>2003:I</w:t>
            </w:r>
            <w:proofErr w:type="gramEnd"/>
            <w:r w:rsidRPr="00BE61E0">
              <w:rPr>
                <w:color w:val="000000"/>
                <w:sz w:val="16"/>
                <w:szCs w:val="16"/>
              </w:rPr>
              <w:t>, p. 375</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Oil Country Tubular Goods Sunset Reviews</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Sunset Reviews of Anti-Dumping Measures on Oil Country Tubular Goods from Argentina</w:t>
            </w:r>
            <w:r w:rsidRPr="00BE61E0">
              <w:rPr>
                <w:color w:val="000000"/>
                <w:sz w:val="16"/>
                <w:szCs w:val="16"/>
              </w:rPr>
              <w:t xml:space="preserve">, </w:t>
            </w:r>
            <w:r w:rsidRPr="00BE61E0">
              <w:rPr>
                <w:sz w:val="16"/>
                <w:szCs w:val="16"/>
              </w:rPr>
              <w:t>WT/DS268/AB/R</w:t>
            </w:r>
            <w:r w:rsidRPr="00BE61E0">
              <w:rPr>
                <w:color w:val="000000"/>
                <w:sz w:val="16"/>
                <w:szCs w:val="16"/>
              </w:rPr>
              <w:t xml:space="preserve">, adopted 17 December 2004, DSR </w:t>
            </w:r>
            <w:proofErr w:type="gramStart"/>
            <w:r w:rsidRPr="00BE61E0">
              <w:rPr>
                <w:color w:val="000000"/>
                <w:sz w:val="16"/>
                <w:szCs w:val="16"/>
              </w:rPr>
              <w:t>2004:VII</w:t>
            </w:r>
            <w:proofErr w:type="gramEnd"/>
            <w:r w:rsidRPr="00BE61E0">
              <w:rPr>
                <w:color w:val="000000"/>
                <w:sz w:val="16"/>
                <w:szCs w:val="16"/>
              </w:rPr>
              <w:t>, p. 3257</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Shrimp</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Import Prohibition of Certain Shrimp and Shrimp Products</w:t>
            </w:r>
            <w:r w:rsidRPr="00BE61E0">
              <w:rPr>
                <w:color w:val="000000"/>
                <w:sz w:val="16"/>
                <w:szCs w:val="16"/>
              </w:rPr>
              <w:t xml:space="preserve">, </w:t>
            </w:r>
            <w:r w:rsidRPr="00BE61E0">
              <w:rPr>
                <w:sz w:val="16"/>
                <w:szCs w:val="16"/>
              </w:rPr>
              <w:t>WT/DS58/AB/R</w:t>
            </w:r>
            <w:r w:rsidRPr="00BE61E0">
              <w:rPr>
                <w:color w:val="000000"/>
                <w:sz w:val="16"/>
                <w:szCs w:val="16"/>
              </w:rPr>
              <w:t xml:space="preserve">, adopted 6 November 1998, DSR </w:t>
            </w:r>
            <w:proofErr w:type="gramStart"/>
            <w:r w:rsidRPr="00BE61E0">
              <w:rPr>
                <w:color w:val="000000"/>
                <w:sz w:val="16"/>
                <w:szCs w:val="16"/>
              </w:rPr>
              <w:t>1998:VII</w:t>
            </w:r>
            <w:proofErr w:type="gramEnd"/>
            <w:r w:rsidRPr="00BE61E0">
              <w:rPr>
                <w:color w:val="000000"/>
                <w:sz w:val="16"/>
                <w:szCs w:val="16"/>
              </w:rPr>
              <w:t>, p. 2755</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lastRenderedPageBreak/>
              <w:t>US – Steel Safeguards</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Definitive Safeguard Measures on Imports of Certain Steel Products</w:t>
            </w:r>
            <w:r w:rsidRPr="00BE61E0">
              <w:rPr>
                <w:color w:val="000000"/>
                <w:sz w:val="16"/>
                <w:szCs w:val="16"/>
              </w:rPr>
              <w:t xml:space="preserve">, </w:t>
            </w:r>
            <w:r w:rsidRPr="00BE61E0">
              <w:rPr>
                <w:sz w:val="16"/>
                <w:szCs w:val="16"/>
              </w:rPr>
              <w:t>WT/DS248/AB/R</w:t>
            </w:r>
            <w:r w:rsidRPr="00BE61E0">
              <w:rPr>
                <w:color w:val="000000"/>
                <w:sz w:val="16"/>
                <w:szCs w:val="16"/>
              </w:rPr>
              <w:t xml:space="preserve">, </w:t>
            </w:r>
            <w:r w:rsidRPr="00BE61E0">
              <w:rPr>
                <w:sz w:val="16"/>
                <w:szCs w:val="16"/>
              </w:rPr>
              <w:t>WT/DS249/AB/R</w:t>
            </w:r>
            <w:r w:rsidRPr="00BE61E0">
              <w:rPr>
                <w:color w:val="000000"/>
                <w:sz w:val="16"/>
                <w:szCs w:val="16"/>
              </w:rPr>
              <w:t xml:space="preserve">, </w:t>
            </w:r>
            <w:r w:rsidRPr="00BE61E0">
              <w:rPr>
                <w:sz w:val="16"/>
                <w:szCs w:val="16"/>
              </w:rPr>
              <w:t>WT/DS251/AB/R</w:t>
            </w:r>
            <w:r w:rsidRPr="00BE61E0">
              <w:rPr>
                <w:color w:val="000000"/>
                <w:sz w:val="16"/>
                <w:szCs w:val="16"/>
              </w:rPr>
              <w:t xml:space="preserve">, </w:t>
            </w:r>
            <w:r w:rsidRPr="00BE61E0">
              <w:rPr>
                <w:sz w:val="16"/>
                <w:szCs w:val="16"/>
              </w:rPr>
              <w:t>WT/DS252/AB/R</w:t>
            </w:r>
            <w:r w:rsidRPr="00BE61E0">
              <w:rPr>
                <w:color w:val="000000"/>
                <w:sz w:val="16"/>
                <w:szCs w:val="16"/>
              </w:rPr>
              <w:t xml:space="preserve">, </w:t>
            </w:r>
            <w:r w:rsidRPr="00BE61E0">
              <w:rPr>
                <w:sz w:val="16"/>
                <w:szCs w:val="16"/>
              </w:rPr>
              <w:t>WT/DS253/AB/R</w:t>
            </w:r>
            <w:r w:rsidRPr="00BE61E0">
              <w:rPr>
                <w:color w:val="000000"/>
                <w:sz w:val="16"/>
                <w:szCs w:val="16"/>
              </w:rPr>
              <w:t xml:space="preserve">, </w:t>
            </w:r>
            <w:r w:rsidRPr="00BE61E0">
              <w:rPr>
                <w:sz w:val="16"/>
                <w:szCs w:val="16"/>
              </w:rPr>
              <w:t>WT/DS254/AB/R</w:t>
            </w:r>
            <w:r w:rsidRPr="00BE61E0">
              <w:rPr>
                <w:color w:val="000000"/>
                <w:sz w:val="16"/>
                <w:szCs w:val="16"/>
              </w:rPr>
              <w:t xml:space="preserve">, </w:t>
            </w:r>
            <w:r w:rsidRPr="00BE61E0">
              <w:rPr>
                <w:sz w:val="16"/>
                <w:szCs w:val="16"/>
              </w:rPr>
              <w:t>WT/DS258/AB/R</w:t>
            </w:r>
            <w:r w:rsidRPr="00BE61E0">
              <w:rPr>
                <w:color w:val="000000"/>
                <w:sz w:val="16"/>
                <w:szCs w:val="16"/>
              </w:rPr>
              <w:t xml:space="preserve">, </w:t>
            </w:r>
            <w:r w:rsidRPr="00BE61E0">
              <w:rPr>
                <w:sz w:val="16"/>
                <w:szCs w:val="16"/>
              </w:rPr>
              <w:t>WT/DS259/AB/R</w:t>
            </w:r>
            <w:r w:rsidRPr="00BE61E0">
              <w:rPr>
                <w:color w:val="000000"/>
                <w:sz w:val="16"/>
                <w:szCs w:val="16"/>
              </w:rPr>
              <w:t>, adopted 10 December 2003, DSR</w:t>
            </w:r>
            <w:r w:rsidR="0033166C" w:rsidRPr="00BE61E0">
              <w:rPr>
                <w:color w:val="000000"/>
                <w:sz w:val="16"/>
                <w:szCs w:val="16"/>
              </w:rPr>
              <w:t> </w:t>
            </w:r>
            <w:proofErr w:type="gramStart"/>
            <w:r w:rsidRPr="00BE61E0">
              <w:rPr>
                <w:color w:val="000000"/>
                <w:sz w:val="16"/>
                <w:szCs w:val="16"/>
              </w:rPr>
              <w:t>2003:VII</w:t>
            </w:r>
            <w:proofErr w:type="gramEnd"/>
            <w:r w:rsidRPr="00BE61E0">
              <w:rPr>
                <w:color w:val="000000"/>
                <w:sz w:val="16"/>
                <w:szCs w:val="16"/>
              </w:rPr>
              <w:t>, p. 3117</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sz w:val="16"/>
                <w:szCs w:val="16"/>
              </w:rPr>
              <w:t>US – Tax Incentives</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Panel Report, </w:t>
            </w:r>
            <w:r w:rsidRPr="00BE61E0">
              <w:rPr>
                <w:i/>
                <w:color w:val="000000"/>
                <w:sz w:val="16"/>
                <w:szCs w:val="16"/>
              </w:rPr>
              <w:t>United States – Conditional Tax Incentives for Large Civil Aircraft</w:t>
            </w:r>
            <w:r w:rsidRPr="00BE61E0">
              <w:rPr>
                <w:color w:val="000000"/>
                <w:sz w:val="16"/>
                <w:szCs w:val="16"/>
              </w:rPr>
              <w:t xml:space="preserve">, </w:t>
            </w:r>
            <w:r w:rsidRPr="00BE61E0">
              <w:rPr>
                <w:sz w:val="16"/>
                <w:szCs w:val="16"/>
              </w:rPr>
              <w:t>WT/DS487/R</w:t>
            </w:r>
            <w:r w:rsidRPr="00BE61E0">
              <w:rPr>
                <w:color w:val="000000"/>
                <w:sz w:val="16"/>
                <w:szCs w:val="16"/>
              </w:rPr>
              <w:t xml:space="preserve"> and Add.1, adopted 22 September 2017, as modified by Appellate Body Report WT/DS487/AB/R</w:t>
            </w:r>
          </w:p>
        </w:tc>
      </w:tr>
      <w:tr w:rsidR="0015487C" w:rsidRPr="00BE61E0" w:rsidTr="00ED6C8F">
        <w:trPr>
          <w:cantSplit/>
        </w:trPr>
        <w:tc>
          <w:tcPr>
            <w:tcW w:w="2600" w:type="dxa"/>
          </w:tcPr>
          <w:p w:rsidR="0015487C" w:rsidRPr="00BE61E0" w:rsidRDefault="0015487C" w:rsidP="0015487C">
            <w:pPr>
              <w:spacing w:before="60" w:after="60"/>
              <w:jc w:val="left"/>
              <w:rPr>
                <w:i/>
                <w:sz w:val="16"/>
                <w:szCs w:val="16"/>
              </w:rPr>
            </w:pPr>
            <w:r w:rsidRPr="00BE61E0">
              <w:rPr>
                <w:i/>
                <w:color w:val="000000"/>
                <w:sz w:val="16"/>
                <w:szCs w:val="16"/>
              </w:rPr>
              <w:t>US – Tuna II (Mexico)</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Measures Concerning the Importation, Marketing and Sale of Tuna and Tuna Products</w:t>
            </w:r>
            <w:r w:rsidRPr="00BE61E0">
              <w:rPr>
                <w:color w:val="000000"/>
                <w:sz w:val="16"/>
                <w:szCs w:val="16"/>
              </w:rPr>
              <w:t xml:space="preserve">, </w:t>
            </w:r>
            <w:r w:rsidRPr="00BE61E0">
              <w:rPr>
                <w:sz w:val="16"/>
                <w:szCs w:val="16"/>
              </w:rPr>
              <w:t>WT/DS381/AB/R</w:t>
            </w:r>
            <w:r w:rsidRPr="00BE61E0">
              <w:rPr>
                <w:color w:val="000000"/>
                <w:sz w:val="16"/>
                <w:szCs w:val="16"/>
              </w:rPr>
              <w:t xml:space="preserve">, adopted 13 June 2012, DSR </w:t>
            </w:r>
            <w:proofErr w:type="gramStart"/>
            <w:r w:rsidRPr="00BE61E0">
              <w:rPr>
                <w:color w:val="000000"/>
                <w:sz w:val="16"/>
                <w:szCs w:val="16"/>
              </w:rPr>
              <w:t>2012:IV</w:t>
            </w:r>
            <w:proofErr w:type="gramEnd"/>
            <w:r w:rsidRPr="00BE61E0">
              <w:rPr>
                <w:color w:val="000000"/>
                <w:sz w:val="16"/>
                <w:szCs w:val="16"/>
              </w:rPr>
              <w:t>, p. 1837</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Tuna II (Mexico)</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Panel Report, </w:t>
            </w:r>
            <w:r w:rsidRPr="00BE61E0">
              <w:rPr>
                <w:i/>
                <w:color w:val="000000"/>
                <w:sz w:val="16"/>
                <w:szCs w:val="16"/>
              </w:rPr>
              <w:t>United States – Measures Concerning the Importation, Marketing and Sale of Tuna and Tuna Products</w:t>
            </w:r>
            <w:r w:rsidRPr="00BE61E0">
              <w:rPr>
                <w:color w:val="000000"/>
                <w:sz w:val="16"/>
                <w:szCs w:val="16"/>
              </w:rPr>
              <w:t xml:space="preserve">, </w:t>
            </w:r>
            <w:r w:rsidRPr="00BE61E0">
              <w:rPr>
                <w:sz w:val="16"/>
                <w:szCs w:val="16"/>
              </w:rPr>
              <w:t>WT/DS381/R</w:t>
            </w:r>
            <w:r w:rsidRPr="00BE61E0">
              <w:rPr>
                <w:color w:val="000000"/>
                <w:sz w:val="16"/>
                <w:szCs w:val="16"/>
              </w:rPr>
              <w:t xml:space="preserve">, adopted 13 June 2012, as modified by Appellate Body Report WT/DS381/AB/R, DSR </w:t>
            </w:r>
            <w:proofErr w:type="gramStart"/>
            <w:r w:rsidRPr="00BE61E0">
              <w:rPr>
                <w:color w:val="000000"/>
                <w:sz w:val="16"/>
                <w:szCs w:val="16"/>
              </w:rPr>
              <w:t>2012:IV</w:t>
            </w:r>
            <w:proofErr w:type="gramEnd"/>
            <w:r w:rsidRPr="00BE61E0">
              <w:rPr>
                <w:color w:val="000000"/>
                <w:sz w:val="16"/>
                <w:szCs w:val="16"/>
              </w:rPr>
              <w:t>, p. 2013</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lang w:val="es-ES"/>
              </w:rPr>
            </w:pPr>
            <w:r w:rsidRPr="00BE61E0">
              <w:rPr>
                <w:i/>
                <w:color w:val="000000"/>
                <w:sz w:val="16"/>
                <w:szCs w:val="16"/>
                <w:lang w:val="es-ES"/>
              </w:rPr>
              <w:t>US – Tuna II (</w:t>
            </w:r>
            <w:proofErr w:type="spellStart"/>
            <w:r w:rsidRPr="00BE61E0">
              <w:rPr>
                <w:i/>
                <w:color w:val="000000"/>
                <w:sz w:val="16"/>
                <w:szCs w:val="16"/>
                <w:lang w:val="es-ES"/>
              </w:rPr>
              <w:t>Mexico</w:t>
            </w:r>
            <w:proofErr w:type="spellEnd"/>
            <w:r w:rsidRPr="00BE61E0">
              <w:rPr>
                <w:i/>
                <w:color w:val="000000"/>
                <w:sz w:val="16"/>
                <w:szCs w:val="16"/>
                <w:lang w:val="es-ES"/>
              </w:rPr>
              <w:t>) (</w:t>
            </w:r>
            <w:proofErr w:type="spellStart"/>
            <w:r w:rsidRPr="00BE61E0">
              <w:rPr>
                <w:i/>
                <w:color w:val="000000"/>
                <w:sz w:val="16"/>
                <w:szCs w:val="16"/>
                <w:lang w:val="es-ES"/>
              </w:rPr>
              <w:t>Article</w:t>
            </w:r>
            <w:proofErr w:type="spellEnd"/>
            <w:r w:rsidRPr="00BE61E0">
              <w:rPr>
                <w:i/>
                <w:color w:val="000000"/>
                <w:sz w:val="16"/>
                <w:szCs w:val="16"/>
                <w:lang w:val="es-ES"/>
              </w:rPr>
              <w:t xml:space="preserve"> 21.5 – </w:t>
            </w:r>
            <w:proofErr w:type="spellStart"/>
            <w:r w:rsidRPr="00BE61E0">
              <w:rPr>
                <w:i/>
                <w:color w:val="000000"/>
                <w:sz w:val="16"/>
                <w:szCs w:val="16"/>
                <w:lang w:val="es-ES"/>
              </w:rPr>
              <w:t>Mexico</w:t>
            </w:r>
            <w:proofErr w:type="spellEnd"/>
            <w:r w:rsidRPr="00BE61E0">
              <w:rPr>
                <w:i/>
                <w:color w:val="000000"/>
                <w:sz w:val="16"/>
                <w:szCs w:val="16"/>
                <w:lang w:val="es-ES"/>
              </w:rPr>
              <w:t>)</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Measures Concerning the Importation, Marketing and Sale of Tuna and Tuna Products – Recourse to Article 21.5 of the DSU by Mexico</w:t>
            </w:r>
            <w:r w:rsidRPr="00BE61E0">
              <w:rPr>
                <w:color w:val="000000"/>
                <w:sz w:val="16"/>
                <w:szCs w:val="16"/>
              </w:rPr>
              <w:t xml:space="preserve">, </w:t>
            </w:r>
            <w:r w:rsidRPr="00BE61E0">
              <w:rPr>
                <w:sz w:val="16"/>
                <w:szCs w:val="16"/>
              </w:rPr>
              <w:t>WT/DS381/AB/RW</w:t>
            </w:r>
            <w:r w:rsidRPr="00BE61E0">
              <w:rPr>
                <w:color w:val="000000"/>
                <w:sz w:val="16"/>
                <w:szCs w:val="16"/>
              </w:rPr>
              <w:t xml:space="preserve"> and Add.1, adopted 3 December 2015, DSR 2015:X, p. 5133</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lang w:val="es-ES"/>
              </w:rPr>
            </w:pPr>
            <w:r w:rsidRPr="00BE61E0">
              <w:rPr>
                <w:i/>
                <w:color w:val="000000"/>
                <w:sz w:val="16"/>
                <w:szCs w:val="16"/>
                <w:lang w:val="es-ES"/>
              </w:rPr>
              <w:t>US – Tuna II (</w:t>
            </w:r>
            <w:proofErr w:type="spellStart"/>
            <w:r w:rsidRPr="00BE61E0">
              <w:rPr>
                <w:i/>
                <w:color w:val="000000"/>
                <w:sz w:val="16"/>
                <w:szCs w:val="16"/>
                <w:lang w:val="es-ES"/>
              </w:rPr>
              <w:t>Mexico</w:t>
            </w:r>
            <w:proofErr w:type="spellEnd"/>
            <w:r w:rsidRPr="00BE61E0">
              <w:rPr>
                <w:i/>
                <w:color w:val="000000"/>
                <w:sz w:val="16"/>
                <w:szCs w:val="16"/>
                <w:lang w:val="es-ES"/>
              </w:rPr>
              <w:t>) (</w:t>
            </w:r>
            <w:proofErr w:type="spellStart"/>
            <w:r w:rsidRPr="00BE61E0">
              <w:rPr>
                <w:i/>
                <w:color w:val="000000"/>
                <w:sz w:val="16"/>
                <w:szCs w:val="16"/>
                <w:lang w:val="es-ES"/>
              </w:rPr>
              <w:t>Article</w:t>
            </w:r>
            <w:proofErr w:type="spellEnd"/>
            <w:r w:rsidRPr="00BE61E0">
              <w:rPr>
                <w:i/>
                <w:color w:val="000000"/>
                <w:sz w:val="16"/>
                <w:szCs w:val="16"/>
                <w:lang w:val="es-ES"/>
              </w:rPr>
              <w:t xml:space="preserve"> 21.5 – </w:t>
            </w:r>
            <w:proofErr w:type="spellStart"/>
            <w:r w:rsidRPr="00BE61E0">
              <w:rPr>
                <w:i/>
                <w:color w:val="000000"/>
                <w:sz w:val="16"/>
                <w:szCs w:val="16"/>
                <w:lang w:val="es-ES"/>
              </w:rPr>
              <w:t>Mexico</w:t>
            </w:r>
            <w:proofErr w:type="spellEnd"/>
            <w:r w:rsidRPr="00BE61E0">
              <w:rPr>
                <w:i/>
                <w:color w:val="000000"/>
                <w:sz w:val="16"/>
                <w:szCs w:val="16"/>
                <w:lang w:val="es-ES"/>
              </w:rPr>
              <w:t>)</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Panel Report, </w:t>
            </w:r>
            <w:r w:rsidRPr="00BE61E0">
              <w:rPr>
                <w:i/>
                <w:color w:val="000000"/>
                <w:sz w:val="16"/>
                <w:szCs w:val="16"/>
              </w:rPr>
              <w:t>United States – Measures Concerning the Importation, Marketing and Sale of Tuna and Tuna Products – Recourse to Article 21.5 of the DSU by Mexico</w:t>
            </w:r>
            <w:r w:rsidRPr="00BE61E0">
              <w:rPr>
                <w:color w:val="000000"/>
                <w:sz w:val="16"/>
                <w:szCs w:val="16"/>
              </w:rPr>
              <w:t xml:space="preserve">, </w:t>
            </w:r>
            <w:r w:rsidRPr="00BE61E0">
              <w:rPr>
                <w:sz w:val="16"/>
                <w:szCs w:val="16"/>
              </w:rPr>
              <w:t>WT/DS381/RW</w:t>
            </w:r>
            <w:r w:rsidRPr="00BE61E0">
              <w:rPr>
                <w:color w:val="000000"/>
                <w:sz w:val="16"/>
                <w:szCs w:val="16"/>
              </w:rPr>
              <w:t xml:space="preserve">, Add.1 and Corr.1, adopted 3 December 2015, as modified by Appellate Body Report WT/DS381/AB/RW, DSR 2015:X, p. 5409 and DSR </w:t>
            </w:r>
            <w:proofErr w:type="gramStart"/>
            <w:r w:rsidRPr="00BE61E0">
              <w:rPr>
                <w:color w:val="000000"/>
                <w:sz w:val="16"/>
                <w:szCs w:val="16"/>
              </w:rPr>
              <w:t>2015:XI</w:t>
            </w:r>
            <w:proofErr w:type="gramEnd"/>
            <w:r w:rsidRPr="00BE61E0">
              <w:rPr>
                <w:color w:val="000000"/>
                <w:sz w:val="16"/>
                <w:szCs w:val="16"/>
              </w:rPr>
              <w:t>, p. 5653</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lang w:val="es-ES"/>
              </w:rPr>
            </w:pPr>
            <w:bookmarkStart w:id="5" w:name="_Hlk529949075"/>
            <w:r w:rsidRPr="00BE61E0">
              <w:rPr>
                <w:i/>
                <w:sz w:val="16"/>
                <w:szCs w:val="16"/>
                <w:lang w:val="es-ES"/>
              </w:rPr>
              <w:t>US – Tuna II (</w:t>
            </w:r>
            <w:proofErr w:type="spellStart"/>
            <w:r w:rsidRPr="00BE61E0">
              <w:rPr>
                <w:i/>
                <w:sz w:val="16"/>
                <w:szCs w:val="16"/>
                <w:lang w:val="es-ES"/>
              </w:rPr>
              <w:t>Mexico</w:t>
            </w:r>
            <w:proofErr w:type="spellEnd"/>
            <w:r w:rsidRPr="00BE61E0">
              <w:rPr>
                <w:i/>
                <w:sz w:val="16"/>
                <w:szCs w:val="16"/>
                <w:lang w:val="es-ES"/>
              </w:rPr>
              <w:t>) (</w:t>
            </w:r>
            <w:proofErr w:type="spellStart"/>
            <w:r w:rsidRPr="00BE61E0">
              <w:rPr>
                <w:i/>
                <w:sz w:val="16"/>
                <w:szCs w:val="16"/>
                <w:lang w:val="es-ES"/>
              </w:rPr>
              <w:t>Article</w:t>
            </w:r>
            <w:proofErr w:type="spellEnd"/>
            <w:r w:rsidRPr="00BE61E0">
              <w:rPr>
                <w:i/>
                <w:sz w:val="16"/>
                <w:szCs w:val="16"/>
                <w:lang w:val="es-ES"/>
              </w:rPr>
              <w:t> 21.5 – US) /</w:t>
            </w:r>
            <w:r w:rsidRPr="00BE61E0">
              <w:rPr>
                <w:i/>
                <w:sz w:val="16"/>
                <w:szCs w:val="16"/>
                <w:lang w:val="es-ES"/>
              </w:rPr>
              <w:br/>
              <w:t>US – Tuna II (</w:t>
            </w:r>
            <w:proofErr w:type="spellStart"/>
            <w:r w:rsidRPr="00BE61E0">
              <w:rPr>
                <w:i/>
                <w:sz w:val="16"/>
                <w:szCs w:val="16"/>
                <w:lang w:val="es-ES"/>
              </w:rPr>
              <w:t>Mexico</w:t>
            </w:r>
            <w:proofErr w:type="spellEnd"/>
            <w:r w:rsidRPr="00BE61E0">
              <w:rPr>
                <w:i/>
                <w:sz w:val="16"/>
                <w:szCs w:val="16"/>
                <w:lang w:val="es-ES"/>
              </w:rPr>
              <w:t>) (</w:t>
            </w:r>
            <w:proofErr w:type="spellStart"/>
            <w:r w:rsidRPr="00BE61E0">
              <w:rPr>
                <w:i/>
                <w:sz w:val="16"/>
                <w:szCs w:val="16"/>
                <w:lang w:val="es-ES"/>
              </w:rPr>
              <w:t>Article</w:t>
            </w:r>
            <w:proofErr w:type="spellEnd"/>
            <w:r w:rsidRPr="00BE61E0">
              <w:rPr>
                <w:i/>
                <w:sz w:val="16"/>
                <w:szCs w:val="16"/>
                <w:lang w:val="es-ES"/>
              </w:rPr>
              <w:t xml:space="preserve"> 21.5 – </w:t>
            </w:r>
            <w:proofErr w:type="spellStart"/>
            <w:r w:rsidRPr="00BE61E0">
              <w:rPr>
                <w:i/>
                <w:sz w:val="16"/>
                <w:szCs w:val="16"/>
                <w:lang w:val="es-ES"/>
              </w:rPr>
              <w:t>Mexico</w:t>
            </w:r>
            <w:proofErr w:type="spellEnd"/>
            <w:r w:rsidRPr="00BE61E0">
              <w:rPr>
                <w:i/>
                <w:sz w:val="16"/>
                <w:szCs w:val="16"/>
                <w:lang w:val="es-ES"/>
              </w:rPr>
              <w:t xml:space="preserve"> II)</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Panel Reports, </w:t>
            </w:r>
            <w:r w:rsidRPr="00BE61E0">
              <w:rPr>
                <w:i/>
                <w:color w:val="000000"/>
                <w:sz w:val="16"/>
                <w:szCs w:val="16"/>
              </w:rPr>
              <w:t>United States – Measures Concerning the Importation, Marketing and Sale of Tuna and Tuna Products – Recourse to Article 21.5 of the DSU by the United States</w:t>
            </w:r>
            <w:r w:rsidRPr="00BE61E0">
              <w:rPr>
                <w:color w:val="000000"/>
                <w:sz w:val="16"/>
                <w:szCs w:val="16"/>
              </w:rPr>
              <w:t xml:space="preserve">, </w:t>
            </w:r>
            <w:r w:rsidRPr="00BE61E0">
              <w:rPr>
                <w:sz w:val="16"/>
                <w:szCs w:val="16"/>
              </w:rPr>
              <w:t>WT/DS381/RW/USA</w:t>
            </w:r>
            <w:r w:rsidRPr="00BE61E0">
              <w:rPr>
                <w:color w:val="000000"/>
                <w:sz w:val="16"/>
                <w:szCs w:val="16"/>
              </w:rPr>
              <w:t xml:space="preserve"> and Add.1 / </w:t>
            </w:r>
            <w:r w:rsidRPr="00BE61E0">
              <w:rPr>
                <w:i/>
                <w:color w:val="000000"/>
                <w:sz w:val="16"/>
                <w:szCs w:val="16"/>
              </w:rPr>
              <w:t>United States – Measures Concerning the Importation, Marketing and Sale of Tuna and Tuna Products – Second Recourse to Article 21.5 of the DSU by Mexico</w:t>
            </w:r>
            <w:r w:rsidRPr="00BE61E0">
              <w:rPr>
                <w:color w:val="000000"/>
                <w:sz w:val="16"/>
                <w:szCs w:val="16"/>
              </w:rPr>
              <w:t xml:space="preserve">, </w:t>
            </w:r>
            <w:r w:rsidRPr="00BE61E0">
              <w:rPr>
                <w:sz w:val="16"/>
                <w:szCs w:val="16"/>
              </w:rPr>
              <w:t>WT/DS381/RW2</w:t>
            </w:r>
            <w:r w:rsidRPr="00BE61E0">
              <w:rPr>
                <w:color w:val="000000"/>
                <w:sz w:val="16"/>
                <w:szCs w:val="16"/>
              </w:rPr>
              <w:t xml:space="preserve"> and Add.1, circulated to WTO Members 26 October 2017</w:t>
            </w:r>
          </w:p>
        </w:tc>
      </w:tr>
      <w:bookmarkEnd w:id="5"/>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lang w:val="es-ES"/>
              </w:rPr>
            </w:pPr>
            <w:r w:rsidRPr="00BE61E0">
              <w:rPr>
                <w:i/>
                <w:color w:val="000000"/>
                <w:sz w:val="16"/>
                <w:szCs w:val="16"/>
                <w:lang w:val="es-ES"/>
              </w:rPr>
              <w:t>US – Tuna II (</w:t>
            </w:r>
            <w:proofErr w:type="spellStart"/>
            <w:r w:rsidRPr="00BE61E0">
              <w:rPr>
                <w:i/>
                <w:color w:val="000000"/>
                <w:sz w:val="16"/>
                <w:szCs w:val="16"/>
                <w:lang w:val="es-ES"/>
              </w:rPr>
              <w:t>Mexico</w:t>
            </w:r>
            <w:proofErr w:type="spellEnd"/>
            <w:r w:rsidRPr="00BE61E0">
              <w:rPr>
                <w:i/>
                <w:color w:val="000000"/>
                <w:sz w:val="16"/>
                <w:szCs w:val="16"/>
                <w:lang w:val="es-ES"/>
              </w:rPr>
              <w:t>) (</w:t>
            </w:r>
            <w:proofErr w:type="spellStart"/>
            <w:r w:rsidRPr="00BE61E0">
              <w:rPr>
                <w:i/>
                <w:color w:val="000000"/>
                <w:sz w:val="16"/>
                <w:szCs w:val="16"/>
                <w:lang w:val="es-ES"/>
              </w:rPr>
              <w:t>Article</w:t>
            </w:r>
            <w:proofErr w:type="spellEnd"/>
            <w:r w:rsidRPr="00BE61E0">
              <w:rPr>
                <w:i/>
                <w:color w:val="000000"/>
                <w:sz w:val="16"/>
                <w:szCs w:val="16"/>
                <w:lang w:val="es-ES"/>
              </w:rPr>
              <w:t xml:space="preserve"> 22.6 – US)</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Decision by the Arbitrator, </w:t>
            </w:r>
            <w:r w:rsidRPr="00BE61E0">
              <w:rPr>
                <w:i/>
                <w:color w:val="000000"/>
                <w:sz w:val="16"/>
                <w:szCs w:val="16"/>
              </w:rPr>
              <w:t>United States – Measures Concerning the Importation, Marketing and Sale of Tuna and Tuna Products – Recourse to Article 22.6 of the DSU by the United States</w:t>
            </w:r>
            <w:r w:rsidRPr="00BE61E0">
              <w:rPr>
                <w:color w:val="000000"/>
                <w:sz w:val="16"/>
                <w:szCs w:val="16"/>
              </w:rPr>
              <w:t xml:space="preserve">, </w:t>
            </w:r>
            <w:r w:rsidRPr="00BE61E0">
              <w:rPr>
                <w:sz w:val="16"/>
                <w:szCs w:val="16"/>
              </w:rPr>
              <w:t>WT/DS381/ARB</w:t>
            </w:r>
            <w:r w:rsidRPr="00BE61E0">
              <w:rPr>
                <w:color w:val="000000"/>
                <w:sz w:val="16"/>
                <w:szCs w:val="16"/>
              </w:rPr>
              <w:t>, 25 April 2017</w:t>
            </w:r>
          </w:p>
        </w:tc>
      </w:tr>
      <w:tr w:rsidR="0015487C" w:rsidRPr="00BE61E0" w:rsidTr="00ED6C8F">
        <w:trPr>
          <w:cantSplit/>
        </w:trPr>
        <w:tc>
          <w:tcPr>
            <w:tcW w:w="2600" w:type="dxa"/>
          </w:tcPr>
          <w:p w:rsidR="0015487C" w:rsidRPr="00BE61E0" w:rsidRDefault="0015487C" w:rsidP="0015487C">
            <w:pPr>
              <w:spacing w:before="60" w:after="60"/>
              <w:jc w:val="left"/>
              <w:rPr>
                <w:i/>
                <w:sz w:val="16"/>
                <w:szCs w:val="16"/>
              </w:rPr>
            </w:pPr>
            <w:r w:rsidRPr="00BE61E0">
              <w:rPr>
                <w:i/>
                <w:color w:val="000000"/>
                <w:sz w:val="16"/>
                <w:szCs w:val="16"/>
              </w:rPr>
              <w:t>US – Upland Cotton</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Subsidies on Upland Cotton</w:t>
            </w:r>
            <w:r w:rsidRPr="00BE61E0">
              <w:rPr>
                <w:color w:val="000000"/>
                <w:sz w:val="16"/>
                <w:szCs w:val="16"/>
              </w:rPr>
              <w:t xml:space="preserve">, </w:t>
            </w:r>
            <w:r w:rsidRPr="00BE61E0">
              <w:rPr>
                <w:sz w:val="16"/>
                <w:szCs w:val="16"/>
              </w:rPr>
              <w:t>WT/DS267/AB/R</w:t>
            </w:r>
            <w:r w:rsidRPr="00BE61E0">
              <w:rPr>
                <w:color w:val="000000"/>
                <w:sz w:val="16"/>
                <w:szCs w:val="16"/>
              </w:rPr>
              <w:t xml:space="preserve">, adopted 21 March 2005, DSR </w:t>
            </w:r>
            <w:proofErr w:type="gramStart"/>
            <w:r w:rsidRPr="00BE61E0">
              <w:rPr>
                <w:color w:val="000000"/>
                <w:sz w:val="16"/>
                <w:szCs w:val="16"/>
              </w:rPr>
              <w:t>2005:I</w:t>
            </w:r>
            <w:proofErr w:type="gramEnd"/>
            <w:r w:rsidRPr="00BE61E0">
              <w:rPr>
                <w:color w:val="000000"/>
                <w:sz w:val="16"/>
                <w:szCs w:val="16"/>
              </w:rPr>
              <w:t>, p. 3</w:t>
            </w:r>
          </w:p>
        </w:tc>
      </w:tr>
      <w:tr w:rsidR="0015487C" w:rsidRPr="00BE61E0" w:rsidTr="00ED6C8F">
        <w:trPr>
          <w:cnfStyle w:val="000000010000" w:firstRow="0" w:lastRow="0" w:firstColumn="0" w:lastColumn="0" w:oddVBand="0" w:evenVBand="0" w:oddHBand="0" w:evenHBand="1" w:firstRowFirstColumn="0" w:firstRowLastColumn="0" w:lastRowFirstColumn="0" w:lastRowLastColumn="0"/>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Wool Shirts and Blouses</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Measure Affecting Imports of Woven Wool Shirts and Blouses from India</w:t>
            </w:r>
            <w:r w:rsidRPr="00BE61E0">
              <w:rPr>
                <w:color w:val="000000"/>
                <w:sz w:val="16"/>
                <w:szCs w:val="16"/>
              </w:rPr>
              <w:t xml:space="preserve">, </w:t>
            </w:r>
            <w:r w:rsidRPr="00BE61E0">
              <w:rPr>
                <w:sz w:val="16"/>
                <w:szCs w:val="16"/>
              </w:rPr>
              <w:t>WT/DS33/AB/R</w:t>
            </w:r>
            <w:r w:rsidRPr="00BE61E0">
              <w:rPr>
                <w:color w:val="000000"/>
                <w:sz w:val="16"/>
                <w:szCs w:val="16"/>
              </w:rPr>
              <w:t xml:space="preserve">, adopted 23 May 1997, and Corr.1, DSR </w:t>
            </w:r>
            <w:proofErr w:type="gramStart"/>
            <w:r w:rsidRPr="00BE61E0">
              <w:rPr>
                <w:color w:val="000000"/>
                <w:sz w:val="16"/>
                <w:szCs w:val="16"/>
              </w:rPr>
              <w:t>1997:I</w:t>
            </w:r>
            <w:proofErr w:type="gramEnd"/>
            <w:r w:rsidRPr="00BE61E0">
              <w:rPr>
                <w:color w:val="000000"/>
                <w:sz w:val="16"/>
                <w:szCs w:val="16"/>
              </w:rPr>
              <w:t>, p. 323</w:t>
            </w:r>
          </w:p>
        </w:tc>
      </w:tr>
      <w:tr w:rsidR="0015487C" w:rsidRPr="00BE61E0" w:rsidTr="00ED6C8F">
        <w:trPr>
          <w:cantSplit/>
        </w:trPr>
        <w:tc>
          <w:tcPr>
            <w:tcW w:w="2600" w:type="dxa"/>
          </w:tcPr>
          <w:p w:rsidR="0015487C" w:rsidRPr="00BE61E0" w:rsidRDefault="0015487C" w:rsidP="0015487C">
            <w:pPr>
              <w:spacing w:before="60" w:after="60"/>
              <w:jc w:val="left"/>
              <w:rPr>
                <w:i/>
                <w:color w:val="000000"/>
                <w:sz w:val="16"/>
                <w:szCs w:val="16"/>
              </w:rPr>
            </w:pPr>
            <w:r w:rsidRPr="00BE61E0">
              <w:rPr>
                <w:i/>
                <w:color w:val="000000"/>
                <w:sz w:val="16"/>
                <w:szCs w:val="16"/>
              </w:rPr>
              <w:t>US – Zeroing (Japan)</w:t>
            </w:r>
          </w:p>
        </w:tc>
        <w:tc>
          <w:tcPr>
            <w:tcW w:w="6621" w:type="dxa"/>
          </w:tcPr>
          <w:p w:rsidR="0015487C" w:rsidRPr="00BE61E0" w:rsidRDefault="0015487C" w:rsidP="0015487C">
            <w:pPr>
              <w:keepLines/>
              <w:tabs>
                <w:tab w:val="left" w:pos="2268"/>
                <w:tab w:val="left" w:pos="4536"/>
              </w:tabs>
              <w:spacing w:before="60" w:after="60"/>
              <w:jc w:val="left"/>
              <w:rPr>
                <w:color w:val="000000"/>
                <w:sz w:val="16"/>
                <w:szCs w:val="16"/>
              </w:rPr>
            </w:pPr>
            <w:r w:rsidRPr="00BE61E0">
              <w:rPr>
                <w:color w:val="000000"/>
                <w:sz w:val="16"/>
                <w:szCs w:val="16"/>
              </w:rPr>
              <w:t xml:space="preserve">Appellate Body Report, </w:t>
            </w:r>
            <w:r w:rsidRPr="00BE61E0">
              <w:rPr>
                <w:i/>
                <w:color w:val="000000"/>
                <w:sz w:val="16"/>
                <w:szCs w:val="16"/>
              </w:rPr>
              <w:t>United States – Measures Relating to Zeroing and Sunset Reviews</w:t>
            </w:r>
            <w:r w:rsidRPr="00BE61E0">
              <w:rPr>
                <w:color w:val="000000"/>
                <w:sz w:val="16"/>
                <w:szCs w:val="16"/>
              </w:rPr>
              <w:t xml:space="preserve">, </w:t>
            </w:r>
            <w:r w:rsidRPr="00BE61E0">
              <w:rPr>
                <w:sz w:val="16"/>
                <w:szCs w:val="16"/>
              </w:rPr>
              <w:t>WT/DS322/AB/R</w:t>
            </w:r>
            <w:r w:rsidRPr="00BE61E0">
              <w:rPr>
                <w:color w:val="000000"/>
                <w:sz w:val="16"/>
                <w:szCs w:val="16"/>
              </w:rPr>
              <w:t xml:space="preserve">, adopted 23 January 2007, DSR </w:t>
            </w:r>
            <w:proofErr w:type="gramStart"/>
            <w:r w:rsidRPr="00BE61E0">
              <w:rPr>
                <w:color w:val="000000"/>
                <w:sz w:val="16"/>
                <w:szCs w:val="16"/>
              </w:rPr>
              <w:t>2007:I</w:t>
            </w:r>
            <w:proofErr w:type="gramEnd"/>
            <w:r w:rsidRPr="00BE61E0">
              <w:rPr>
                <w:color w:val="000000"/>
                <w:sz w:val="16"/>
                <w:szCs w:val="16"/>
              </w:rPr>
              <w:t>, p. 3</w:t>
            </w:r>
          </w:p>
        </w:tc>
      </w:tr>
      <w:bookmarkEnd w:id="4"/>
    </w:tbl>
    <w:p w:rsidR="00BB7DD3" w:rsidRPr="00F7665C" w:rsidRDefault="00BB7DD3" w:rsidP="00CE371F"/>
    <w:p w:rsidR="00EF273A" w:rsidRPr="00F7665C" w:rsidRDefault="00EF273A" w:rsidP="00EF273A">
      <w:pPr>
        <w:jc w:val="center"/>
        <w:rPr>
          <w:smallCaps/>
        </w:rPr>
      </w:pPr>
      <w:r w:rsidRPr="00F7665C">
        <w:br w:type="page"/>
      </w:r>
      <w:r w:rsidRPr="00F7665C">
        <w:rPr>
          <w:smallCaps/>
        </w:rPr>
        <w:lastRenderedPageBreak/>
        <w:t>World Trade Organization</w:t>
      </w:r>
    </w:p>
    <w:p w:rsidR="00EF273A" w:rsidRPr="00F7665C" w:rsidRDefault="00EF273A" w:rsidP="00EF273A">
      <w:pPr>
        <w:jc w:val="center"/>
        <w:rPr>
          <w:smallCaps/>
        </w:rPr>
      </w:pPr>
      <w:r w:rsidRPr="00F7665C">
        <w:rPr>
          <w:smallCaps/>
        </w:rPr>
        <w:t>Appellate</w:t>
      </w:r>
      <w:r w:rsidR="00025CB6" w:rsidRPr="00F7665C">
        <w:rPr>
          <w:smallCaps/>
        </w:rPr>
        <w:t> Body</w:t>
      </w:r>
    </w:p>
    <w:p w:rsidR="00EF273A" w:rsidRPr="00F7665C" w:rsidRDefault="00EF273A" w:rsidP="00EF273A"/>
    <w:p w:rsidR="00D0148B" w:rsidRPr="00F7665C" w:rsidRDefault="00D0148B" w:rsidP="00EF273A"/>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B80E6A" w:rsidRPr="00F7665C" w:rsidTr="00B80E6A">
        <w:tc>
          <w:tcPr>
            <w:tcW w:w="4570" w:type="dxa"/>
            <w:shd w:val="clear" w:color="auto" w:fill="auto"/>
          </w:tcPr>
          <w:tbl>
            <w:tblPr>
              <w:tblStyle w:val="TableGrid"/>
              <w:tblW w:w="90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3"/>
              <w:gridCol w:w="4513"/>
            </w:tblGrid>
            <w:tr w:rsidR="00B80E6A" w:rsidRPr="00F7665C" w:rsidTr="00B80E6A">
              <w:tc>
                <w:tcPr>
                  <w:tcW w:w="4513" w:type="dxa"/>
                  <w:shd w:val="clear" w:color="auto" w:fill="auto"/>
                </w:tcPr>
                <w:p w:rsidR="00B80E6A" w:rsidRPr="00F7665C" w:rsidRDefault="00083DFC" w:rsidP="00B80E6A">
                  <w:pPr>
                    <w:jc w:val="left"/>
                    <w:rPr>
                      <w:b/>
                    </w:rPr>
                  </w:pPr>
                  <w:r w:rsidRPr="00F7665C">
                    <w:rPr>
                      <w:b/>
                      <w:szCs w:val="18"/>
                    </w:rPr>
                    <w:t>United States</w:t>
                  </w:r>
                  <w:r w:rsidR="00B80E6A" w:rsidRPr="00F7665C">
                    <w:rPr>
                      <w:b/>
                    </w:rPr>
                    <w:t xml:space="preserve"> – Measures Concerning the Importation, Marketing and Sale of Tuna and Tuna Products </w:t>
                  </w:r>
                </w:p>
                <w:p w:rsidR="00B80E6A" w:rsidRPr="00F7665C" w:rsidRDefault="00B80E6A" w:rsidP="00B80E6A">
                  <w:pPr>
                    <w:jc w:val="left"/>
                    <w:rPr>
                      <w:b/>
                    </w:rPr>
                  </w:pPr>
                </w:p>
                <w:p w:rsidR="00B80E6A" w:rsidRPr="00F7665C" w:rsidRDefault="00B80E6A" w:rsidP="00B80E6A">
                  <w:pPr>
                    <w:jc w:val="left"/>
                    <w:rPr>
                      <w:u w:val="single"/>
                    </w:rPr>
                  </w:pPr>
                  <w:r w:rsidRPr="00F7665C">
                    <w:rPr>
                      <w:u w:val="single"/>
                    </w:rPr>
                    <w:t xml:space="preserve">Recourse to </w:t>
                  </w:r>
                  <w:r w:rsidR="00083DFC" w:rsidRPr="00F7665C">
                    <w:rPr>
                      <w:u w:val="single"/>
                    </w:rPr>
                    <w:t>Article </w:t>
                  </w:r>
                  <w:r w:rsidRPr="00F7665C">
                    <w:rPr>
                      <w:u w:val="single"/>
                    </w:rPr>
                    <w:t xml:space="preserve">21.5 of the DSU by the </w:t>
                  </w:r>
                  <w:r w:rsidR="00083DFC" w:rsidRPr="00F7665C">
                    <w:rPr>
                      <w:u w:val="single"/>
                    </w:rPr>
                    <w:t>United States</w:t>
                  </w:r>
                </w:p>
                <w:p w:rsidR="00B80E6A" w:rsidRPr="00F7665C" w:rsidRDefault="00B80E6A" w:rsidP="00B80E6A">
                  <w:pPr>
                    <w:jc w:val="left"/>
                    <w:rPr>
                      <w:b/>
                    </w:rPr>
                  </w:pPr>
                </w:p>
                <w:p w:rsidR="00B80E6A" w:rsidRPr="00F7665C" w:rsidRDefault="00083DFC" w:rsidP="00B80E6A">
                  <w:pPr>
                    <w:jc w:val="left"/>
                    <w:rPr>
                      <w:b/>
                    </w:rPr>
                  </w:pPr>
                  <w:r w:rsidRPr="00F7665C">
                    <w:rPr>
                      <w:b/>
                      <w:szCs w:val="18"/>
                    </w:rPr>
                    <w:t>United States</w:t>
                  </w:r>
                  <w:r w:rsidR="00B80E6A" w:rsidRPr="00F7665C">
                    <w:rPr>
                      <w:b/>
                    </w:rPr>
                    <w:t xml:space="preserve"> – Measures Concerning the Importation, Marketing and Sale of Tuna and Tuna Products</w:t>
                  </w:r>
                </w:p>
                <w:p w:rsidR="00B80E6A" w:rsidRPr="00F7665C" w:rsidRDefault="00B80E6A" w:rsidP="00B80E6A">
                  <w:pPr>
                    <w:jc w:val="left"/>
                    <w:rPr>
                      <w:b/>
                    </w:rPr>
                  </w:pPr>
                </w:p>
                <w:p w:rsidR="00B80E6A" w:rsidRPr="00F7665C" w:rsidRDefault="00B80E6A" w:rsidP="00B80E6A">
                  <w:pPr>
                    <w:jc w:val="left"/>
                    <w:rPr>
                      <w:u w:val="single"/>
                    </w:rPr>
                  </w:pPr>
                  <w:r w:rsidRPr="00F7665C">
                    <w:rPr>
                      <w:u w:val="single"/>
                    </w:rPr>
                    <w:t xml:space="preserve">Second Recourse to </w:t>
                  </w:r>
                  <w:r w:rsidR="00083DFC" w:rsidRPr="00F7665C">
                    <w:rPr>
                      <w:u w:val="single"/>
                    </w:rPr>
                    <w:t>Article </w:t>
                  </w:r>
                  <w:r w:rsidRPr="00F7665C">
                    <w:rPr>
                      <w:u w:val="single"/>
                    </w:rPr>
                    <w:t>21.5 of the DSU by Mexico</w:t>
                  </w:r>
                </w:p>
                <w:p w:rsidR="00B80E6A" w:rsidRPr="00F7665C" w:rsidRDefault="00B80E6A" w:rsidP="00B80E6A"/>
                <w:p w:rsidR="00B80E6A" w:rsidRPr="00F7665C" w:rsidRDefault="00B80E6A" w:rsidP="00B80E6A">
                  <w:r w:rsidRPr="00F7665C">
                    <w:t xml:space="preserve">Mexico, </w:t>
                  </w:r>
                  <w:r w:rsidRPr="00F7665C">
                    <w:rPr>
                      <w:i/>
                    </w:rPr>
                    <w:t>Appellant</w:t>
                  </w:r>
                </w:p>
                <w:p w:rsidR="00B80E6A" w:rsidRPr="00F7665C" w:rsidRDefault="00083DFC" w:rsidP="00B80E6A">
                  <w:r w:rsidRPr="00F7665C">
                    <w:t>United States</w:t>
                  </w:r>
                  <w:r w:rsidR="00B80E6A" w:rsidRPr="00F7665C">
                    <w:t xml:space="preserve">, </w:t>
                  </w:r>
                  <w:proofErr w:type="spellStart"/>
                  <w:r w:rsidR="00B80E6A" w:rsidRPr="00F7665C">
                    <w:rPr>
                      <w:i/>
                    </w:rPr>
                    <w:t>Appell</w:t>
                  </w:r>
                  <w:r w:rsidR="002C56EE" w:rsidRPr="00F7665C">
                    <w:rPr>
                      <w:i/>
                    </w:rPr>
                    <w:t>ee</w:t>
                  </w:r>
                  <w:proofErr w:type="spellEnd"/>
                </w:p>
                <w:p w:rsidR="00B80E6A" w:rsidRPr="00F7665C" w:rsidRDefault="00B80E6A" w:rsidP="00B80E6A"/>
                <w:p w:rsidR="00B80E6A" w:rsidRPr="00F7665C" w:rsidRDefault="00B80E6A" w:rsidP="00B80E6A">
                  <w:r w:rsidRPr="00F7665C">
                    <w:t xml:space="preserve">Australia, </w:t>
                  </w:r>
                  <w:r w:rsidRPr="00F7665C">
                    <w:rPr>
                      <w:i/>
                    </w:rPr>
                    <w:t>Third Participant</w:t>
                  </w:r>
                </w:p>
                <w:p w:rsidR="00B80E6A" w:rsidRPr="00F7665C" w:rsidRDefault="00B80E6A" w:rsidP="00B80E6A">
                  <w:r w:rsidRPr="00F7665C">
                    <w:t xml:space="preserve">Brazil, </w:t>
                  </w:r>
                  <w:r w:rsidRPr="00F7665C">
                    <w:rPr>
                      <w:i/>
                    </w:rPr>
                    <w:t>Third Participant</w:t>
                  </w:r>
                </w:p>
                <w:p w:rsidR="00B80E6A" w:rsidRPr="00F7665C" w:rsidRDefault="00B80E6A" w:rsidP="00B80E6A">
                  <w:r w:rsidRPr="00F7665C">
                    <w:t xml:space="preserve">Canada, </w:t>
                  </w:r>
                  <w:r w:rsidRPr="00F7665C">
                    <w:rPr>
                      <w:i/>
                    </w:rPr>
                    <w:t>Third Participant</w:t>
                  </w:r>
                </w:p>
                <w:p w:rsidR="00B80E6A" w:rsidRPr="00F7665C" w:rsidRDefault="00B80E6A" w:rsidP="00B80E6A">
                  <w:r w:rsidRPr="00F7665C">
                    <w:t xml:space="preserve">China, </w:t>
                  </w:r>
                  <w:r w:rsidRPr="00F7665C">
                    <w:rPr>
                      <w:i/>
                    </w:rPr>
                    <w:t>Third Participant</w:t>
                  </w:r>
                </w:p>
                <w:p w:rsidR="00B80E6A" w:rsidRPr="00F7665C" w:rsidRDefault="00B80E6A" w:rsidP="00B80E6A">
                  <w:r w:rsidRPr="00F7665C">
                    <w:t xml:space="preserve">Ecuador, </w:t>
                  </w:r>
                  <w:r w:rsidRPr="00F7665C">
                    <w:rPr>
                      <w:i/>
                    </w:rPr>
                    <w:t>Third Participant</w:t>
                  </w:r>
                </w:p>
                <w:p w:rsidR="00B80E6A" w:rsidRPr="00F7665C" w:rsidRDefault="00B80E6A" w:rsidP="00B80E6A">
                  <w:r w:rsidRPr="00F7665C">
                    <w:t>European</w:t>
                  </w:r>
                  <w:r w:rsidR="00025CB6" w:rsidRPr="00F7665C">
                    <w:t> Union</w:t>
                  </w:r>
                  <w:r w:rsidRPr="00F7665C">
                    <w:t xml:space="preserve">, </w:t>
                  </w:r>
                  <w:r w:rsidRPr="00F7665C">
                    <w:rPr>
                      <w:i/>
                    </w:rPr>
                    <w:t>Third Participant</w:t>
                  </w:r>
                </w:p>
                <w:p w:rsidR="00B80E6A" w:rsidRPr="00F7665C" w:rsidRDefault="00B80E6A" w:rsidP="00B80E6A">
                  <w:r w:rsidRPr="00F7665C">
                    <w:t xml:space="preserve">Guatemala, </w:t>
                  </w:r>
                  <w:r w:rsidRPr="00F7665C">
                    <w:rPr>
                      <w:i/>
                    </w:rPr>
                    <w:t>Third Participant</w:t>
                  </w:r>
                </w:p>
                <w:p w:rsidR="00B80E6A" w:rsidRPr="00F7665C" w:rsidRDefault="00B80E6A" w:rsidP="00B80E6A">
                  <w:r w:rsidRPr="00F7665C">
                    <w:t xml:space="preserve">India, </w:t>
                  </w:r>
                  <w:r w:rsidRPr="00F7665C">
                    <w:rPr>
                      <w:i/>
                    </w:rPr>
                    <w:t>Third Participant</w:t>
                  </w:r>
                </w:p>
                <w:p w:rsidR="00B80E6A" w:rsidRPr="00F7665C" w:rsidRDefault="00B80E6A" w:rsidP="00B80E6A">
                  <w:r w:rsidRPr="00F7665C">
                    <w:t xml:space="preserve">Japan, </w:t>
                  </w:r>
                  <w:r w:rsidRPr="00F7665C">
                    <w:rPr>
                      <w:i/>
                    </w:rPr>
                    <w:t>Third Participant</w:t>
                  </w:r>
                </w:p>
                <w:p w:rsidR="00B80E6A" w:rsidRPr="00F7665C" w:rsidRDefault="00B80E6A" w:rsidP="00B80E6A">
                  <w:pPr>
                    <w:rPr>
                      <w:i/>
                    </w:rPr>
                  </w:pPr>
                  <w:r w:rsidRPr="00F7665C">
                    <w:t xml:space="preserve">Korea, </w:t>
                  </w:r>
                  <w:r w:rsidRPr="00F7665C">
                    <w:rPr>
                      <w:i/>
                    </w:rPr>
                    <w:t>Third Participant</w:t>
                  </w:r>
                </w:p>
                <w:p w:rsidR="00B80E6A" w:rsidRPr="00F7665C" w:rsidRDefault="00B80E6A" w:rsidP="00B80E6A">
                  <w:pPr>
                    <w:rPr>
                      <w:i/>
                    </w:rPr>
                  </w:pPr>
                  <w:r w:rsidRPr="00F7665C">
                    <w:t>New Zealand,</w:t>
                  </w:r>
                  <w:r w:rsidRPr="00F7665C">
                    <w:rPr>
                      <w:i/>
                    </w:rPr>
                    <w:t xml:space="preserve"> Third Participant</w:t>
                  </w:r>
                </w:p>
                <w:p w:rsidR="00B80E6A" w:rsidRPr="00F7665C" w:rsidRDefault="00B80E6A" w:rsidP="00B80E6A">
                  <w:r w:rsidRPr="00F7665C">
                    <w:t>Norway,</w:t>
                  </w:r>
                  <w:r w:rsidRPr="00F7665C">
                    <w:rPr>
                      <w:i/>
                    </w:rPr>
                    <w:t xml:space="preserve"> Third Participant</w:t>
                  </w:r>
                </w:p>
              </w:tc>
              <w:tc>
                <w:tcPr>
                  <w:tcW w:w="4513" w:type="dxa"/>
                  <w:shd w:val="clear" w:color="auto" w:fill="auto"/>
                </w:tcPr>
                <w:p w:rsidR="00B80E6A" w:rsidRPr="00F7665C" w:rsidRDefault="00B80E6A" w:rsidP="00B80E6A">
                  <w:pPr>
                    <w:ind w:left="482"/>
                  </w:pPr>
                  <w:r w:rsidRPr="00F7665C">
                    <w:t>AB-2017-9</w:t>
                  </w:r>
                </w:p>
                <w:p w:rsidR="00B80E6A" w:rsidRPr="00F7665C" w:rsidRDefault="00B80E6A" w:rsidP="00B80E6A">
                  <w:pPr>
                    <w:ind w:left="482"/>
                  </w:pPr>
                </w:p>
                <w:p w:rsidR="00B80E6A" w:rsidRPr="00F7665C" w:rsidRDefault="00B80E6A" w:rsidP="00B80E6A">
                  <w:pPr>
                    <w:ind w:left="482"/>
                  </w:pPr>
                  <w:r w:rsidRPr="00F7665C">
                    <w:t>Appellate</w:t>
                  </w:r>
                  <w:r w:rsidR="00025CB6" w:rsidRPr="00F7665C">
                    <w:t> Body</w:t>
                  </w:r>
                  <w:r w:rsidRPr="00F7665C">
                    <w:t xml:space="preserve"> Division: </w:t>
                  </w:r>
                </w:p>
                <w:p w:rsidR="00B80E6A" w:rsidRPr="00F7665C" w:rsidRDefault="00B80E6A" w:rsidP="00B80E6A">
                  <w:pPr>
                    <w:ind w:left="482"/>
                  </w:pPr>
                </w:p>
                <w:p w:rsidR="00B80E6A" w:rsidRPr="00F7665C" w:rsidRDefault="00B80E6A" w:rsidP="00B80E6A">
                  <w:pPr>
                    <w:ind w:left="482"/>
                  </w:pPr>
                  <w:r w:rsidRPr="00F7665C">
                    <w:t>Bhatia, Presiding Member</w:t>
                  </w:r>
                </w:p>
                <w:p w:rsidR="00B80E6A" w:rsidRPr="00F7665C" w:rsidRDefault="00B80E6A" w:rsidP="00B80E6A">
                  <w:pPr>
                    <w:ind w:left="482"/>
                  </w:pPr>
                  <w:r w:rsidRPr="00F7665C">
                    <w:t>Graham, Member</w:t>
                  </w:r>
                </w:p>
                <w:p w:rsidR="00B80E6A" w:rsidRPr="00F7665C" w:rsidRDefault="00B80E6A" w:rsidP="00B80E6A">
                  <w:pPr>
                    <w:ind w:left="482"/>
                  </w:pPr>
                  <w:r w:rsidRPr="00F7665C">
                    <w:t>Zhao, Member</w:t>
                  </w:r>
                </w:p>
              </w:tc>
            </w:tr>
          </w:tbl>
          <w:p w:rsidR="00B80E6A" w:rsidRPr="00F7665C" w:rsidRDefault="00B80E6A" w:rsidP="000F192E"/>
        </w:tc>
      </w:tr>
    </w:tbl>
    <w:p w:rsidR="00EF273A" w:rsidRPr="00F7665C" w:rsidRDefault="00EF273A" w:rsidP="00EF273A"/>
    <w:p w:rsidR="00EF273A" w:rsidRPr="004669BD" w:rsidRDefault="00EF273A" w:rsidP="00AB3C5F">
      <w:pPr>
        <w:spacing w:line="360" w:lineRule="auto"/>
        <w:rPr>
          <w:sz w:val="20"/>
          <w:szCs w:val="20"/>
        </w:rPr>
      </w:pPr>
    </w:p>
    <w:p w:rsidR="00D0148B" w:rsidRPr="00564DB3" w:rsidRDefault="00D0148B" w:rsidP="00F70E38">
      <w:pPr>
        <w:pStyle w:val="Heading1"/>
        <w:rPr>
          <w:szCs w:val="18"/>
        </w:rPr>
      </w:pPr>
      <w:bookmarkStart w:id="6" w:name="_Toc440800998"/>
      <w:bookmarkStart w:id="7" w:name="_Toc454876749"/>
      <w:bookmarkStart w:id="8" w:name="_Toc487421786"/>
      <w:bookmarkStart w:id="9" w:name="_Toc498425901"/>
      <w:bookmarkStart w:id="10" w:name="_Toc328640616"/>
      <w:bookmarkStart w:id="11" w:name="_Toc333317533"/>
      <w:bookmarkStart w:id="12" w:name="_Toc333331187"/>
      <w:bookmarkStart w:id="13" w:name="_Toc333395142"/>
      <w:bookmarkStart w:id="14" w:name="_Toc333510428"/>
      <w:bookmarkStart w:id="15" w:name="_Toc333510535"/>
      <w:bookmarkStart w:id="16" w:name="_Ref529969952"/>
      <w:bookmarkStart w:id="17" w:name="_Toc531967458"/>
      <w:r w:rsidRPr="00564DB3">
        <w:rPr>
          <w:szCs w:val="18"/>
        </w:rPr>
        <w:t>Introduction</w:t>
      </w:r>
      <w:bookmarkEnd w:id="6"/>
      <w:bookmarkEnd w:id="7"/>
      <w:bookmarkEnd w:id="8"/>
      <w:bookmarkEnd w:id="9"/>
      <w:bookmarkEnd w:id="10"/>
      <w:bookmarkEnd w:id="11"/>
      <w:bookmarkEnd w:id="12"/>
      <w:bookmarkEnd w:id="13"/>
      <w:bookmarkEnd w:id="14"/>
      <w:bookmarkEnd w:id="15"/>
      <w:bookmarkEnd w:id="16"/>
      <w:bookmarkEnd w:id="17"/>
    </w:p>
    <w:p w:rsidR="00940CBB" w:rsidRPr="00564DB3" w:rsidRDefault="00940CBB" w:rsidP="00F70E38">
      <w:pPr>
        <w:pStyle w:val="BodyText"/>
        <w:rPr>
          <w:szCs w:val="18"/>
        </w:rPr>
      </w:pPr>
      <w:r w:rsidRPr="00564DB3">
        <w:rPr>
          <w:szCs w:val="18"/>
        </w:rPr>
        <w:t xml:space="preserve">Mexico appeals certain issues of law and legal interpretations developed by the Panels in </w:t>
      </w:r>
      <w:r w:rsidR="00083DFC" w:rsidRPr="00564DB3">
        <w:rPr>
          <w:i/>
          <w:szCs w:val="18"/>
        </w:rPr>
        <w:t>United States</w:t>
      </w:r>
      <w:r w:rsidRPr="00564DB3">
        <w:rPr>
          <w:i/>
          <w:szCs w:val="18"/>
        </w:rPr>
        <w:t xml:space="preserve"> – Measures Concerning the Importation, Marketing and Sale of Tuna and Tuna Products – Recourse to </w:t>
      </w:r>
      <w:r w:rsidR="00083DFC" w:rsidRPr="00564DB3">
        <w:rPr>
          <w:i/>
          <w:szCs w:val="18"/>
        </w:rPr>
        <w:t>Article </w:t>
      </w:r>
      <w:r w:rsidRPr="00564DB3">
        <w:rPr>
          <w:i/>
          <w:szCs w:val="18"/>
        </w:rPr>
        <w:t xml:space="preserve">21.5 of the DSU by the </w:t>
      </w:r>
      <w:r w:rsidR="00083DFC" w:rsidRPr="00564DB3">
        <w:rPr>
          <w:i/>
          <w:szCs w:val="18"/>
        </w:rPr>
        <w:t>United States</w:t>
      </w:r>
      <w:r w:rsidRPr="00564DB3">
        <w:rPr>
          <w:szCs w:val="18"/>
        </w:rPr>
        <w:t xml:space="preserve"> and </w:t>
      </w:r>
      <w:r w:rsidR="00083DFC" w:rsidRPr="00564DB3">
        <w:rPr>
          <w:i/>
          <w:szCs w:val="18"/>
        </w:rPr>
        <w:t>United States</w:t>
      </w:r>
      <w:r w:rsidRPr="00564DB3">
        <w:rPr>
          <w:i/>
          <w:szCs w:val="18"/>
        </w:rPr>
        <w:t xml:space="preserve"> – Measures Concerning the Importation, Marketing and Sale of Tuna and Tuna Products – Second Recourse to </w:t>
      </w:r>
      <w:r w:rsidR="00083DFC" w:rsidRPr="00564DB3">
        <w:rPr>
          <w:i/>
          <w:szCs w:val="18"/>
        </w:rPr>
        <w:t>Article </w:t>
      </w:r>
      <w:r w:rsidRPr="00564DB3">
        <w:rPr>
          <w:i/>
          <w:szCs w:val="18"/>
        </w:rPr>
        <w:t>21.5 of the DSU by Mexico</w:t>
      </w:r>
      <w:r w:rsidRPr="00564DB3">
        <w:rPr>
          <w:szCs w:val="18"/>
        </w:rPr>
        <w:t>.</w:t>
      </w:r>
      <w:r w:rsidR="005B1CE4" w:rsidRPr="00564DB3">
        <w:rPr>
          <w:rStyle w:val="FootnoteReference"/>
          <w:szCs w:val="18"/>
        </w:rPr>
        <w:footnoteReference w:id="1"/>
      </w:r>
      <w:r w:rsidRPr="00564DB3">
        <w:rPr>
          <w:caps/>
          <w:szCs w:val="18"/>
        </w:rPr>
        <w:t xml:space="preserve"> </w:t>
      </w:r>
      <w:r w:rsidRPr="00564DB3">
        <w:rPr>
          <w:szCs w:val="18"/>
        </w:rPr>
        <w:t xml:space="preserve">The Panels were established pursuant to </w:t>
      </w:r>
      <w:r w:rsidR="00083DFC" w:rsidRPr="00564DB3">
        <w:rPr>
          <w:szCs w:val="18"/>
        </w:rPr>
        <w:t>Article </w:t>
      </w:r>
      <w:r w:rsidRPr="00564DB3">
        <w:rPr>
          <w:szCs w:val="18"/>
        </w:rPr>
        <w:t xml:space="preserve">21.5 of the Understanding on Rules and Procedures Governing the Settlement of Disputes (DSU) to consider the claims by the </w:t>
      </w:r>
      <w:r w:rsidR="00083DFC" w:rsidRPr="00564DB3">
        <w:rPr>
          <w:szCs w:val="18"/>
        </w:rPr>
        <w:t>United States</w:t>
      </w:r>
      <w:r w:rsidR="005B1CE4" w:rsidRPr="00564DB3">
        <w:rPr>
          <w:rStyle w:val="FootnoteReference"/>
          <w:szCs w:val="18"/>
        </w:rPr>
        <w:footnoteReference w:id="2"/>
      </w:r>
      <w:r w:rsidRPr="00564DB3">
        <w:rPr>
          <w:szCs w:val="18"/>
        </w:rPr>
        <w:t xml:space="preserve"> and Mexico</w:t>
      </w:r>
      <w:r w:rsidR="005B1CE4" w:rsidRPr="00564DB3">
        <w:rPr>
          <w:rStyle w:val="FootnoteReference"/>
          <w:szCs w:val="18"/>
        </w:rPr>
        <w:footnoteReference w:id="3"/>
      </w:r>
      <w:r w:rsidRPr="00564DB3">
        <w:rPr>
          <w:szCs w:val="18"/>
        </w:rPr>
        <w:t xml:space="preserve"> concerning the measure taken by the </w:t>
      </w:r>
      <w:r w:rsidR="00083DFC" w:rsidRPr="00564DB3">
        <w:rPr>
          <w:szCs w:val="18"/>
        </w:rPr>
        <w:t>United States</w:t>
      </w:r>
      <w:r w:rsidRPr="00564DB3">
        <w:rPr>
          <w:szCs w:val="18"/>
        </w:rPr>
        <w:t xml:space="preserve"> to comply with the recommendations and rulings of the Dispute Settlement Body (DSB) in the original proceedings</w:t>
      </w:r>
      <w:r w:rsidR="005B1CE4" w:rsidRPr="00564DB3">
        <w:rPr>
          <w:rStyle w:val="FootnoteReference"/>
          <w:szCs w:val="18"/>
        </w:rPr>
        <w:footnoteReference w:id="4"/>
      </w:r>
      <w:r w:rsidRPr="00564DB3">
        <w:rPr>
          <w:szCs w:val="18"/>
        </w:rPr>
        <w:t xml:space="preserve"> and first compliance proceedings</w:t>
      </w:r>
      <w:r w:rsidR="005B1CE4" w:rsidRPr="00564DB3">
        <w:rPr>
          <w:rStyle w:val="FootnoteReference"/>
          <w:szCs w:val="18"/>
        </w:rPr>
        <w:footnoteReference w:id="5"/>
      </w:r>
      <w:r w:rsidRPr="00564DB3">
        <w:rPr>
          <w:szCs w:val="18"/>
        </w:rPr>
        <w:t xml:space="preserve"> in this dispute.</w:t>
      </w:r>
      <w:r w:rsidR="005B1CE4" w:rsidRPr="00564DB3">
        <w:rPr>
          <w:rStyle w:val="FootnoteReference"/>
          <w:szCs w:val="18"/>
        </w:rPr>
        <w:footnoteReference w:id="6"/>
      </w:r>
      <w:r w:rsidRPr="00564DB3">
        <w:rPr>
          <w:szCs w:val="18"/>
        </w:rPr>
        <w:t xml:space="preserve"> </w:t>
      </w:r>
    </w:p>
    <w:p w:rsidR="00940CBB" w:rsidRPr="00564DB3" w:rsidRDefault="00940CBB" w:rsidP="00F70E38">
      <w:pPr>
        <w:pStyle w:val="BodyText"/>
        <w:rPr>
          <w:szCs w:val="18"/>
        </w:rPr>
      </w:pPr>
      <w:r w:rsidRPr="00564DB3">
        <w:rPr>
          <w:szCs w:val="18"/>
        </w:rPr>
        <w:lastRenderedPageBreak/>
        <w:t xml:space="preserve">This dispute concerns the </w:t>
      </w:r>
      <w:r w:rsidR="00083DFC" w:rsidRPr="00564DB3">
        <w:rPr>
          <w:szCs w:val="18"/>
        </w:rPr>
        <w:t>United States</w:t>
      </w:r>
      <w:r w:rsidR="00D84759" w:rsidRPr="00564DB3">
        <w:rPr>
          <w:szCs w:val="18"/>
        </w:rPr>
        <w:t>' labelling regime for dolphin</w:t>
      </w:r>
      <w:r w:rsidR="00D84759" w:rsidRPr="00564DB3">
        <w:rPr>
          <w:szCs w:val="18"/>
        </w:rPr>
        <w:noBreakHyphen/>
        <w:t>safe</w:t>
      </w:r>
      <w:r w:rsidRPr="00564DB3">
        <w:rPr>
          <w:szCs w:val="18"/>
        </w:rPr>
        <w:t xml:space="preserve"> tuna products. In the original proceedings, Mexico raised claims under the General Agreement on Tariffs and Trade 1994 (GATT 1994) and the Agreement on Technical Barriers to Trade (</w:t>
      </w:r>
      <w:r w:rsidR="00083DFC" w:rsidRPr="00564DB3">
        <w:rPr>
          <w:szCs w:val="18"/>
        </w:rPr>
        <w:t>TBT Agreement</w:t>
      </w:r>
      <w:r w:rsidRPr="00564DB3">
        <w:rPr>
          <w:szCs w:val="18"/>
        </w:rPr>
        <w:t xml:space="preserve">) challenging the consistency with these Agreements of certain </w:t>
      </w:r>
      <w:r w:rsidR="00D84759" w:rsidRPr="00564DB3">
        <w:rPr>
          <w:szCs w:val="18"/>
        </w:rPr>
        <w:t>US </w:t>
      </w:r>
      <w:r w:rsidRPr="00564DB3">
        <w:rPr>
          <w:szCs w:val="18"/>
        </w:rPr>
        <w:t xml:space="preserve">measures </w:t>
      </w:r>
      <w:r w:rsidR="00D84759" w:rsidRPr="00564DB3">
        <w:rPr>
          <w:szCs w:val="18"/>
        </w:rPr>
        <w:t>relating to</w:t>
      </w:r>
      <w:r w:rsidRPr="00564DB3">
        <w:rPr>
          <w:szCs w:val="18"/>
        </w:rPr>
        <w:t xml:space="preserve"> the importation, marketing, and sale of tuna and tuna products.</w:t>
      </w:r>
      <w:r w:rsidR="005B1CE4" w:rsidRPr="00564DB3">
        <w:rPr>
          <w:rStyle w:val="FootnoteReference"/>
          <w:szCs w:val="18"/>
        </w:rPr>
        <w:footnoteReference w:id="7"/>
      </w:r>
      <w:r w:rsidRPr="00564DB3">
        <w:rPr>
          <w:szCs w:val="18"/>
        </w:rPr>
        <w:t xml:space="preserve"> Specifically, Mexico challenged: </w:t>
      </w:r>
      <w:r w:rsidR="00206B7C" w:rsidRPr="00564DB3">
        <w:rPr>
          <w:szCs w:val="18"/>
        </w:rPr>
        <w:t xml:space="preserve">(i) </w:t>
      </w:r>
      <w:r w:rsidRPr="00564DB3">
        <w:rPr>
          <w:szCs w:val="18"/>
        </w:rPr>
        <w:t xml:space="preserve">the Dolphin Protection Consumer Information Act of 1990, codified in </w:t>
      </w:r>
      <w:r w:rsidR="00083DFC" w:rsidRPr="00564DB3">
        <w:rPr>
          <w:i/>
          <w:szCs w:val="18"/>
        </w:rPr>
        <w:t>United States</w:t>
      </w:r>
      <w:r w:rsidRPr="00564DB3">
        <w:rPr>
          <w:i/>
          <w:szCs w:val="18"/>
        </w:rPr>
        <w:t xml:space="preserve"> Code</w:t>
      </w:r>
      <w:r w:rsidRPr="00564DB3">
        <w:rPr>
          <w:szCs w:val="18"/>
        </w:rPr>
        <w:t>, Title 16, Section 1385</w:t>
      </w:r>
      <w:r w:rsidR="005B1CE4" w:rsidRPr="00564DB3">
        <w:rPr>
          <w:rStyle w:val="FootnoteReference"/>
          <w:szCs w:val="18"/>
        </w:rPr>
        <w:footnoteReference w:id="8"/>
      </w:r>
      <w:r w:rsidRPr="00564DB3">
        <w:rPr>
          <w:szCs w:val="18"/>
        </w:rPr>
        <w:t xml:space="preserve"> (DPCIA); </w:t>
      </w:r>
      <w:r w:rsidR="00206B7C" w:rsidRPr="00564DB3">
        <w:rPr>
          <w:szCs w:val="18"/>
        </w:rPr>
        <w:t xml:space="preserve">(ii) </w:t>
      </w:r>
      <w:r w:rsidR="00083DFC" w:rsidRPr="00564DB3">
        <w:rPr>
          <w:i/>
          <w:szCs w:val="18"/>
        </w:rPr>
        <w:t>United States</w:t>
      </w:r>
      <w:r w:rsidRPr="00564DB3">
        <w:rPr>
          <w:i/>
          <w:szCs w:val="18"/>
        </w:rPr>
        <w:t xml:space="preserve"> Code of Federal Regulations </w:t>
      </w:r>
      <w:r w:rsidRPr="00564DB3">
        <w:rPr>
          <w:szCs w:val="18"/>
        </w:rPr>
        <w:t>(CFR), Title 50, Sections 216.91 and 216.92</w:t>
      </w:r>
      <w:r w:rsidR="005B1CE4" w:rsidRPr="00564DB3">
        <w:rPr>
          <w:rStyle w:val="FootnoteReference"/>
          <w:szCs w:val="18"/>
        </w:rPr>
        <w:footnoteReference w:id="9"/>
      </w:r>
      <w:r w:rsidRPr="00564DB3">
        <w:rPr>
          <w:szCs w:val="18"/>
        </w:rPr>
        <w:t xml:space="preserve"> (original implementing regulations); and </w:t>
      </w:r>
      <w:r w:rsidR="00206B7C" w:rsidRPr="00564DB3">
        <w:rPr>
          <w:szCs w:val="18"/>
        </w:rPr>
        <w:t xml:space="preserve">(iii) </w:t>
      </w:r>
      <w:r w:rsidRPr="00564DB3">
        <w:rPr>
          <w:szCs w:val="18"/>
        </w:rPr>
        <w:t>a ruling by a U</w:t>
      </w:r>
      <w:r w:rsidR="00206B7C" w:rsidRPr="00564DB3">
        <w:rPr>
          <w:szCs w:val="18"/>
        </w:rPr>
        <w:t>nited</w:t>
      </w:r>
      <w:r w:rsidR="00832630" w:rsidRPr="00564DB3">
        <w:rPr>
          <w:szCs w:val="18"/>
        </w:rPr>
        <w:t> States</w:t>
      </w:r>
      <w:r w:rsidRPr="00564DB3">
        <w:rPr>
          <w:szCs w:val="18"/>
        </w:rPr>
        <w:t xml:space="preserve"> Federal Appeals Court in </w:t>
      </w:r>
      <w:r w:rsidRPr="00564DB3">
        <w:rPr>
          <w:i/>
          <w:szCs w:val="18"/>
        </w:rPr>
        <w:t>Earth Island Institute v. Hogarth</w:t>
      </w:r>
      <w:r w:rsidR="005B1CE4" w:rsidRPr="00564DB3">
        <w:rPr>
          <w:rStyle w:val="FootnoteReference"/>
          <w:szCs w:val="18"/>
        </w:rPr>
        <w:footnoteReference w:id="10"/>
      </w:r>
      <w:r w:rsidRPr="00564DB3">
        <w:rPr>
          <w:szCs w:val="18"/>
        </w:rPr>
        <w:t xml:space="preserve"> (</w:t>
      </w:r>
      <w:r w:rsidRPr="00564DB3">
        <w:rPr>
          <w:i/>
          <w:szCs w:val="18"/>
        </w:rPr>
        <w:t>Hogarth</w:t>
      </w:r>
      <w:r w:rsidRPr="00564DB3">
        <w:rPr>
          <w:szCs w:val="18"/>
        </w:rPr>
        <w:t xml:space="preserve"> ruling).</w:t>
      </w:r>
      <w:r w:rsidR="005B1CE4" w:rsidRPr="00564DB3">
        <w:rPr>
          <w:rStyle w:val="FootnoteReference"/>
          <w:szCs w:val="18"/>
        </w:rPr>
        <w:footnoteReference w:id="11"/>
      </w:r>
      <w:r w:rsidRPr="00564DB3">
        <w:rPr>
          <w:szCs w:val="18"/>
        </w:rPr>
        <w:t xml:space="preserve"> The original panel and the Appellate Body referred to these measures, collectively,</w:t>
      </w:r>
      <w:r w:rsidRPr="00564DB3">
        <w:rPr>
          <w:rStyle w:val="FootnoteReference"/>
          <w:szCs w:val="18"/>
        </w:rPr>
        <w:t xml:space="preserve"> </w:t>
      </w:r>
      <w:r w:rsidRPr="00564DB3">
        <w:rPr>
          <w:szCs w:val="18"/>
        </w:rPr>
        <w:t>as the "measu</w:t>
      </w:r>
      <w:r w:rsidR="00444C8B" w:rsidRPr="00564DB3">
        <w:rPr>
          <w:szCs w:val="18"/>
        </w:rPr>
        <w:t>re at issue" or the "US dolphin</w:t>
      </w:r>
      <w:r w:rsidR="00444C8B" w:rsidRPr="00564DB3">
        <w:rPr>
          <w:szCs w:val="18"/>
        </w:rPr>
        <w:noBreakHyphen/>
      </w:r>
      <w:r w:rsidRPr="00564DB3">
        <w:rPr>
          <w:szCs w:val="18"/>
        </w:rPr>
        <w:t>safe labelling provisions".</w:t>
      </w:r>
      <w:r w:rsidR="005B1CE4" w:rsidRPr="00564DB3">
        <w:rPr>
          <w:rStyle w:val="FootnoteReference"/>
          <w:szCs w:val="18"/>
        </w:rPr>
        <w:footnoteReference w:id="12"/>
      </w:r>
      <w:r w:rsidR="00F70E38" w:rsidRPr="00564DB3">
        <w:rPr>
          <w:szCs w:val="18"/>
        </w:rPr>
        <w:t xml:space="preserve"> In </w:t>
      </w:r>
      <w:r w:rsidRPr="00564DB3">
        <w:rPr>
          <w:szCs w:val="18"/>
        </w:rPr>
        <w:t>these compliance proceedings, we refer to them as the "original Tuna Measure".</w:t>
      </w:r>
    </w:p>
    <w:p w:rsidR="00940CBB" w:rsidRPr="00564DB3" w:rsidRDefault="00940CBB" w:rsidP="00F70E38">
      <w:pPr>
        <w:pStyle w:val="BodyText"/>
        <w:rPr>
          <w:szCs w:val="18"/>
        </w:rPr>
      </w:pPr>
      <w:r w:rsidRPr="00564DB3">
        <w:rPr>
          <w:szCs w:val="18"/>
        </w:rPr>
        <w:t xml:space="preserve">The original Tuna Measure specified the conditions to be fulfilled </w:t>
      </w:r>
      <w:proofErr w:type="gramStart"/>
      <w:r w:rsidRPr="00564DB3">
        <w:rPr>
          <w:szCs w:val="18"/>
        </w:rPr>
        <w:t>in order for</w:t>
      </w:r>
      <w:proofErr w:type="gramEnd"/>
      <w:r w:rsidRPr="00564DB3">
        <w:rPr>
          <w:szCs w:val="18"/>
        </w:rPr>
        <w:t xml:space="preserve"> tuna products sold in the </w:t>
      </w:r>
      <w:r w:rsidR="00083DFC" w:rsidRPr="00564DB3">
        <w:rPr>
          <w:szCs w:val="18"/>
        </w:rPr>
        <w:t>United States</w:t>
      </w:r>
      <w:r w:rsidRPr="00564DB3">
        <w:rPr>
          <w:szCs w:val="18"/>
        </w:rPr>
        <w:t xml:space="preserve"> to be labelled "dolphin-safe" or to make similar claims on their labels.</w:t>
      </w:r>
      <w:r w:rsidR="005B1CE4" w:rsidRPr="00564DB3">
        <w:rPr>
          <w:rStyle w:val="FootnoteReference"/>
          <w:szCs w:val="18"/>
        </w:rPr>
        <w:footnoteReference w:id="13"/>
      </w:r>
      <w:r w:rsidRPr="00564DB3">
        <w:rPr>
          <w:szCs w:val="18"/>
        </w:rPr>
        <w:t xml:space="preserve"> The original Tuna Measure thus prohibit</w:t>
      </w:r>
      <w:r w:rsidR="00D93AF4" w:rsidRPr="00564DB3">
        <w:rPr>
          <w:szCs w:val="18"/>
        </w:rPr>
        <w:t>ed</w:t>
      </w:r>
      <w:r w:rsidRPr="00564DB3">
        <w:rPr>
          <w:szCs w:val="18"/>
        </w:rPr>
        <w:t xml:space="preserve"> the use of the "dolphin-safe" label on a tuna product sold in the US market unless the conditions specified in the measure are met. At the same time, it did not make the use of a dolphin</w:t>
      </w:r>
      <w:r w:rsidRPr="00564DB3">
        <w:rPr>
          <w:szCs w:val="18"/>
        </w:rPr>
        <w:noBreakHyphen/>
        <w:t xml:space="preserve">safe label obligatory for the importation or sale of tuna products in the </w:t>
      </w:r>
      <w:r w:rsidR="00083DFC" w:rsidRPr="00564DB3">
        <w:rPr>
          <w:szCs w:val="18"/>
        </w:rPr>
        <w:t>United States</w:t>
      </w:r>
      <w:r w:rsidRPr="00564DB3">
        <w:rPr>
          <w:szCs w:val="18"/>
        </w:rPr>
        <w:t>.</w:t>
      </w:r>
      <w:r w:rsidR="005B1CE4" w:rsidRPr="00564DB3">
        <w:rPr>
          <w:rStyle w:val="FootnoteReference"/>
          <w:szCs w:val="18"/>
        </w:rPr>
        <w:footnoteReference w:id="14"/>
      </w:r>
      <w:r w:rsidRPr="00564DB3">
        <w:rPr>
          <w:szCs w:val="18"/>
        </w:rPr>
        <w:t xml:space="preserve"> Nonetheless, the preferences of retailers and cons</w:t>
      </w:r>
      <w:r w:rsidR="00F70E38" w:rsidRPr="00564DB3">
        <w:rPr>
          <w:szCs w:val="18"/>
        </w:rPr>
        <w:t>umers are such that the dolphin</w:t>
      </w:r>
      <w:r w:rsidR="00F70E38" w:rsidRPr="00564DB3">
        <w:rPr>
          <w:szCs w:val="18"/>
        </w:rPr>
        <w:noBreakHyphen/>
      </w:r>
      <w:r w:rsidRPr="00564DB3">
        <w:rPr>
          <w:szCs w:val="18"/>
        </w:rPr>
        <w:t xml:space="preserve">safe label has "significant commercial value", and </w:t>
      </w:r>
      <w:bookmarkStart w:id="18" w:name="_Hlk522720045"/>
      <w:r w:rsidRPr="00564DB3">
        <w:rPr>
          <w:szCs w:val="18"/>
        </w:rPr>
        <w:t>access to that label constitutes an "advantage" on the US market for tuna products</w:t>
      </w:r>
      <w:bookmarkEnd w:id="18"/>
      <w:r w:rsidRPr="00564DB3">
        <w:rPr>
          <w:szCs w:val="18"/>
        </w:rPr>
        <w:t>.</w:t>
      </w:r>
      <w:r w:rsidR="005B1CE4" w:rsidRPr="00564DB3">
        <w:rPr>
          <w:rStyle w:val="FootnoteReference"/>
          <w:szCs w:val="18"/>
        </w:rPr>
        <w:footnoteReference w:id="15"/>
      </w:r>
      <w:r w:rsidRPr="00564DB3">
        <w:rPr>
          <w:szCs w:val="18"/>
        </w:rPr>
        <w:t xml:space="preserve"> </w:t>
      </w:r>
    </w:p>
    <w:p w:rsidR="00940CBB" w:rsidRPr="00564DB3" w:rsidRDefault="00940CBB" w:rsidP="00F70E38">
      <w:pPr>
        <w:pStyle w:val="BodyText"/>
        <w:rPr>
          <w:szCs w:val="18"/>
        </w:rPr>
      </w:pPr>
      <w:r w:rsidRPr="00564DB3">
        <w:rPr>
          <w:szCs w:val="18"/>
        </w:rPr>
        <w:t xml:space="preserve">Mexico alleged that the original Tuna Measure was inconsistent with Articles I:1 and III:4 of the GATT 1994 and Articles 2.1, 2.2, and 2.4 of the </w:t>
      </w:r>
      <w:r w:rsidR="00083DFC" w:rsidRPr="00564DB3">
        <w:rPr>
          <w:szCs w:val="18"/>
        </w:rPr>
        <w:t>TBT Agreement</w:t>
      </w:r>
      <w:r w:rsidRPr="00564DB3">
        <w:rPr>
          <w:szCs w:val="18"/>
        </w:rPr>
        <w:t>.</w:t>
      </w:r>
      <w:r w:rsidR="00AE1EDF" w:rsidRPr="00564DB3">
        <w:rPr>
          <w:rStyle w:val="FootnoteReference"/>
          <w:szCs w:val="18"/>
        </w:rPr>
        <w:footnoteReference w:id="16"/>
      </w:r>
      <w:r w:rsidRPr="00564DB3">
        <w:rPr>
          <w:szCs w:val="18"/>
        </w:rPr>
        <w:t xml:space="preserve"> The original panel found that: (i) the US "dolphin-safe" labelling provisions constituted a "technical regulation" within the meaning of Annex 1.1 to the </w:t>
      </w:r>
      <w:r w:rsidR="00083DFC" w:rsidRPr="00564DB3">
        <w:rPr>
          <w:szCs w:val="18"/>
        </w:rPr>
        <w:t>TBT Agreement</w:t>
      </w:r>
      <w:r w:rsidR="005B1CE4" w:rsidRPr="00564DB3">
        <w:rPr>
          <w:rStyle w:val="FootnoteReference"/>
          <w:szCs w:val="18"/>
        </w:rPr>
        <w:footnoteReference w:id="17"/>
      </w:r>
      <w:r w:rsidRPr="00564DB3">
        <w:rPr>
          <w:szCs w:val="18"/>
        </w:rPr>
        <w:t xml:space="preserve">; (ii) the measure was not inconsistent with </w:t>
      </w:r>
      <w:r w:rsidR="00083DFC" w:rsidRPr="00564DB3">
        <w:rPr>
          <w:szCs w:val="18"/>
        </w:rPr>
        <w:t>Article </w:t>
      </w:r>
      <w:r w:rsidRPr="00564DB3">
        <w:rPr>
          <w:szCs w:val="18"/>
        </w:rPr>
        <w:t xml:space="preserve">2.1 of the </w:t>
      </w:r>
      <w:r w:rsidR="00083DFC" w:rsidRPr="00564DB3">
        <w:rPr>
          <w:szCs w:val="18"/>
        </w:rPr>
        <w:t>TBT Agreement</w:t>
      </w:r>
      <w:r w:rsidR="005B1CE4" w:rsidRPr="00564DB3">
        <w:rPr>
          <w:rStyle w:val="FootnoteReference"/>
          <w:szCs w:val="18"/>
        </w:rPr>
        <w:footnoteReference w:id="18"/>
      </w:r>
      <w:r w:rsidRPr="00564DB3">
        <w:rPr>
          <w:szCs w:val="18"/>
        </w:rPr>
        <w:t xml:space="preserve">; (iii) the measure was inconsistent with </w:t>
      </w:r>
      <w:r w:rsidR="00083DFC" w:rsidRPr="00564DB3">
        <w:rPr>
          <w:szCs w:val="18"/>
        </w:rPr>
        <w:t>Article </w:t>
      </w:r>
      <w:r w:rsidRPr="00564DB3">
        <w:rPr>
          <w:szCs w:val="18"/>
        </w:rPr>
        <w:t xml:space="preserve">2.2 of the </w:t>
      </w:r>
      <w:r w:rsidR="00083DFC" w:rsidRPr="00564DB3">
        <w:rPr>
          <w:szCs w:val="18"/>
        </w:rPr>
        <w:t>TBT Agreement</w:t>
      </w:r>
      <w:r w:rsidR="005B1CE4" w:rsidRPr="00564DB3">
        <w:rPr>
          <w:rStyle w:val="FootnoteReference"/>
          <w:szCs w:val="18"/>
        </w:rPr>
        <w:footnoteReference w:id="19"/>
      </w:r>
      <w:r w:rsidRPr="00564DB3">
        <w:rPr>
          <w:szCs w:val="18"/>
        </w:rPr>
        <w:t xml:space="preserve">; </w:t>
      </w:r>
      <w:r w:rsidR="00997343" w:rsidRPr="00564DB3">
        <w:rPr>
          <w:szCs w:val="18"/>
        </w:rPr>
        <w:t xml:space="preserve">and </w:t>
      </w:r>
      <w:r w:rsidRPr="00564DB3">
        <w:rPr>
          <w:szCs w:val="18"/>
        </w:rPr>
        <w:t>(iv) the Agreement on the International Dolphin Conservation Program</w:t>
      </w:r>
      <w:r w:rsidR="005B1CE4" w:rsidRPr="00564DB3">
        <w:rPr>
          <w:rStyle w:val="FootnoteReference"/>
          <w:szCs w:val="18"/>
        </w:rPr>
        <w:footnoteReference w:id="20"/>
      </w:r>
      <w:r w:rsidRPr="00564DB3">
        <w:rPr>
          <w:szCs w:val="18"/>
        </w:rPr>
        <w:t xml:space="preserve"> (AIDCP) dolphin-safe definition and certification were a relevant international standard</w:t>
      </w:r>
      <w:r w:rsidR="00850114" w:rsidRPr="00564DB3">
        <w:rPr>
          <w:szCs w:val="18"/>
        </w:rPr>
        <w:t xml:space="preserve"> within the meaning of Article 2.4 of the TBT Agreement</w:t>
      </w:r>
      <w:r w:rsidR="005B1CE4" w:rsidRPr="00564DB3">
        <w:rPr>
          <w:rStyle w:val="FootnoteReference"/>
          <w:szCs w:val="18"/>
        </w:rPr>
        <w:footnoteReference w:id="21"/>
      </w:r>
      <w:r w:rsidR="00850114" w:rsidRPr="00564DB3">
        <w:rPr>
          <w:szCs w:val="18"/>
        </w:rPr>
        <w:t>,</w:t>
      </w:r>
      <w:r w:rsidRPr="00564DB3">
        <w:rPr>
          <w:szCs w:val="18"/>
        </w:rPr>
        <w:t xml:space="preserve"> and the </w:t>
      </w:r>
      <w:r w:rsidR="00D93AF4" w:rsidRPr="00564DB3">
        <w:rPr>
          <w:szCs w:val="18"/>
        </w:rPr>
        <w:t>m</w:t>
      </w:r>
      <w:r w:rsidRPr="00564DB3">
        <w:rPr>
          <w:szCs w:val="18"/>
        </w:rPr>
        <w:t xml:space="preserve">easure was not inconsistent </w:t>
      </w:r>
      <w:r w:rsidR="00995560" w:rsidRPr="00564DB3">
        <w:rPr>
          <w:szCs w:val="18"/>
        </w:rPr>
        <w:t xml:space="preserve">with </w:t>
      </w:r>
      <w:r w:rsidR="00AE1EDF" w:rsidRPr="00564DB3">
        <w:rPr>
          <w:szCs w:val="18"/>
        </w:rPr>
        <w:t>that provision</w:t>
      </w:r>
      <w:r w:rsidRPr="00564DB3">
        <w:rPr>
          <w:szCs w:val="18"/>
        </w:rPr>
        <w:t>.</w:t>
      </w:r>
      <w:r w:rsidR="005B1CE4" w:rsidRPr="00564DB3">
        <w:rPr>
          <w:rStyle w:val="FootnoteReference"/>
          <w:szCs w:val="18"/>
        </w:rPr>
        <w:footnoteReference w:id="22"/>
      </w:r>
      <w:r w:rsidRPr="00564DB3">
        <w:rPr>
          <w:szCs w:val="18"/>
        </w:rPr>
        <w:t xml:space="preserve"> The original </w:t>
      </w:r>
      <w:r w:rsidRPr="00564DB3">
        <w:rPr>
          <w:szCs w:val="18"/>
        </w:rPr>
        <w:lastRenderedPageBreak/>
        <w:t>panel exercised judicial economy with respect to Mexico'</w:t>
      </w:r>
      <w:r w:rsidR="008A7BE6" w:rsidRPr="00564DB3">
        <w:rPr>
          <w:szCs w:val="18"/>
        </w:rPr>
        <w:t>s claims under Articles I:1 and </w:t>
      </w:r>
      <w:r w:rsidRPr="00564DB3">
        <w:rPr>
          <w:szCs w:val="18"/>
        </w:rPr>
        <w:t>III:4 of the GATT 1994.</w:t>
      </w:r>
      <w:r w:rsidR="005B1CE4" w:rsidRPr="00564DB3">
        <w:rPr>
          <w:rStyle w:val="FootnoteReference"/>
          <w:szCs w:val="18"/>
        </w:rPr>
        <w:footnoteReference w:id="23"/>
      </w:r>
      <w:r w:rsidRPr="00564DB3">
        <w:rPr>
          <w:szCs w:val="18"/>
        </w:rPr>
        <w:t xml:space="preserve"> </w:t>
      </w:r>
    </w:p>
    <w:p w:rsidR="00940CBB" w:rsidRPr="00564DB3" w:rsidRDefault="00940CBB" w:rsidP="00F70E38">
      <w:pPr>
        <w:pStyle w:val="BodyText"/>
        <w:rPr>
          <w:szCs w:val="18"/>
        </w:rPr>
      </w:pPr>
      <w:r w:rsidRPr="00564DB3">
        <w:rPr>
          <w:szCs w:val="18"/>
        </w:rPr>
        <w:t>On appeal, the Appellate</w:t>
      </w:r>
      <w:r w:rsidR="00025CB6" w:rsidRPr="00564DB3">
        <w:rPr>
          <w:szCs w:val="18"/>
        </w:rPr>
        <w:t> Body</w:t>
      </w:r>
      <w:r w:rsidRPr="00564DB3">
        <w:rPr>
          <w:szCs w:val="18"/>
        </w:rPr>
        <w:t xml:space="preserve"> reversed the original panel's finding under </w:t>
      </w:r>
      <w:r w:rsidR="00083DFC" w:rsidRPr="00564DB3">
        <w:rPr>
          <w:szCs w:val="18"/>
        </w:rPr>
        <w:t>Article </w:t>
      </w:r>
      <w:r w:rsidRPr="00564DB3">
        <w:rPr>
          <w:szCs w:val="18"/>
        </w:rPr>
        <w:t xml:space="preserve">2.1 of the </w:t>
      </w:r>
      <w:r w:rsidR="00083DFC" w:rsidRPr="00564DB3">
        <w:rPr>
          <w:szCs w:val="18"/>
        </w:rPr>
        <w:t>TBT Agreement</w:t>
      </w:r>
      <w:r w:rsidR="00D84759" w:rsidRPr="00564DB3">
        <w:rPr>
          <w:szCs w:val="18"/>
        </w:rPr>
        <w:t>. The Appellate</w:t>
      </w:r>
      <w:r w:rsidR="00832630" w:rsidRPr="00564DB3">
        <w:rPr>
          <w:szCs w:val="18"/>
        </w:rPr>
        <w:t> Body</w:t>
      </w:r>
      <w:r w:rsidRPr="00564DB3">
        <w:rPr>
          <w:szCs w:val="18"/>
        </w:rPr>
        <w:t xml:space="preserve"> found, instead, that the </w:t>
      </w:r>
      <w:r w:rsidR="00083DFC" w:rsidRPr="00564DB3">
        <w:rPr>
          <w:szCs w:val="18"/>
        </w:rPr>
        <w:t>United States</w:t>
      </w:r>
      <w:r w:rsidRPr="00564DB3">
        <w:rPr>
          <w:szCs w:val="18"/>
        </w:rPr>
        <w:t xml:space="preserve"> had not demonstrated that the detrimental impact of the measure on Mexican tuna products stemmed exclusively from a legitimate regulatory distinction. The Appellate</w:t>
      </w:r>
      <w:r w:rsidR="00025CB6" w:rsidRPr="00564DB3">
        <w:rPr>
          <w:szCs w:val="18"/>
        </w:rPr>
        <w:t> Body</w:t>
      </w:r>
      <w:r w:rsidRPr="00564DB3">
        <w:rPr>
          <w:szCs w:val="18"/>
        </w:rPr>
        <w:t xml:space="preserve"> thus concluded that the original Tuna Measure accorded less favourable treatment to Mexican tuna products than that accorded to like products from the </w:t>
      </w:r>
      <w:r w:rsidR="00083DFC" w:rsidRPr="00564DB3">
        <w:rPr>
          <w:szCs w:val="18"/>
        </w:rPr>
        <w:t>United States</w:t>
      </w:r>
      <w:r w:rsidRPr="00564DB3">
        <w:rPr>
          <w:szCs w:val="18"/>
        </w:rPr>
        <w:t xml:space="preserve"> and other countries, and </w:t>
      </w:r>
      <w:r w:rsidR="00C40146" w:rsidRPr="00564DB3">
        <w:rPr>
          <w:szCs w:val="18"/>
        </w:rPr>
        <w:t xml:space="preserve">it </w:t>
      </w:r>
      <w:r w:rsidRPr="00564DB3">
        <w:rPr>
          <w:szCs w:val="18"/>
        </w:rPr>
        <w:t xml:space="preserve">was inconsistent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w:t>
      </w:r>
      <w:r w:rsidR="005B1CE4" w:rsidRPr="00564DB3">
        <w:rPr>
          <w:rStyle w:val="FootnoteReference"/>
          <w:szCs w:val="18"/>
        </w:rPr>
        <w:footnoteReference w:id="24"/>
      </w:r>
      <w:r w:rsidRPr="00564DB3">
        <w:rPr>
          <w:szCs w:val="18"/>
        </w:rPr>
        <w:t xml:space="preserve"> Furthermore, the Appellate Body found that the panel had erred in concluding that the original Tuna Measure was more trade restrictive than necessary to fulfil the </w:t>
      </w:r>
      <w:r w:rsidR="00083DFC" w:rsidRPr="00564DB3">
        <w:rPr>
          <w:szCs w:val="18"/>
        </w:rPr>
        <w:t>United States</w:t>
      </w:r>
      <w:r w:rsidRPr="00564DB3">
        <w:rPr>
          <w:szCs w:val="18"/>
        </w:rPr>
        <w:t xml:space="preserve">' legitimate objectives, taking into account the risks non-fulfilment would create, and therefore reversed the finding of inconsistency under </w:t>
      </w:r>
      <w:r w:rsidR="00083DFC" w:rsidRPr="00564DB3">
        <w:rPr>
          <w:szCs w:val="18"/>
        </w:rPr>
        <w:t>Article </w:t>
      </w:r>
      <w:r w:rsidRPr="00564DB3">
        <w:rPr>
          <w:szCs w:val="18"/>
        </w:rPr>
        <w:t xml:space="preserve">2.2 of the </w:t>
      </w:r>
      <w:r w:rsidR="00083DFC" w:rsidRPr="00564DB3">
        <w:rPr>
          <w:szCs w:val="18"/>
        </w:rPr>
        <w:t>TBT Agreement</w:t>
      </w:r>
      <w:r w:rsidRPr="00564DB3">
        <w:rPr>
          <w:szCs w:val="18"/>
        </w:rPr>
        <w:t>.</w:t>
      </w:r>
      <w:r w:rsidR="005B1CE4" w:rsidRPr="00564DB3">
        <w:rPr>
          <w:rStyle w:val="FootnoteReference"/>
          <w:szCs w:val="18"/>
        </w:rPr>
        <w:footnoteReference w:id="25"/>
      </w:r>
      <w:r w:rsidRPr="00564DB3">
        <w:rPr>
          <w:szCs w:val="18"/>
        </w:rPr>
        <w:t xml:space="preserve"> The Appellate</w:t>
      </w:r>
      <w:r w:rsidR="00025CB6" w:rsidRPr="00564DB3">
        <w:rPr>
          <w:szCs w:val="18"/>
        </w:rPr>
        <w:t> Body</w:t>
      </w:r>
      <w:r w:rsidRPr="00564DB3">
        <w:rPr>
          <w:szCs w:val="18"/>
        </w:rPr>
        <w:t xml:space="preserve"> also reversed the original panel's finding that the AIDCP dolphin-safe definition and certification constituted a relevant international standard, but left undisturbed the </w:t>
      </w:r>
      <w:r w:rsidR="00D84759" w:rsidRPr="00564DB3">
        <w:rPr>
          <w:szCs w:val="18"/>
        </w:rPr>
        <w:t xml:space="preserve">panel's </w:t>
      </w:r>
      <w:r w:rsidRPr="00564DB3">
        <w:rPr>
          <w:szCs w:val="18"/>
        </w:rPr>
        <w:t xml:space="preserve">finding that the original Tuna Measure was not inconsistent with </w:t>
      </w:r>
      <w:r w:rsidR="00083DFC" w:rsidRPr="00564DB3">
        <w:rPr>
          <w:szCs w:val="18"/>
        </w:rPr>
        <w:t>Article </w:t>
      </w:r>
      <w:r w:rsidRPr="00564DB3">
        <w:rPr>
          <w:szCs w:val="18"/>
        </w:rPr>
        <w:t xml:space="preserve">2.4 of the </w:t>
      </w:r>
      <w:r w:rsidR="00083DFC" w:rsidRPr="00564DB3">
        <w:rPr>
          <w:szCs w:val="18"/>
        </w:rPr>
        <w:t>TBT Agreement</w:t>
      </w:r>
      <w:r w:rsidRPr="00564DB3">
        <w:rPr>
          <w:szCs w:val="18"/>
        </w:rPr>
        <w:t>.</w:t>
      </w:r>
      <w:r w:rsidR="005B1CE4" w:rsidRPr="00564DB3">
        <w:rPr>
          <w:rStyle w:val="FootnoteReference"/>
          <w:szCs w:val="18"/>
        </w:rPr>
        <w:footnoteReference w:id="26"/>
      </w:r>
      <w:r w:rsidRPr="00564DB3">
        <w:rPr>
          <w:szCs w:val="18"/>
        </w:rPr>
        <w:t xml:space="preserve"> Finally, the Appellate Body found that the original panel acted inconsistently with </w:t>
      </w:r>
      <w:r w:rsidR="00083DFC" w:rsidRPr="00564DB3">
        <w:rPr>
          <w:szCs w:val="18"/>
        </w:rPr>
        <w:t>Article </w:t>
      </w:r>
      <w:r w:rsidRPr="00564DB3">
        <w:rPr>
          <w:szCs w:val="18"/>
        </w:rPr>
        <w:t>11 of the DSU in deciding to exercise judicial economy with respect to Mexico's claims under Articles I:1 and III:4 of the GATT 1994.</w:t>
      </w:r>
      <w:r w:rsidR="005B1CE4" w:rsidRPr="00564DB3">
        <w:rPr>
          <w:rStyle w:val="FootnoteReference"/>
          <w:szCs w:val="18"/>
        </w:rPr>
        <w:footnoteReference w:id="27"/>
      </w:r>
      <w:r w:rsidRPr="00564DB3">
        <w:rPr>
          <w:szCs w:val="18"/>
        </w:rPr>
        <w:t xml:space="preserve"> In conclusion, the Appellate</w:t>
      </w:r>
      <w:r w:rsidR="00025CB6" w:rsidRPr="00564DB3">
        <w:rPr>
          <w:szCs w:val="18"/>
        </w:rPr>
        <w:t> Body</w:t>
      </w:r>
      <w:r w:rsidRPr="00564DB3">
        <w:rPr>
          <w:szCs w:val="18"/>
        </w:rPr>
        <w:t xml:space="preserve"> recommended that the DSB request the </w:t>
      </w:r>
      <w:r w:rsidR="00083DFC" w:rsidRPr="00564DB3">
        <w:rPr>
          <w:szCs w:val="18"/>
        </w:rPr>
        <w:t>United States</w:t>
      </w:r>
      <w:r w:rsidRPr="00564DB3">
        <w:rPr>
          <w:szCs w:val="18"/>
        </w:rPr>
        <w:t xml:space="preserve"> to bring its measure into conformity with its obligations under the </w:t>
      </w:r>
      <w:r w:rsidR="00083DFC" w:rsidRPr="00564DB3">
        <w:rPr>
          <w:szCs w:val="18"/>
        </w:rPr>
        <w:t>TBT Agreement</w:t>
      </w:r>
      <w:r w:rsidRPr="00564DB3">
        <w:rPr>
          <w:szCs w:val="18"/>
        </w:rPr>
        <w:t>.</w:t>
      </w:r>
      <w:r w:rsidR="005B1CE4" w:rsidRPr="00564DB3">
        <w:rPr>
          <w:rStyle w:val="FootnoteReference"/>
          <w:szCs w:val="18"/>
        </w:rPr>
        <w:footnoteReference w:id="28"/>
      </w:r>
    </w:p>
    <w:p w:rsidR="00940CBB" w:rsidRPr="00564DB3" w:rsidRDefault="00940CBB" w:rsidP="00F70E38">
      <w:pPr>
        <w:pStyle w:val="BodyText"/>
        <w:rPr>
          <w:szCs w:val="18"/>
        </w:rPr>
      </w:pPr>
      <w:r w:rsidRPr="00564DB3">
        <w:rPr>
          <w:szCs w:val="18"/>
        </w:rPr>
        <w:t>On 13</w:t>
      </w:r>
      <w:r w:rsidR="00FF0299" w:rsidRPr="00564DB3">
        <w:rPr>
          <w:szCs w:val="18"/>
        </w:rPr>
        <w:t xml:space="preserve"> </w:t>
      </w:r>
      <w:r w:rsidRPr="00564DB3">
        <w:rPr>
          <w:szCs w:val="18"/>
        </w:rPr>
        <w:t>June</w:t>
      </w:r>
      <w:r w:rsidR="00FF0299" w:rsidRPr="00564DB3">
        <w:rPr>
          <w:szCs w:val="18"/>
        </w:rPr>
        <w:t xml:space="preserve"> </w:t>
      </w:r>
      <w:r w:rsidRPr="00564DB3">
        <w:rPr>
          <w:szCs w:val="18"/>
        </w:rPr>
        <w:t>2012, the DSB adopted the original panel and Appellate</w:t>
      </w:r>
      <w:r w:rsidR="00FF0299" w:rsidRPr="00564DB3">
        <w:rPr>
          <w:szCs w:val="18"/>
        </w:rPr>
        <w:t xml:space="preserve"> </w:t>
      </w:r>
      <w:r w:rsidR="00025CB6" w:rsidRPr="00564DB3">
        <w:rPr>
          <w:szCs w:val="18"/>
        </w:rPr>
        <w:t>Body</w:t>
      </w:r>
      <w:r w:rsidRPr="00564DB3">
        <w:rPr>
          <w:szCs w:val="18"/>
        </w:rPr>
        <w:t xml:space="preserve"> reports.</w:t>
      </w:r>
      <w:r w:rsidR="00D84759" w:rsidRPr="00564DB3">
        <w:rPr>
          <w:rStyle w:val="FootnoteReference"/>
          <w:szCs w:val="18"/>
        </w:rPr>
        <w:footnoteReference w:id="29"/>
      </w:r>
      <w:r w:rsidR="00F70E38" w:rsidRPr="00564DB3">
        <w:rPr>
          <w:szCs w:val="18"/>
        </w:rPr>
        <w:t xml:space="preserve"> On </w:t>
      </w:r>
      <w:r w:rsidRPr="00564DB3">
        <w:rPr>
          <w:szCs w:val="18"/>
        </w:rPr>
        <w:t xml:space="preserve">17 September 2012, Mexico and the </w:t>
      </w:r>
      <w:r w:rsidR="00083DFC" w:rsidRPr="00564DB3">
        <w:rPr>
          <w:szCs w:val="18"/>
        </w:rPr>
        <w:t>United States</w:t>
      </w:r>
      <w:r w:rsidRPr="00564DB3">
        <w:rPr>
          <w:szCs w:val="18"/>
        </w:rPr>
        <w:t xml:space="preserve"> informed the DSB that they had agreed on a reasonable </w:t>
      </w:r>
      <w:proofErr w:type="gramStart"/>
      <w:r w:rsidRPr="00564DB3">
        <w:rPr>
          <w:szCs w:val="18"/>
        </w:rPr>
        <w:t>period of time</w:t>
      </w:r>
      <w:proofErr w:type="gramEnd"/>
      <w:r w:rsidRPr="00564DB3">
        <w:rPr>
          <w:szCs w:val="18"/>
        </w:rPr>
        <w:t xml:space="preserve"> </w:t>
      </w:r>
      <w:r w:rsidR="005537D2" w:rsidRPr="00564DB3">
        <w:rPr>
          <w:szCs w:val="18"/>
        </w:rPr>
        <w:t xml:space="preserve">– 13 months from 13 June 2012 – </w:t>
      </w:r>
      <w:r w:rsidR="00AC4B41" w:rsidRPr="00564DB3">
        <w:rPr>
          <w:szCs w:val="18"/>
        </w:rPr>
        <w:t xml:space="preserve">to comply with the recommendations and rulings </w:t>
      </w:r>
      <w:r w:rsidR="00E141F8" w:rsidRPr="00564DB3">
        <w:rPr>
          <w:szCs w:val="18"/>
        </w:rPr>
        <w:t>of the DSB</w:t>
      </w:r>
      <w:r w:rsidRPr="00564DB3">
        <w:rPr>
          <w:szCs w:val="18"/>
        </w:rPr>
        <w:t xml:space="preserve">. The reasonable </w:t>
      </w:r>
      <w:proofErr w:type="gramStart"/>
      <w:r w:rsidRPr="00564DB3">
        <w:rPr>
          <w:szCs w:val="18"/>
        </w:rPr>
        <w:t>period of time</w:t>
      </w:r>
      <w:proofErr w:type="gramEnd"/>
      <w:r w:rsidRPr="00564DB3">
        <w:rPr>
          <w:szCs w:val="18"/>
        </w:rPr>
        <w:t xml:space="preserve"> expired on 13</w:t>
      </w:r>
      <w:r w:rsidR="00B73EE5" w:rsidRPr="00564DB3">
        <w:rPr>
          <w:szCs w:val="18"/>
        </w:rPr>
        <w:t> </w:t>
      </w:r>
      <w:r w:rsidRPr="00564DB3">
        <w:rPr>
          <w:szCs w:val="18"/>
        </w:rPr>
        <w:t>July</w:t>
      </w:r>
      <w:r w:rsidR="00B73EE5" w:rsidRPr="00564DB3">
        <w:rPr>
          <w:szCs w:val="18"/>
        </w:rPr>
        <w:t> </w:t>
      </w:r>
      <w:r w:rsidRPr="00564DB3">
        <w:rPr>
          <w:szCs w:val="18"/>
        </w:rPr>
        <w:t>2013.</w:t>
      </w:r>
      <w:r w:rsidR="005B1CE4" w:rsidRPr="00564DB3">
        <w:rPr>
          <w:rStyle w:val="FootnoteReference"/>
          <w:szCs w:val="18"/>
        </w:rPr>
        <w:footnoteReference w:id="30"/>
      </w:r>
    </w:p>
    <w:p w:rsidR="00940CBB" w:rsidRPr="00564DB3" w:rsidRDefault="00940CBB" w:rsidP="00F70E38">
      <w:pPr>
        <w:pStyle w:val="BodyText"/>
        <w:rPr>
          <w:szCs w:val="18"/>
        </w:rPr>
      </w:pPr>
      <w:bookmarkStart w:id="20" w:name="_Ref406608752"/>
      <w:r w:rsidRPr="00564DB3">
        <w:rPr>
          <w:szCs w:val="18"/>
        </w:rPr>
        <w:t>On 9</w:t>
      </w:r>
      <w:r w:rsidR="00B73EE5" w:rsidRPr="00564DB3">
        <w:rPr>
          <w:szCs w:val="18"/>
        </w:rPr>
        <w:t> </w:t>
      </w:r>
      <w:r w:rsidRPr="00564DB3">
        <w:rPr>
          <w:szCs w:val="18"/>
        </w:rPr>
        <w:t>July</w:t>
      </w:r>
      <w:r w:rsidR="00B73EE5" w:rsidRPr="00564DB3">
        <w:rPr>
          <w:szCs w:val="18"/>
        </w:rPr>
        <w:t> </w:t>
      </w:r>
      <w:r w:rsidRPr="00564DB3">
        <w:rPr>
          <w:szCs w:val="18"/>
        </w:rPr>
        <w:t xml:space="preserve">2013, the </w:t>
      </w:r>
      <w:r w:rsidR="00083DFC" w:rsidRPr="00564DB3">
        <w:rPr>
          <w:szCs w:val="18"/>
        </w:rPr>
        <w:t>United States</w:t>
      </w:r>
      <w:r w:rsidRPr="00564DB3">
        <w:rPr>
          <w:szCs w:val="18"/>
        </w:rPr>
        <w:t xml:space="preserve"> published amendments to Sections 216.91 and 216.93 of CFR Title 50</w:t>
      </w:r>
      <w:r w:rsidR="005B1CE4" w:rsidRPr="00564DB3">
        <w:rPr>
          <w:rStyle w:val="FootnoteReference"/>
          <w:szCs w:val="18"/>
        </w:rPr>
        <w:footnoteReference w:id="31"/>
      </w:r>
      <w:r w:rsidRPr="00564DB3">
        <w:rPr>
          <w:szCs w:val="18"/>
        </w:rPr>
        <w:t xml:space="preserve"> </w:t>
      </w:r>
      <w:r w:rsidR="008B2B60" w:rsidRPr="00564DB3">
        <w:rPr>
          <w:szCs w:val="18"/>
        </w:rPr>
        <w:t>(</w:t>
      </w:r>
      <w:r w:rsidRPr="00564DB3">
        <w:rPr>
          <w:szCs w:val="18"/>
        </w:rPr>
        <w:t>2013 Rule)</w:t>
      </w:r>
      <w:r w:rsidR="00890EE3" w:rsidRPr="00564DB3">
        <w:rPr>
          <w:szCs w:val="18"/>
        </w:rPr>
        <w:t>.</w:t>
      </w:r>
      <w:r w:rsidR="005B1CE4" w:rsidRPr="00564DB3">
        <w:rPr>
          <w:rStyle w:val="FootnoteReference"/>
          <w:szCs w:val="18"/>
        </w:rPr>
        <w:footnoteReference w:id="32"/>
      </w:r>
      <w:r w:rsidRPr="00564DB3">
        <w:rPr>
          <w:szCs w:val="18"/>
        </w:rPr>
        <w:t xml:space="preserve"> According to the </w:t>
      </w:r>
      <w:r w:rsidR="00083DFC" w:rsidRPr="00564DB3">
        <w:rPr>
          <w:szCs w:val="18"/>
        </w:rPr>
        <w:t>United States</w:t>
      </w:r>
      <w:r w:rsidRPr="00564DB3">
        <w:rPr>
          <w:szCs w:val="18"/>
        </w:rPr>
        <w:t xml:space="preserve">, the 2013 Rule constituted the measure taken to comply with the recommendations and rulings of the DSB pursuant to </w:t>
      </w:r>
      <w:r w:rsidR="00083DFC" w:rsidRPr="00564DB3">
        <w:rPr>
          <w:szCs w:val="18"/>
        </w:rPr>
        <w:t>Article </w:t>
      </w:r>
      <w:r w:rsidRPr="00564DB3">
        <w:rPr>
          <w:szCs w:val="18"/>
        </w:rPr>
        <w:t>21.5 of the DSU.</w:t>
      </w:r>
      <w:r w:rsidR="005B1CE4" w:rsidRPr="00564DB3">
        <w:rPr>
          <w:rStyle w:val="FootnoteReference"/>
          <w:szCs w:val="18"/>
        </w:rPr>
        <w:footnoteReference w:id="33"/>
      </w:r>
      <w:r w:rsidRPr="00564DB3">
        <w:rPr>
          <w:szCs w:val="18"/>
        </w:rPr>
        <w:t xml:space="preserve"> </w:t>
      </w:r>
    </w:p>
    <w:p w:rsidR="00940CBB" w:rsidRPr="00564DB3" w:rsidRDefault="00940CBB" w:rsidP="00F70E38">
      <w:pPr>
        <w:pStyle w:val="BodyText"/>
        <w:rPr>
          <w:szCs w:val="18"/>
        </w:rPr>
      </w:pPr>
      <w:bookmarkStart w:id="23" w:name="_Ref529199454"/>
      <w:r w:rsidRPr="00564DB3">
        <w:rPr>
          <w:szCs w:val="18"/>
        </w:rPr>
        <w:t xml:space="preserve">Mexico considered that the </w:t>
      </w:r>
      <w:r w:rsidR="00083DFC" w:rsidRPr="00564DB3">
        <w:rPr>
          <w:szCs w:val="18"/>
        </w:rPr>
        <w:t>United States</w:t>
      </w:r>
      <w:r w:rsidRPr="00564DB3">
        <w:rPr>
          <w:szCs w:val="18"/>
        </w:rPr>
        <w:t xml:space="preserve"> had not brought its labelling regime into compliance with the recommendations and rulings of the DSB, and that the regime remained inconsistent with its obligations under the covered agreements.</w:t>
      </w:r>
      <w:r w:rsidR="005B1CE4" w:rsidRPr="00564DB3">
        <w:rPr>
          <w:rStyle w:val="FootnoteReference"/>
          <w:szCs w:val="18"/>
        </w:rPr>
        <w:footnoteReference w:id="34"/>
      </w:r>
      <w:r w:rsidRPr="00564DB3">
        <w:rPr>
          <w:szCs w:val="18"/>
        </w:rPr>
        <w:t xml:space="preserve"> On 2 August 2013, Mexico and the </w:t>
      </w:r>
      <w:r w:rsidR="00083DFC" w:rsidRPr="00564DB3">
        <w:rPr>
          <w:szCs w:val="18"/>
        </w:rPr>
        <w:t>United States</w:t>
      </w:r>
      <w:r w:rsidRPr="00564DB3">
        <w:rPr>
          <w:szCs w:val="18"/>
        </w:rPr>
        <w:t xml:space="preserve"> </w:t>
      </w:r>
      <w:r w:rsidRPr="00564DB3">
        <w:rPr>
          <w:szCs w:val="18"/>
        </w:rPr>
        <w:lastRenderedPageBreak/>
        <w:t>informed the DSB of their Agreed Procedures under Articles 21 and 22 of the DSU</w:t>
      </w:r>
      <w:r w:rsidR="00D84759" w:rsidRPr="00564DB3">
        <w:rPr>
          <w:szCs w:val="18"/>
        </w:rPr>
        <w:t>.</w:t>
      </w:r>
      <w:r w:rsidR="005B1CE4" w:rsidRPr="00564DB3">
        <w:rPr>
          <w:rStyle w:val="FootnoteReference"/>
          <w:szCs w:val="18"/>
        </w:rPr>
        <w:footnoteReference w:id="35"/>
      </w:r>
      <w:r w:rsidR="00D84759" w:rsidRPr="00564DB3">
        <w:rPr>
          <w:szCs w:val="18"/>
        </w:rPr>
        <w:t xml:space="preserve"> On</w:t>
      </w:r>
      <w:r w:rsidR="00F70E38" w:rsidRPr="00564DB3">
        <w:rPr>
          <w:szCs w:val="18"/>
        </w:rPr>
        <w:t> </w:t>
      </w:r>
      <w:r w:rsidRPr="00564DB3">
        <w:rPr>
          <w:szCs w:val="18"/>
        </w:rPr>
        <w:t>14</w:t>
      </w:r>
      <w:r w:rsidR="00B73EE5" w:rsidRPr="00564DB3">
        <w:rPr>
          <w:szCs w:val="18"/>
        </w:rPr>
        <w:t> </w:t>
      </w:r>
      <w:r w:rsidRPr="00564DB3">
        <w:rPr>
          <w:szCs w:val="18"/>
        </w:rPr>
        <w:t>November</w:t>
      </w:r>
      <w:r w:rsidR="00B73EE5" w:rsidRPr="00564DB3">
        <w:rPr>
          <w:szCs w:val="18"/>
        </w:rPr>
        <w:t> </w:t>
      </w:r>
      <w:r w:rsidRPr="00564DB3">
        <w:rPr>
          <w:szCs w:val="18"/>
        </w:rPr>
        <w:t xml:space="preserve">2013, Mexico requested the establishment of a panel under Articles 6 and 21.5 of the DSU, </w:t>
      </w:r>
      <w:r w:rsidR="00083DFC" w:rsidRPr="00564DB3">
        <w:rPr>
          <w:szCs w:val="18"/>
        </w:rPr>
        <w:t>Article </w:t>
      </w:r>
      <w:r w:rsidRPr="00564DB3">
        <w:rPr>
          <w:szCs w:val="18"/>
        </w:rPr>
        <w:t xml:space="preserve">14 of the </w:t>
      </w:r>
      <w:r w:rsidR="00083DFC" w:rsidRPr="00564DB3">
        <w:rPr>
          <w:szCs w:val="18"/>
        </w:rPr>
        <w:t>TBT Agreement</w:t>
      </w:r>
      <w:r w:rsidRPr="00564DB3">
        <w:rPr>
          <w:szCs w:val="18"/>
        </w:rPr>
        <w:t xml:space="preserve">, and </w:t>
      </w:r>
      <w:r w:rsidR="00083DFC" w:rsidRPr="00564DB3">
        <w:rPr>
          <w:szCs w:val="18"/>
        </w:rPr>
        <w:t>Article </w:t>
      </w:r>
      <w:r w:rsidRPr="00564DB3">
        <w:rPr>
          <w:szCs w:val="18"/>
        </w:rPr>
        <w:t>XXIII of the GATT 1994.</w:t>
      </w:r>
      <w:r w:rsidR="005B1CE4" w:rsidRPr="00564DB3">
        <w:rPr>
          <w:rStyle w:val="FootnoteReference"/>
          <w:szCs w:val="18"/>
        </w:rPr>
        <w:footnoteReference w:id="36"/>
      </w:r>
      <w:r w:rsidRPr="00564DB3">
        <w:rPr>
          <w:szCs w:val="18"/>
        </w:rPr>
        <w:t xml:space="preserve"> </w:t>
      </w:r>
      <w:bookmarkStart w:id="24" w:name="_Hlk523162313"/>
      <w:r w:rsidRPr="00564DB3">
        <w:rPr>
          <w:szCs w:val="18"/>
        </w:rPr>
        <w:t>In its panel requ</w:t>
      </w:r>
      <w:r w:rsidR="00D84759" w:rsidRPr="00564DB3">
        <w:rPr>
          <w:szCs w:val="18"/>
        </w:rPr>
        <w:t xml:space="preserve">est, Mexico indicated that the </w:t>
      </w:r>
      <w:r w:rsidRPr="00564DB3">
        <w:rPr>
          <w:szCs w:val="18"/>
        </w:rPr>
        <w:t>measure taken to comply with the recommendations and rulings of the DSB</w:t>
      </w:r>
      <w:r w:rsidR="00A616F3" w:rsidRPr="00564DB3">
        <w:rPr>
          <w:szCs w:val="18"/>
        </w:rPr>
        <w:t xml:space="preserve"> (2013 Tuna Measure) </w:t>
      </w:r>
      <w:r w:rsidR="00D84759" w:rsidRPr="00564DB3">
        <w:rPr>
          <w:szCs w:val="18"/>
        </w:rPr>
        <w:t>comprised: (i) the DPCIA; (ii) </w:t>
      </w:r>
      <w:r w:rsidR="007E4186" w:rsidRPr="00564DB3">
        <w:rPr>
          <w:szCs w:val="18"/>
        </w:rPr>
        <w:t>Subpart H of Part 216 of CFR Title </w:t>
      </w:r>
      <w:r w:rsidRPr="00564DB3">
        <w:rPr>
          <w:szCs w:val="18"/>
        </w:rPr>
        <w:t>50 as</w:t>
      </w:r>
      <w:r w:rsidR="00F874E6" w:rsidRPr="00564DB3">
        <w:rPr>
          <w:szCs w:val="18"/>
        </w:rPr>
        <w:t xml:space="preserve"> amended by the 2013 Rule (2013 </w:t>
      </w:r>
      <w:r w:rsidRPr="00564DB3">
        <w:rPr>
          <w:szCs w:val="18"/>
        </w:rPr>
        <w:t>implementing regulations)</w:t>
      </w:r>
      <w:r w:rsidR="005B1CE4" w:rsidRPr="00564DB3">
        <w:rPr>
          <w:rStyle w:val="FootnoteReference"/>
          <w:szCs w:val="18"/>
        </w:rPr>
        <w:footnoteReference w:id="37"/>
      </w:r>
      <w:r w:rsidRPr="00564DB3">
        <w:rPr>
          <w:szCs w:val="18"/>
        </w:rPr>
        <w:t xml:space="preserve">; (iii) the </w:t>
      </w:r>
      <w:r w:rsidRPr="00564DB3">
        <w:rPr>
          <w:i/>
          <w:szCs w:val="18"/>
        </w:rPr>
        <w:t>Hogarth</w:t>
      </w:r>
      <w:r w:rsidRPr="00564DB3">
        <w:rPr>
          <w:szCs w:val="18"/>
        </w:rPr>
        <w:t xml:space="preserve"> ruling</w:t>
      </w:r>
      <w:r w:rsidR="005B1CE4" w:rsidRPr="00564DB3">
        <w:rPr>
          <w:rStyle w:val="FootnoteReference"/>
          <w:szCs w:val="18"/>
        </w:rPr>
        <w:footnoteReference w:id="38"/>
      </w:r>
      <w:r w:rsidR="00F70E38" w:rsidRPr="00564DB3">
        <w:rPr>
          <w:szCs w:val="18"/>
        </w:rPr>
        <w:t>; and (iv) </w:t>
      </w:r>
      <w:r w:rsidRPr="00564DB3">
        <w:rPr>
          <w:szCs w:val="18"/>
        </w:rPr>
        <w:t>any implementing guidance, directives, policy announcements, or any other document issued in relation to instruments (i) through (iii), including any modifications or amendments in relation to those instruments.</w:t>
      </w:r>
      <w:bookmarkEnd w:id="24"/>
      <w:r w:rsidR="005B1CE4" w:rsidRPr="00564DB3">
        <w:rPr>
          <w:rStyle w:val="FootnoteReference"/>
          <w:szCs w:val="18"/>
        </w:rPr>
        <w:footnoteReference w:id="39"/>
      </w:r>
      <w:r w:rsidRPr="00564DB3">
        <w:rPr>
          <w:szCs w:val="18"/>
        </w:rPr>
        <w:t xml:space="preserve"> </w:t>
      </w:r>
      <w:bookmarkEnd w:id="20"/>
      <w:r w:rsidRPr="00564DB3">
        <w:rPr>
          <w:szCs w:val="18"/>
        </w:rPr>
        <w:t xml:space="preserve">Mexico claimed that the 2013 Tuna Measure was inconsistent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w:t>
      </w:r>
      <w:r w:rsidR="00083DFC" w:rsidRPr="00564DB3">
        <w:rPr>
          <w:szCs w:val="18"/>
        </w:rPr>
        <w:t>Article </w:t>
      </w:r>
      <w:r w:rsidRPr="00564DB3">
        <w:rPr>
          <w:szCs w:val="18"/>
        </w:rPr>
        <w:t xml:space="preserve">I:1 of the GATT 1994, and </w:t>
      </w:r>
      <w:r w:rsidR="00083DFC" w:rsidRPr="00564DB3">
        <w:rPr>
          <w:szCs w:val="18"/>
        </w:rPr>
        <w:t>Article </w:t>
      </w:r>
      <w:r w:rsidRPr="00564DB3">
        <w:rPr>
          <w:szCs w:val="18"/>
        </w:rPr>
        <w:t>III of the GATT 1994.</w:t>
      </w:r>
      <w:r w:rsidR="005B1CE4" w:rsidRPr="00564DB3">
        <w:rPr>
          <w:rStyle w:val="FootnoteReference"/>
          <w:szCs w:val="18"/>
        </w:rPr>
        <w:footnoteReference w:id="40"/>
      </w:r>
      <w:bookmarkEnd w:id="23"/>
      <w:r w:rsidRPr="00564DB3">
        <w:rPr>
          <w:szCs w:val="18"/>
        </w:rPr>
        <w:t xml:space="preserve"> </w:t>
      </w:r>
    </w:p>
    <w:p w:rsidR="00940CBB" w:rsidRPr="00564DB3" w:rsidRDefault="00940CBB" w:rsidP="00F70E38">
      <w:pPr>
        <w:pStyle w:val="BodyText"/>
        <w:rPr>
          <w:szCs w:val="18"/>
        </w:rPr>
      </w:pPr>
      <w:r w:rsidRPr="00564DB3">
        <w:rPr>
          <w:rStyle w:val="CommentReference"/>
          <w:sz w:val="18"/>
          <w:szCs w:val="18"/>
          <w:lang w:eastAsia="en-US"/>
        </w:rPr>
        <w:t>T</w:t>
      </w:r>
      <w:r w:rsidRPr="00564DB3">
        <w:rPr>
          <w:szCs w:val="18"/>
        </w:rPr>
        <w:t xml:space="preserve">he first compliance panel considered that the question before it was whether the 2013 Tuna Measure brought the </w:t>
      </w:r>
      <w:r w:rsidR="00083DFC" w:rsidRPr="00564DB3">
        <w:rPr>
          <w:szCs w:val="18"/>
        </w:rPr>
        <w:t>United States</w:t>
      </w:r>
      <w:r w:rsidRPr="00564DB3">
        <w:rPr>
          <w:szCs w:val="18"/>
        </w:rPr>
        <w:t xml:space="preserve"> into compliance with </w:t>
      </w:r>
      <w:r w:rsidR="00685601" w:rsidRPr="00564DB3">
        <w:rPr>
          <w:szCs w:val="18"/>
        </w:rPr>
        <w:t>the covered agreements</w:t>
      </w:r>
      <w:r w:rsidRPr="00564DB3">
        <w:rPr>
          <w:szCs w:val="18"/>
        </w:rPr>
        <w:t>.</w:t>
      </w:r>
      <w:r w:rsidR="005B1CE4" w:rsidRPr="00564DB3">
        <w:rPr>
          <w:rStyle w:val="FootnoteReference"/>
          <w:szCs w:val="18"/>
        </w:rPr>
        <w:footnoteReference w:id="41"/>
      </w:r>
      <w:r w:rsidRPr="00564DB3">
        <w:rPr>
          <w:szCs w:val="18"/>
        </w:rPr>
        <w:t xml:space="preserve"> The first compliance panel found that: (i) the eligibility criteria were consistent with </w:t>
      </w:r>
      <w:r w:rsidR="00083DFC" w:rsidRPr="00564DB3">
        <w:rPr>
          <w:szCs w:val="18"/>
        </w:rPr>
        <w:t>Article </w:t>
      </w:r>
      <w:r w:rsidRPr="00564DB3">
        <w:rPr>
          <w:szCs w:val="18"/>
        </w:rPr>
        <w:t xml:space="preserve">2.1 of the </w:t>
      </w:r>
      <w:r w:rsidR="00083DFC" w:rsidRPr="00564DB3">
        <w:rPr>
          <w:szCs w:val="18"/>
        </w:rPr>
        <w:t>TBT Agreement</w:t>
      </w:r>
      <w:r w:rsidR="005B1CE4" w:rsidRPr="00564DB3">
        <w:rPr>
          <w:rStyle w:val="FootnoteReference"/>
          <w:szCs w:val="18"/>
        </w:rPr>
        <w:footnoteReference w:id="42"/>
      </w:r>
      <w:r w:rsidRPr="00564DB3">
        <w:rPr>
          <w:szCs w:val="18"/>
        </w:rPr>
        <w:t>, but inconsistent with Articles I:1 and</w:t>
      </w:r>
      <w:r w:rsidR="00B93F98" w:rsidRPr="00564DB3">
        <w:rPr>
          <w:szCs w:val="18"/>
        </w:rPr>
        <w:t> </w:t>
      </w:r>
      <w:r w:rsidRPr="00564DB3">
        <w:rPr>
          <w:szCs w:val="18"/>
        </w:rPr>
        <w:t>III:4 of the GATT 1994</w:t>
      </w:r>
      <w:r w:rsidR="005B1CE4" w:rsidRPr="00564DB3">
        <w:rPr>
          <w:rStyle w:val="FootnoteReference"/>
          <w:szCs w:val="18"/>
        </w:rPr>
        <w:footnoteReference w:id="43"/>
      </w:r>
      <w:r w:rsidRPr="00564DB3">
        <w:rPr>
          <w:szCs w:val="18"/>
        </w:rPr>
        <w:t xml:space="preserve">; (ii) the certification requirements and the tracking and verification requirements were inconsistent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and Articles I:1 and III:4 of the GATT 1994</w:t>
      </w:r>
      <w:r w:rsidR="005B1CE4" w:rsidRPr="00564DB3">
        <w:rPr>
          <w:rStyle w:val="FootnoteReference"/>
          <w:szCs w:val="18"/>
        </w:rPr>
        <w:footnoteReference w:id="44"/>
      </w:r>
      <w:r w:rsidRPr="00564DB3">
        <w:rPr>
          <w:szCs w:val="18"/>
        </w:rPr>
        <w:t xml:space="preserve">; (iii) the eligibility criteria, certification requirements, and tracking and verification requirements </w:t>
      </w:r>
      <w:r w:rsidR="00573281" w:rsidRPr="00564DB3">
        <w:rPr>
          <w:szCs w:val="18"/>
        </w:rPr>
        <w:t xml:space="preserve">under the 2013 Tuna Measure </w:t>
      </w:r>
      <w:r w:rsidRPr="00564DB3">
        <w:rPr>
          <w:szCs w:val="18"/>
        </w:rPr>
        <w:t xml:space="preserve">were provisionally justified under </w:t>
      </w:r>
      <w:r w:rsidR="00083DFC" w:rsidRPr="00564DB3">
        <w:rPr>
          <w:szCs w:val="18"/>
        </w:rPr>
        <w:t>Article </w:t>
      </w:r>
      <w:r w:rsidRPr="00564DB3">
        <w:rPr>
          <w:szCs w:val="18"/>
        </w:rPr>
        <w:t>XX(g)</w:t>
      </w:r>
      <w:r w:rsidR="0099613F" w:rsidRPr="00564DB3">
        <w:rPr>
          <w:szCs w:val="18"/>
        </w:rPr>
        <w:t xml:space="preserve"> of the GATT 1994</w:t>
      </w:r>
      <w:r w:rsidR="005B1CE4" w:rsidRPr="00564DB3">
        <w:rPr>
          <w:rStyle w:val="FootnoteReference"/>
          <w:szCs w:val="18"/>
        </w:rPr>
        <w:footnoteReference w:id="45"/>
      </w:r>
      <w:r w:rsidR="008F7926" w:rsidRPr="00564DB3">
        <w:rPr>
          <w:szCs w:val="18"/>
        </w:rPr>
        <w:t>; and (iv) </w:t>
      </w:r>
      <w:r w:rsidRPr="00564DB3">
        <w:rPr>
          <w:szCs w:val="18"/>
        </w:rPr>
        <w:t xml:space="preserve">the eligibility criteria met the requirements of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whereas the certification requirements and the tracking and verification requirements constituted arbitrary or unjustifiable discrimination, and accordingly </w:t>
      </w:r>
      <w:r w:rsidR="00B93F98" w:rsidRPr="00564DB3">
        <w:rPr>
          <w:szCs w:val="18"/>
        </w:rPr>
        <w:t xml:space="preserve">did not satisfy </w:t>
      </w:r>
      <w:r w:rsidRPr="00564DB3">
        <w:rPr>
          <w:szCs w:val="18"/>
        </w:rPr>
        <w:t>the</w:t>
      </w:r>
      <w:r w:rsidR="00B93F98" w:rsidRPr="00564DB3">
        <w:rPr>
          <w:szCs w:val="18"/>
        </w:rPr>
        <w:t xml:space="preserve"> requirements of the</w:t>
      </w:r>
      <w:r w:rsidRPr="00564DB3">
        <w:rPr>
          <w:szCs w:val="18"/>
        </w:rPr>
        <w:t xml:space="preserve"> </w:t>
      </w:r>
      <w:r w:rsidRPr="00564DB3">
        <w:rPr>
          <w:i/>
          <w:szCs w:val="18"/>
        </w:rPr>
        <w:t>chapeau</w:t>
      </w:r>
      <w:r w:rsidRPr="00564DB3">
        <w:rPr>
          <w:szCs w:val="18"/>
        </w:rPr>
        <w:t xml:space="preserve"> of </w:t>
      </w:r>
      <w:r w:rsidR="00083DFC" w:rsidRPr="00564DB3">
        <w:rPr>
          <w:szCs w:val="18"/>
        </w:rPr>
        <w:t>Article </w:t>
      </w:r>
      <w:r w:rsidRPr="00564DB3">
        <w:rPr>
          <w:szCs w:val="18"/>
        </w:rPr>
        <w:t>XX</w:t>
      </w:r>
      <w:r w:rsidR="0099613F" w:rsidRPr="00564DB3">
        <w:rPr>
          <w:szCs w:val="18"/>
        </w:rPr>
        <w:t xml:space="preserve"> of the GATT 1994</w:t>
      </w:r>
      <w:r w:rsidRPr="00564DB3">
        <w:rPr>
          <w:szCs w:val="18"/>
        </w:rPr>
        <w:t>.</w:t>
      </w:r>
      <w:r w:rsidR="005B1CE4" w:rsidRPr="00564DB3">
        <w:rPr>
          <w:rStyle w:val="FootnoteReference"/>
          <w:szCs w:val="18"/>
        </w:rPr>
        <w:footnoteReference w:id="46"/>
      </w:r>
      <w:r w:rsidRPr="00564DB3">
        <w:rPr>
          <w:szCs w:val="18"/>
        </w:rPr>
        <w:t xml:space="preserve"> </w:t>
      </w:r>
    </w:p>
    <w:p w:rsidR="00940CBB" w:rsidRPr="00564DB3" w:rsidRDefault="00940CBB" w:rsidP="00F70E38">
      <w:pPr>
        <w:pStyle w:val="BodyText"/>
        <w:rPr>
          <w:szCs w:val="18"/>
        </w:rPr>
      </w:pPr>
      <w:r w:rsidRPr="00564DB3">
        <w:rPr>
          <w:szCs w:val="18"/>
        </w:rPr>
        <w:t>On appeal,</w:t>
      </w:r>
      <w:r w:rsidRPr="00564DB3">
        <w:rPr>
          <w:rFonts w:cs="Arial"/>
          <w:szCs w:val="18"/>
        </w:rPr>
        <w:t xml:space="preserve"> the Appellate</w:t>
      </w:r>
      <w:r w:rsidR="00025CB6" w:rsidRPr="00564DB3">
        <w:rPr>
          <w:rFonts w:cs="Arial"/>
          <w:szCs w:val="18"/>
        </w:rPr>
        <w:t> Body</w:t>
      </w:r>
      <w:r w:rsidRPr="00564DB3">
        <w:rPr>
          <w:rFonts w:cs="Arial"/>
          <w:szCs w:val="18"/>
        </w:rPr>
        <w:t xml:space="preserve"> reversed the first compliance panel's findings under </w:t>
      </w:r>
      <w:r w:rsidR="00083DFC" w:rsidRPr="00564DB3">
        <w:rPr>
          <w:rFonts w:cs="Arial"/>
          <w:szCs w:val="18"/>
        </w:rPr>
        <w:t>Article </w:t>
      </w:r>
      <w:r w:rsidRPr="00564DB3">
        <w:rPr>
          <w:rFonts w:cs="Arial"/>
          <w:szCs w:val="18"/>
        </w:rPr>
        <w:t xml:space="preserve">2.1 of the </w:t>
      </w:r>
      <w:r w:rsidR="00083DFC" w:rsidRPr="00564DB3">
        <w:rPr>
          <w:rFonts w:cs="Arial"/>
          <w:szCs w:val="18"/>
        </w:rPr>
        <w:t>TBT Agreement</w:t>
      </w:r>
      <w:r w:rsidRPr="00564DB3">
        <w:rPr>
          <w:rFonts w:cs="Arial"/>
          <w:szCs w:val="18"/>
        </w:rPr>
        <w:t xml:space="preserve">, Articles I:1 and III:4 of the GATT 1994, and the </w:t>
      </w:r>
      <w:r w:rsidRPr="00564DB3">
        <w:rPr>
          <w:rFonts w:cs="Arial"/>
          <w:i/>
          <w:szCs w:val="18"/>
        </w:rPr>
        <w:t>chapeau</w:t>
      </w:r>
      <w:r w:rsidRPr="00564DB3">
        <w:rPr>
          <w:rFonts w:cs="Arial"/>
          <w:szCs w:val="18"/>
        </w:rPr>
        <w:t xml:space="preserve"> of </w:t>
      </w:r>
      <w:r w:rsidR="00083DFC" w:rsidRPr="00564DB3">
        <w:rPr>
          <w:rFonts w:cs="Arial"/>
          <w:szCs w:val="18"/>
        </w:rPr>
        <w:t>Article </w:t>
      </w:r>
      <w:r w:rsidRPr="00564DB3">
        <w:rPr>
          <w:rFonts w:cs="Arial"/>
          <w:szCs w:val="18"/>
        </w:rPr>
        <w:t>XX of the GATT 1994.</w:t>
      </w:r>
      <w:r w:rsidR="005B1CE4" w:rsidRPr="00564DB3">
        <w:rPr>
          <w:rStyle w:val="FootnoteReference"/>
          <w:rFonts w:cs="Arial"/>
          <w:szCs w:val="18"/>
        </w:rPr>
        <w:footnoteReference w:id="47"/>
      </w:r>
      <w:r w:rsidRPr="00564DB3">
        <w:rPr>
          <w:rFonts w:cs="Arial"/>
          <w:szCs w:val="18"/>
        </w:rPr>
        <w:t xml:space="preserve"> </w:t>
      </w:r>
      <w:r w:rsidRPr="00564DB3">
        <w:rPr>
          <w:szCs w:val="18"/>
        </w:rPr>
        <w:t>In particular, the Appellate</w:t>
      </w:r>
      <w:r w:rsidR="00025CB6" w:rsidRPr="00564DB3">
        <w:rPr>
          <w:szCs w:val="18"/>
        </w:rPr>
        <w:t> Body</w:t>
      </w:r>
      <w:r w:rsidRPr="00564DB3">
        <w:rPr>
          <w:szCs w:val="18"/>
        </w:rPr>
        <w:t xml:space="preserve"> considered that the first compliance panel had conducted </w:t>
      </w:r>
      <w:r w:rsidR="00B93F98" w:rsidRPr="00564DB3">
        <w:rPr>
          <w:szCs w:val="18"/>
        </w:rPr>
        <w:t xml:space="preserve">isolated </w:t>
      </w:r>
      <w:r w:rsidRPr="00564DB3">
        <w:rPr>
          <w:szCs w:val="18"/>
        </w:rPr>
        <w:t xml:space="preserve">analyses of, and reached separate findings with respect to, each of the three components of the 2013 Tuna Measure, without accounting for the manner in which these elements </w:t>
      </w:r>
      <w:r w:rsidR="005E6650" w:rsidRPr="00564DB3">
        <w:rPr>
          <w:szCs w:val="18"/>
        </w:rPr>
        <w:t>we</w:t>
      </w:r>
      <w:r w:rsidRPr="00564DB3">
        <w:rPr>
          <w:szCs w:val="18"/>
        </w:rPr>
        <w:t>re interrelated.</w:t>
      </w:r>
      <w:r w:rsidR="005B1CE4" w:rsidRPr="00564DB3">
        <w:rPr>
          <w:rStyle w:val="FootnoteReference"/>
          <w:szCs w:val="18"/>
        </w:rPr>
        <w:footnoteReference w:id="48"/>
      </w:r>
      <w:r w:rsidRPr="00564DB3">
        <w:rPr>
          <w:szCs w:val="18"/>
        </w:rPr>
        <w:t xml:space="preserve"> The Appellate</w:t>
      </w:r>
      <w:r w:rsidR="00025CB6" w:rsidRPr="00564DB3">
        <w:rPr>
          <w:szCs w:val="18"/>
        </w:rPr>
        <w:t> Body</w:t>
      </w:r>
      <w:r w:rsidRPr="00564DB3">
        <w:rPr>
          <w:szCs w:val="18"/>
        </w:rPr>
        <w:t xml:space="preserve"> also </w:t>
      </w:r>
      <w:r w:rsidR="005E6650" w:rsidRPr="00564DB3">
        <w:rPr>
          <w:szCs w:val="18"/>
        </w:rPr>
        <w:t>found</w:t>
      </w:r>
      <w:r w:rsidRPr="00564DB3">
        <w:rPr>
          <w:szCs w:val="18"/>
        </w:rPr>
        <w:t xml:space="preserve"> that the first compliance panel erred by failing to consider whether the differences in the relevant labelling conditions under the measure were </w:t>
      </w:r>
      <w:r w:rsidRPr="00564DB3">
        <w:rPr>
          <w:szCs w:val="18"/>
        </w:rPr>
        <w:lastRenderedPageBreak/>
        <w:t>calibrated to, or explained by, differences in the relative risks of harm to dolphins from different fishing methods in different areas of the ocean.</w:t>
      </w:r>
      <w:r w:rsidR="005B1CE4" w:rsidRPr="00564DB3">
        <w:rPr>
          <w:rStyle w:val="FootnoteReference"/>
          <w:szCs w:val="18"/>
        </w:rPr>
        <w:footnoteReference w:id="49"/>
      </w:r>
      <w:r w:rsidRPr="00564DB3">
        <w:rPr>
          <w:szCs w:val="18"/>
        </w:rPr>
        <w:t xml:space="preserve"> </w:t>
      </w:r>
    </w:p>
    <w:p w:rsidR="00940CBB" w:rsidRPr="00564DB3" w:rsidRDefault="00940CBB" w:rsidP="00F70E38">
      <w:pPr>
        <w:pStyle w:val="BodyText"/>
        <w:rPr>
          <w:szCs w:val="18"/>
        </w:rPr>
      </w:pPr>
      <w:bookmarkStart w:id="25" w:name="_Ref530066901"/>
      <w:r w:rsidRPr="00564DB3">
        <w:rPr>
          <w:szCs w:val="18"/>
        </w:rPr>
        <w:t xml:space="preserve">Having reversed the first compliance panel's findings, the </w:t>
      </w:r>
      <w:r w:rsidRPr="00564DB3">
        <w:rPr>
          <w:rFonts w:cs="Arial"/>
          <w:szCs w:val="18"/>
        </w:rPr>
        <w:t xml:space="preserve">Appellate Body completed the analysis and found that: (i) the 2013 Tuna Measure modified the conditions of competition to the detriment of Mexican tuna products in the US market; (ii) such detrimental impact did not stem exclusively from a legitimate regulatory distinction; and, thus, (iii) the 2013 Tuna Measure accorded less favourable treatment to Mexican tuna products compared to like tuna products from the </w:t>
      </w:r>
      <w:r w:rsidR="00083DFC" w:rsidRPr="00564DB3">
        <w:rPr>
          <w:rFonts w:cs="Arial"/>
          <w:szCs w:val="18"/>
        </w:rPr>
        <w:t>United States</w:t>
      </w:r>
      <w:r w:rsidRPr="00564DB3">
        <w:rPr>
          <w:rFonts w:cs="Arial"/>
          <w:szCs w:val="18"/>
        </w:rPr>
        <w:t xml:space="preserve"> and other countries.</w:t>
      </w:r>
      <w:r w:rsidR="005B1CE4" w:rsidRPr="00564DB3">
        <w:rPr>
          <w:rStyle w:val="FootnoteReference"/>
          <w:rFonts w:cs="Arial"/>
          <w:szCs w:val="18"/>
        </w:rPr>
        <w:footnoteReference w:id="50"/>
      </w:r>
      <w:r w:rsidRPr="00564DB3">
        <w:rPr>
          <w:rFonts w:cs="Arial"/>
          <w:szCs w:val="18"/>
        </w:rPr>
        <w:t xml:space="preserve"> Therefore, the Appellate</w:t>
      </w:r>
      <w:r w:rsidR="00025CB6" w:rsidRPr="00564DB3">
        <w:rPr>
          <w:rFonts w:cs="Arial"/>
          <w:szCs w:val="18"/>
        </w:rPr>
        <w:t> Body</w:t>
      </w:r>
      <w:r w:rsidRPr="00564DB3">
        <w:rPr>
          <w:rFonts w:cs="Arial"/>
          <w:szCs w:val="18"/>
        </w:rPr>
        <w:t xml:space="preserve"> found that the 2013 Tuna Measure was inconsistent with </w:t>
      </w:r>
      <w:r w:rsidR="00083DFC" w:rsidRPr="00564DB3">
        <w:rPr>
          <w:rFonts w:cs="Arial"/>
          <w:szCs w:val="18"/>
        </w:rPr>
        <w:t>Article </w:t>
      </w:r>
      <w:r w:rsidRPr="00564DB3">
        <w:rPr>
          <w:rFonts w:cs="Arial"/>
          <w:szCs w:val="18"/>
        </w:rPr>
        <w:t xml:space="preserve">2.1 of the </w:t>
      </w:r>
      <w:r w:rsidR="00083DFC" w:rsidRPr="00564DB3">
        <w:rPr>
          <w:rFonts w:cs="Arial"/>
          <w:szCs w:val="18"/>
        </w:rPr>
        <w:t>TBT Agreement</w:t>
      </w:r>
      <w:r w:rsidRPr="00564DB3">
        <w:rPr>
          <w:rFonts w:cs="Arial"/>
          <w:szCs w:val="18"/>
        </w:rPr>
        <w:t xml:space="preserve">. The Appellate Body also found that the 2013 Tuna Measure was inconsistent with Articles I:1 and III:4 of the GATT 1994, and that the </w:t>
      </w:r>
      <w:r w:rsidR="00083DFC" w:rsidRPr="00564DB3">
        <w:rPr>
          <w:rFonts w:cs="Arial"/>
          <w:szCs w:val="18"/>
        </w:rPr>
        <w:t>United States</w:t>
      </w:r>
      <w:r w:rsidRPr="00564DB3">
        <w:rPr>
          <w:rFonts w:cs="Arial"/>
          <w:szCs w:val="18"/>
        </w:rPr>
        <w:t xml:space="preserve"> had not demonstrated that the measure was applied in a manner that did not constitute arbitrary or unjustifiable discrimination as required by the </w:t>
      </w:r>
      <w:r w:rsidRPr="00564DB3">
        <w:rPr>
          <w:rFonts w:cs="Arial"/>
          <w:i/>
          <w:szCs w:val="18"/>
        </w:rPr>
        <w:t>chapeau</w:t>
      </w:r>
      <w:r w:rsidRPr="00564DB3">
        <w:rPr>
          <w:rFonts w:cs="Arial"/>
          <w:szCs w:val="18"/>
        </w:rPr>
        <w:t xml:space="preserve"> of </w:t>
      </w:r>
      <w:r w:rsidR="00083DFC" w:rsidRPr="00564DB3">
        <w:rPr>
          <w:rFonts w:cs="Arial"/>
          <w:szCs w:val="18"/>
        </w:rPr>
        <w:t>Article </w:t>
      </w:r>
      <w:r w:rsidRPr="00564DB3">
        <w:rPr>
          <w:rFonts w:cs="Arial"/>
          <w:szCs w:val="18"/>
        </w:rPr>
        <w:t>XX of the GATT 1994.</w:t>
      </w:r>
      <w:r w:rsidR="005B1CE4" w:rsidRPr="00564DB3">
        <w:rPr>
          <w:rStyle w:val="FootnoteReference"/>
          <w:rFonts w:cs="Arial"/>
          <w:szCs w:val="18"/>
        </w:rPr>
        <w:footnoteReference w:id="51"/>
      </w:r>
      <w:r w:rsidRPr="00564DB3">
        <w:rPr>
          <w:rFonts w:cs="Arial"/>
          <w:szCs w:val="18"/>
        </w:rPr>
        <w:t xml:space="preserve"> </w:t>
      </w:r>
      <w:r w:rsidRPr="00564DB3">
        <w:rPr>
          <w:szCs w:val="18"/>
        </w:rPr>
        <w:t>The Appellate</w:t>
      </w:r>
      <w:r w:rsidR="00025CB6" w:rsidRPr="00564DB3">
        <w:rPr>
          <w:szCs w:val="18"/>
        </w:rPr>
        <w:t> Body</w:t>
      </w:r>
      <w:r w:rsidRPr="00564DB3">
        <w:rPr>
          <w:szCs w:val="18"/>
        </w:rPr>
        <w:t xml:space="preserve"> thus recommended that the DSB request the </w:t>
      </w:r>
      <w:r w:rsidR="00083DFC" w:rsidRPr="00564DB3">
        <w:rPr>
          <w:szCs w:val="18"/>
        </w:rPr>
        <w:t>United States</w:t>
      </w:r>
      <w:r w:rsidRPr="00564DB3">
        <w:rPr>
          <w:szCs w:val="18"/>
        </w:rPr>
        <w:t xml:space="preserve"> to bring its measure into conformity with its obligations under the </w:t>
      </w:r>
      <w:r w:rsidR="00083DFC" w:rsidRPr="00564DB3">
        <w:rPr>
          <w:szCs w:val="18"/>
        </w:rPr>
        <w:t>TBT Agreement</w:t>
      </w:r>
      <w:r w:rsidRPr="00564DB3">
        <w:rPr>
          <w:szCs w:val="18"/>
        </w:rPr>
        <w:t xml:space="preserve"> and the GATT 1994.</w:t>
      </w:r>
      <w:r w:rsidR="005B1CE4" w:rsidRPr="00564DB3">
        <w:rPr>
          <w:rStyle w:val="FootnoteReference"/>
          <w:szCs w:val="18"/>
        </w:rPr>
        <w:footnoteReference w:id="52"/>
      </w:r>
      <w:bookmarkEnd w:id="25"/>
    </w:p>
    <w:p w:rsidR="00940CBB" w:rsidRPr="00564DB3" w:rsidRDefault="00940CBB" w:rsidP="00F70E38">
      <w:pPr>
        <w:pStyle w:val="BodyText"/>
        <w:rPr>
          <w:szCs w:val="18"/>
        </w:rPr>
      </w:pPr>
      <w:r w:rsidRPr="00564DB3">
        <w:rPr>
          <w:rFonts w:cs="Arial"/>
          <w:szCs w:val="18"/>
        </w:rPr>
        <w:t>The DSB adopted the first compliance panel report and the Appellate</w:t>
      </w:r>
      <w:r w:rsidR="00025CB6" w:rsidRPr="00564DB3">
        <w:rPr>
          <w:rFonts w:cs="Arial"/>
          <w:szCs w:val="18"/>
        </w:rPr>
        <w:t> Body</w:t>
      </w:r>
      <w:r w:rsidR="00FE139D">
        <w:rPr>
          <w:rFonts w:cs="Arial"/>
          <w:szCs w:val="18"/>
        </w:rPr>
        <w:t xml:space="preserve"> report on </w:t>
      </w:r>
      <w:r w:rsidRPr="00564DB3">
        <w:rPr>
          <w:rFonts w:cs="Arial"/>
          <w:szCs w:val="18"/>
        </w:rPr>
        <w:t>3 December 2015.</w:t>
      </w:r>
      <w:r w:rsidR="005B1CE4" w:rsidRPr="00564DB3">
        <w:rPr>
          <w:rStyle w:val="FootnoteReference"/>
          <w:rFonts w:cs="Arial"/>
          <w:szCs w:val="18"/>
        </w:rPr>
        <w:footnoteReference w:id="53"/>
      </w:r>
      <w:r w:rsidRPr="00564DB3">
        <w:rPr>
          <w:rFonts w:cs="Arial"/>
          <w:szCs w:val="18"/>
        </w:rPr>
        <w:t xml:space="preserve"> On 22 March 2016, the </w:t>
      </w:r>
      <w:r w:rsidR="00083DFC" w:rsidRPr="00564DB3">
        <w:rPr>
          <w:rFonts w:cs="Arial"/>
          <w:szCs w:val="18"/>
        </w:rPr>
        <w:t>United States</w:t>
      </w:r>
      <w:r w:rsidRPr="00564DB3">
        <w:rPr>
          <w:rFonts w:cs="Arial"/>
          <w:szCs w:val="18"/>
        </w:rPr>
        <w:t xml:space="preserve"> published a new rule modifying the </w:t>
      </w:r>
      <w:r w:rsidR="00FE139D">
        <w:rPr>
          <w:szCs w:val="18"/>
        </w:rPr>
        <w:t>2013 </w:t>
      </w:r>
      <w:r w:rsidRPr="00564DB3">
        <w:rPr>
          <w:szCs w:val="18"/>
        </w:rPr>
        <w:t>Tuna Measure</w:t>
      </w:r>
      <w:r w:rsidR="005B1CE4" w:rsidRPr="00564DB3">
        <w:rPr>
          <w:rStyle w:val="FootnoteReference"/>
          <w:szCs w:val="18"/>
        </w:rPr>
        <w:footnoteReference w:id="54"/>
      </w:r>
      <w:r w:rsidRPr="00564DB3">
        <w:rPr>
          <w:szCs w:val="18"/>
        </w:rPr>
        <w:t xml:space="preserve"> </w:t>
      </w:r>
      <w:r w:rsidR="00096263" w:rsidRPr="00564DB3">
        <w:rPr>
          <w:rFonts w:cs="Arial"/>
          <w:szCs w:val="18"/>
        </w:rPr>
        <w:t>(</w:t>
      </w:r>
      <w:r w:rsidRPr="00564DB3">
        <w:rPr>
          <w:rFonts w:cs="Arial"/>
          <w:szCs w:val="18"/>
        </w:rPr>
        <w:t xml:space="preserve">2016 Rule) with the aim of </w:t>
      </w:r>
      <w:r w:rsidRPr="00564DB3">
        <w:rPr>
          <w:szCs w:val="18"/>
        </w:rPr>
        <w:t>bringing the 2013 Tuna Measure into compliance with the recomme</w:t>
      </w:r>
      <w:r w:rsidR="005E6650" w:rsidRPr="00564DB3">
        <w:rPr>
          <w:szCs w:val="18"/>
        </w:rPr>
        <w:t>ndations and rulings of the DSB</w:t>
      </w:r>
      <w:r w:rsidRPr="00564DB3">
        <w:rPr>
          <w:szCs w:val="18"/>
        </w:rPr>
        <w:t>.</w:t>
      </w:r>
      <w:r w:rsidR="005130B8" w:rsidRPr="00564DB3">
        <w:rPr>
          <w:rStyle w:val="FootnoteReference"/>
          <w:rFonts w:cs="Arial"/>
          <w:szCs w:val="18"/>
        </w:rPr>
        <w:footnoteReference w:id="55"/>
      </w:r>
      <w:r w:rsidRPr="00564DB3">
        <w:rPr>
          <w:szCs w:val="18"/>
        </w:rPr>
        <w:t xml:space="preserve"> Following the issuance of the 2016 Rule, the </w:t>
      </w:r>
      <w:r w:rsidR="00083DFC" w:rsidRPr="00564DB3">
        <w:rPr>
          <w:szCs w:val="18"/>
        </w:rPr>
        <w:t>United States</w:t>
      </w:r>
      <w:r w:rsidRPr="00564DB3">
        <w:rPr>
          <w:szCs w:val="18"/>
        </w:rPr>
        <w:t xml:space="preserve"> and Mexico each requested the establishment of a compliance panel under </w:t>
      </w:r>
      <w:r w:rsidR="00083DFC" w:rsidRPr="00564DB3">
        <w:rPr>
          <w:szCs w:val="18"/>
        </w:rPr>
        <w:t>Article </w:t>
      </w:r>
      <w:r w:rsidRPr="00564DB3">
        <w:rPr>
          <w:szCs w:val="18"/>
        </w:rPr>
        <w:t>21.5 of the DSU.</w:t>
      </w:r>
      <w:r w:rsidR="005B1CE4" w:rsidRPr="00564DB3">
        <w:rPr>
          <w:rStyle w:val="FootnoteReference"/>
          <w:szCs w:val="18"/>
        </w:rPr>
        <w:footnoteReference w:id="56"/>
      </w:r>
      <w:r w:rsidRPr="00564DB3">
        <w:rPr>
          <w:szCs w:val="18"/>
        </w:rPr>
        <w:t xml:space="preserve"> On 29</w:t>
      </w:r>
      <w:r w:rsidR="00B73EE5" w:rsidRPr="00564DB3">
        <w:rPr>
          <w:szCs w:val="18"/>
        </w:rPr>
        <w:t> </w:t>
      </w:r>
      <w:r w:rsidRPr="00564DB3">
        <w:rPr>
          <w:szCs w:val="18"/>
        </w:rPr>
        <w:t>July</w:t>
      </w:r>
      <w:r w:rsidR="00B73EE5" w:rsidRPr="00564DB3">
        <w:rPr>
          <w:szCs w:val="18"/>
        </w:rPr>
        <w:t> </w:t>
      </w:r>
      <w:r w:rsidRPr="00564DB3">
        <w:rPr>
          <w:szCs w:val="18"/>
        </w:rPr>
        <w:t xml:space="preserve">2016, the Panels in the proceedings brought by the </w:t>
      </w:r>
      <w:r w:rsidR="00083DFC" w:rsidRPr="00564DB3">
        <w:rPr>
          <w:szCs w:val="18"/>
        </w:rPr>
        <w:t>United States</w:t>
      </w:r>
      <w:r w:rsidRPr="00564DB3">
        <w:rPr>
          <w:szCs w:val="18"/>
        </w:rPr>
        <w:t xml:space="preserve"> and the proceedings brought by Mexico adopted a harmonized timetable for these compliance proceedings and thereafter held a consolidated substantive meeting with the parties on 24 and 25</w:t>
      </w:r>
      <w:r w:rsidR="00B73EE5" w:rsidRPr="00564DB3">
        <w:rPr>
          <w:szCs w:val="18"/>
        </w:rPr>
        <w:t> </w:t>
      </w:r>
      <w:r w:rsidRPr="00564DB3">
        <w:rPr>
          <w:szCs w:val="18"/>
        </w:rPr>
        <w:t>January</w:t>
      </w:r>
      <w:r w:rsidR="00B73EE5" w:rsidRPr="00564DB3">
        <w:rPr>
          <w:szCs w:val="18"/>
        </w:rPr>
        <w:t> </w:t>
      </w:r>
      <w:r w:rsidRPr="00564DB3">
        <w:rPr>
          <w:szCs w:val="18"/>
        </w:rPr>
        <w:t>2017.</w:t>
      </w:r>
      <w:r w:rsidR="005B1CE4" w:rsidRPr="00564DB3">
        <w:rPr>
          <w:rStyle w:val="FootnoteReference"/>
          <w:szCs w:val="18"/>
        </w:rPr>
        <w:footnoteReference w:id="57"/>
      </w:r>
    </w:p>
    <w:p w:rsidR="00940CBB" w:rsidRPr="00564DB3" w:rsidRDefault="00940CBB" w:rsidP="00F70E38">
      <w:pPr>
        <w:pStyle w:val="BodyText"/>
        <w:rPr>
          <w:szCs w:val="18"/>
        </w:rPr>
      </w:pPr>
      <w:r w:rsidRPr="00564DB3">
        <w:rPr>
          <w:szCs w:val="18"/>
        </w:rPr>
        <w:t xml:space="preserve">In these compliance proceedings, the </w:t>
      </w:r>
      <w:r w:rsidR="00083DFC" w:rsidRPr="00564DB3">
        <w:rPr>
          <w:szCs w:val="18"/>
        </w:rPr>
        <w:t>United States</w:t>
      </w:r>
      <w:r w:rsidRPr="00564DB3">
        <w:rPr>
          <w:szCs w:val="18"/>
        </w:rPr>
        <w:t xml:space="preserve"> requested the Panels to find that the </w:t>
      </w:r>
      <w:r w:rsidR="00083DFC" w:rsidRPr="00564DB3">
        <w:rPr>
          <w:szCs w:val="18"/>
        </w:rPr>
        <w:t>United States</w:t>
      </w:r>
      <w:r w:rsidRPr="00564DB3">
        <w:rPr>
          <w:szCs w:val="18"/>
        </w:rPr>
        <w:t xml:space="preserve"> has brought itself into compliance with the recommendations and rulings of the DSB and that the measure taken to comply with the recommendations and rulings of the DSB</w:t>
      </w:r>
      <w:r w:rsidRPr="00564DB3" w:rsidDel="00861FC0">
        <w:rPr>
          <w:szCs w:val="18"/>
        </w:rPr>
        <w:t xml:space="preserve"> </w:t>
      </w:r>
      <w:r w:rsidRPr="00564DB3">
        <w:rPr>
          <w:szCs w:val="18"/>
        </w:rPr>
        <w:t xml:space="preserve">is 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and justified under </w:t>
      </w:r>
      <w:r w:rsidR="00083DFC" w:rsidRPr="00564DB3">
        <w:rPr>
          <w:szCs w:val="18"/>
        </w:rPr>
        <w:t>Article </w:t>
      </w:r>
      <w:r w:rsidRPr="00564DB3">
        <w:rPr>
          <w:szCs w:val="18"/>
        </w:rPr>
        <w:t>XX of the GATT 1994.</w:t>
      </w:r>
      <w:r w:rsidR="005B1CE4" w:rsidRPr="00564DB3">
        <w:rPr>
          <w:rStyle w:val="FootnoteReference"/>
          <w:szCs w:val="18"/>
        </w:rPr>
        <w:footnoteReference w:id="58"/>
      </w:r>
      <w:r w:rsidRPr="00564DB3">
        <w:rPr>
          <w:szCs w:val="18"/>
        </w:rPr>
        <w:t xml:space="preserve"> Mexico requested the Panels to reject the </w:t>
      </w:r>
      <w:r w:rsidR="00083DFC" w:rsidRPr="00564DB3">
        <w:rPr>
          <w:szCs w:val="18"/>
        </w:rPr>
        <w:t>United States</w:t>
      </w:r>
      <w:r w:rsidRPr="00564DB3">
        <w:rPr>
          <w:szCs w:val="18"/>
        </w:rPr>
        <w:t xml:space="preserve">' claims in their entirety and </w:t>
      </w:r>
      <w:r w:rsidR="009F5B37" w:rsidRPr="00564DB3">
        <w:rPr>
          <w:szCs w:val="18"/>
        </w:rPr>
        <w:t xml:space="preserve">to </w:t>
      </w:r>
      <w:r w:rsidRPr="00564DB3">
        <w:rPr>
          <w:szCs w:val="18"/>
        </w:rPr>
        <w:t xml:space="preserve">find that the measure taken to comply with the recommendations and rulings of the DSB is inconsistent with </w:t>
      </w:r>
      <w:r w:rsidR="00083DFC" w:rsidRPr="00564DB3">
        <w:rPr>
          <w:szCs w:val="18"/>
        </w:rPr>
        <w:t>Article </w:t>
      </w:r>
      <w:r w:rsidRPr="00564DB3">
        <w:rPr>
          <w:szCs w:val="18"/>
        </w:rPr>
        <w:t xml:space="preserve">2.1 of </w:t>
      </w:r>
      <w:r w:rsidRPr="00564DB3">
        <w:rPr>
          <w:szCs w:val="18"/>
        </w:rPr>
        <w:lastRenderedPageBreak/>
        <w:t xml:space="preserve">the </w:t>
      </w:r>
      <w:r w:rsidR="00083DFC" w:rsidRPr="00564DB3">
        <w:rPr>
          <w:szCs w:val="18"/>
        </w:rPr>
        <w:t>TBT Agreement</w:t>
      </w:r>
      <w:r w:rsidRPr="00564DB3">
        <w:rPr>
          <w:szCs w:val="18"/>
        </w:rPr>
        <w:t xml:space="preserve"> and Articles I:1 and III:4 of the GATT 1994, and cannot be justified under </w:t>
      </w:r>
      <w:r w:rsidR="00083DFC" w:rsidRPr="00564DB3">
        <w:rPr>
          <w:szCs w:val="18"/>
        </w:rPr>
        <w:t>Article </w:t>
      </w:r>
      <w:r w:rsidRPr="00564DB3">
        <w:rPr>
          <w:szCs w:val="18"/>
        </w:rPr>
        <w:t>XX of the GATT 1994.</w:t>
      </w:r>
      <w:r w:rsidR="005B1CE4" w:rsidRPr="00564DB3">
        <w:rPr>
          <w:rStyle w:val="FootnoteReference"/>
          <w:szCs w:val="18"/>
        </w:rPr>
        <w:footnoteReference w:id="59"/>
      </w:r>
    </w:p>
    <w:p w:rsidR="00940CBB" w:rsidRPr="00564DB3" w:rsidRDefault="009F5B37" w:rsidP="00F70E38">
      <w:pPr>
        <w:pStyle w:val="BodyText"/>
        <w:rPr>
          <w:szCs w:val="18"/>
        </w:rPr>
      </w:pPr>
      <w:r w:rsidRPr="00564DB3">
        <w:rPr>
          <w:szCs w:val="18"/>
        </w:rPr>
        <w:t>During the P</w:t>
      </w:r>
      <w:r w:rsidR="00940CBB" w:rsidRPr="00564DB3">
        <w:rPr>
          <w:szCs w:val="18"/>
        </w:rPr>
        <w:t xml:space="preserve">anel proceedings, the </w:t>
      </w:r>
      <w:r w:rsidR="00083DFC" w:rsidRPr="00564DB3">
        <w:rPr>
          <w:szCs w:val="18"/>
        </w:rPr>
        <w:t>United States</w:t>
      </w:r>
      <w:r w:rsidR="00940CBB" w:rsidRPr="00564DB3">
        <w:rPr>
          <w:szCs w:val="18"/>
        </w:rPr>
        <w:t xml:space="preserve"> and certain third parties</w:t>
      </w:r>
      <w:r w:rsidR="005B1CE4" w:rsidRPr="00564DB3">
        <w:rPr>
          <w:rStyle w:val="FootnoteReference"/>
          <w:szCs w:val="18"/>
        </w:rPr>
        <w:footnoteReference w:id="60"/>
      </w:r>
      <w:r w:rsidR="00940CBB" w:rsidRPr="00564DB3">
        <w:rPr>
          <w:szCs w:val="18"/>
        </w:rPr>
        <w:t xml:space="preserve"> requested the Panels to lift the confidentiality of their statements at the Panels' consolidated substantive meeting with the parties and at the third-party session.</w:t>
      </w:r>
      <w:r w:rsidR="004A5D15" w:rsidRPr="00564DB3">
        <w:rPr>
          <w:rStyle w:val="FootnoteReference"/>
          <w:szCs w:val="18"/>
        </w:rPr>
        <w:footnoteReference w:id="61"/>
      </w:r>
      <w:r w:rsidR="00940CBB" w:rsidRPr="00564DB3">
        <w:rPr>
          <w:szCs w:val="18"/>
        </w:rPr>
        <w:t xml:space="preserve"> Mexico objected to such request, arguing that the Panels could open their substantive meeting with the parties to public viewing only with the consent of both parties.</w:t>
      </w:r>
      <w:r w:rsidR="005B1CE4" w:rsidRPr="00564DB3">
        <w:rPr>
          <w:rStyle w:val="FootnoteReference"/>
          <w:szCs w:val="18"/>
        </w:rPr>
        <w:footnoteReference w:id="62"/>
      </w:r>
      <w:r w:rsidR="00940CBB" w:rsidRPr="00564DB3">
        <w:rPr>
          <w:szCs w:val="18"/>
        </w:rPr>
        <w:t xml:space="preserve"> The Panels, after consulting with the parties, adopted Additional Working Procedures on Partially Open Meetings.</w:t>
      </w:r>
      <w:r w:rsidR="005B1CE4" w:rsidRPr="00564DB3">
        <w:rPr>
          <w:rStyle w:val="FootnoteReference"/>
          <w:szCs w:val="18"/>
        </w:rPr>
        <w:footnoteReference w:id="63"/>
      </w:r>
      <w:r w:rsidR="00940CBB" w:rsidRPr="00564DB3">
        <w:rPr>
          <w:szCs w:val="18"/>
        </w:rPr>
        <w:t xml:space="preserve"> Pursuant to the</w:t>
      </w:r>
      <w:r w:rsidR="00BB3358" w:rsidRPr="00564DB3">
        <w:rPr>
          <w:szCs w:val="18"/>
        </w:rPr>
        <w:t>ir</w:t>
      </w:r>
      <w:r w:rsidR="00940CBB" w:rsidRPr="00564DB3">
        <w:rPr>
          <w:szCs w:val="18"/>
        </w:rPr>
        <w:t xml:space="preserve"> Additional </w:t>
      </w:r>
      <w:r w:rsidR="005E6650" w:rsidRPr="00564DB3">
        <w:rPr>
          <w:szCs w:val="18"/>
        </w:rPr>
        <w:t xml:space="preserve">Working </w:t>
      </w:r>
      <w:r w:rsidR="00940CBB" w:rsidRPr="00564DB3">
        <w:rPr>
          <w:szCs w:val="18"/>
        </w:rPr>
        <w:t>Procedures, the Panels permitted the partial public observation of the Panels' consolidated substantive meeting with the parties and session with the third parties through delayed viewing, to ensure that the confidentiality of Mexico's statements and the statements of non-disclosing third parties was not breached.</w:t>
      </w:r>
      <w:r w:rsidR="005B1CE4" w:rsidRPr="00564DB3">
        <w:rPr>
          <w:rStyle w:val="FootnoteReference"/>
          <w:szCs w:val="18"/>
        </w:rPr>
        <w:footnoteReference w:id="64"/>
      </w:r>
    </w:p>
    <w:p w:rsidR="00940CBB" w:rsidRPr="00564DB3" w:rsidRDefault="00940CBB" w:rsidP="00F70E38">
      <w:pPr>
        <w:pStyle w:val="BodyText"/>
        <w:rPr>
          <w:szCs w:val="18"/>
        </w:rPr>
      </w:pPr>
      <w:bookmarkStart w:id="26" w:name="_Ref529969912"/>
      <w:r w:rsidRPr="00564DB3">
        <w:rPr>
          <w:szCs w:val="18"/>
        </w:rPr>
        <w:t xml:space="preserve">The Panel Reports were circulated to Members of the </w:t>
      </w:r>
      <w:r w:rsidR="00685601" w:rsidRPr="00564DB3">
        <w:rPr>
          <w:szCs w:val="18"/>
        </w:rPr>
        <w:t>World Trade Organization (</w:t>
      </w:r>
      <w:r w:rsidRPr="00564DB3">
        <w:rPr>
          <w:szCs w:val="18"/>
        </w:rPr>
        <w:t>W</w:t>
      </w:r>
      <w:r w:rsidR="00B73EE5" w:rsidRPr="00564DB3">
        <w:rPr>
          <w:szCs w:val="18"/>
        </w:rPr>
        <w:t>TO</w:t>
      </w:r>
      <w:r w:rsidR="00685601" w:rsidRPr="00564DB3">
        <w:rPr>
          <w:szCs w:val="18"/>
        </w:rPr>
        <w:t>)</w:t>
      </w:r>
      <w:r w:rsidRPr="00564DB3">
        <w:rPr>
          <w:szCs w:val="18"/>
        </w:rPr>
        <w:t xml:space="preserve"> on 26</w:t>
      </w:r>
      <w:r w:rsidR="00B73EE5" w:rsidRPr="00564DB3">
        <w:rPr>
          <w:szCs w:val="18"/>
        </w:rPr>
        <w:t> </w:t>
      </w:r>
      <w:r w:rsidRPr="00564DB3">
        <w:rPr>
          <w:szCs w:val="18"/>
        </w:rPr>
        <w:t>October</w:t>
      </w:r>
      <w:r w:rsidR="00B73EE5" w:rsidRPr="00564DB3">
        <w:rPr>
          <w:szCs w:val="18"/>
        </w:rPr>
        <w:t> </w:t>
      </w:r>
      <w:r w:rsidRPr="00564DB3">
        <w:rPr>
          <w:szCs w:val="18"/>
        </w:rPr>
        <w:t>2017. The Panels identified the measure at issue in these compliance proceedings</w:t>
      </w:r>
      <w:r w:rsidR="00F70E38" w:rsidRPr="00564DB3">
        <w:rPr>
          <w:szCs w:val="18"/>
        </w:rPr>
        <w:t xml:space="preserve"> (2016 </w:t>
      </w:r>
      <w:r w:rsidR="00A616F3" w:rsidRPr="00564DB3">
        <w:rPr>
          <w:szCs w:val="18"/>
        </w:rPr>
        <w:t>Tuna Measure)</w:t>
      </w:r>
      <w:r w:rsidRPr="00564DB3">
        <w:rPr>
          <w:szCs w:val="18"/>
        </w:rPr>
        <w:t>, as consisting of the following instruments: (</w:t>
      </w:r>
      <w:r w:rsidR="00DB3B06" w:rsidRPr="00564DB3">
        <w:rPr>
          <w:szCs w:val="18"/>
        </w:rPr>
        <w:t>i</w:t>
      </w:r>
      <w:r w:rsidRPr="00564DB3">
        <w:rPr>
          <w:szCs w:val="18"/>
        </w:rPr>
        <w:t>) the DPCIA; (</w:t>
      </w:r>
      <w:r w:rsidR="00DB3B06" w:rsidRPr="00564DB3">
        <w:rPr>
          <w:szCs w:val="18"/>
        </w:rPr>
        <w:t>ii</w:t>
      </w:r>
      <w:r w:rsidRPr="00564DB3">
        <w:rPr>
          <w:szCs w:val="18"/>
        </w:rPr>
        <w:t>) Subpart H of Part 216 of CFR Title 50 as amended by the 2013 Rule and the 20</w:t>
      </w:r>
      <w:r w:rsidR="00034E55">
        <w:rPr>
          <w:szCs w:val="18"/>
        </w:rPr>
        <w:t>16 Rule (collectively, the 2016 </w:t>
      </w:r>
      <w:r w:rsidRPr="00564DB3">
        <w:rPr>
          <w:szCs w:val="18"/>
        </w:rPr>
        <w:t>implementing regulations); and (</w:t>
      </w:r>
      <w:r w:rsidR="00DB3B06" w:rsidRPr="00564DB3">
        <w:rPr>
          <w:szCs w:val="18"/>
        </w:rPr>
        <w:t>iii</w:t>
      </w:r>
      <w:r w:rsidRPr="00564DB3">
        <w:rPr>
          <w:szCs w:val="18"/>
        </w:rPr>
        <w:t xml:space="preserve">) the </w:t>
      </w:r>
      <w:r w:rsidRPr="00564DB3">
        <w:rPr>
          <w:i/>
          <w:iCs/>
          <w:szCs w:val="18"/>
        </w:rPr>
        <w:t>Hogarth</w:t>
      </w:r>
      <w:r w:rsidRPr="00564DB3">
        <w:rPr>
          <w:szCs w:val="18"/>
        </w:rPr>
        <w:t xml:space="preserve"> ruling.</w:t>
      </w:r>
      <w:bookmarkStart w:id="27" w:name="_Ref529193845"/>
      <w:r w:rsidR="005B1CE4" w:rsidRPr="00564DB3">
        <w:rPr>
          <w:rStyle w:val="FootnoteReference"/>
          <w:szCs w:val="18"/>
        </w:rPr>
        <w:footnoteReference w:id="65"/>
      </w:r>
      <w:bookmarkEnd w:id="27"/>
      <w:r w:rsidRPr="00564DB3">
        <w:rPr>
          <w:szCs w:val="18"/>
        </w:rPr>
        <w:t xml:space="preserve"> The Panels noted the parties' agreement that: (i) the 2016 Tuna Measure is a technical regulation within the meaning of </w:t>
      </w:r>
      <w:r w:rsidR="00083DFC" w:rsidRPr="00564DB3">
        <w:rPr>
          <w:szCs w:val="18"/>
        </w:rPr>
        <w:t>A</w:t>
      </w:r>
      <w:r w:rsidR="009118A4" w:rsidRPr="00564DB3">
        <w:rPr>
          <w:szCs w:val="18"/>
        </w:rPr>
        <w:t>nnex</w:t>
      </w:r>
      <w:r w:rsidR="00083DFC" w:rsidRPr="00564DB3">
        <w:rPr>
          <w:szCs w:val="18"/>
        </w:rPr>
        <w:t> </w:t>
      </w:r>
      <w:r w:rsidRPr="00564DB3">
        <w:rPr>
          <w:szCs w:val="18"/>
        </w:rPr>
        <w:t xml:space="preserve">1.1 </w:t>
      </w:r>
      <w:r w:rsidR="009118A4" w:rsidRPr="00564DB3">
        <w:rPr>
          <w:szCs w:val="18"/>
        </w:rPr>
        <w:t>to</w:t>
      </w:r>
      <w:r w:rsidRPr="00564DB3">
        <w:rPr>
          <w:szCs w:val="18"/>
        </w:rPr>
        <w:t xml:space="preserve"> the </w:t>
      </w:r>
      <w:r w:rsidR="00083DFC" w:rsidRPr="00564DB3">
        <w:rPr>
          <w:szCs w:val="18"/>
        </w:rPr>
        <w:t>TBT Agreement</w:t>
      </w:r>
      <w:r w:rsidRPr="00564DB3">
        <w:rPr>
          <w:szCs w:val="18"/>
        </w:rPr>
        <w:t xml:space="preserve">; (ii) Mexican tuna products are "like" tuna products produced by the </w:t>
      </w:r>
      <w:r w:rsidR="00083DFC" w:rsidRPr="00564DB3">
        <w:rPr>
          <w:szCs w:val="18"/>
        </w:rPr>
        <w:t>United States</w:t>
      </w:r>
      <w:r w:rsidR="00292A86" w:rsidRPr="00564DB3">
        <w:rPr>
          <w:szCs w:val="18"/>
        </w:rPr>
        <w:t xml:space="preserve"> and other countries; (iii) </w:t>
      </w:r>
      <w:r w:rsidRPr="00564DB3">
        <w:rPr>
          <w:szCs w:val="18"/>
        </w:rPr>
        <w:t xml:space="preserve">the 2016 Tuna Measure modifies the conditions of competition to the detriment of Mexican tuna products in the US market under </w:t>
      </w:r>
      <w:r w:rsidR="00083DFC" w:rsidRPr="00564DB3">
        <w:rPr>
          <w:szCs w:val="18"/>
        </w:rPr>
        <w:t>Article </w:t>
      </w:r>
      <w:r w:rsidRPr="00564DB3">
        <w:rPr>
          <w:szCs w:val="18"/>
        </w:rPr>
        <w:t xml:space="preserve">2.1 of the </w:t>
      </w:r>
      <w:r w:rsidR="00083DFC" w:rsidRPr="00564DB3">
        <w:rPr>
          <w:szCs w:val="18"/>
        </w:rPr>
        <w:t>TBT Agreement</w:t>
      </w:r>
      <w:r w:rsidR="00F70E38" w:rsidRPr="00564DB3">
        <w:rPr>
          <w:szCs w:val="18"/>
        </w:rPr>
        <w:t>; (iv) </w:t>
      </w:r>
      <w:r w:rsidRPr="00564DB3">
        <w:rPr>
          <w:szCs w:val="18"/>
        </w:rPr>
        <w:t xml:space="preserve">the 2016 Tuna Measure is inconsistent with both </w:t>
      </w:r>
      <w:r w:rsidR="00083DFC" w:rsidRPr="00564DB3">
        <w:rPr>
          <w:szCs w:val="18"/>
        </w:rPr>
        <w:t>Article </w:t>
      </w:r>
      <w:r w:rsidRPr="00564DB3">
        <w:rPr>
          <w:szCs w:val="18"/>
        </w:rPr>
        <w:t xml:space="preserve">I:1 and </w:t>
      </w:r>
      <w:r w:rsidR="00083DFC" w:rsidRPr="00564DB3">
        <w:rPr>
          <w:szCs w:val="18"/>
        </w:rPr>
        <w:t>Article </w:t>
      </w:r>
      <w:r w:rsidRPr="00564DB3">
        <w:rPr>
          <w:szCs w:val="18"/>
        </w:rPr>
        <w:t xml:space="preserve">III:4 of the GATT 1994; and (v) the </w:t>
      </w:r>
      <w:r w:rsidR="00573281" w:rsidRPr="00564DB3">
        <w:rPr>
          <w:szCs w:val="18"/>
        </w:rPr>
        <w:t>2016 Tuna Measure is</w:t>
      </w:r>
      <w:r w:rsidR="003715F8" w:rsidRPr="00564DB3">
        <w:rPr>
          <w:szCs w:val="18"/>
        </w:rPr>
        <w:t xml:space="preserve"> </w:t>
      </w:r>
      <w:r w:rsidRPr="00564DB3">
        <w:rPr>
          <w:szCs w:val="18"/>
        </w:rPr>
        <w:t xml:space="preserve">provisionally justified under </w:t>
      </w:r>
      <w:r w:rsidR="00083DFC" w:rsidRPr="00564DB3">
        <w:rPr>
          <w:szCs w:val="18"/>
        </w:rPr>
        <w:t>Article </w:t>
      </w:r>
      <w:r w:rsidRPr="00564DB3">
        <w:rPr>
          <w:szCs w:val="18"/>
        </w:rPr>
        <w:t>XX</w:t>
      </w:r>
      <w:r w:rsidR="00292A86" w:rsidRPr="00564DB3">
        <w:rPr>
          <w:szCs w:val="18"/>
        </w:rPr>
        <w:t>(g)</w:t>
      </w:r>
      <w:r w:rsidRPr="00564DB3">
        <w:rPr>
          <w:szCs w:val="18"/>
        </w:rPr>
        <w:t xml:space="preserve"> of the GATT 1994.</w:t>
      </w:r>
      <w:r w:rsidR="005B1CE4" w:rsidRPr="00564DB3">
        <w:rPr>
          <w:rStyle w:val="FootnoteReference"/>
          <w:szCs w:val="18"/>
        </w:rPr>
        <w:footnoteReference w:id="66"/>
      </w:r>
      <w:bookmarkEnd w:id="26"/>
      <w:r w:rsidRPr="00564DB3">
        <w:rPr>
          <w:szCs w:val="18"/>
        </w:rPr>
        <w:t xml:space="preserve"> </w:t>
      </w:r>
    </w:p>
    <w:p w:rsidR="00940CBB" w:rsidRPr="00564DB3" w:rsidRDefault="00940CBB" w:rsidP="00F70E38">
      <w:pPr>
        <w:pStyle w:val="BodyText"/>
        <w:rPr>
          <w:szCs w:val="18"/>
        </w:rPr>
      </w:pPr>
      <w:r w:rsidRPr="00564DB3">
        <w:rPr>
          <w:szCs w:val="18"/>
        </w:rPr>
        <w:t xml:space="preserve">The Panels considered that the parties' disagreement centred on the question whether the detrimental impact accords "treatment no less favourable" within the meaning of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because such detrimental impact stems exclusively from a legitimate regulatory distinction.</w:t>
      </w:r>
      <w:r w:rsidR="005B1CE4" w:rsidRPr="00564DB3">
        <w:rPr>
          <w:rStyle w:val="FootnoteReference"/>
          <w:szCs w:val="18"/>
        </w:rPr>
        <w:footnoteReference w:id="67"/>
      </w:r>
      <w:r w:rsidRPr="00564DB3">
        <w:rPr>
          <w:szCs w:val="18"/>
        </w:rPr>
        <w:t xml:space="preserve"> The Panels found that, to address this question, the </w:t>
      </w:r>
      <w:r w:rsidR="00145AA8" w:rsidRPr="00564DB3">
        <w:rPr>
          <w:szCs w:val="18"/>
        </w:rPr>
        <w:t>applicable</w:t>
      </w:r>
      <w:r w:rsidRPr="00564DB3">
        <w:rPr>
          <w:szCs w:val="18"/>
        </w:rPr>
        <w:t xml:space="preserve"> legal standard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require</w:t>
      </w:r>
      <w:r w:rsidR="005E6650" w:rsidRPr="00564DB3">
        <w:rPr>
          <w:szCs w:val="18"/>
        </w:rPr>
        <w:t>d</w:t>
      </w:r>
      <w:r w:rsidRPr="00564DB3">
        <w:rPr>
          <w:szCs w:val="18"/>
        </w:rPr>
        <w:t xml:space="preserve"> them to assess whether the relevant regulatory distinctions under the measure at issue are calibrated to the risks to dolphins arising from the use of different fishing methods in different areas of the ocean.</w:t>
      </w:r>
      <w:r w:rsidR="005B1CE4" w:rsidRPr="00564DB3">
        <w:rPr>
          <w:rStyle w:val="FootnoteReference"/>
          <w:szCs w:val="18"/>
        </w:rPr>
        <w:footnoteReference w:id="68"/>
      </w:r>
      <w:r w:rsidRPr="00564DB3">
        <w:rPr>
          <w:szCs w:val="18"/>
        </w:rPr>
        <w:t xml:space="preserve"> On the basis of their findings regarding </w:t>
      </w:r>
      <w:r w:rsidR="005E6650" w:rsidRPr="00564DB3">
        <w:rPr>
          <w:szCs w:val="18"/>
        </w:rPr>
        <w:t xml:space="preserve">the </w:t>
      </w:r>
      <w:r w:rsidRPr="00564DB3">
        <w:rPr>
          <w:szCs w:val="18"/>
        </w:rPr>
        <w:t>risks to dolphins</w:t>
      </w:r>
      <w:r w:rsidR="005B1CE4" w:rsidRPr="00564DB3">
        <w:rPr>
          <w:rStyle w:val="FootnoteReference"/>
          <w:szCs w:val="18"/>
        </w:rPr>
        <w:footnoteReference w:id="69"/>
      </w:r>
      <w:r w:rsidRPr="00564DB3">
        <w:rPr>
          <w:szCs w:val="18"/>
        </w:rPr>
        <w:t>, the Panels found that each of the elements of the 2016 Tuna Measure</w:t>
      </w:r>
      <w:r w:rsidR="005B1CE4" w:rsidRPr="00564DB3">
        <w:rPr>
          <w:rStyle w:val="FootnoteReference"/>
          <w:szCs w:val="18"/>
        </w:rPr>
        <w:footnoteReference w:id="70"/>
      </w:r>
      <w:r w:rsidRPr="00564DB3">
        <w:rPr>
          <w:szCs w:val="18"/>
        </w:rPr>
        <w:t xml:space="preserve"> and the 2016 Tuna Measure as a whole are calibrated in accordance with the applicable legal standard.</w:t>
      </w:r>
      <w:r w:rsidR="005B1CE4" w:rsidRPr="00564DB3">
        <w:rPr>
          <w:rStyle w:val="FootnoteReference"/>
          <w:szCs w:val="18"/>
        </w:rPr>
        <w:footnoteReference w:id="71"/>
      </w:r>
      <w:r w:rsidRPr="00564DB3">
        <w:rPr>
          <w:szCs w:val="18"/>
        </w:rPr>
        <w:t xml:space="preserve"> Relying on their analysis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the Panels found that the </w:t>
      </w:r>
      <w:r w:rsidRPr="00564DB3">
        <w:rPr>
          <w:szCs w:val="18"/>
        </w:rPr>
        <w:lastRenderedPageBreak/>
        <w:t>2016</w:t>
      </w:r>
      <w:r w:rsidR="0007665D">
        <w:rPr>
          <w:szCs w:val="18"/>
        </w:rPr>
        <w:t> </w:t>
      </w:r>
      <w:r w:rsidRPr="00564DB3">
        <w:rPr>
          <w:szCs w:val="18"/>
        </w:rPr>
        <w:t xml:space="preserve">Tuna Measure is not applied in a manner that constitutes a means of arbitrary or unjustifiable discrimination within the meaning of the </w:t>
      </w:r>
      <w:r w:rsidRPr="00564DB3">
        <w:rPr>
          <w:i/>
          <w:szCs w:val="18"/>
        </w:rPr>
        <w:t>chapeau</w:t>
      </w:r>
      <w:r w:rsidRPr="00564DB3">
        <w:rPr>
          <w:szCs w:val="18"/>
        </w:rPr>
        <w:t xml:space="preserve"> of </w:t>
      </w:r>
      <w:r w:rsidR="00083DFC" w:rsidRPr="00564DB3">
        <w:rPr>
          <w:szCs w:val="18"/>
        </w:rPr>
        <w:t>Article </w:t>
      </w:r>
      <w:r w:rsidRPr="00564DB3">
        <w:rPr>
          <w:szCs w:val="18"/>
        </w:rPr>
        <w:t>XX of the GATT 1994.</w:t>
      </w:r>
      <w:r w:rsidR="005B1CE4" w:rsidRPr="00564DB3">
        <w:rPr>
          <w:rStyle w:val="FootnoteReference"/>
          <w:szCs w:val="18"/>
        </w:rPr>
        <w:footnoteReference w:id="72"/>
      </w:r>
      <w:r w:rsidRPr="00564DB3">
        <w:rPr>
          <w:szCs w:val="18"/>
        </w:rPr>
        <w:t xml:space="preserve"> </w:t>
      </w:r>
    </w:p>
    <w:p w:rsidR="00940CBB" w:rsidRPr="00564DB3" w:rsidRDefault="00940CBB" w:rsidP="00344745">
      <w:pPr>
        <w:pStyle w:val="BodyText"/>
        <w:keepNext/>
        <w:rPr>
          <w:szCs w:val="18"/>
        </w:rPr>
      </w:pPr>
      <w:r w:rsidRPr="00564DB3">
        <w:rPr>
          <w:rFonts w:cs="Arial"/>
          <w:szCs w:val="18"/>
        </w:rPr>
        <w:t>On this basis</w:t>
      </w:r>
      <w:r w:rsidRPr="00564DB3">
        <w:rPr>
          <w:szCs w:val="18"/>
        </w:rPr>
        <w:t>:</w:t>
      </w:r>
    </w:p>
    <w:p w:rsidR="00940CBB" w:rsidRPr="00564DB3" w:rsidRDefault="00940CBB" w:rsidP="00344745">
      <w:pPr>
        <w:pStyle w:val="BodyText2"/>
        <w:keepNext/>
        <w:rPr>
          <w:szCs w:val="18"/>
        </w:rPr>
      </w:pPr>
      <w:r w:rsidRPr="00564DB3">
        <w:rPr>
          <w:szCs w:val="18"/>
        </w:rPr>
        <w:t xml:space="preserve">with respect to the </w:t>
      </w:r>
      <w:r w:rsidR="00083DFC" w:rsidRPr="00564DB3">
        <w:rPr>
          <w:szCs w:val="18"/>
        </w:rPr>
        <w:t>United States</w:t>
      </w:r>
      <w:r w:rsidRPr="00564DB3">
        <w:rPr>
          <w:szCs w:val="18"/>
        </w:rPr>
        <w:t xml:space="preserve">' and Mexico's claims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the Panels concluded that the 2016 Tuna Measure is not inconsistent with </w:t>
      </w:r>
      <w:r w:rsidR="00083DFC" w:rsidRPr="00564DB3">
        <w:rPr>
          <w:szCs w:val="18"/>
        </w:rPr>
        <w:t>Article </w:t>
      </w:r>
      <w:r w:rsidRPr="00564DB3">
        <w:rPr>
          <w:szCs w:val="18"/>
        </w:rPr>
        <w:t xml:space="preserve">2.1 of the </w:t>
      </w:r>
      <w:r w:rsidR="00083DFC" w:rsidRPr="00564DB3">
        <w:rPr>
          <w:szCs w:val="18"/>
        </w:rPr>
        <w:t>TBT Agreement</w:t>
      </w:r>
      <w:r w:rsidR="005B1CE4" w:rsidRPr="00564DB3">
        <w:rPr>
          <w:rStyle w:val="FootnoteReference"/>
          <w:szCs w:val="18"/>
        </w:rPr>
        <w:footnoteReference w:id="73"/>
      </w:r>
      <w:r w:rsidRPr="00564DB3">
        <w:rPr>
          <w:szCs w:val="18"/>
        </w:rPr>
        <w:t>;</w:t>
      </w:r>
      <w:r w:rsidR="00996536" w:rsidRPr="00564DB3">
        <w:rPr>
          <w:szCs w:val="18"/>
        </w:rPr>
        <w:t xml:space="preserve"> </w:t>
      </w:r>
      <w:r w:rsidRPr="00564DB3">
        <w:rPr>
          <w:szCs w:val="18"/>
        </w:rPr>
        <w:t>and</w:t>
      </w:r>
    </w:p>
    <w:p w:rsidR="00940CBB" w:rsidRPr="00564DB3" w:rsidRDefault="00940CBB" w:rsidP="00344745">
      <w:pPr>
        <w:pStyle w:val="BodyText2"/>
        <w:keepNext/>
        <w:rPr>
          <w:szCs w:val="18"/>
        </w:rPr>
      </w:pPr>
      <w:r w:rsidRPr="00564DB3">
        <w:rPr>
          <w:szCs w:val="18"/>
        </w:rPr>
        <w:t xml:space="preserve">with respect to Mexico's claims under the GATT 1994, and the </w:t>
      </w:r>
      <w:r w:rsidR="00083DFC" w:rsidRPr="00564DB3">
        <w:rPr>
          <w:szCs w:val="18"/>
        </w:rPr>
        <w:t>United States'</w:t>
      </w:r>
      <w:r w:rsidRPr="00564DB3">
        <w:rPr>
          <w:szCs w:val="18"/>
        </w:rPr>
        <w:t xml:space="preserve"> defence under </w:t>
      </w:r>
      <w:r w:rsidR="00083DFC" w:rsidRPr="00564DB3">
        <w:rPr>
          <w:szCs w:val="18"/>
        </w:rPr>
        <w:t>Article </w:t>
      </w:r>
      <w:r w:rsidRPr="00564DB3">
        <w:rPr>
          <w:szCs w:val="18"/>
        </w:rPr>
        <w:t>XX of the GATT</w:t>
      </w:r>
      <w:r w:rsidR="00025CB6" w:rsidRPr="00564DB3">
        <w:rPr>
          <w:szCs w:val="18"/>
        </w:rPr>
        <w:t> 1994</w:t>
      </w:r>
      <w:r w:rsidRPr="00564DB3">
        <w:rPr>
          <w:szCs w:val="18"/>
        </w:rPr>
        <w:t>, the Panels concluded that the 2016 Tuna Measure is inconsistent with Articles I:1 and III:4 of the GATT 1994</w:t>
      </w:r>
      <w:r w:rsidR="00B54727" w:rsidRPr="00564DB3">
        <w:rPr>
          <w:rStyle w:val="FootnoteReference"/>
          <w:szCs w:val="18"/>
        </w:rPr>
        <w:footnoteReference w:id="74"/>
      </w:r>
      <w:r w:rsidRPr="00564DB3">
        <w:rPr>
          <w:szCs w:val="18"/>
        </w:rPr>
        <w:t xml:space="preserve">, but is justified under </w:t>
      </w:r>
      <w:r w:rsidR="00083DFC" w:rsidRPr="00564DB3">
        <w:rPr>
          <w:szCs w:val="18"/>
        </w:rPr>
        <w:t>Article </w:t>
      </w:r>
      <w:r w:rsidRPr="00564DB3">
        <w:rPr>
          <w:szCs w:val="18"/>
        </w:rPr>
        <w:t xml:space="preserve">XX(g), and meets the requirements of the </w:t>
      </w:r>
      <w:r w:rsidRPr="00564DB3">
        <w:rPr>
          <w:i/>
          <w:szCs w:val="18"/>
        </w:rPr>
        <w:t>chapeau</w:t>
      </w:r>
      <w:r w:rsidRPr="00564DB3">
        <w:rPr>
          <w:szCs w:val="18"/>
        </w:rPr>
        <w:t xml:space="preserve"> of </w:t>
      </w:r>
      <w:r w:rsidR="00083DFC" w:rsidRPr="00564DB3">
        <w:rPr>
          <w:szCs w:val="18"/>
        </w:rPr>
        <w:t>Article </w:t>
      </w:r>
      <w:r w:rsidRPr="00564DB3">
        <w:rPr>
          <w:szCs w:val="18"/>
        </w:rPr>
        <w:t>XX.</w:t>
      </w:r>
      <w:r w:rsidR="005B1CE4" w:rsidRPr="00564DB3">
        <w:rPr>
          <w:rStyle w:val="FootnoteReference"/>
          <w:szCs w:val="18"/>
        </w:rPr>
        <w:footnoteReference w:id="75"/>
      </w:r>
    </w:p>
    <w:p w:rsidR="00940CBB" w:rsidRPr="00564DB3" w:rsidRDefault="00940CBB" w:rsidP="00F70E38">
      <w:pPr>
        <w:pStyle w:val="BodyText"/>
        <w:rPr>
          <w:szCs w:val="18"/>
        </w:rPr>
      </w:pPr>
      <w:r w:rsidRPr="00564DB3">
        <w:rPr>
          <w:szCs w:val="18"/>
        </w:rPr>
        <w:t xml:space="preserve">The Panels therefore considered that the </w:t>
      </w:r>
      <w:r w:rsidR="00083DFC" w:rsidRPr="00564DB3">
        <w:rPr>
          <w:szCs w:val="18"/>
        </w:rPr>
        <w:t>United States</w:t>
      </w:r>
      <w:r w:rsidRPr="00564DB3">
        <w:rPr>
          <w:szCs w:val="18"/>
        </w:rPr>
        <w:t xml:space="preserve"> has implemented the recommendations and rulings of the DSB in the original and first compliance proceedings of this dispute to bring its measure into conformity with its obligations under the </w:t>
      </w:r>
      <w:r w:rsidR="00292A86" w:rsidRPr="00564DB3">
        <w:rPr>
          <w:szCs w:val="18"/>
        </w:rPr>
        <w:t>Marrakesh Agreement Establishing the World Trade Organization (</w:t>
      </w:r>
      <w:r w:rsidRPr="00564DB3">
        <w:rPr>
          <w:szCs w:val="18"/>
        </w:rPr>
        <w:t>WTO Agreement</w:t>
      </w:r>
      <w:r w:rsidR="00292A86" w:rsidRPr="00564DB3">
        <w:rPr>
          <w:szCs w:val="18"/>
        </w:rPr>
        <w:t>)</w:t>
      </w:r>
      <w:r w:rsidRPr="00564DB3">
        <w:rPr>
          <w:szCs w:val="18"/>
        </w:rPr>
        <w:t>. Th</w:t>
      </w:r>
      <w:r w:rsidR="005E6650" w:rsidRPr="00564DB3">
        <w:rPr>
          <w:szCs w:val="18"/>
        </w:rPr>
        <w:t>us, th</w:t>
      </w:r>
      <w:r w:rsidRPr="00564DB3">
        <w:rPr>
          <w:szCs w:val="18"/>
        </w:rPr>
        <w:t xml:space="preserve">e Panels did not find it necessary to make any recommendations under </w:t>
      </w:r>
      <w:r w:rsidR="00083DFC" w:rsidRPr="00564DB3">
        <w:rPr>
          <w:szCs w:val="18"/>
        </w:rPr>
        <w:t>Article </w:t>
      </w:r>
      <w:r w:rsidRPr="00564DB3">
        <w:rPr>
          <w:szCs w:val="18"/>
        </w:rPr>
        <w:t>19.1 of the DSU.</w:t>
      </w:r>
      <w:r w:rsidR="005B1CE4" w:rsidRPr="00564DB3">
        <w:rPr>
          <w:rStyle w:val="FootnoteReference"/>
          <w:szCs w:val="18"/>
        </w:rPr>
        <w:footnoteReference w:id="76"/>
      </w:r>
    </w:p>
    <w:p w:rsidR="00940CBB" w:rsidRPr="00564DB3" w:rsidRDefault="00940CBB" w:rsidP="00F70E38">
      <w:pPr>
        <w:pStyle w:val="BodyText"/>
        <w:rPr>
          <w:rFonts w:cs="Verdana"/>
          <w:szCs w:val="18"/>
        </w:rPr>
      </w:pPr>
      <w:r w:rsidRPr="00564DB3">
        <w:rPr>
          <w:szCs w:val="18"/>
        </w:rPr>
        <w:t>On 1</w:t>
      </w:r>
      <w:r w:rsidR="00B73EE5" w:rsidRPr="00564DB3">
        <w:rPr>
          <w:szCs w:val="18"/>
        </w:rPr>
        <w:t> </w:t>
      </w:r>
      <w:r w:rsidRPr="00564DB3">
        <w:rPr>
          <w:szCs w:val="18"/>
        </w:rPr>
        <w:t>December</w:t>
      </w:r>
      <w:r w:rsidR="00B73EE5" w:rsidRPr="00564DB3">
        <w:rPr>
          <w:szCs w:val="18"/>
        </w:rPr>
        <w:t> </w:t>
      </w:r>
      <w:r w:rsidRPr="00564DB3">
        <w:rPr>
          <w:szCs w:val="18"/>
        </w:rPr>
        <w:t>2017</w:t>
      </w:r>
      <w:r w:rsidRPr="00564DB3">
        <w:rPr>
          <w:rFonts w:cs="Arial"/>
          <w:szCs w:val="18"/>
        </w:rPr>
        <w:t xml:space="preserve">, Mexico </w:t>
      </w:r>
      <w:r w:rsidRPr="00564DB3">
        <w:rPr>
          <w:szCs w:val="18"/>
        </w:rPr>
        <w:t>notified the DSB, pursuant to Articles 16.4 and 17 of the DSU, of its intention to appeal certain issues of law covered in the Panel Reports, and certain legal interpretations developed by the Panels, and filed a Notice of Appeal and an appellant's submission.</w:t>
      </w:r>
      <w:r w:rsidR="005B1CE4" w:rsidRPr="00564DB3">
        <w:rPr>
          <w:rStyle w:val="FootnoteReference"/>
          <w:szCs w:val="18"/>
        </w:rPr>
        <w:footnoteReference w:id="77"/>
      </w:r>
      <w:r w:rsidRPr="00564DB3">
        <w:rPr>
          <w:szCs w:val="18"/>
        </w:rPr>
        <w:t xml:space="preserve"> On 19</w:t>
      </w:r>
      <w:r w:rsidR="00B73EE5" w:rsidRPr="00564DB3">
        <w:rPr>
          <w:szCs w:val="18"/>
        </w:rPr>
        <w:t> </w:t>
      </w:r>
      <w:r w:rsidRPr="00564DB3">
        <w:rPr>
          <w:szCs w:val="18"/>
        </w:rPr>
        <w:t>December</w:t>
      </w:r>
      <w:r w:rsidR="00B73EE5" w:rsidRPr="00564DB3">
        <w:rPr>
          <w:szCs w:val="18"/>
        </w:rPr>
        <w:t> </w:t>
      </w:r>
      <w:r w:rsidRPr="00564DB3">
        <w:rPr>
          <w:szCs w:val="18"/>
        </w:rPr>
        <w:t xml:space="preserve">2017, the </w:t>
      </w:r>
      <w:r w:rsidR="00083DFC" w:rsidRPr="00564DB3">
        <w:rPr>
          <w:szCs w:val="18"/>
        </w:rPr>
        <w:t>United States</w:t>
      </w:r>
      <w:r w:rsidRPr="00564DB3">
        <w:rPr>
          <w:szCs w:val="18"/>
        </w:rPr>
        <w:t xml:space="preserve"> filed an </w:t>
      </w:r>
      <w:proofErr w:type="spellStart"/>
      <w:r w:rsidRPr="00564DB3">
        <w:rPr>
          <w:szCs w:val="18"/>
        </w:rPr>
        <w:t>appellee's</w:t>
      </w:r>
      <w:proofErr w:type="spellEnd"/>
      <w:r w:rsidRPr="00564DB3">
        <w:rPr>
          <w:szCs w:val="18"/>
        </w:rPr>
        <w:t xml:space="preserve"> submission.</w:t>
      </w:r>
      <w:r w:rsidR="005B1CE4" w:rsidRPr="00564DB3">
        <w:rPr>
          <w:rStyle w:val="FootnoteReference"/>
          <w:szCs w:val="18"/>
        </w:rPr>
        <w:footnoteReference w:id="78"/>
      </w:r>
      <w:r w:rsidRPr="00564DB3">
        <w:rPr>
          <w:szCs w:val="18"/>
        </w:rPr>
        <w:t xml:space="preserve"> On 4</w:t>
      </w:r>
      <w:r w:rsidR="00B73EE5" w:rsidRPr="00564DB3">
        <w:rPr>
          <w:szCs w:val="18"/>
        </w:rPr>
        <w:t> </w:t>
      </w:r>
      <w:r w:rsidRPr="00564DB3">
        <w:rPr>
          <w:szCs w:val="18"/>
        </w:rPr>
        <w:t>January</w:t>
      </w:r>
      <w:r w:rsidR="00B73EE5" w:rsidRPr="00564DB3">
        <w:rPr>
          <w:szCs w:val="18"/>
        </w:rPr>
        <w:t> </w:t>
      </w:r>
      <w:r w:rsidRPr="00564DB3">
        <w:rPr>
          <w:szCs w:val="18"/>
        </w:rPr>
        <w:t xml:space="preserve">2018, Australia, Brazil, the European Union, and Japan </w:t>
      </w:r>
      <w:r w:rsidRPr="00564DB3">
        <w:rPr>
          <w:rFonts w:cs="Arial"/>
          <w:szCs w:val="18"/>
        </w:rPr>
        <w:t xml:space="preserve">each </w:t>
      </w:r>
      <w:r w:rsidRPr="00564DB3">
        <w:rPr>
          <w:szCs w:val="18"/>
        </w:rPr>
        <w:t>filed a third participant's submission.</w:t>
      </w:r>
      <w:r w:rsidR="005B1CE4" w:rsidRPr="00564DB3">
        <w:rPr>
          <w:rStyle w:val="FootnoteReference"/>
          <w:szCs w:val="18"/>
        </w:rPr>
        <w:footnoteReference w:id="79"/>
      </w:r>
      <w:r w:rsidR="00F70E38" w:rsidRPr="00564DB3">
        <w:rPr>
          <w:szCs w:val="18"/>
        </w:rPr>
        <w:t xml:space="preserve"> On 3</w:t>
      </w:r>
      <w:r w:rsidR="00F70E38" w:rsidRPr="00564DB3">
        <w:rPr>
          <w:szCs w:val="18"/>
        </w:rPr>
        <w:noBreakHyphen/>
      </w:r>
      <w:r w:rsidRPr="00564DB3">
        <w:rPr>
          <w:szCs w:val="18"/>
        </w:rPr>
        <w:t>4</w:t>
      </w:r>
      <w:r w:rsidR="00B73EE5" w:rsidRPr="00564DB3">
        <w:rPr>
          <w:szCs w:val="18"/>
        </w:rPr>
        <w:t> </w:t>
      </w:r>
      <w:r w:rsidRPr="00564DB3">
        <w:rPr>
          <w:szCs w:val="18"/>
        </w:rPr>
        <w:t>January</w:t>
      </w:r>
      <w:r w:rsidR="00B73EE5" w:rsidRPr="00564DB3">
        <w:rPr>
          <w:szCs w:val="18"/>
        </w:rPr>
        <w:t> </w:t>
      </w:r>
      <w:r w:rsidRPr="00564DB3">
        <w:rPr>
          <w:szCs w:val="18"/>
        </w:rPr>
        <w:t>2018, Canada, China, Ecuador, Guatemala, India, New Zealand, and Norway each notified its intention to appear at the oral hearing as a third participant.</w:t>
      </w:r>
      <w:r w:rsidR="005B1CE4" w:rsidRPr="00564DB3">
        <w:rPr>
          <w:rStyle w:val="FootnoteReference"/>
          <w:szCs w:val="18"/>
        </w:rPr>
        <w:footnoteReference w:id="80"/>
      </w:r>
      <w:r w:rsidRPr="00564DB3">
        <w:rPr>
          <w:szCs w:val="18"/>
        </w:rPr>
        <w:t xml:space="preserve"> Subsequently, Korea also notified its intention to appear at the oral hearing as a third participant.</w:t>
      </w:r>
      <w:r w:rsidR="005B1CE4" w:rsidRPr="00564DB3">
        <w:rPr>
          <w:rStyle w:val="FootnoteReference"/>
          <w:szCs w:val="18"/>
        </w:rPr>
        <w:footnoteReference w:id="81"/>
      </w:r>
      <w:r w:rsidRPr="00564DB3">
        <w:rPr>
          <w:szCs w:val="18"/>
        </w:rPr>
        <w:t xml:space="preserve"> </w:t>
      </w:r>
    </w:p>
    <w:p w:rsidR="00940CBB" w:rsidRPr="00564DB3" w:rsidRDefault="00940CBB" w:rsidP="008C426A">
      <w:pPr>
        <w:pStyle w:val="BodyText"/>
      </w:pPr>
      <w:r w:rsidRPr="00564DB3">
        <w:t>By letter dated 29</w:t>
      </w:r>
      <w:r w:rsidR="00B73EE5" w:rsidRPr="00564DB3">
        <w:t> </w:t>
      </w:r>
      <w:r w:rsidRPr="00564DB3">
        <w:t>January</w:t>
      </w:r>
      <w:r w:rsidR="00B73EE5" w:rsidRPr="00564DB3">
        <w:t> </w:t>
      </w:r>
      <w:r w:rsidRPr="00564DB3">
        <w:t>2018, the Chair of the Appellate Body notified the Chair of the DSB that the Appellate Body would not be able to circulate its Report within the 60</w:t>
      </w:r>
      <w:r w:rsidRPr="00564DB3">
        <w:noBreakHyphen/>
        <w:t xml:space="preserve">day period pursuant to </w:t>
      </w:r>
      <w:r w:rsidR="00083DFC" w:rsidRPr="00564DB3">
        <w:t>Article </w:t>
      </w:r>
      <w:r w:rsidRPr="00564DB3">
        <w:t>17.5 of the DSU, or within the 90-day period pursuant to the same provision, for the reasons mentioned therein.</w:t>
      </w:r>
      <w:r w:rsidR="00230919" w:rsidRPr="00564DB3">
        <w:rPr>
          <w:rStyle w:val="FootnoteReference"/>
          <w:szCs w:val="18"/>
        </w:rPr>
        <w:footnoteReference w:id="82"/>
      </w:r>
      <w:r w:rsidRPr="00564DB3">
        <w:t xml:space="preserve"> </w:t>
      </w:r>
      <w:r w:rsidR="001D2891">
        <w:t xml:space="preserve">For the reasons explained in the letter, </w:t>
      </w:r>
      <w:r w:rsidR="001D2891" w:rsidRPr="008C426A">
        <w:rPr>
          <w:szCs w:val="18"/>
        </w:rPr>
        <w:t>work on this appeal could gather pace only in May 2018</w:t>
      </w:r>
      <w:r w:rsidR="001D2891">
        <w:rPr>
          <w:szCs w:val="18"/>
        </w:rPr>
        <w:t>.</w:t>
      </w:r>
      <w:r w:rsidR="001D2891">
        <w:t xml:space="preserve"> </w:t>
      </w:r>
      <w:r w:rsidRPr="00564DB3">
        <w:t xml:space="preserve">On </w:t>
      </w:r>
      <w:r w:rsidR="00173322" w:rsidRPr="00564DB3">
        <w:t>20 November 2018</w:t>
      </w:r>
      <w:r w:rsidRPr="00564DB3">
        <w:t>, the Chair of the Appellate Body notified the Chair of the DSB that the Appellate</w:t>
      </w:r>
      <w:r w:rsidR="00025CB6" w:rsidRPr="00564DB3">
        <w:t> Body</w:t>
      </w:r>
      <w:r w:rsidRPr="00564DB3">
        <w:t xml:space="preserve"> Report in these proceed</w:t>
      </w:r>
      <w:r w:rsidR="00F70E38" w:rsidRPr="00564DB3">
        <w:t>ings would be circulated to WTO </w:t>
      </w:r>
      <w:r w:rsidRPr="00564DB3">
        <w:t xml:space="preserve">Members no later than </w:t>
      </w:r>
      <w:r w:rsidR="00173322" w:rsidRPr="00564DB3">
        <w:t>14 December 2018</w:t>
      </w:r>
      <w:r w:rsidRPr="00564DB3">
        <w:t>.</w:t>
      </w:r>
    </w:p>
    <w:p w:rsidR="00940CBB" w:rsidRPr="00564DB3" w:rsidRDefault="00940CBB" w:rsidP="00F70E38">
      <w:pPr>
        <w:pStyle w:val="BodyText"/>
        <w:rPr>
          <w:szCs w:val="18"/>
        </w:rPr>
      </w:pPr>
      <w:r w:rsidRPr="00564DB3">
        <w:rPr>
          <w:rFonts w:cs="Arial"/>
          <w:szCs w:val="18"/>
        </w:rPr>
        <w:t>The oral hearing in this appeal was held on 30-31</w:t>
      </w:r>
      <w:r w:rsidR="00B73EE5" w:rsidRPr="00564DB3">
        <w:rPr>
          <w:rFonts w:cs="Arial"/>
          <w:szCs w:val="18"/>
        </w:rPr>
        <w:t> </w:t>
      </w:r>
      <w:r w:rsidRPr="00564DB3">
        <w:rPr>
          <w:rFonts w:cs="Arial"/>
          <w:szCs w:val="18"/>
        </w:rPr>
        <w:t>July</w:t>
      </w:r>
      <w:r w:rsidR="00B73EE5" w:rsidRPr="00564DB3">
        <w:rPr>
          <w:rFonts w:cs="Arial"/>
          <w:szCs w:val="18"/>
        </w:rPr>
        <w:t> </w:t>
      </w:r>
      <w:r w:rsidRPr="00564DB3">
        <w:rPr>
          <w:rFonts w:cs="Arial"/>
          <w:szCs w:val="18"/>
        </w:rPr>
        <w:t>2018. The participants and five of the third participants (Brazil, Canada, the European</w:t>
      </w:r>
      <w:r w:rsidR="00025CB6" w:rsidRPr="00564DB3">
        <w:rPr>
          <w:rFonts w:cs="Arial"/>
          <w:szCs w:val="18"/>
        </w:rPr>
        <w:t> Union</w:t>
      </w:r>
      <w:r w:rsidRPr="00564DB3">
        <w:rPr>
          <w:rFonts w:cs="Arial"/>
          <w:szCs w:val="18"/>
        </w:rPr>
        <w:t xml:space="preserve">, Japan, and Norway) made opening oral </w:t>
      </w:r>
      <w:r w:rsidRPr="00564DB3">
        <w:rPr>
          <w:rFonts w:cs="Arial"/>
          <w:szCs w:val="18"/>
        </w:rPr>
        <w:lastRenderedPageBreak/>
        <w:t>statements. The participants and third participants responded to questions posed by the Members of the Appellate</w:t>
      </w:r>
      <w:r w:rsidR="00025CB6" w:rsidRPr="00564DB3">
        <w:rPr>
          <w:rFonts w:cs="Arial"/>
          <w:szCs w:val="18"/>
        </w:rPr>
        <w:t> Body</w:t>
      </w:r>
      <w:r w:rsidRPr="00564DB3">
        <w:rPr>
          <w:rFonts w:cs="Arial"/>
          <w:szCs w:val="18"/>
        </w:rPr>
        <w:t xml:space="preserve"> Division hearing the appeal.</w:t>
      </w:r>
    </w:p>
    <w:p w:rsidR="00940CBB" w:rsidRPr="00564DB3" w:rsidRDefault="00940CBB" w:rsidP="00F70E38">
      <w:pPr>
        <w:pStyle w:val="Heading1"/>
        <w:rPr>
          <w:szCs w:val="18"/>
        </w:rPr>
      </w:pPr>
      <w:bookmarkStart w:id="28" w:name="_Toc528506742"/>
      <w:bookmarkStart w:id="29" w:name="_Toc528506907"/>
      <w:bookmarkStart w:id="30" w:name="_Toc531967459"/>
      <w:r w:rsidRPr="00564DB3">
        <w:rPr>
          <w:szCs w:val="18"/>
        </w:rPr>
        <w:t>Arguments of the Participants</w:t>
      </w:r>
      <w:bookmarkEnd w:id="28"/>
      <w:bookmarkEnd w:id="29"/>
      <w:bookmarkEnd w:id="30"/>
    </w:p>
    <w:p w:rsidR="00940CBB" w:rsidRPr="00564DB3" w:rsidRDefault="00940CBB" w:rsidP="00F70E38">
      <w:pPr>
        <w:pStyle w:val="BodyText"/>
        <w:numPr>
          <w:ilvl w:val="6"/>
          <w:numId w:val="10"/>
        </w:numPr>
        <w:rPr>
          <w:szCs w:val="18"/>
        </w:rPr>
      </w:pPr>
      <w:r w:rsidRPr="00564DB3">
        <w:rPr>
          <w:szCs w:val="18"/>
        </w:rPr>
        <w:t>The claims and arguments of the participants are reflected in the executive summaries of their written submissions provided to the Appellate</w:t>
      </w:r>
      <w:r w:rsidR="00025CB6" w:rsidRPr="00564DB3">
        <w:rPr>
          <w:szCs w:val="18"/>
        </w:rPr>
        <w:t> Body</w:t>
      </w:r>
      <w:r w:rsidRPr="00564DB3">
        <w:rPr>
          <w:szCs w:val="18"/>
        </w:rPr>
        <w:t>.</w:t>
      </w:r>
      <w:r w:rsidR="005B1CE4" w:rsidRPr="00564DB3">
        <w:rPr>
          <w:rStyle w:val="FootnoteReference"/>
          <w:szCs w:val="18"/>
        </w:rPr>
        <w:footnoteReference w:id="83"/>
      </w:r>
      <w:r w:rsidRPr="00564DB3">
        <w:rPr>
          <w:szCs w:val="18"/>
        </w:rPr>
        <w:t xml:space="preserve"> The Notice of Appeal and the executive summaries of the participants' claims and arguments are contained in Annexes A and B of the Addendum to th</w:t>
      </w:r>
      <w:r w:rsidR="00820C02" w:rsidRPr="00564DB3">
        <w:rPr>
          <w:szCs w:val="18"/>
        </w:rPr>
        <w:t>is</w:t>
      </w:r>
      <w:r w:rsidRPr="00564DB3">
        <w:rPr>
          <w:szCs w:val="18"/>
        </w:rPr>
        <w:t xml:space="preserve"> Report, WT/DS381/AB/RW/USA/Add.1, WT/DS381/AB/RW2/Add.1.</w:t>
      </w:r>
    </w:p>
    <w:p w:rsidR="00940CBB" w:rsidRPr="00564DB3" w:rsidRDefault="00940CBB" w:rsidP="00F70E38">
      <w:pPr>
        <w:pStyle w:val="Heading1"/>
        <w:rPr>
          <w:szCs w:val="18"/>
        </w:rPr>
      </w:pPr>
      <w:bookmarkStart w:id="31" w:name="_Toc528506743"/>
      <w:bookmarkStart w:id="32" w:name="_Toc528506908"/>
      <w:bookmarkStart w:id="33" w:name="_Toc531967460"/>
      <w:r w:rsidRPr="00564DB3">
        <w:rPr>
          <w:szCs w:val="18"/>
        </w:rPr>
        <w:t>Arguments of the Third Participants</w:t>
      </w:r>
      <w:bookmarkEnd w:id="31"/>
      <w:bookmarkEnd w:id="32"/>
      <w:bookmarkEnd w:id="33"/>
    </w:p>
    <w:p w:rsidR="00940CBB" w:rsidRPr="00564DB3" w:rsidRDefault="00940CBB" w:rsidP="00F70E38">
      <w:pPr>
        <w:pStyle w:val="BodyText"/>
        <w:numPr>
          <w:ilvl w:val="6"/>
          <w:numId w:val="11"/>
        </w:numPr>
        <w:rPr>
          <w:szCs w:val="18"/>
          <w:lang w:eastAsia="zh-CN"/>
        </w:rPr>
      </w:pPr>
      <w:r w:rsidRPr="00564DB3">
        <w:rPr>
          <w:szCs w:val="18"/>
        </w:rPr>
        <w:t>The arguments of the third participants that filed a written submission (Australia, Brazil, the European</w:t>
      </w:r>
      <w:r w:rsidR="00025CB6" w:rsidRPr="00564DB3">
        <w:rPr>
          <w:szCs w:val="18"/>
        </w:rPr>
        <w:t> Union</w:t>
      </w:r>
      <w:r w:rsidRPr="00564DB3">
        <w:rPr>
          <w:szCs w:val="18"/>
        </w:rPr>
        <w:t xml:space="preserve">, and Japan) are reflected in the executive summaries </w:t>
      </w:r>
      <w:r w:rsidRPr="00564DB3">
        <w:rPr>
          <w:szCs w:val="18"/>
          <w:lang w:eastAsia="zh-CN"/>
        </w:rPr>
        <w:t xml:space="preserve">of their written submissions </w:t>
      </w:r>
      <w:r w:rsidRPr="00564DB3">
        <w:rPr>
          <w:szCs w:val="18"/>
        </w:rPr>
        <w:t>provided to the Appellate</w:t>
      </w:r>
      <w:r w:rsidR="00025CB6" w:rsidRPr="00564DB3">
        <w:rPr>
          <w:szCs w:val="18"/>
        </w:rPr>
        <w:t> Body</w:t>
      </w:r>
      <w:r w:rsidR="005B1CE4" w:rsidRPr="00564DB3">
        <w:rPr>
          <w:rStyle w:val="FootnoteReference"/>
          <w:szCs w:val="18"/>
        </w:rPr>
        <w:footnoteReference w:id="84"/>
      </w:r>
      <w:r w:rsidRPr="00564DB3">
        <w:rPr>
          <w:szCs w:val="18"/>
        </w:rPr>
        <w:t xml:space="preserve"> and are contained in Annex C of the Addendum to th</w:t>
      </w:r>
      <w:r w:rsidR="00820C02" w:rsidRPr="00564DB3">
        <w:rPr>
          <w:szCs w:val="18"/>
        </w:rPr>
        <w:t>is</w:t>
      </w:r>
      <w:r w:rsidRPr="00564DB3">
        <w:rPr>
          <w:szCs w:val="18"/>
        </w:rPr>
        <w:t xml:space="preserve"> Report, WT/DS381/AB/RW/USA/Add.1, WT/DS381/AB/RW2/Add.1.</w:t>
      </w:r>
    </w:p>
    <w:p w:rsidR="00940CBB" w:rsidRPr="00564DB3" w:rsidRDefault="00940CBB" w:rsidP="00F70E38">
      <w:pPr>
        <w:pStyle w:val="Heading1"/>
        <w:rPr>
          <w:szCs w:val="18"/>
        </w:rPr>
      </w:pPr>
      <w:bookmarkStart w:id="34" w:name="_Toc528506744"/>
      <w:bookmarkStart w:id="35" w:name="_Toc528506909"/>
      <w:bookmarkStart w:id="36" w:name="_Toc531967461"/>
      <w:r w:rsidRPr="00564DB3">
        <w:rPr>
          <w:szCs w:val="18"/>
        </w:rPr>
        <w:t xml:space="preserve">Issues </w:t>
      </w:r>
      <w:r w:rsidR="00877026" w:rsidRPr="00564DB3">
        <w:rPr>
          <w:szCs w:val="18"/>
        </w:rPr>
        <w:t>raised in this a</w:t>
      </w:r>
      <w:r w:rsidRPr="00564DB3">
        <w:rPr>
          <w:szCs w:val="18"/>
        </w:rPr>
        <w:t>ppeal</w:t>
      </w:r>
      <w:bookmarkEnd w:id="34"/>
      <w:bookmarkEnd w:id="35"/>
      <w:bookmarkEnd w:id="36"/>
    </w:p>
    <w:p w:rsidR="00940CBB" w:rsidRPr="00564DB3" w:rsidRDefault="00940CBB" w:rsidP="00F70E38">
      <w:pPr>
        <w:pStyle w:val="BodyText"/>
        <w:numPr>
          <w:ilvl w:val="6"/>
          <w:numId w:val="12"/>
        </w:numPr>
        <w:rPr>
          <w:szCs w:val="18"/>
        </w:rPr>
      </w:pPr>
      <w:r w:rsidRPr="00564DB3">
        <w:rPr>
          <w:szCs w:val="18"/>
        </w:rPr>
        <w:t>The following issues are raised in this appeal:</w:t>
      </w:r>
    </w:p>
    <w:p w:rsidR="00940CBB" w:rsidRPr="00564DB3" w:rsidRDefault="006537C9" w:rsidP="00F70E38">
      <w:pPr>
        <w:pStyle w:val="BodyText2"/>
        <w:rPr>
          <w:szCs w:val="18"/>
        </w:rPr>
      </w:pPr>
      <w:r w:rsidRPr="00564DB3">
        <w:rPr>
          <w:szCs w:val="18"/>
        </w:rPr>
        <w:t>w</w:t>
      </w:r>
      <w:r w:rsidR="00940CBB" w:rsidRPr="00564DB3">
        <w:rPr>
          <w:szCs w:val="18"/>
        </w:rPr>
        <w:t xml:space="preserve">hether the Panels erred </w:t>
      </w:r>
      <w:r w:rsidR="00134A82" w:rsidRPr="00564DB3">
        <w:rPr>
          <w:szCs w:val="18"/>
        </w:rPr>
        <w:t>in</w:t>
      </w:r>
      <w:r w:rsidR="00940CBB" w:rsidRPr="00564DB3">
        <w:rPr>
          <w:szCs w:val="18"/>
        </w:rPr>
        <w:t xml:space="preserve"> finding that the 2016 Tuna Measure accords to Mexican tuna products treatment no less favourable than that accorded to like products originating in the </w:t>
      </w:r>
      <w:r w:rsidR="00083DFC" w:rsidRPr="00564DB3">
        <w:rPr>
          <w:szCs w:val="18"/>
        </w:rPr>
        <w:t>United States</w:t>
      </w:r>
      <w:r w:rsidR="00940CBB" w:rsidRPr="00564DB3">
        <w:rPr>
          <w:szCs w:val="18"/>
        </w:rPr>
        <w:t xml:space="preserve"> and other countries and is therefore consistent with </w:t>
      </w:r>
      <w:r w:rsidR="00083DFC" w:rsidRPr="00564DB3">
        <w:rPr>
          <w:szCs w:val="18"/>
        </w:rPr>
        <w:t>Article </w:t>
      </w:r>
      <w:r w:rsidR="00940CBB" w:rsidRPr="00564DB3">
        <w:rPr>
          <w:szCs w:val="18"/>
        </w:rPr>
        <w:t xml:space="preserve">2.1 of the </w:t>
      </w:r>
      <w:r w:rsidR="00083DFC" w:rsidRPr="00564DB3">
        <w:rPr>
          <w:szCs w:val="18"/>
        </w:rPr>
        <w:t>TBT Agreement</w:t>
      </w:r>
      <w:r w:rsidR="00640812" w:rsidRPr="00564DB3">
        <w:rPr>
          <w:szCs w:val="18"/>
        </w:rPr>
        <w:t>. Specifically, in determining whether the detrimental impact caused by the 2016 Tuna Measure stems exclusively from a legitimate regulatory distinction</w:t>
      </w:r>
      <w:r w:rsidR="00940CBB" w:rsidRPr="00564DB3">
        <w:rPr>
          <w:szCs w:val="18"/>
        </w:rPr>
        <w:t>, whether the Panels erred:</w:t>
      </w:r>
    </w:p>
    <w:p w:rsidR="00940CBB" w:rsidRPr="00564DB3" w:rsidRDefault="00940CBB" w:rsidP="00F70E38">
      <w:pPr>
        <w:pStyle w:val="BodyText3"/>
        <w:rPr>
          <w:szCs w:val="18"/>
        </w:rPr>
      </w:pPr>
      <w:r w:rsidRPr="00564DB3">
        <w:rPr>
          <w:szCs w:val="18"/>
        </w:rPr>
        <w:t xml:space="preserve">by failing to include risks relating to inaccurate labelling in their calibration analysis, and thereby failing to assess whether the regulatory distinctions under the 2016 Tuna Measure are rationally related to its objectives; </w:t>
      </w:r>
    </w:p>
    <w:p w:rsidR="00940CBB" w:rsidRPr="00564DB3" w:rsidRDefault="00940CBB" w:rsidP="00F70E38">
      <w:pPr>
        <w:pStyle w:val="BodyText3"/>
        <w:rPr>
          <w:szCs w:val="18"/>
        </w:rPr>
      </w:pPr>
      <w:r w:rsidRPr="00564DB3">
        <w:rPr>
          <w:szCs w:val="18"/>
        </w:rPr>
        <w:t xml:space="preserve">by failing to properly assess the risk profiles of different fishing methods and ocean areas </w:t>
      </w:r>
      <w:proofErr w:type="gramStart"/>
      <w:r w:rsidRPr="00564DB3">
        <w:rPr>
          <w:szCs w:val="18"/>
        </w:rPr>
        <w:t>for</w:t>
      </w:r>
      <w:r w:rsidR="00FF1995" w:rsidRPr="00564DB3">
        <w:rPr>
          <w:szCs w:val="18"/>
        </w:rPr>
        <w:t xml:space="preserve"> the purpose</w:t>
      </w:r>
      <w:r w:rsidRPr="00564DB3">
        <w:rPr>
          <w:szCs w:val="18"/>
        </w:rPr>
        <w:t xml:space="preserve"> of</w:t>
      </w:r>
      <w:proofErr w:type="gramEnd"/>
      <w:r w:rsidRPr="00564DB3">
        <w:rPr>
          <w:szCs w:val="18"/>
        </w:rPr>
        <w:t xml:space="preserve"> their calibration analysis; and</w:t>
      </w:r>
    </w:p>
    <w:p w:rsidR="00940CBB" w:rsidRPr="00564DB3" w:rsidRDefault="00896E5E" w:rsidP="00F70E38">
      <w:pPr>
        <w:pStyle w:val="BodyText3"/>
        <w:rPr>
          <w:szCs w:val="18"/>
        </w:rPr>
      </w:pPr>
      <w:r w:rsidRPr="00564DB3">
        <w:rPr>
          <w:szCs w:val="18"/>
        </w:rPr>
        <w:t>by</w:t>
      </w:r>
      <w:r w:rsidR="00940CBB" w:rsidRPr="00564DB3">
        <w:rPr>
          <w:szCs w:val="18"/>
        </w:rPr>
        <w:t xml:space="preserve"> finding that the </w:t>
      </w:r>
      <w:r w:rsidR="00230919" w:rsidRPr="00564DB3">
        <w:rPr>
          <w:szCs w:val="18"/>
        </w:rPr>
        <w:t xml:space="preserve">individual components of </w:t>
      </w:r>
      <w:r w:rsidR="00940CBB" w:rsidRPr="00564DB3">
        <w:rPr>
          <w:szCs w:val="18"/>
        </w:rPr>
        <w:t>the 2016 Tuna Measure (i.e. the eligibility criteria; the certification requirements; and the tracking and verification requirements), as well as the 2016 Tuna Measure as a whole, are calibrated to the risks to dolphins arising from the use of different fishing methods in different ocean areas</w:t>
      </w:r>
      <w:r w:rsidR="009F5B37" w:rsidRPr="00564DB3">
        <w:rPr>
          <w:szCs w:val="18"/>
        </w:rPr>
        <w:t>;</w:t>
      </w:r>
    </w:p>
    <w:p w:rsidR="00940CBB" w:rsidRPr="00564DB3" w:rsidRDefault="006537C9" w:rsidP="00F70E38">
      <w:pPr>
        <w:pStyle w:val="BodyText2"/>
        <w:rPr>
          <w:szCs w:val="18"/>
        </w:rPr>
      </w:pPr>
      <w:r w:rsidRPr="00564DB3">
        <w:rPr>
          <w:szCs w:val="18"/>
        </w:rPr>
        <w:t>w</w:t>
      </w:r>
      <w:r w:rsidR="00940CBB" w:rsidRPr="00564DB3">
        <w:rPr>
          <w:szCs w:val="18"/>
        </w:rPr>
        <w:t xml:space="preserve">hether the Panels erred </w:t>
      </w:r>
      <w:r w:rsidR="00134A82" w:rsidRPr="00564DB3">
        <w:rPr>
          <w:szCs w:val="18"/>
        </w:rPr>
        <w:t>in</w:t>
      </w:r>
      <w:r w:rsidR="00940CBB" w:rsidRPr="00564DB3">
        <w:rPr>
          <w:szCs w:val="18"/>
        </w:rPr>
        <w:t xml:space="preserve"> finding that the 2016 Tuna Measure is not applied in a manner that constitutes "a means of arbitrary or unjustifiable discrimination between countries where the same conditions prevail" and is therefore justified under </w:t>
      </w:r>
      <w:r w:rsidR="00083DFC" w:rsidRPr="00564DB3">
        <w:rPr>
          <w:szCs w:val="18"/>
        </w:rPr>
        <w:t>Article </w:t>
      </w:r>
      <w:r w:rsidR="00940CBB" w:rsidRPr="00564DB3">
        <w:rPr>
          <w:szCs w:val="18"/>
        </w:rPr>
        <w:t>XX of the GATT 1994</w:t>
      </w:r>
      <w:r w:rsidRPr="00564DB3">
        <w:rPr>
          <w:szCs w:val="18"/>
        </w:rPr>
        <w:t xml:space="preserve">; and </w:t>
      </w:r>
    </w:p>
    <w:p w:rsidR="00940CBB" w:rsidRPr="00564DB3" w:rsidRDefault="006537C9" w:rsidP="00F70E38">
      <w:pPr>
        <w:pStyle w:val="BodyText2"/>
        <w:rPr>
          <w:szCs w:val="18"/>
        </w:rPr>
      </w:pPr>
      <w:r w:rsidRPr="00564DB3">
        <w:rPr>
          <w:szCs w:val="18"/>
        </w:rPr>
        <w:t>w</w:t>
      </w:r>
      <w:r w:rsidR="00940CBB" w:rsidRPr="00564DB3">
        <w:rPr>
          <w:szCs w:val="18"/>
        </w:rPr>
        <w:t xml:space="preserve">hether the Panels erred </w:t>
      </w:r>
      <w:r w:rsidR="00896E5E" w:rsidRPr="00564DB3">
        <w:rPr>
          <w:szCs w:val="18"/>
        </w:rPr>
        <w:t>in finding</w:t>
      </w:r>
      <w:r w:rsidR="00940CBB" w:rsidRPr="00564DB3">
        <w:rPr>
          <w:szCs w:val="18"/>
        </w:rPr>
        <w:t xml:space="preserve"> that they had the authority to conduct a partially open meeting of the parties without the consent of both parties.</w:t>
      </w:r>
    </w:p>
    <w:p w:rsidR="00940CBB" w:rsidRPr="00564DB3" w:rsidRDefault="00940CBB" w:rsidP="00F70E38">
      <w:pPr>
        <w:pStyle w:val="Heading1"/>
        <w:rPr>
          <w:szCs w:val="18"/>
        </w:rPr>
      </w:pPr>
      <w:bookmarkStart w:id="37" w:name="_Toc531967462"/>
      <w:r w:rsidRPr="00564DB3">
        <w:rPr>
          <w:szCs w:val="18"/>
        </w:rPr>
        <w:t>Background and measure at issue</w:t>
      </w:r>
      <w:bookmarkEnd w:id="37"/>
    </w:p>
    <w:p w:rsidR="00940CBB" w:rsidRPr="00564DB3" w:rsidRDefault="00940CBB" w:rsidP="00F70E38">
      <w:pPr>
        <w:pStyle w:val="BodyText"/>
        <w:numPr>
          <w:ilvl w:val="6"/>
          <w:numId w:val="13"/>
        </w:numPr>
        <w:rPr>
          <w:rFonts w:cs="Arial"/>
          <w:szCs w:val="18"/>
        </w:rPr>
      </w:pPr>
      <w:r w:rsidRPr="00564DB3">
        <w:rPr>
          <w:rFonts w:cs="Arial"/>
          <w:szCs w:val="18"/>
        </w:rPr>
        <w:t xml:space="preserve">These compliance proceedings represent the third time that the dispute between Mexico and the </w:t>
      </w:r>
      <w:r w:rsidR="00083DFC" w:rsidRPr="00564DB3">
        <w:rPr>
          <w:rFonts w:cs="Arial"/>
          <w:szCs w:val="18"/>
        </w:rPr>
        <w:t>United States</w:t>
      </w:r>
      <w:r w:rsidRPr="00564DB3">
        <w:rPr>
          <w:rFonts w:cs="Arial"/>
          <w:szCs w:val="18"/>
        </w:rPr>
        <w:t xml:space="preserve"> over the WTO</w:t>
      </w:r>
      <w:r w:rsidRPr="00564DB3">
        <w:rPr>
          <w:rFonts w:cs="Arial"/>
          <w:szCs w:val="18"/>
        </w:rPr>
        <w:noBreakHyphen/>
        <w:t xml:space="preserve">consistency of the </w:t>
      </w:r>
      <w:r w:rsidR="00083DFC" w:rsidRPr="00564DB3">
        <w:rPr>
          <w:rFonts w:cs="Arial"/>
          <w:szCs w:val="18"/>
        </w:rPr>
        <w:t>United States</w:t>
      </w:r>
      <w:r w:rsidR="005E6650" w:rsidRPr="00564DB3">
        <w:rPr>
          <w:rFonts w:cs="Arial"/>
          <w:szCs w:val="18"/>
        </w:rPr>
        <w:t>' labelling regime for dolphin-safe</w:t>
      </w:r>
      <w:r w:rsidRPr="00564DB3">
        <w:rPr>
          <w:rFonts w:cs="Arial"/>
          <w:szCs w:val="18"/>
        </w:rPr>
        <w:t xml:space="preserve"> tuna products is before us. As the Appellate</w:t>
      </w:r>
      <w:r w:rsidR="00025CB6" w:rsidRPr="00564DB3">
        <w:rPr>
          <w:rFonts w:cs="Arial"/>
          <w:szCs w:val="18"/>
        </w:rPr>
        <w:t> Body</w:t>
      </w:r>
      <w:r w:rsidRPr="00564DB3">
        <w:rPr>
          <w:rFonts w:cs="Arial"/>
          <w:szCs w:val="18"/>
        </w:rPr>
        <w:t xml:space="preserve"> in the first compliance proceedings described, </w:t>
      </w:r>
      <w:r w:rsidRPr="00564DB3">
        <w:rPr>
          <w:rFonts w:cs="Arial"/>
          <w:szCs w:val="18"/>
        </w:rPr>
        <w:lastRenderedPageBreak/>
        <w:t>commercial tuna fishing can have harmful effects on marine mammals, including dolphins, and these effects may vary depending on factors such as the method of fishing used, the size of the fishing vessel, and the area of the ocean in which the vessel engages in tuna fishing.</w:t>
      </w:r>
      <w:r w:rsidR="00B54727" w:rsidRPr="00564DB3">
        <w:rPr>
          <w:rStyle w:val="FootnoteReference"/>
          <w:rFonts w:cs="Arial"/>
          <w:szCs w:val="18"/>
        </w:rPr>
        <w:footnoteReference w:id="85"/>
      </w:r>
      <w:r w:rsidRPr="00564DB3">
        <w:rPr>
          <w:rFonts w:cs="Arial"/>
          <w:szCs w:val="18"/>
        </w:rPr>
        <w:t xml:space="preserve"> As we describe below, the </w:t>
      </w:r>
      <w:r w:rsidR="00083DFC" w:rsidRPr="00564DB3">
        <w:rPr>
          <w:rFonts w:cs="Arial"/>
          <w:szCs w:val="18"/>
        </w:rPr>
        <w:t>United States</w:t>
      </w:r>
      <w:r w:rsidRPr="00564DB3">
        <w:rPr>
          <w:rFonts w:cs="Arial"/>
          <w:szCs w:val="18"/>
        </w:rPr>
        <w:t xml:space="preserve"> has undertaken certain domestic measures, and participated in certain multilateral initiatives, aimed at reducing the adverse effects on dolphins associated with commercial fishing operations.</w:t>
      </w:r>
    </w:p>
    <w:p w:rsidR="00940CBB" w:rsidRPr="00564DB3" w:rsidRDefault="00940CBB" w:rsidP="00F70E38">
      <w:pPr>
        <w:pStyle w:val="Heading2"/>
        <w:numPr>
          <w:ilvl w:val="1"/>
          <w:numId w:val="14"/>
        </w:numPr>
        <w:rPr>
          <w:szCs w:val="18"/>
        </w:rPr>
      </w:pPr>
      <w:bookmarkStart w:id="38" w:name="_Toc526264038"/>
      <w:bookmarkStart w:id="39" w:name="_Toc531967463"/>
      <w:r w:rsidRPr="00564DB3">
        <w:rPr>
          <w:szCs w:val="18"/>
        </w:rPr>
        <w:t>US participation in multilateral initiatives</w:t>
      </w:r>
      <w:bookmarkEnd w:id="38"/>
      <w:bookmarkEnd w:id="39"/>
    </w:p>
    <w:p w:rsidR="00940CBB" w:rsidRPr="00564DB3" w:rsidRDefault="00940CBB" w:rsidP="00F70E38">
      <w:pPr>
        <w:pStyle w:val="BodyText"/>
        <w:rPr>
          <w:rFonts w:cs="Arial"/>
          <w:szCs w:val="18"/>
        </w:rPr>
      </w:pPr>
      <w:bookmarkStart w:id="40" w:name="_Ref529195170"/>
      <w:r w:rsidRPr="00564DB3">
        <w:rPr>
          <w:rFonts w:cs="Arial"/>
          <w:szCs w:val="18"/>
        </w:rPr>
        <w:t xml:space="preserve">The </w:t>
      </w:r>
      <w:r w:rsidR="00083DFC" w:rsidRPr="00564DB3">
        <w:rPr>
          <w:rFonts w:cs="Arial"/>
          <w:szCs w:val="18"/>
        </w:rPr>
        <w:t>United States</w:t>
      </w:r>
      <w:r w:rsidRPr="00564DB3">
        <w:rPr>
          <w:rFonts w:cs="Arial"/>
          <w:szCs w:val="18"/>
        </w:rPr>
        <w:t xml:space="preserve"> and Mexico are parties to the A</w:t>
      </w:r>
      <w:r w:rsidR="00B73EE5" w:rsidRPr="00564DB3">
        <w:rPr>
          <w:rFonts w:cs="Arial"/>
          <w:szCs w:val="18"/>
        </w:rPr>
        <w:t>IDCP</w:t>
      </w:r>
      <w:r w:rsidRPr="00564DB3">
        <w:rPr>
          <w:rFonts w:cs="Arial"/>
          <w:szCs w:val="18"/>
        </w:rPr>
        <w:t>, which entered into force in Februar</w:t>
      </w:r>
      <w:r w:rsidR="00A32B91">
        <w:rPr>
          <w:rFonts w:cs="Arial"/>
          <w:szCs w:val="18"/>
        </w:rPr>
        <w:t>y </w:t>
      </w:r>
      <w:r w:rsidRPr="00564DB3">
        <w:rPr>
          <w:rFonts w:cs="Arial"/>
          <w:szCs w:val="18"/>
        </w:rPr>
        <w:t>1999.</w:t>
      </w:r>
      <w:r w:rsidR="005B1CE4" w:rsidRPr="00564DB3">
        <w:rPr>
          <w:rStyle w:val="FootnoteReference"/>
          <w:rFonts w:cs="Arial"/>
          <w:szCs w:val="18"/>
        </w:rPr>
        <w:footnoteReference w:id="86"/>
      </w:r>
      <w:r w:rsidRPr="00564DB3">
        <w:rPr>
          <w:rFonts w:cs="Arial"/>
          <w:szCs w:val="18"/>
        </w:rPr>
        <w:t xml:space="preserve"> The AIDCP, administered by the Inter</w:t>
      </w:r>
      <w:r w:rsidRPr="00564DB3">
        <w:rPr>
          <w:rFonts w:cs="Arial"/>
          <w:szCs w:val="18"/>
        </w:rPr>
        <w:noBreakHyphen/>
        <w:t xml:space="preserve">American Tropical Tuna Commission (IATTC), addresses a </w:t>
      </w:r>
      <w:proofErr w:type="gramStart"/>
      <w:r w:rsidRPr="00564DB3">
        <w:rPr>
          <w:rFonts w:cs="Arial"/>
          <w:szCs w:val="18"/>
        </w:rPr>
        <w:t>particular tuna-fishing</w:t>
      </w:r>
      <w:proofErr w:type="gramEnd"/>
      <w:r w:rsidRPr="00564DB3">
        <w:rPr>
          <w:rFonts w:cs="Arial"/>
          <w:szCs w:val="18"/>
        </w:rPr>
        <w:t xml:space="preserve"> method (purse seine fishing) in a specific area of the ocean, namely the Eastern Tropical Pacific (ETP).</w:t>
      </w:r>
      <w:r w:rsidR="005B1CE4" w:rsidRPr="00564DB3">
        <w:rPr>
          <w:rStyle w:val="FootnoteReference"/>
          <w:rFonts w:cs="Arial"/>
          <w:szCs w:val="18"/>
        </w:rPr>
        <w:footnoteReference w:id="87"/>
      </w:r>
      <w:bookmarkEnd w:id="40"/>
    </w:p>
    <w:p w:rsidR="00940CBB" w:rsidRPr="00564DB3" w:rsidRDefault="00940CBB" w:rsidP="00F70E38">
      <w:pPr>
        <w:pStyle w:val="BodyText"/>
        <w:rPr>
          <w:rFonts w:cs="Arial"/>
          <w:szCs w:val="18"/>
        </w:rPr>
      </w:pPr>
      <w:r w:rsidRPr="00564DB3">
        <w:rPr>
          <w:rFonts w:cs="Arial"/>
          <w:szCs w:val="18"/>
        </w:rPr>
        <w:t>As the original panel described, there is a regular association between tuna and dolphins in the ETP, meaning that schools of tuna tend to aggregate and swim beneath certain species of dolphins.</w:t>
      </w:r>
      <w:r w:rsidR="005B1CE4" w:rsidRPr="00564DB3">
        <w:rPr>
          <w:rStyle w:val="FootnoteReference"/>
          <w:rFonts w:cs="Arial"/>
          <w:szCs w:val="18"/>
        </w:rPr>
        <w:footnoteReference w:id="88"/>
      </w:r>
      <w:r w:rsidRPr="00564DB3">
        <w:rPr>
          <w:szCs w:val="18"/>
        </w:rPr>
        <w:t xml:space="preserve"> Certain vessels operating in this area em</w:t>
      </w:r>
      <w:r w:rsidR="00C045BF" w:rsidRPr="00564DB3">
        <w:rPr>
          <w:szCs w:val="18"/>
        </w:rPr>
        <w:t xml:space="preserve">ploy a fishing method known as </w:t>
      </w:r>
      <w:r w:rsidRPr="00564DB3">
        <w:rPr>
          <w:szCs w:val="18"/>
        </w:rPr>
        <w:t xml:space="preserve">setting on dolphins, which takes advantage of this association. This fishing method involves chasing and encircling the dolphins with a purse seine net </w:t>
      </w:r>
      <w:proofErr w:type="gramStart"/>
      <w:r w:rsidRPr="00564DB3">
        <w:rPr>
          <w:szCs w:val="18"/>
        </w:rPr>
        <w:t>in order to</w:t>
      </w:r>
      <w:proofErr w:type="gramEnd"/>
      <w:r w:rsidRPr="00564DB3">
        <w:rPr>
          <w:szCs w:val="18"/>
        </w:rPr>
        <w:t xml:space="preserve"> catch the tuna swimming beneath the</w:t>
      </w:r>
      <w:r w:rsidR="00C045BF" w:rsidRPr="00564DB3">
        <w:rPr>
          <w:szCs w:val="18"/>
        </w:rPr>
        <w:t>m</w:t>
      </w:r>
      <w:r w:rsidRPr="00564DB3">
        <w:rPr>
          <w:szCs w:val="18"/>
        </w:rPr>
        <w:t>.</w:t>
      </w:r>
      <w:r w:rsidR="005B1CE4" w:rsidRPr="00564DB3">
        <w:rPr>
          <w:rStyle w:val="FootnoteReference"/>
          <w:szCs w:val="18"/>
        </w:rPr>
        <w:footnoteReference w:id="89"/>
      </w:r>
      <w:r w:rsidRPr="00564DB3">
        <w:rPr>
          <w:szCs w:val="18"/>
        </w:rPr>
        <w:t xml:space="preserve"> The ETP is a "traditional fishing ground" for Mexico, and its tuna fleet operates almost exclusively therein using the method of setting on dolphins.</w:t>
      </w:r>
      <w:r w:rsidR="005B1CE4" w:rsidRPr="00564DB3">
        <w:rPr>
          <w:rStyle w:val="FootnoteReference"/>
          <w:szCs w:val="18"/>
        </w:rPr>
        <w:footnoteReference w:id="90"/>
      </w:r>
    </w:p>
    <w:p w:rsidR="00940CBB" w:rsidRPr="00564DB3" w:rsidRDefault="00940CBB" w:rsidP="00F70E38">
      <w:pPr>
        <w:pStyle w:val="BodyText"/>
        <w:rPr>
          <w:rFonts w:cs="Arial"/>
          <w:szCs w:val="18"/>
        </w:rPr>
      </w:pPr>
      <w:r w:rsidRPr="00564DB3">
        <w:rPr>
          <w:rFonts w:cs="Arial"/>
          <w:szCs w:val="18"/>
        </w:rPr>
        <w:t xml:space="preserve">As the original panel noted, </w:t>
      </w:r>
      <w:r w:rsidRPr="00564DB3">
        <w:rPr>
          <w:szCs w:val="18"/>
        </w:rPr>
        <w:t>the AIDCP was negotiated in response to evidence that many dolphins were dying in the ETP each year</w:t>
      </w:r>
      <w:r w:rsidR="005B1CE4" w:rsidRPr="00564DB3">
        <w:rPr>
          <w:rStyle w:val="FootnoteReference"/>
          <w:szCs w:val="18"/>
        </w:rPr>
        <w:footnoteReference w:id="91"/>
      </w:r>
      <w:r w:rsidRPr="00564DB3">
        <w:rPr>
          <w:szCs w:val="18"/>
        </w:rPr>
        <w:t xml:space="preserve"> and is recognized to have made an important contribution to dolphin protection and to the dramatic reduction of observed dolphin mortality in the ETP.</w:t>
      </w:r>
      <w:r w:rsidR="005B1CE4" w:rsidRPr="00564DB3">
        <w:rPr>
          <w:rStyle w:val="FootnoteReference"/>
          <w:szCs w:val="18"/>
        </w:rPr>
        <w:footnoteReference w:id="92"/>
      </w:r>
      <w:r w:rsidRPr="00564DB3">
        <w:rPr>
          <w:szCs w:val="18"/>
        </w:rPr>
        <w:t xml:space="preserve"> The AIDCP regulates the fishing methods of purse seine vessels in the ETP according to the size of the vessel, by prohibiting small purse seine vessels from setting on dolphins and permitting large purse seine vessels to set on dolphins only within specified dolphin mortality limits (DMLs), and subject to a number of requirements.</w:t>
      </w:r>
      <w:bookmarkStart w:id="42" w:name="_Ref529970426"/>
      <w:r w:rsidR="005B1CE4" w:rsidRPr="00564DB3">
        <w:rPr>
          <w:rStyle w:val="FootnoteReference"/>
          <w:szCs w:val="18"/>
        </w:rPr>
        <w:footnoteReference w:id="93"/>
      </w:r>
      <w:bookmarkEnd w:id="42"/>
    </w:p>
    <w:p w:rsidR="00940CBB" w:rsidRPr="00564DB3" w:rsidRDefault="00D500D9" w:rsidP="00F70E38">
      <w:pPr>
        <w:pStyle w:val="BodyText"/>
        <w:rPr>
          <w:rFonts w:cs="Arial"/>
          <w:szCs w:val="18"/>
        </w:rPr>
      </w:pPr>
      <w:bookmarkStart w:id="43" w:name="_Ref528588044"/>
      <w:r w:rsidRPr="00564DB3">
        <w:rPr>
          <w:rFonts w:cs="Arial"/>
          <w:szCs w:val="18"/>
        </w:rPr>
        <w:t xml:space="preserve">The AIDCP establishes a </w:t>
      </w:r>
      <w:r w:rsidR="00940CBB" w:rsidRPr="00564DB3">
        <w:rPr>
          <w:rFonts w:cs="Arial"/>
          <w:szCs w:val="18"/>
        </w:rPr>
        <w:t>dolphin</w:t>
      </w:r>
      <w:r w:rsidR="00940CBB" w:rsidRPr="00564DB3">
        <w:rPr>
          <w:rFonts w:cs="Arial"/>
          <w:szCs w:val="18"/>
        </w:rPr>
        <w:noBreakHyphen/>
        <w:t>safe scheme for the ETP that is separate from the US domestic scheme.</w:t>
      </w:r>
      <w:r w:rsidR="005B1CE4" w:rsidRPr="00564DB3">
        <w:rPr>
          <w:rStyle w:val="FootnoteReference"/>
          <w:rFonts w:cs="Arial"/>
          <w:szCs w:val="18"/>
        </w:rPr>
        <w:footnoteReference w:id="94"/>
      </w:r>
      <w:r w:rsidR="00940CBB" w:rsidRPr="00564DB3">
        <w:rPr>
          <w:rFonts w:cs="Arial"/>
          <w:szCs w:val="18"/>
        </w:rPr>
        <w:t xml:space="preserve"> Under the AIDCP, "</w:t>
      </w:r>
      <w:r w:rsidR="00940CBB" w:rsidRPr="00564DB3">
        <w:rPr>
          <w:rFonts w:cs="Arial"/>
          <w:i/>
          <w:szCs w:val="18"/>
        </w:rPr>
        <w:t>dolphin-safe</w:t>
      </w:r>
      <w:r w:rsidR="00940CBB" w:rsidRPr="00564DB3">
        <w:rPr>
          <w:rFonts w:cs="Arial"/>
          <w:szCs w:val="18"/>
        </w:rPr>
        <w:t xml:space="preserve"> tuna" is a term that is used to describe "tuna captured in sets in which there is no mortality or serious injury of dolphins".</w:t>
      </w:r>
      <w:bookmarkEnd w:id="43"/>
      <w:r w:rsidR="005B1CE4" w:rsidRPr="00564DB3">
        <w:rPr>
          <w:rStyle w:val="FootnoteReference"/>
          <w:rFonts w:cs="Arial"/>
          <w:szCs w:val="18"/>
        </w:rPr>
        <w:footnoteReference w:id="95"/>
      </w:r>
    </w:p>
    <w:p w:rsidR="00940CBB" w:rsidRPr="00564DB3" w:rsidRDefault="00940CBB" w:rsidP="00F70E38">
      <w:pPr>
        <w:pStyle w:val="Heading2"/>
        <w:rPr>
          <w:szCs w:val="18"/>
        </w:rPr>
      </w:pPr>
      <w:bookmarkStart w:id="44" w:name="_Toc526264039"/>
      <w:bookmarkStart w:id="45" w:name="_Toc531967464"/>
      <w:r w:rsidRPr="00564DB3">
        <w:rPr>
          <w:szCs w:val="18"/>
        </w:rPr>
        <w:lastRenderedPageBreak/>
        <w:t>US domestic dolphin</w:t>
      </w:r>
      <w:r w:rsidRPr="00564DB3">
        <w:rPr>
          <w:szCs w:val="18"/>
        </w:rPr>
        <w:noBreakHyphen/>
        <w:t xml:space="preserve">safe labelling regime: the measure at issue and its evolution over the course of the </w:t>
      </w:r>
      <w:r w:rsidRPr="00564DB3">
        <w:rPr>
          <w:i/>
          <w:szCs w:val="18"/>
        </w:rPr>
        <w:t>Tuna II</w:t>
      </w:r>
      <w:r w:rsidRPr="00564DB3">
        <w:rPr>
          <w:szCs w:val="18"/>
        </w:rPr>
        <w:t xml:space="preserve"> dispute</w:t>
      </w:r>
      <w:bookmarkEnd w:id="44"/>
      <w:bookmarkEnd w:id="45"/>
    </w:p>
    <w:p w:rsidR="00940CBB" w:rsidRPr="00564DB3" w:rsidRDefault="00940CBB" w:rsidP="00F70E38">
      <w:pPr>
        <w:pStyle w:val="BodyText"/>
        <w:rPr>
          <w:rFonts w:cs="Arial"/>
          <w:szCs w:val="18"/>
        </w:rPr>
      </w:pPr>
      <w:r w:rsidRPr="00564DB3">
        <w:rPr>
          <w:rFonts w:cs="Arial"/>
          <w:szCs w:val="18"/>
        </w:rPr>
        <w:t>As indicated in</w:t>
      </w:r>
      <w:r w:rsidR="00C6060F">
        <w:rPr>
          <w:rFonts w:cs="Arial"/>
          <w:szCs w:val="18"/>
        </w:rPr>
        <w:t xml:space="preserve"> para. 1.15</w:t>
      </w:r>
      <w:r w:rsidR="009629D6" w:rsidRPr="00564DB3">
        <w:rPr>
          <w:rFonts w:cs="Arial"/>
          <w:szCs w:val="18"/>
        </w:rPr>
        <w:t xml:space="preserve"> </w:t>
      </w:r>
      <w:r w:rsidRPr="00564DB3">
        <w:rPr>
          <w:rFonts w:cs="Arial"/>
          <w:szCs w:val="18"/>
        </w:rPr>
        <w:t>above, the Panels described the 2016 Tuna Measure (the measure at issue in these compliance proceedings) as consisting of the following three elements "on which both parties agree, and to which both parties</w:t>
      </w:r>
      <w:r w:rsidR="00B54727" w:rsidRPr="00564DB3">
        <w:rPr>
          <w:rFonts w:cs="Arial"/>
          <w:szCs w:val="18"/>
        </w:rPr>
        <w:t>' claims and arguments pertain"</w:t>
      </w:r>
      <w:r w:rsidR="005B1CE4" w:rsidRPr="00564DB3">
        <w:rPr>
          <w:rStyle w:val="FootnoteReference"/>
          <w:rFonts w:cs="Arial"/>
          <w:szCs w:val="18"/>
        </w:rPr>
        <w:footnoteReference w:id="96"/>
      </w:r>
      <w:r w:rsidR="00B54727" w:rsidRPr="00564DB3">
        <w:rPr>
          <w:rFonts w:cs="Arial"/>
          <w:szCs w:val="18"/>
        </w:rPr>
        <w:t>:</w:t>
      </w:r>
    </w:p>
    <w:p w:rsidR="00940CBB" w:rsidRPr="00564DB3" w:rsidRDefault="00940CBB" w:rsidP="00F70E38">
      <w:pPr>
        <w:pStyle w:val="BodyText2"/>
        <w:rPr>
          <w:rFonts w:cs="Arial"/>
          <w:szCs w:val="18"/>
        </w:rPr>
      </w:pPr>
      <w:r w:rsidRPr="00564DB3">
        <w:rPr>
          <w:rFonts w:cs="Arial"/>
          <w:szCs w:val="18"/>
        </w:rPr>
        <w:t>the DPCIA;</w:t>
      </w:r>
    </w:p>
    <w:p w:rsidR="00940CBB" w:rsidRPr="00564DB3" w:rsidRDefault="00940CBB" w:rsidP="00F70E38">
      <w:pPr>
        <w:pStyle w:val="BodyText2"/>
        <w:rPr>
          <w:rFonts w:cs="Arial"/>
          <w:szCs w:val="18"/>
        </w:rPr>
      </w:pPr>
      <w:r w:rsidRPr="00564DB3">
        <w:rPr>
          <w:szCs w:val="18"/>
        </w:rPr>
        <w:t xml:space="preserve">Subpart H of Part 216 of CFR Title 50 (Dolphin Safe Tuna </w:t>
      </w:r>
      <w:proofErr w:type="spellStart"/>
      <w:r w:rsidRPr="00564DB3">
        <w:rPr>
          <w:szCs w:val="18"/>
        </w:rPr>
        <w:t>Labeling</w:t>
      </w:r>
      <w:proofErr w:type="spellEnd"/>
      <w:r w:rsidRPr="00564DB3">
        <w:rPr>
          <w:szCs w:val="18"/>
        </w:rPr>
        <w:t>), as amended by the Enhanced Document Requirements to Support Use of the Dolphin Safe Label on Tuna Products, 78 Fed. Reg. 40,997 (9</w:t>
      </w:r>
      <w:r w:rsidR="00B73EE5" w:rsidRPr="00564DB3">
        <w:rPr>
          <w:szCs w:val="18"/>
        </w:rPr>
        <w:t> </w:t>
      </w:r>
      <w:r w:rsidRPr="00564DB3">
        <w:rPr>
          <w:szCs w:val="18"/>
        </w:rPr>
        <w:t>July</w:t>
      </w:r>
      <w:r w:rsidR="00B73EE5" w:rsidRPr="00564DB3">
        <w:rPr>
          <w:szCs w:val="18"/>
        </w:rPr>
        <w:t> </w:t>
      </w:r>
      <w:r w:rsidRPr="00564DB3">
        <w:rPr>
          <w:szCs w:val="18"/>
        </w:rPr>
        <w:t xml:space="preserve">2013) (2013 Rule) and the Enhanced Document Requirements and Captain Training Requirements to Support Use of the Dolphin Safe Label on Tuna Products, 81 Fed. Reg. 15,444 (23 March 2016) (2016 Rule) (collectively, the 2016 implementing regulations); and </w:t>
      </w:r>
    </w:p>
    <w:p w:rsidR="00940CBB" w:rsidRPr="00564DB3" w:rsidRDefault="00940CBB" w:rsidP="00F70E38">
      <w:pPr>
        <w:pStyle w:val="BodyText2"/>
        <w:rPr>
          <w:rFonts w:cs="Arial"/>
          <w:szCs w:val="18"/>
        </w:rPr>
      </w:pPr>
      <w:r w:rsidRPr="00564DB3">
        <w:rPr>
          <w:szCs w:val="18"/>
        </w:rPr>
        <w:t xml:space="preserve">the </w:t>
      </w:r>
      <w:r w:rsidRPr="00564DB3">
        <w:rPr>
          <w:i/>
          <w:iCs/>
          <w:szCs w:val="18"/>
        </w:rPr>
        <w:t>Hogarth</w:t>
      </w:r>
      <w:r w:rsidRPr="00564DB3">
        <w:rPr>
          <w:szCs w:val="18"/>
        </w:rPr>
        <w:t xml:space="preserve"> ruling.</w:t>
      </w:r>
      <w:r w:rsidR="005B1CE4" w:rsidRPr="00564DB3">
        <w:rPr>
          <w:rStyle w:val="FootnoteReference"/>
          <w:szCs w:val="18"/>
        </w:rPr>
        <w:footnoteReference w:id="97"/>
      </w:r>
    </w:p>
    <w:p w:rsidR="00940CBB" w:rsidRPr="00564DB3" w:rsidRDefault="00940CBB" w:rsidP="00F70E38">
      <w:pPr>
        <w:pStyle w:val="BodyText"/>
        <w:rPr>
          <w:rFonts w:cs="Arial"/>
          <w:szCs w:val="18"/>
        </w:rPr>
      </w:pPr>
      <w:r w:rsidRPr="00564DB3">
        <w:rPr>
          <w:szCs w:val="18"/>
        </w:rPr>
        <w:t xml:space="preserve">On appeal, Mexico does not challenge the Panels' definition of the 2016 Tuna Measure. Consequently, </w:t>
      </w:r>
      <w:proofErr w:type="gramStart"/>
      <w:r w:rsidR="00FF1995" w:rsidRPr="00564DB3">
        <w:rPr>
          <w:szCs w:val="18"/>
        </w:rPr>
        <w:t>for the purpose of</w:t>
      </w:r>
      <w:proofErr w:type="gramEnd"/>
      <w:r w:rsidR="00FF1995" w:rsidRPr="00564DB3">
        <w:rPr>
          <w:szCs w:val="18"/>
        </w:rPr>
        <w:t xml:space="preserve"> </w:t>
      </w:r>
      <w:r w:rsidRPr="00564DB3">
        <w:rPr>
          <w:szCs w:val="18"/>
        </w:rPr>
        <w:t xml:space="preserve">these appellate proceedings, we too understand the 2016 Tuna Measure to comprise </w:t>
      </w:r>
      <w:r w:rsidRPr="00564DB3">
        <w:rPr>
          <w:rFonts w:cs="Arial"/>
          <w:szCs w:val="18"/>
        </w:rPr>
        <w:t>the above instruments.</w:t>
      </w:r>
    </w:p>
    <w:p w:rsidR="00940CBB" w:rsidRPr="00564DB3" w:rsidRDefault="00940CBB" w:rsidP="00F70E38">
      <w:pPr>
        <w:pStyle w:val="BodyText"/>
        <w:rPr>
          <w:rFonts w:cs="Arial"/>
          <w:szCs w:val="18"/>
        </w:rPr>
      </w:pPr>
      <w:bookmarkStart w:id="46" w:name="_Ref529199759"/>
      <w:r w:rsidRPr="00564DB3">
        <w:rPr>
          <w:rFonts w:cs="Arial"/>
          <w:szCs w:val="18"/>
        </w:rPr>
        <w:t>The Panels found that, like the original and 2013 Tuna Measures, the 2016 Tuna Measure pursues two objectives: (i) to ensure that consumers are not misled or deceived about whether tuna products contain tuna caught in a manner that adversely affects dolphins; and (ii) to contribute to the protection of dolphins by ensuring that the US market is not used to encourage fishing fleets to catch tuna in a manner that adversely affects dolphins.</w:t>
      </w:r>
      <w:r w:rsidR="005B1CE4" w:rsidRPr="00564DB3">
        <w:rPr>
          <w:rStyle w:val="FootnoteReference"/>
          <w:rFonts w:cs="Arial"/>
          <w:szCs w:val="18"/>
        </w:rPr>
        <w:footnoteReference w:id="98"/>
      </w:r>
      <w:r w:rsidRPr="00564DB3">
        <w:rPr>
          <w:rFonts w:cs="Arial"/>
          <w:szCs w:val="18"/>
        </w:rPr>
        <w:t xml:space="preserve"> Similarly, </w:t>
      </w:r>
      <w:r w:rsidR="004115B8">
        <w:rPr>
          <w:rFonts w:cs="Arial"/>
          <w:szCs w:val="18"/>
        </w:rPr>
        <w:t>like its predecessors, the 2016 </w:t>
      </w:r>
      <w:r w:rsidRPr="00564DB3">
        <w:rPr>
          <w:rFonts w:cs="Arial"/>
          <w:szCs w:val="18"/>
        </w:rPr>
        <w:t>Tuna Measure provides that the use of the term "do</w:t>
      </w:r>
      <w:r w:rsidR="00DC3C11" w:rsidRPr="00564DB3">
        <w:rPr>
          <w:rFonts w:cs="Arial"/>
          <w:szCs w:val="18"/>
        </w:rPr>
        <w:t xml:space="preserve">lphin-safe", or any other term </w:t>
      </w:r>
      <w:r w:rsidRPr="00564DB3">
        <w:rPr>
          <w:rFonts w:cs="Arial"/>
          <w:szCs w:val="18"/>
        </w:rPr>
        <w:t xml:space="preserve">that claims or suggests that the tuna contained in a tuna product </w:t>
      </w:r>
      <w:r w:rsidR="009F5B37" w:rsidRPr="00564DB3">
        <w:rPr>
          <w:rFonts w:cs="Arial"/>
          <w:szCs w:val="18"/>
        </w:rPr>
        <w:t>was</w:t>
      </w:r>
      <w:r w:rsidRPr="00564DB3">
        <w:rPr>
          <w:rFonts w:cs="Arial"/>
          <w:szCs w:val="18"/>
        </w:rPr>
        <w:t xml:space="preserve"> harvested using a method of fishing </w:t>
      </w:r>
      <w:r w:rsidR="00DC3C11" w:rsidRPr="00564DB3">
        <w:rPr>
          <w:rFonts w:cs="Arial"/>
          <w:szCs w:val="18"/>
        </w:rPr>
        <w:t>that is not harmful to dolphins</w:t>
      </w:r>
      <w:r w:rsidRPr="00564DB3">
        <w:rPr>
          <w:rFonts w:cs="Arial"/>
          <w:szCs w:val="18"/>
        </w:rPr>
        <w:t>, is prohibited if the tuna was not harvested and processed in compliance with the applicable labelling conditions.</w:t>
      </w:r>
      <w:r w:rsidR="005B1CE4" w:rsidRPr="00564DB3">
        <w:rPr>
          <w:rStyle w:val="FootnoteReference"/>
          <w:rFonts w:cs="Arial"/>
          <w:szCs w:val="18"/>
        </w:rPr>
        <w:footnoteReference w:id="99"/>
      </w:r>
      <w:r w:rsidRPr="00564DB3">
        <w:rPr>
          <w:rFonts w:cs="Arial"/>
          <w:szCs w:val="18"/>
        </w:rPr>
        <w:t xml:space="preserve"> Thus, like its predecessors, t</w:t>
      </w:r>
      <w:r w:rsidR="00D500D9" w:rsidRPr="00564DB3">
        <w:rPr>
          <w:rFonts w:cs="Arial"/>
          <w:szCs w:val="18"/>
        </w:rPr>
        <w:t>he 2016 </w:t>
      </w:r>
      <w:r w:rsidRPr="00564DB3">
        <w:rPr>
          <w:rFonts w:cs="Arial"/>
          <w:szCs w:val="18"/>
        </w:rPr>
        <w:t>Tuna Measure prohibits the use of the dolphin-safe label on a tuna product sold in the US market unless the conditions specified in the measure are met.</w:t>
      </w:r>
      <w:bookmarkEnd w:id="46"/>
    </w:p>
    <w:p w:rsidR="00940CBB" w:rsidRPr="00564DB3" w:rsidRDefault="00940CBB" w:rsidP="00F70E38">
      <w:pPr>
        <w:pStyle w:val="BodyText"/>
        <w:rPr>
          <w:rFonts w:cs="Arial"/>
          <w:szCs w:val="18"/>
        </w:rPr>
      </w:pPr>
      <w:r w:rsidRPr="00564DB3">
        <w:rPr>
          <w:rFonts w:cs="Arial"/>
          <w:szCs w:val="18"/>
        </w:rPr>
        <w:t>The 2016 Tuna Measure broadly places three types of conditions on the use of the dolphin</w:t>
      </w:r>
      <w:r w:rsidRPr="00564DB3">
        <w:rPr>
          <w:rFonts w:cs="Arial"/>
          <w:szCs w:val="18"/>
        </w:rPr>
        <w:noBreakHyphen/>
        <w:t xml:space="preserve">safe label for tuna products exported from or offered for sale in the </w:t>
      </w:r>
      <w:r w:rsidR="00083DFC" w:rsidRPr="00564DB3">
        <w:rPr>
          <w:rFonts w:cs="Arial"/>
          <w:szCs w:val="18"/>
        </w:rPr>
        <w:t>United States</w:t>
      </w:r>
      <w:r w:rsidRPr="00564DB3">
        <w:rPr>
          <w:rFonts w:cs="Arial"/>
          <w:szCs w:val="18"/>
        </w:rPr>
        <w:t xml:space="preserve">: (i) conditions relating to </w:t>
      </w:r>
      <w:r w:rsidR="00D500D9" w:rsidRPr="00564DB3">
        <w:rPr>
          <w:rFonts w:cs="Arial"/>
          <w:szCs w:val="18"/>
        </w:rPr>
        <w:t>the automatic disqualification of certain tuna products</w:t>
      </w:r>
      <w:r w:rsidRPr="00564DB3">
        <w:rPr>
          <w:rFonts w:cs="Arial"/>
          <w:szCs w:val="18"/>
        </w:rPr>
        <w:t xml:space="preserve"> (eligibility criteria); (ii) conditions relating to certifications (certification requirements); and (iii) conditions relating to </w:t>
      </w:r>
      <w:r w:rsidR="00993270" w:rsidRPr="00564DB3">
        <w:rPr>
          <w:rFonts w:cs="Arial"/>
          <w:szCs w:val="18"/>
        </w:rPr>
        <w:t xml:space="preserve">record keeping and </w:t>
      </w:r>
      <w:r w:rsidR="00B54727" w:rsidRPr="00564DB3">
        <w:rPr>
          <w:rFonts w:cs="Arial"/>
          <w:szCs w:val="18"/>
        </w:rPr>
        <w:t>the segregation of dolphin</w:t>
      </w:r>
      <w:r w:rsidR="00B54727" w:rsidRPr="00564DB3">
        <w:rPr>
          <w:rFonts w:cs="Arial"/>
          <w:szCs w:val="18"/>
        </w:rPr>
        <w:noBreakHyphen/>
      </w:r>
      <w:r w:rsidR="00993270" w:rsidRPr="00564DB3">
        <w:rPr>
          <w:rFonts w:cs="Arial"/>
          <w:szCs w:val="18"/>
        </w:rPr>
        <w:t>safe and non</w:t>
      </w:r>
      <w:r w:rsidR="00993270" w:rsidRPr="00564DB3">
        <w:rPr>
          <w:rFonts w:cs="Arial"/>
          <w:szCs w:val="18"/>
        </w:rPr>
        <w:noBreakHyphen/>
      </w:r>
      <w:r w:rsidR="00DC3C11" w:rsidRPr="00564DB3">
        <w:rPr>
          <w:rFonts w:cs="Arial"/>
          <w:szCs w:val="18"/>
        </w:rPr>
        <w:t>dolphin-safe tuna</w:t>
      </w:r>
      <w:r w:rsidRPr="00564DB3">
        <w:rPr>
          <w:rFonts w:cs="Arial"/>
          <w:szCs w:val="18"/>
        </w:rPr>
        <w:t xml:space="preserve"> (tracking and verification requirements).</w:t>
      </w:r>
      <w:bookmarkStart w:id="47" w:name="_Ref529194195"/>
      <w:r w:rsidR="005B1CE4" w:rsidRPr="00564DB3">
        <w:rPr>
          <w:rStyle w:val="FootnoteReference"/>
          <w:rFonts w:cs="Arial"/>
          <w:szCs w:val="18"/>
        </w:rPr>
        <w:footnoteReference w:id="100"/>
      </w:r>
      <w:bookmarkEnd w:id="47"/>
      <w:r w:rsidRPr="00564DB3">
        <w:rPr>
          <w:rFonts w:cs="Arial"/>
          <w:szCs w:val="18"/>
        </w:rPr>
        <w:t xml:space="preserve"> Additionally, the certification requirements and tracking and verification requirements, applicable to fisheries other than the ETP large purse seine fishery, may become stricter in certain circumstances, </w:t>
      </w:r>
      <w:r w:rsidR="00DC3C11" w:rsidRPr="00564DB3">
        <w:rPr>
          <w:rFonts w:cs="Arial"/>
          <w:szCs w:val="18"/>
        </w:rPr>
        <w:t>owing to an element of the 2016 </w:t>
      </w:r>
      <w:r w:rsidRPr="00564DB3">
        <w:rPr>
          <w:rFonts w:cs="Arial"/>
          <w:szCs w:val="18"/>
        </w:rPr>
        <w:t xml:space="preserve">Tuna Measure referred to as the </w:t>
      </w:r>
      <w:r w:rsidR="009F5B37" w:rsidRPr="00564DB3">
        <w:rPr>
          <w:rFonts w:cs="Arial"/>
          <w:szCs w:val="18"/>
        </w:rPr>
        <w:t>"</w:t>
      </w:r>
      <w:r w:rsidRPr="00564DB3">
        <w:rPr>
          <w:rFonts w:cs="Arial"/>
          <w:szCs w:val="18"/>
        </w:rPr>
        <w:t>determination provisions</w:t>
      </w:r>
      <w:r w:rsidR="009F5B37" w:rsidRPr="00564DB3">
        <w:rPr>
          <w:rFonts w:cs="Arial"/>
          <w:szCs w:val="18"/>
        </w:rPr>
        <w:t>"</w:t>
      </w:r>
      <w:r w:rsidRPr="00564DB3">
        <w:rPr>
          <w:rFonts w:cs="Arial"/>
          <w:szCs w:val="18"/>
        </w:rPr>
        <w:t>.</w:t>
      </w:r>
      <w:r w:rsidR="005B1CE4" w:rsidRPr="00564DB3">
        <w:rPr>
          <w:rStyle w:val="FootnoteReference"/>
          <w:rFonts w:cs="Arial"/>
          <w:szCs w:val="18"/>
        </w:rPr>
        <w:footnoteReference w:id="101"/>
      </w:r>
    </w:p>
    <w:p w:rsidR="00940CBB" w:rsidRPr="00564DB3" w:rsidRDefault="00940CBB" w:rsidP="00F70E38">
      <w:pPr>
        <w:pStyle w:val="BodyText"/>
        <w:rPr>
          <w:rFonts w:cs="Arial"/>
          <w:szCs w:val="18"/>
        </w:rPr>
      </w:pPr>
      <w:bookmarkStart w:id="48" w:name="_Ref529197155"/>
      <w:bookmarkStart w:id="49" w:name="_Ref529185694"/>
      <w:r w:rsidRPr="00564DB3">
        <w:rPr>
          <w:rFonts w:cs="Arial"/>
          <w:szCs w:val="18"/>
        </w:rPr>
        <w:t xml:space="preserve">As regards the eligibility criteria, the DPCIA excludes from bearing the </w:t>
      </w:r>
      <w:r w:rsidR="00DC3C11" w:rsidRPr="00564DB3">
        <w:rPr>
          <w:rFonts w:cs="Arial"/>
          <w:szCs w:val="18"/>
        </w:rPr>
        <w:t>"dolphin</w:t>
      </w:r>
      <w:r w:rsidR="00DC3C11" w:rsidRPr="00564DB3">
        <w:rPr>
          <w:rFonts w:cs="Arial"/>
          <w:szCs w:val="18"/>
        </w:rPr>
        <w:noBreakHyphen/>
        <w:t>safe"</w:t>
      </w:r>
      <w:r w:rsidRPr="00564DB3">
        <w:rPr>
          <w:rFonts w:cs="Arial"/>
          <w:szCs w:val="18"/>
        </w:rPr>
        <w:t xml:space="preserve"> </w:t>
      </w:r>
      <w:r w:rsidR="00DC3C11" w:rsidRPr="00564DB3">
        <w:rPr>
          <w:rFonts w:cs="Arial"/>
          <w:szCs w:val="18"/>
        </w:rPr>
        <w:t xml:space="preserve">label </w:t>
      </w:r>
      <w:r w:rsidRPr="00564DB3">
        <w:rPr>
          <w:rFonts w:cs="Arial"/>
          <w:szCs w:val="18"/>
        </w:rPr>
        <w:t xml:space="preserve">tuna products "exported from or offered for sale in the </w:t>
      </w:r>
      <w:r w:rsidR="00083DFC" w:rsidRPr="00564DB3">
        <w:rPr>
          <w:rFonts w:cs="Arial"/>
          <w:szCs w:val="18"/>
        </w:rPr>
        <w:t>United States</w:t>
      </w:r>
      <w:r w:rsidRPr="00564DB3">
        <w:rPr>
          <w:rFonts w:cs="Arial"/>
          <w:szCs w:val="18"/>
        </w:rPr>
        <w:t>" containing either: (i) tuna harvested on the high seas by a vessel engaged in driftnet fishing; or (ii) tuna harvested by vessels using purse seine nets to encircle, or "set on", dolphins anywhere in the world.</w:t>
      </w:r>
      <w:r w:rsidR="005B1CE4" w:rsidRPr="00564DB3">
        <w:rPr>
          <w:rStyle w:val="FootnoteReference"/>
          <w:rFonts w:cs="Arial"/>
          <w:szCs w:val="18"/>
        </w:rPr>
        <w:footnoteReference w:id="102"/>
      </w:r>
      <w:r w:rsidRPr="00564DB3">
        <w:rPr>
          <w:rFonts w:cs="Arial"/>
          <w:szCs w:val="18"/>
        </w:rPr>
        <w:t xml:space="preserve"> The DPCIA's disqualification of tuna products </w:t>
      </w:r>
      <w:r w:rsidR="00DC3C11" w:rsidRPr="00564DB3">
        <w:rPr>
          <w:rFonts w:cs="Arial"/>
          <w:szCs w:val="18"/>
        </w:rPr>
        <w:t>containing</w:t>
      </w:r>
      <w:r w:rsidRPr="00564DB3">
        <w:rPr>
          <w:rFonts w:cs="Arial"/>
          <w:szCs w:val="18"/>
        </w:rPr>
        <w:t xml:space="preserve"> tuna caught by setting on dolphins was briefly suspended, in 2002 and 2003, following administrative action by the U</w:t>
      </w:r>
      <w:r w:rsidR="00F56ED5" w:rsidRPr="00564DB3">
        <w:rPr>
          <w:rFonts w:cs="Arial"/>
          <w:szCs w:val="18"/>
        </w:rPr>
        <w:t>nited</w:t>
      </w:r>
      <w:r w:rsidR="00832630" w:rsidRPr="00564DB3">
        <w:rPr>
          <w:rFonts w:cs="Arial"/>
          <w:szCs w:val="18"/>
        </w:rPr>
        <w:t> States</w:t>
      </w:r>
      <w:r w:rsidRPr="00564DB3">
        <w:rPr>
          <w:rFonts w:cs="Arial"/>
          <w:szCs w:val="18"/>
        </w:rPr>
        <w:t xml:space="preserve"> Secretary of </w:t>
      </w:r>
      <w:r w:rsidRPr="00564DB3">
        <w:rPr>
          <w:rFonts w:cs="Arial"/>
          <w:szCs w:val="18"/>
        </w:rPr>
        <w:lastRenderedPageBreak/>
        <w:t>Commerce.</w:t>
      </w:r>
      <w:r w:rsidR="005B1CE4" w:rsidRPr="00564DB3">
        <w:rPr>
          <w:rStyle w:val="FootnoteReference"/>
          <w:rFonts w:cs="Arial"/>
          <w:szCs w:val="18"/>
        </w:rPr>
        <w:footnoteReference w:id="103"/>
      </w:r>
      <w:r w:rsidRPr="00564DB3">
        <w:rPr>
          <w:rFonts w:cs="Arial"/>
          <w:szCs w:val="18"/>
        </w:rPr>
        <w:t xml:space="preserve"> However, the </w:t>
      </w:r>
      <w:r w:rsidRPr="00564DB3">
        <w:rPr>
          <w:rFonts w:cs="Arial"/>
          <w:i/>
          <w:szCs w:val="18"/>
        </w:rPr>
        <w:t>Hogarth</w:t>
      </w:r>
      <w:r w:rsidRPr="00564DB3">
        <w:rPr>
          <w:rFonts w:cs="Arial"/>
          <w:szCs w:val="18"/>
        </w:rPr>
        <w:t xml:space="preserve"> ruling overturned that action and restored thi</w:t>
      </w:r>
      <w:r w:rsidR="00C60124" w:rsidRPr="00564DB3">
        <w:rPr>
          <w:rFonts w:cs="Arial"/>
          <w:szCs w:val="18"/>
        </w:rPr>
        <w:t>s condition of access to the US </w:t>
      </w:r>
      <w:r w:rsidRPr="00564DB3">
        <w:rPr>
          <w:rFonts w:cs="Arial"/>
          <w:szCs w:val="18"/>
        </w:rPr>
        <w:t>dolphin-safe labelling regime.</w:t>
      </w:r>
      <w:bookmarkStart w:id="50" w:name="_Ref529192925"/>
      <w:r w:rsidR="005B1CE4" w:rsidRPr="00564DB3">
        <w:rPr>
          <w:rStyle w:val="FootnoteReference"/>
          <w:rFonts w:cs="Arial"/>
          <w:szCs w:val="18"/>
        </w:rPr>
        <w:footnoteReference w:id="104"/>
      </w:r>
      <w:bookmarkEnd w:id="48"/>
      <w:bookmarkEnd w:id="50"/>
      <w:r w:rsidRPr="00564DB3">
        <w:rPr>
          <w:rFonts w:cs="Arial"/>
          <w:szCs w:val="18"/>
        </w:rPr>
        <w:t xml:space="preserve"> </w:t>
      </w:r>
      <w:bookmarkEnd w:id="49"/>
    </w:p>
    <w:p w:rsidR="00940CBB" w:rsidRPr="00564DB3" w:rsidRDefault="00940CBB" w:rsidP="00F70E38">
      <w:pPr>
        <w:pStyle w:val="BodyText"/>
        <w:rPr>
          <w:szCs w:val="18"/>
        </w:rPr>
      </w:pPr>
      <w:bookmarkStart w:id="53" w:name="_Ref529185696"/>
      <w:r w:rsidRPr="00564DB3">
        <w:rPr>
          <w:szCs w:val="18"/>
        </w:rPr>
        <w:t>The 2016 Tuna Measure makes no changes to the eligibility criteria set out in the DPCIA</w:t>
      </w:r>
      <w:r w:rsidR="00D500D9" w:rsidRPr="00564DB3">
        <w:rPr>
          <w:szCs w:val="18"/>
        </w:rPr>
        <w:t xml:space="preserve"> and the </w:t>
      </w:r>
      <w:r w:rsidR="00D500D9" w:rsidRPr="00564DB3">
        <w:rPr>
          <w:i/>
          <w:szCs w:val="18"/>
        </w:rPr>
        <w:t>Hogarth</w:t>
      </w:r>
      <w:r w:rsidR="00D500D9" w:rsidRPr="00564DB3">
        <w:rPr>
          <w:szCs w:val="18"/>
        </w:rPr>
        <w:t xml:space="preserve"> ruling</w:t>
      </w:r>
      <w:r w:rsidRPr="00564DB3">
        <w:rPr>
          <w:szCs w:val="18"/>
        </w:rPr>
        <w:t xml:space="preserve">. Thus, </w:t>
      </w:r>
      <w:r w:rsidR="00DC3C11" w:rsidRPr="00564DB3">
        <w:rPr>
          <w:szCs w:val="18"/>
        </w:rPr>
        <w:t>under</w:t>
      </w:r>
      <w:r w:rsidRPr="00564DB3">
        <w:rPr>
          <w:szCs w:val="18"/>
        </w:rPr>
        <w:t xml:space="preserve"> the 2016 Tuna Measure</w:t>
      </w:r>
      <w:r w:rsidR="00DC3C11" w:rsidRPr="00564DB3">
        <w:rPr>
          <w:szCs w:val="18"/>
        </w:rPr>
        <w:t>,</w:t>
      </w:r>
      <w:r w:rsidRPr="00564DB3">
        <w:rPr>
          <w:szCs w:val="18"/>
        </w:rPr>
        <w:t xml:space="preserve"> the following tuna products </w:t>
      </w:r>
      <w:r w:rsidR="00DC3C11" w:rsidRPr="00564DB3">
        <w:rPr>
          <w:szCs w:val="18"/>
        </w:rPr>
        <w:t>are</w:t>
      </w:r>
      <w:r w:rsidRPr="00564DB3">
        <w:rPr>
          <w:szCs w:val="18"/>
        </w:rPr>
        <w:t xml:space="preserve"> automatically ineligible for the dolphin</w:t>
      </w:r>
      <w:r w:rsidRPr="00564DB3">
        <w:rPr>
          <w:szCs w:val="18"/>
        </w:rPr>
        <w:noBreakHyphen/>
        <w:t>safe label: (i) tuna harvested using large-scale driftnets on the high seas; and (ii) tuna product</w:t>
      </w:r>
      <w:r w:rsidR="00C045BF" w:rsidRPr="00564DB3">
        <w:rPr>
          <w:szCs w:val="18"/>
        </w:rPr>
        <w:t xml:space="preserve">s containing tuna harvested by </w:t>
      </w:r>
      <w:r w:rsidRPr="00564DB3">
        <w:rPr>
          <w:szCs w:val="18"/>
        </w:rPr>
        <w:t xml:space="preserve">setting </w:t>
      </w:r>
      <w:r w:rsidR="00C045BF" w:rsidRPr="00564DB3">
        <w:rPr>
          <w:szCs w:val="18"/>
        </w:rPr>
        <w:t>on</w:t>
      </w:r>
      <w:r w:rsidRPr="00564DB3">
        <w:rPr>
          <w:szCs w:val="18"/>
        </w:rPr>
        <w:t xml:space="preserve"> dolphins anywhere in the world.</w:t>
      </w:r>
      <w:r w:rsidR="005B1CE4" w:rsidRPr="00564DB3">
        <w:rPr>
          <w:rStyle w:val="FootnoteReference"/>
          <w:szCs w:val="18"/>
        </w:rPr>
        <w:footnoteReference w:id="105"/>
      </w:r>
      <w:r w:rsidRPr="00564DB3">
        <w:rPr>
          <w:szCs w:val="18"/>
        </w:rPr>
        <w:t xml:space="preserve"> All other tuna products may be labelled dolphin</w:t>
      </w:r>
      <w:r w:rsidRPr="00564DB3">
        <w:rPr>
          <w:szCs w:val="18"/>
        </w:rPr>
        <w:noBreakHyphen/>
        <w:t xml:space="preserve">safe </w:t>
      </w:r>
      <w:r w:rsidRPr="00564DB3">
        <w:rPr>
          <w:i/>
          <w:szCs w:val="18"/>
        </w:rPr>
        <w:t>only if</w:t>
      </w:r>
      <w:r w:rsidRPr="00564DB3">
        <w:rPr>
          <w:szCs w:val="18"/>
        </w:rPr>
        <w:t xml:space="preserve"> no dolphins were killed or seriously injured in the gear deployments in which the tuna </w:t>
      </w:r>
      <w:r w:rsidR="00805D29" w:rsidRPr="00564DB3">
        <w:rPr>
          <w:szCs w:val="18"/>
        </w:rPr>
        <w:t>was</w:t>
      </w:r>
      <w:r w:rsidRPr="00564DB3">
        <w:rPr>
          <w:szCs w:val="18"/>
        </w:rPr>
        <w:t xml:space="preserve"> caught. To this end, these tuna products must satisfy the certification and tracking and verification requirements of the 2016 Tuna Measure.</w:t>
      </w:r>
      <w:r w:rsidR="005B1CE4" w:rsidRPr="00564DB3">
        <w:rPr>
          <w:rStyle w:val="FootnoteReference"/>
          <w:szCs w:val="18"/>
        </w:rPr>
        <w:footnoteReference w:id="106"/>
      </w:r>
      <w:bookmarkEnd w:id="53"/>
    </w:p>
    <w:p w:rsidR="00940CBB" w:rsidRPr="00564DB3" w:rsidRDefault="00D500D9" w:rsidP="00F70E38">
      <w:pPr>
        <w:pStyle w:val="BodyText"/>
        <w:rPr>
          <w:rFonts w:cs="Arial"/>
          <w:szCs w:val="18"/>
        </w:rPr>
      </w:pPr>
      <w:bookmarkStart w:id="54" w:name="_Ref529185737"/>
      <w:r w:rsidRPr="00564DB3">
        <w:rPr>
          <w:rFonts w:cs="Arial"/>
          <w:szCs w:val="18"/>
        </w:rPr>
        <w:t>A</w:t>
      </w:r>
      <w:r w:rsidR="00940CBB" w:rsidRPr="00564DB3">
        <w:rPr>
          <w:rFonts w:cs="Arial"/>
          <w:szCs w:val="18"/>
        </w:rPr>
        <w:t>part from large</w:t>
      </w:r>
      <w:r w:rsidR="00940CBB" w:rsidRPr="00564DB3">
        <w:rPr>
          <w:rFonts w:cs="Arial"/>
          <w:szCs w:val="18"/>
        </w:rPr>
        <w:noBreakHyphen/>
        <w:t>scale driftnet fishing on the high seas</w:t>
      </w:r>
      <w:bookmarkStart w:id="55" w:name="_Ref529462699"/>
      <w:r w:rsidR="005B1CE4" w:rsidRPr="00564DB3">
        <w:rPr>
          <w:rStyle w:val="FootnoteReference"/>
          <w:rFonts w:cs="Arial"/>
          <w:szCs w:val="18"/>
        </w:rPr>
        <w:footnoteReference w:id="107"/>
      </w:r>
      <w:bookmarkEnd w:id="55"/>
      <w:r w:rsidR="00940CBB" w:rsidRPr="00564DB3">
        <w:rPr>
          <w:rFonts w:cs="Arial"/>
          <w:szCs w:val="18"/>
        </w:rPr>
        <w:t xml:space="preserve">, </w:t>
      </w:r>
      <w:r w:rsidRPr="00564DB3">
        <w:rPr>
          <w:rFonts w:cs="Arial"/>
          <w:szCs w:val="18"/>
        </w:rPr>
        <w:t xml:space="preserve">the certification requirements under </w:t>
      </w:r>
      <w:r w:rsidR="00940CBB" w:rsidRPr="00564DB3">
        <w:rPr>
          <w:rFonts w:cs="Arial"/>
          <w:szCs w:val="18"/>
        </w:rPr>
        <w:t>the 2016 Tuna Measure make a distinction between the ETP large purse seine</w:t>
      </w:r>
      <w:r w:rsidR="005B1CE4" w:rsidRPr="00564DB3">
        <w:rPr>
          <w:rStyle w:val="FootnoteReference"/>
          <w:rFonts w:cs="Arial"/>
          <w:szCs w:val="18"/>
        </w:rPr>
        <w:footnoteReference w:id="108"/>
      </w:r>
      <w:r w:rsidR="00940CBB" w:rsidRPr="00564DB3">
        <w:rPr>
          <w:rFonts w:cs="Arial"/>
          <w:szCs w:val="18"/>
        </w:rPr>
        <w:t xml:space="preserve"> fishery</w:t>
      </w:r>
      <w:r w:rsidR="005B1CE4" w:rsidRPr="00564DB3">
        <w:rPr>
          <w:rStyle w:val="FootnoteReference"/>
          <w:rFonts w:cs="Arial"/>
          <w:szCs w:val="18"/>
        </w:rPr>
        <w:footnoteReference w:id="109"/>
      </w:r>
      <w:r w:rsidR="00940CBB" w:rsidRPr="00564DB3">
        <w:rPr>
          <w:rFonts w:cs="Arial"/>
          <w:szCs w:val="18"/>
        </w:rPr>
        <w:t>, on the one hand, and all other fisheries, on the other hand.</w:t>
      </w:r>
      <w:bookmarkStart w:id="56" w:name="_Ref529194169"/>
      <w:r w:rsidR="005B1CE4" w:rsidRPr="00564DB3">
        <w:rPr>
          <w:rStyle w:val="FootnoteReference"/>
          <w:rFonts w:cs="Arial"/>
          <w:szCs w:val="18"/>
        </w:rPr>
        <w:footnoteReference w:id="110"/>
      </w:r>
      <w:bookmarkEnd w:id="56"/>
      <w:r w:rsidR="00940CBB" w:rsidRPr="00564DB3" w:rsidDel="00633675">
        <w:rPr>
          <w:rStyle w:val="FootnoteReference"/>
          <w:rFonts w:cs="Arial"/>
          <w:szCs w:val="18"/>
        </w:rPr>
        <w:t xml:space="preserve"> </w:t>
      </w:r>
      <w:r w:rsidR="00940CBB" w:rsidRPr="00564DB3">
        <w:rPr>
          <w:rFonts w:cs="Arial"/>
          <w:szCs w:val="18"/>
        </w:rPr>
        <w:t xml:space="preserve">For tuna caught in the ETP large purse seine fishery, the 2016 Tuna Measure, like the 2013 Tuna Measure, mandates that certification must be </w:t>
      </w:r>
      <w:r w:rsidR="00940CBB" w:rsidRPr="00564DB3">
        <w:rPr>
          <w:rFonts w:cs="Arial"/>
          <w:szCs w:val="18"/>
        </w:rPr>
        <w:lastRenderedPageBreak/>
        <w:t xml:space="preserve">provided by the captain of the vessel </w:t>
      </w:r>
      <w:r w:rsidR="00940CBB" w:rsidRPr="00564DB3">
        <w:rPr>
          <w:rFonts w:cs="Arial"/>
          <w:i/>
          <w:szCs w:val="18"/>
        </w:rPr>
        <w:t>and</w:t>
      </w:r>
      <w:r w:rsidR="00940CBB" w:rsidRPr="00564DB3">
        <w:rPr>
          <w:rFonts w:cs="Arial"/>
          <w:szCs w:val="18"/>
        </w:rPr>
        <w:t xml:space="preserve"> an International Dolphin Conservation Program</w:t>
      </w:r>
      <w:r w:rsidR="005B1CE4" w:rsidRPr="00564DB3">
        <w:rPr>
          <w:rStyle w:val="FootnoteReference"/>
          <w:rFonts w:cs="Arial"/>
          <w:szCs w:val="18"/>
        </w:rPr>
        <w:footnoteReference w:id="111"/>
      </w:r>
      <w:r w:rsidR="00940CBB" w:rsidRPr="00564DB3">
        <w:rPr>
          <w:rFonts w:cs="Arial"/>
          <w:szCs w:val="18"/>
        </w:rPr>
        <w:t xml:space="preserve"> (IDCP)</w:t>
      </w:r>
      <w:r w:rsidR="00940CBB" w:rsidRPr="00564DB3">
        <w:rPr>
          <w:rFonts w:cs="Arial"/>
          <w:szCs w:val="18"/>
        </w:rPr>
        <w:noBreakHyphen/>
        <w:t>approved observer</w:t>
      </w:r>
      <w:r w:rsidR="00846AB4" w:rsidRPr="00564DB3">
        <w:rPr>
          <w:rFonts w:cs="Arial"/>
          <w:szCs w:val="18"/>
        </w:rPr>
        <w:t>,</w:t>
      </w:r>
      <w:r w:rsidR="00940CBB" w:rsidRPr="00564DB3">
        <w:rPr>
          <w:rFonts w:cs="Arial"/>
          <w:szCs w:val="18"/>
        </w:rPr>
        <w:t xml:space="preserve"> </w:t>
      </w:r>
      <w:r w:rsidRPr="00564DB3">
        <w:rPr>
          <w:rFonts w:cs="Arial"/>
          <w:szCs w:val="18"/>
        </w:rPr>
        <w:t xml:space="preserve">indicating </w:t>
      </w:r>
      <w:r w:rsidR="00940CBB" w:rsidRPr="00564DB3">
        <w:rPr>
          <w:rFonts w:cs="Arial"/>
          <w:szCs w:val="18"/>
        </w:rPr>
        <w:t xml:space="preserve">that: (i) none of the tuna </w:t>
      </w:r>
      <w:r w:rsidR="00805D29" w:rsidRPr="00564DB3">
        <w:rPr>
          <w:rFonts w:cs="Arial"/>
          <w:szCs w:val="18"/>
        </w:rPr>
        <w:t>was</w:t>
      </w:r>
      <w:r w:rsidR="00940CBB" w:rsidRPr="00564DB3">
        <w:rPr>
          <w:rFonts w:cs="Arial"/>
          <w:szCs w:val="18"/>
        </w:rPr>
        <w:t xml:space="preserve"> caught on a trip using a purse seine net intentionally deployed on or </w:t>
      </w:r>
      <w:r w:rsidR="004D2943" w:rsidRPr="00564DB3">
        <w:rPr>
          <w:rFonts w:cs="Arial"/>
          <w:szCs w:val="18"/>
        </w:rPr>
        <w:t xml:space="preserve">used </w:t>
      </w:r>
      <w:r w:rsidR="00940CBB" w:rsidRPr="00564DB3">
        <w:rPr>
          <w:rFonts w:cs="Arial"/>
          <w:szCs w:val="18"/>
        </w:rPr>
        <w:t>to encircle (i.e. set on) dolphins; and (ii) no dolphins were killed or seriously injured during the sets in which the tuna was caught.</w:t>
      </w:r>
      <w:r w:rsidR="005B1CE4" w:rsidRPr="00564DB3">
        <w:rPr>
          <w:rStyle w:val="FootnoteReference"/>
          <w:rFonts w:cs="Arial"/>
          <w:szCs w:val="18"/>
        </w:rPr>
        <w:footnoteReference w:id="112"/>
      </w:r>
      <w:bookmarkEnd w:id="54"/>
    </w:p>
    <w:p w:rsidR="00940CBB" w:rsidRPr="00564DB3" w:rsidRDefault="00940CBB" w:rsidP="00F70E38">
      <w:pPr>
        <w:pStyle w:val="BodyText"/>
        <w:rPr>
          <w:rFonts w:cs="Arial"/>
          <w:szCs w:val="18"/>
        </w:rPr>
      </w:pPr>
      <w:bookmarkStart w:id="59" w:name="_Ref528588079"/>
      <w:bookmarkStart w:id="60" w:name="_Ref529185738"/>
      <w:r w:rsidRPr="00564DB3">
        <w:rPr>
          <w:rFonts w:cs="Arial"/>
          <w:szCs w:val="18"/>
        </w:rPr>
        <w:t>As for all fisheries other than the ETP large purse seine fishery, for fishing trips that began on or after 21 May 2016, captains</w:t>
      </w:r>
      <w:r w:rsidRPr="00564DB3" w:rsidDel="00EA4AE4">
        <w:rPr>
          <w:rFonts w:cs="Arial"/>
          <w:szCs w:val="18"/>
        </w:rPr>
        <w:t xml:space="preserve"> </w:t>
      </w:r>
      <w:r w:rsidRPr="00564DB3">
        <w:rPr>
          <w:rFonts w:cs="Arial"/>
          <w:szCs w:val="18"/>
        </w:rPr>
        <w:t xml:space="preserve">of all vessels must certify that: (i) no purse seine net or other fishing gear was intentionally deployed on or used to encircle (i.e. set on) dolphins during the fishing trip in which the tuna </w:t>
      </w:r>
      <w:r w:rsidR="00805D29" w:rsidRPr="00564DB3">
        <w:rPr>
          <w:rFonts w:cs="Arial"/>
          <w:szCs w:val="18"/>
        </w:rPr>
        <w:t>was</w:t>
      </w:r>
      <w:r w:rsidRPr="00564DB3">
        <w:rPr>
          <w:rFonts w:cs="Arial"/>
          <w:szCs w:val="18"/>
        </w:rPr>
        <w:t xml:space="preserve"> caught; and (ii) no dolphins were killed or seriously injured </w:t>
      </w:r>
      <w:r w:rsidR="00846AB4" w:rsidRPr="00564DB3">
        <w:rPr>
          <w:rFonts w:cs="Arial"/>
          <w:szCs w:val="18"/>
        </w:rPr>
        <w:t>in the sets or other gear deployments</w:t>
      </w:r>
      <w:r w:rsidRPr="00564DB3">
        <w:rPr>
          <w:rFonts w:cs="Arial"/>
          <w:szCs w:val="18"/>
        </w:rPr>
        <w:t xml:space="preserve"> in which the tuna </w:t>
      </w:r>
      <w:r w:rsidR="00805D29" w:rsidRPr="00564DB3">
        <w:rPr>
          <w:rFonts w:cs="Arial"/>
          <w:szCs w:val="18"/>
        </w:rPr>
        <w:t>was</w:t>
      </w:r>
      <w:r w:rsidRPr="00564DB3">
        <w:rPr>
          <w:rFonts w:cs="Arial"/>
          <w:szCs w:val="18"/>
        </w:rPr>
        <w:t xml:space="preserve"> caught.</w:t>
      </w:r>
      <w:r w:rsidR="005B1CE4" w:rsidRPr="00564DB3">
        <w:rPr>
          <w:rStyle w:val="FootnoteReference"/>
          <w:rFonts w:cs="Arial"/>
          <w:szCs w:val="18"/>
        </w:rPr>
        <w:footnoteReference w:id="113"/>
      </w:r>
      <w:r w:rsidRPr="00564DB3">
        <w:rPr>
          <w:rFonts w:cs="Arial"/>
          <w:szCs w:val="18"/>
        </w:rPr>
        <w:t xml:space="preserve"> Additionally, under the 2016 Tuna Measure, the captains of the vessels in all fisheries </w:t>
      </w:r>
      <w:r w:rsidRPr="00564DB3">
        <w:rPr>
          <w:rFonts w:cs="Arial"/>
          <w:i/>
          <w:szCs w:val="18"/>
        </w:rPr>
        <w:t>other than</w:t>
      </w:r>
      <w:r w:rsidRPr="00564DB3">
        <w:rPr>
          <w:rFonts w:cs="Arial"/>
          <w:szCs w:val="18"/>
        </w:rPr>
        <w:t xml:space="preserve"> the ETP large purse seine fishery must certify that they have completed the National Marine Fisheries Service (NMFS) Tuna Tracking and Verification Program dolphin</w:t>
      </w:r>
      <w:r w:rsidRPr="00564DB3">
        <w:rPr>
          <w:rFonts w:cs="Arial"/>
          <w:szCs w:val="18"/>
        </w:rPr>
        <w:noBreakHyphen/>
        <w:t>safe training course (Captain Training Course).</w:t>
      </w:r>
      <w:bookmarkEnd w:id="59"/>
      <w:r w:rsidR="005B1CE4" w:rsidRPr="00564DB3">
        <w:rPr>
          <w:rStyle w:val="FootnoteReference"/>
          <w:rFonts w:cs="Arial"/>
          <w:szCs w:val="18"/>
        </w:rPr>
        <w:footnoteReference w:id="114"/>
      </w:r>
      <w:bookmarkEnd w:id="60"/>
      <w:r w:rsidR="00B54727" w:rsidRPr="00564DB3">
        <w:rPr>
          <w:rFonts w:cs="Arial"/>
          <w:szCs w:val="18"/>
        </w:rPr>
        <w:t xml:space="preserve"> In addition to the captain's certification, in certain circumstances, certifications from an observer participating in a national or international programme acceptable to the Assistant Administrator</w:t>
      </w:r>
      <w:r w:rsidR="00B54727" w:rsidRPr="00564DB3">
        <w:rPr>
          <w:rStyle w:val="FootnoteReference"/>
          <w:rFonts w:cs="Arial"/>
          <w:szCs w:val="18"/>
        </w:rPr>
        <w:footnoteReference w:id="115"/>
      </w:r>
      <w:r w:rsidR="00B54727" w:rsidRPr="00564DB3">
        <w:rPr>
          <w:rFonts w:cs="Arial"/>
          <w:szCs w:val="18"/>
        </w:rPr>
        <w:t xml:space="preserve"> will be required pursuant to the following two elements of the 2016 Tuna Measure.</w:t>
      </w:r>
    </w:p>
    <w:p w:rsidR="00511268" w:rsidRPr="00564DB3" w:rsidRDefault="00511268" w:rsidP="00F70E38">
      <w:pPr>
        <w:pStyle w:val="BodyText"/>
        <w:rPr>
          <w:rFonts w:cs="Arial"/>
          <w:szCs w:val="18"/>
        </w:rPr>
      </w:pPr>
      <w:r w:rsidRPr="00564DB3">
        <w:rPr>
          <w:rFonts w:cs="Arial"/>
          <w:szCs w:val="18"/>
        </w:rPr>
        <w:t xml:space="preserve">The </w:t>
      </w:r>
      <w:r w:rsidR="002948E2" w:rsidRPr="00564DB3">
        <w:rPr>
          <w:rFonts w:cs="Arial"/>
          <w:szCs w:val="18"/>
        </w:rPr>
        <w:t>first element concerns seven US </w:t>
      </w:r>
      <w:r w:rsidRPr="00564DB3">
        <w:rPr>
          <w:rFonts w:cs="Arial"/>
          <w:szCs w:val="18"/>
        </w:rPr>
        <w:t xml:space="preserve">domestic fisheries for which the </w:t>
      </w:r>
      <w:r w:rsidR="003F2DA2" w:rsidRPr="00564DB3">
        <w:rPr>
          <w:rFonts w:cs="Arial"/>
          <w:szCs w:val="18"/>
        </w:rPr>
        <w:t xml:space="preserve">Assistant Administrator </w:t>
      </w:r>
      <w:r w:rsidRPr="00564DB3">
        <w:rPr>
          <w:rFonts w:cs="Arial"/>
          <w:szCs w:val="18"/>
        </w:rPr>
        <w:t>has determined that</w:t>
      </w:r>
      <w:r w:rsidRPr="00564DB3" w:rsidDel="00450CB9">
        <w:rPr>
          <w:rFonts w:cs="Arial"/>
          <w:szCs w:val="18"/>
        </w:rPr>
        <w:t xml:space="preserve"> </w:t>
      </w:r>
      <w:r w:rsidRPr="00564DB3">
        <w:rPr>
          <w:rFonts w:cs="Arial"/>
          <w:szCs w:val="18"/>
        </w:rPr>
        <w:t>observers are qualified and authorized to make the relevant certifications.</w:t>
      </w:r>
      <w:r w:rsidRPr="00564DB3">
        <w:rPr>
          <w:rStyle w:val="FootnoteReference"/>
          <w:rFonts w:cs="Arial"/>
          <w:szCs w:val="18"/>
        </w:rPr>
        <w:footnoteReference w:id="116"/>
      </w:r>
      <w:r w:rsidR="004E4C6E" w:rsidRPr="00564DB3">
        <w:rPr>
          <w:rFonts w:cs="Arial"/>
          <w:szCs w:val="18"/>
        </w:rPr>
        <w:t xml:space="preserve"> </w:t>
      </w:r>
      <w:r w:rsidR="004A703C" w:rsidRPr="00564DB3">
        <w:rPr>
          <w:rFonts w:cs="Arial"/>
          <w:szCs w:val="18"/>
        </w:rPr>
        <w:t>In </w:t>
      </w:r>
      <w:r w:rsidRPr="00564DB3">
        <w:rPr>
          <w:rFonts w:cs="Arial"/>
          <w:szCs w:val="18"/>
        </w:rPr>
        <w:t>these fisheries, certification by such an observer is required when the observer is already on board the fishing vessel for other reasons (i.e. reasons unrelated to the dolphin-safe labelling regime).</w:t>
      </w:r>
      <w:r w:rsidRPr="00564DB3">
        <w:rPr>
          <w:rStyle w:val="FootnoteReference"/>
          <w:rFonts w:cs="Arial"/>
          <w:szCs w:val="18"/>
        </w:rPr>
        <w:footnoteReference w:id="117"/>
      </w:r>
      <w:r w:rsidRPr="00564DB3">
        <w:rPr>
          <w:rFonts w:cs="Arial"/>
          <w:szCs w:val="18"/>
        </w:rPr>
        <w:t xml:space="preserve"> </w:t>
      </w:r>
    </w:p>
    <w:p w:rsidR="00940CBB" w:rsidRPr="00564DB3" w:rsidRDefault="00940CBB" w:rsidP="00F70E38">
      <w:pPr>
        <w:pStyle w:val="BodyText"/>
        <w:rPr>
          <w:szCs w:val="18"/>
        </w:rPr>
      </w:pPr>
      <w:bookmarkStart w:id="61" w:name="_Ref528587988"/>
      <w:bookmarkStart w:id="62" w:name="_Ref529194010"/>
      <w:r w:rsidRPr="00564DB3">
        <w:rPr>
          <w:rFonts w:cs="Arial"/>
          <w:szCs w:val="18"/>
        </w:rPr>
        <w:t>The second element concerns what the first compliance panel described as the "determination provisions"</w:t>
      </w:r>
      <w:r w:rsidR="00033652" w:rsidRPr="00564DB3">
        <w:rPr>
          <w:rFonts w:cs="Arial"/>
          <w:szCs w:val="18"/>
        </w:rPr>
        <w:t xml:space="preserve"> under the 2013 Tuna Measure</w:t>
      </w:r>
      <w:r w:rsidRPr="00564DB3">
        <w:rPr>
          <w:rFonts w:cs="Arial"/>
          <w:szCs w:val="18"/>
        </w:rPr>
        <w:t>.</w:t>
      </w:r>
      <w:r w:rsidR="005B1CE4" w:rsidRPr="00564DB3">
        <w:rPr>
          <w:rStyle w:val="FootnoteReference"/>
          <w:rFonts w:cs="Arial"/>
          <w:szCs w:val="18"/>
        </w:rPr>
        <w:footnoteReference w:id="118"/>
      </w:r>
      <w:r w:rsidR="00033652" w:rsidRPr="00564DB3">
        <w:rPr>
          <w:rFonts w:cs="Arial"/>
          <w:szCs w:val="18"/>
        </w:rPr>
        <w:t xml:space="preserve"> </w:t>
      </w:r>
      <w:r w:rsidR="00B54727" w:rsidRPr="00564DB3">
        <w:rPr>
          <w:rFonts w:cs="Arial"/>
          <w:szCs w:val="18"/>
        </w:rPr>
        <w:t>T</w:t>
      </w:r>
      <w:r w:rsidR="002740AA" w:rsidRPr="00564DB3">
        <w:rPr>
          <w:rFonts w:cs="Arial"/>
          <w:szCs w:val="18"/>
        </w:rPr>
        <w:t>he 2013 </w:t>
      </w:r>
      <w:r w:rsidRPr="00564DB3">
        <w:rPr>
          <w:rFonts w:cs="Arial"/>
          <w:szCs w:val="18"/>
        </w:rPr>
        <w:t>Tuna Measure provided that the Assistant Administrator could make a determination</w:t>
      </w:r>
      <w:r w:rsidR="00033652" w:rsidRPr="00564DB3">
        <w:rPr>
          <w:rFonts w:cs="Arial"/>
          <w:szCs w:val="18"/>
        </w:rPr>
        <w:t>: (i) within a</w:t>
      </w:r>
      <w:r w:rsidR="00B54727" w:rsidRPr="00564DB3">
        <w:rPr>
          <w:rFonts w:cs="Arial"/>
          <w:szCs w:val="18"/>
        </w:rPr>
        <w:t xml:space="preserve"> non</w:t>
      </w:r>
      <w:r w:rsidR="00B54727" w:rsidRPr="00564DB3">
        <w:rPr>
          <w:rFonts w:cs="Arial"/>
          <w:szCs w:val="18"/>
        </w:rPr>
        <w:noBreakHyphen/>
      </w:r>
      <w:r w:rsidR="00105496" w:rsidRPr="00564DB3">
        <w:rPr>
          <w:rFonts w:cs="Arial"/>
          <w:szCs w:val="18"/>
        </w:rPr>
        <w:t>ETP </w:t>
      </w:r>
      <w:r w:rsidRPr="00564DB3">
        <w:rPr>
          <w:rFonts w:cs="Arial"/>
          <w:szCs w:val="18"/>
        </w:rPr>
        <w:t>purse seine fishery, that there is a regular and significant association between dolphins and tuna, similar to the association between dolphins and tuna in the ETP; or (ii) with</w:t>
      </w:r>
      <w:r w:rsidR="00033652" w:rsidRPr="00564DB3">
        <w:rPr>
          <w:rFonts w:cs="Arial"/>
          <w:szCs w:val="18"/>
        </w:rPr>
        <w:t xml:space="preserve"> respect to </w:t>
      </w:r>
      <w:r w:rsidRPr="00564DB3">
        <w:rPr>
          <w:rFonts w:cs="Arial"/>
          <w:szCs w:val="18"/>
        </w:rPr>
        <w:t>non</w:t>
      </w:r>
      <w:r w:rsidRPr="00564DB3">
        <w:rPr>
          <w:rFonts w:cs="Arial"/>
          <w:szCs w:val="18"/>
        </w:rPr>
        <w:noBreakHyphen/>
        <w:t>purse seine vessels in any ocean area and small purse seine vessels in the ETP, that there is a regular and significant mortality or serious injury of dolphins.</w:t>
      </w:r>
      <w:r w:rsidR="005B1CE4" w:rsidRPr="00564DB3">
        <w:rPr>
          <w:rStyle w:val="FootnoteReference"/>
          <w:rFonts w:cs="Arial"/>
          <w:szCs w:val="18"/>
        </w:rPr>
        <w:footnoteReference w:id="119"/>
      </w:r>
      <w:r w:rsidRPr="00564DB3">
        <w:rPr>
          <w:rFonts w:cs="Arial"/>
          <w:szCs w:val="18"/>
        </w:rPr>
        <w:t xml:space="preserve"> In those situations, not only the captain of the vessel but also an observer had to </w:t>
      </w:r>
      <w:r w:rsidRPr="00564DB3">
        <w:rPr>
          <w:rFonts w:cs="Arial"/>
          <w:szCs w:val="18"/>
        </w:rPr>
        <w:lastRenderedPageBreak/>
        <w:t xml:space="preserve">certify that: (i) no fishing gear was intentionally deployed on or used to encircle dolphins during the trip on which the tuna </w:t>
      </w:r>
      <w:r w:rsidR="00805D29" w:rsidRPr="00564DB3">
        <w:rPr>
          <w:rFonts w:cs="Arial"/>
          <w:szCs w:val="18"/>
        </w:rPr>
        <w:t xml:space="preserve">was </w:t>
      </w:r>
      <w:r w:rsidRPr="00564DB3">
        <w:rPr>
          <w:rFonts w:cs="Arial"/>
          <w:szCs w:val="18"/>
        </w:rPr>
        <w:t xml:space="preserve">caught; and (ii) no dolphins were killed or seriously injured in the sets or other gear deployments in which the tuna </w:t>
      </w:r>
      <w:r w:rsidR="00805D29" w:rsidRPr="00564DB3">
        <w:rPr>
          <w:rFonts w:cs="Arial"/>
          <w:szCs w:val="18"/>
        </w:rPr>
        <w:t xml:space="preserve">was </w:t>
      </w:r>
      <w:r w:rsidRPr="00564DB3">
        <w:rPr>
          <w:rFonts w:cs="Arial"/>
          <w:szCs w:val="18"/>
        </w:rPr>
        <w:t>caught.</w:t>
      </w:r>
      <w:bookmarkEnd w:id="61"/>
      <w:r w:rsidR="005B1CE4" w:rsidRPr="00564DB3">
        <w:rPr>
          <w:rStyle w:val="FootnoteReference"/>
          <w:rFonts w:cs="Arial"/>
          <w:szCs w:val="18"/>
        </w:rPr>
        <w:footnoteReference w:id="120"/>
      </w:r>
      <w:bookmarkEnd w:id="62"/>
    </w:p>
    <w:p w:rsidR="00940CBB" w:rsidRPr="00564DB3" w:rsidRDefault="00940CBB" w:rsidP="00F70E38">
      <w:pPr>
        <w:pStyle w:val="BodyText"/>
        <w:rPr>
          <w:szCs w:val="18"/>
        </w:rPr>
      </w:pPr>
      <w:bookmarkStart w:id="63" w:name="_Ref529194433"/>
      <w:bookmarkStart w:id="64" w:name="_Ref530744080"/>
      <w:r w:rsidRPr="00564DB3">
        <w:rPr>
          <w:rFonts w:cs="Arial"/>
          <w:szCs w:val="18"/>
        </w:rPr>
        <w:t xml:space="preserve">The determination provisions have been modified under the 2016 Tuna Measure. Pursuant to the 2016 Tuna Measure, tuna caught in all fisheries </w:t>
      </w:r>
      <w:r w:rsidRPr="00564DB3">
        <w:rPr>
          <w:rFonts w:cs="Arial"/>
          <w:i/>
          <w:szCs w:val="18"/>
        </w:rPr>
        <w:t>other than</w:t>
      </w:r>
      <w:r w:rsidRPr="00564DB3">
        <w:rPr>
          <w:rFonts w:cs="Arial"/>
          <w:szCs w:val="18"/>
        </w:rPr>
        <w:t xml:space="preserve"> the ETP large purse seine fishery</w:t>
      </w:r>
      <w:r w:rsidR="005B1CE4" w:rsidRPr="00564DB3">
        <w:rPr>
          <w:rStyle w:val="FootnoteReference"/>
          <w:rFonts w:cs="Arial"/>
          <w:szCs w:val="18"/>
        </w:rPr>
        <w:footnoteReference w:id="121"/>
      </w:r>
      <w:r w:rsidRPr="00564DB3" w:rsidDel="00E10CB6">
        <w:rPr>
          <w:rFonts w:cs="Arial"/>
          <w:szCs w:val="18"/>
        </w:rPr>
        <w:t xml:space="preserve"> </w:t>
      </w:r>
      <w:r w:rsidRPr="00564DB3">
        <w:rPr>
          <w:rFonts w:cs="Arial"/>
          <w:szCs w:val="18"/>
        </w:rPr>
        <w:t xml:space="preserve">may require an observer certification, in addition to the captain certification described in </w:t>
      </w:r>
      <w:r w:rsidR="00895F54" w:rsidRPr="00315765">
        <w:rPr>
          <w:rFonts w:cs="Arial"/>
          <w:szCs w:val="18"/>
        </w:rPr>
        <w:t>paragraph</w:t>
      </w:r>
      <w:r w:rsidR="00315765">
        <w:rPr>
          <w:rFonts w:cs="Arial"/>
          <w:szCs w:val="18"/>
        </w:rPr>
        <w:t xml:space="preserve"> 5.13 </w:t>
      </w:r>
      <w:r w:rsidRPr="00315765">
        <w:rPr>
          <w:rFonts w:cs="Arial"/>
          <w:szCs w:val="18"/>
        </w:rPr>
        <w:t>above</w:t>
      </w:r>
      <w:r w:rsidRPr="00564DB3">
        <w:rPr>
          <w:rFonts w:cs="Arial"/>
          <w:szCs w:val="18"/>
        </w:rPr>
        <w:t xml:space="preserve">, where the Assistant Administrator has determined that in such a fishery: (i) there is a regular and significant association between dolphins and tuna (similar to the association between dolphins and tuna in the ETP); or (ii) a regular and significant mortality or serious injury of dolphins is occurring. In those situations, </w:t>
      </w:r>
      <w:r w:rsidR="00D500D9" w:rsidRPr="00564DB3">
        <w:rPr>
          <w:rFonts w:cs="Arial"/>
          <w:szCs w:val="18"/>
        </w:rPr>
        <w:t xml:space="preserve">both </w:t>
      </w:r>
      <w:r w:rsidRPr="00564DB3">
        <w:rPr>
          <w:rFonts w:cs="Arial"/>
          <w:szCs w:val="18"/>
        </w:rPr>
        <w:t xml:space="preserve">the captain and </w:t>
      </w:r>
      <w:r w:rsidR="00D500D9" w:rsidRPr="00564DB3">
        <w:rPr>
          <w:rFonts w:cs="Arial"/>
          <w:szCs w:val="18"/>
        </w:rPr>
        <w:t xml:space="preserve">the </w:t>
      </w:r>
      <w:r w:rsidRPr="00564DB3">
        <w:rPr>
          <w:rFonts w:cs="Arial"/>
          <w:szCs w:val="18"/>
        </w:rPr>
        <w:t>obs</w:t>
      </w:r>
      <w:r w:rsidR="0039205B">
        <w:rPr>
          <w:rFonts w:cs="Arial"/>
          <w:szCs w:val="18"/>
        </w:rPr>
        <w:t>erver must certify that: (i) no </w:t>
      </w:r>
      <w:r w:rsidR="00033652" w:rsidRPr="00564DB3">
        <w:rPr>
          <w:rFonts w:cs="Arial"/>
          <w:szCs w:val="18"/>
        </w:rPr>
        <w:t xml:space="preserve">purse seine net or other </w:t>
      </w:r>
      <w:r w:rsidRPr="00564DB3">
        <w:rPr>
          <w:rFonts w:cs="Arial"/>
          <w:szCs w:val="18"/>
        </w:rPr>
        <w:t xml:space="preserve">fishing gear was intentionally deployed on or used to encircle </w:t>
      </w:r>
      <w:r w:rsidR="00E20B3B" w:rsidRPr="00564DB3">
        <w:rPr>
          <w:rFonts w:cs="Arial"/>
          <w:szCs w:val="18"/>
        </w:rPr>
        <w:t xml:space="preserve">(i.e. set on) </w:t>
      </w:r>
      <w:r w:rsidRPr="00564DB3">
        <w:rPr>
          <w:rFonts w:cs="Arial"/>
          <w:szCs w:val="18"/>
        </w:rPr>
        <w:t xml:space="preserve">dolphins during the trip on which the tuna </w:t>
      </w:r>
      <w:r w:rsidR="00805D29" w:rsidRPr="00564DB3">
        <w:rPr>
          <w:rFonts w:cs="Arial"/>
          <w:szCs w:val="18"/>
        </w:rPr>
        <w:t xml:space="preserve">was </w:t>
      </w:r>
      <w:r w:rsidRPr="00564DB3">
        <w:rPr>
          <w:rFonts w:cs="Arial"/>
          <w:szCs w:val="18"/>
        </w:rPr>
        <w:t>caught;</w:t>
      </w:r>
      <w:r w:rsidRPr="00564DB3">
        <w:rPr>
          <w:szCs w:val="18"/>
        </w:rPr>
        <w:t xml:space="preserve"> and (ii) n</w:t>
      </w:r>
      <w:r w:rsidRPr="00564DB3">
        <w:rPr>
          <w:rFonts w:cs="Arial"/>
          <w:szCs w:val="18"/>
        </w:rPr>
        <w:t xml:space="preserve">o dolphins were killed or seriously injured in the sets or other gear deployments in which the tuna </w:t>
      </w:r>
      <w:r w:rsidR="00805D29" w:rsidRPr="00564DB3">
        <w:rPr>
          <w:rFonts w:cs="Arial"/>
          <w:szCs w:val="18"/>
        </w:rPr>
        <w:t xml:space="preserve">was </w:t>
      </w:r>
      <w:r w:rsidRPr="00564DB3">
        <w:rPr>
          <w:rFonts w:cs="Arial"/>
          <w:szCs w:val="18"/>
        </w:rPr>
        <w:t>caught.</w:t>
      </w:r>
      <w:bookmarkEnd w:id="63"/>
      <w:r w:rsidR="00033652" w:rsidRPr="00564DB3">
        <w:rPr>
          <w:rStyle w:val="FootnoteReference"/>
          <w:rFonts w:cs="Arial"/>
          <w:szCs w:val="18"/>
        </w:rPr>
        <w:footnoteReference w:id="122"/>
      </w:r>
      <w:bookmarkEnd w:id="64"/>
    </w:p>
    <w:p w:rsidR="00940CBB" w:rsidRPr="00564DB3" w:rsidRDefault="00940CBB" w:rsidP="00F70E38">
      <w:pPr>
        <w:pStyle w:val="BodyText"/>
        <w:rPr>
          <w:rFonts w:cs="Arial"/>
          <w:szCs w:val="18"/>
        </w:rPr>
      </w:pPr>
      <w:bookmarkStart w:id="65" w:name="_Ref529185742"/>
      <w:r w:rsidRPr="00564DB3">
        <w:rPr>
          <w:rFonts w:cs="Arial"/>
          <w:szCs w:val="18"/>
        </w:rPr>
        <w:t>As was the case with the 2013 Tuna Measure, the tracking and verification requirements under the 2016 Tuna Measure concern the physical segregation of dolphin</w:t>
      </w:r>
      <w:r w:rsidRPr="00564DB3">
        <w:rPr>
          <w:rFonts w:cs="Arial"/>
          <w:szCs w:val="18"/>
        </w:rPr>
        <w:noBreakHyphen/>
        <w:t xml:space="preserve">safe </w:t>
      </w:r>
      <w:r w:rsidR="00033652" w:rsidRPr="00564DB3">
        <w:rPr>
          <w:rFonts w:cs="Arial"/>
          <w:szCs w:val="18"/>
        </w:rPr>
        <w:t xml:space="preserve">tuna </w:t>
      </w:r>
      <w:r w:rsidRPr="00564DB3">
        <w:rPr>
          <w:rFonts w:cs="Arial"/>
          <w:szCs w:val="18"/>
        </w:rPr>
        <w:t>from no</w:t>
      </w:r>
      <w:r w:rsidR="0039205B">
        <w:rPr>
          <w:rFonts w:cs="Arial"/>
          <w:szCs w:val="18"/>
        </w:rPr>
        <w:t>n</w:t>
      </w:r>
      <w:r w:rsidR="0039205B">
        <w:rPr>
          <w:rFonts w:cs="Arial"/>
          <w:szCs w:val="18"/>
        </w:rPr>
        <w:noBreakHyphen/>
      </w:r>
      <w:r w:rsidRPr="00564DB3">
        <w:rPr>
          <w:rFonts w:cs="Arial"/>
          <w:szCs w:val="18"/>
        </w:rPr>
        <w:t>dolphin-safe tuna, from the moment of harvest and throughout the processing chain.</w:t>
      </w:r>
      <w:r w:rsidR="005B1CE4" w:rsidRPr="00564DB3">
        <w:rPr>
          <w:rStyle w:val="FootnoteReference"/>
          <w:rFonts w:cs="Arial"/>
          <w:szCs w:val="18"/>
        </w:rPr>
        <w:footnoteReference w:id="123"/>
      </w:r>
      <w:r w:rsidRPr="00564DB3">
        <w:rPr>
          <w:rFonts w:cs="Arial"/>
          <w:szCs w:val="18"/>
        </w:rPr>
        <w:t xml:space="preserve"> </w:t>
      </w:r>
      <w:r w:rsidR="00B54727" w:rsidRPr="00564DB3">
        <w:rPr>
          <w:rFonts w:cs="Arial"/>
          <w:szCs w:val="18"/>
        </w:rPr>
        <w:t>Specifically</w:t>
      </w:r>
      <w:r w:rsidRPr="00564DB3">
        <w:rPr>
          <w:rFonts w:cs="Arial"/>
          <w:szCs w:val="18"/>
        </w:rPr>
        <w:t>, like its predecessor, the 2016 Tuna Measure prescribes the documentation requirements for recording and verifying segregation and the corresponding regulatory oversight. These requirements distinguish between: (i)</w:t>
      </w:r>
      <w:r w:rsidR="008F7926" w:rsidRPr="00564DB3">
        <w:rPr>
          <w:szCs w:val="18"/>
        </w:rPr>
        <w:t> </w:t>
      </w:r>
      <w:r w:rsidRPr="00564DB3">
        <w:rPr>
          <w:rFonts w:cs="Arial"/>
          <w:szCs w:val="18"/>
        </w:rPr>
        <w:t>the ETP large purse seine fishery, which must comply with the AIDCP Tracking and Verification System</w:t>
      </w:r>
      <w:r w:rsidR="005B1CE4" w:rsidRPr="00564DB3">
        <w:rPr>
          <w:rStyle w:val="FootnoteReference"/>
          <w:rFonts w:cs="Arial"/>
          <w:szCs w:val="18"/>
        </w:rPr>
        <w:footnoteReference w:id="124"/>
      </w:r>
      <w:r w:rsidRPr="00564DB3">
        <w:rPr>
          <w:rFonts w:cs="Arial"/>
          <w:szCs w:val="18"/>
        </w:rPr>
        <w:t>; and (ii) all other fisheries, which must comply with</w:t>
      </w:r>
      <w:r w:rsidRPr="00564DB3">
        <w:rPr>
          <w:szCs w:val="18"/>
        </w:rPr>
        <w:t xml:space="preserve"> </w:t>
      </w:r>
      <w:r w:rsidRPr="00564DB3">
        <w:rPr>
          <w:rFonts w:cs="Arial"/>
          <w:szCs w:val="18"/>
        </w:rPr>
        <w:t>the requirements prescribed in the 2016 implementing regulations</w:t>
      </w:r>
      <w:r w:rsidRPr="00564DB3">
        <w:rPr>
          <w:szCs w:val="18"/>
        </w:rPr>
        <w:t xml:space="preserve"> that the </w:t>
      </w:r>
      <w:r w:rsidR="00083DFC" w:rsidRPr="00564DB3">
        <w:rPr>
          <w:szCs w:val="18"/>
        </w:rPr>
        <w:t>United States</w:t>
      </w:r>
      <w:r w:rsidRPr="00564DB3">
        <w:rPr>
          <w:szCs w:val="18"/>
        </w:rPr>
        <w:t xml:space="preserve"> refers to as </w:t>
      </w:r>
      <w:r w:rsidR="008F7926" w:rsidRPr="00564DB3">
        <w:rPr>
          <w:rFonts w:cs="Arial"/>
          <w:szCs w:val="18"/>
        </w:rPr>
        <w:t>the "NOAA </w:t>
      </w:r>
      <w:r w:rsidRPr="00564DB3">
        <w:rPr>
          <w:rFonts w:cs="Arial"/>
          <w:szCs w:val="18"/>
        </w:rPr>
        <w:t>regime".</w:t>
      </w:r>
      <w:r w:rsidR="005B1CE4" w:rsidRPr="00564DB3">
        <w:rPr>
          <w:rStyle w:val="FootnoteReference"/>
          <w:rFonts w:cs="Arial"/>
          <w:szCs w:val="18"/>
        </w:rPr>
        <w:footnoteReference w:id="125"/>
      </w:r>
      <w:r w:rsidRPr="00564DB3">
        <w:rPr>
          <w:rFonts w:cs="Arial"/>
          <w:szCs w:val="18"/>
        </w:rPr>
        <w:t xml:space="preserve"> Thus, the ETP large purse seine fishery is subject to the AIDCP regime, while all other fisheries are subject to the NOAA regime.</w:t>
      </w:r>
      <w:bookmarkEnd w:id="65"/>
    </w:p>
    <w:p w:rsidR="00940CBB" w:rsidRPr="00564DB3" w:rsidRDefault="00940CBB" w:rsidP="00F70E38">
      <w:pPr>
        <w:pStyle w:val="BodyText"/>
        <w:rPr>
          <w:rFonts w:cs="Arial"/>
          <w:szCs w:val="18"/>
        </w:rPr>
      </w:pPr>
      <w:r w:rsidRPr="00564DB3">
        <w:rPr>
          <w:rFonts w:cs="Arial"/>
          <w:szCs w:val="18"/>
        </w:rPr>
        <w:t>The AIDCP Tracking and Verification System is based on the use of Tuna Tracking Forms (TTFs). Every TTF has a unique number. On every fishing trip, ETP large purse seine vessels must maintain two TTFs, one to record tuna harvested in dolphin-safe sets, and one to record tuna harvested in non-dolphin-safe sets.</w:t>
      </w:r>
      <w:r w:rsidR="005B1CE4" w:rsidRPr="00564DB3">
        <w:rPr>
          <w:rStyle w:val="FootnoteReference"/>
          <w:rFonts w:cs="Arial"/>
          <w:szCs w:val="18"/>
        </w:rPr>
        <w:footnoteReference w:id="126"/>
      </w:r>
      <w:r w:rsidRPr="00564DB3">
        <w:rPr>
          <w:rFonts w:cs="Arial"/>
          <w:szCs w:val="18"/>
        </w:rPr>
        <w:t xml:space="preserve"> At the end of each fishing trip, the IDCP</w:t>
      </w:r>
      <w:r w:rsidR="00967C56" w:rsidRPr="00564DB3">
        <w:rPr>
          <w:rFonts w:cs="Arial"/>
          <w:szCs w:val="18"/>
        </w:rPr>
        <w:t>-approved</w:t>
      </w:r>
      <w:r w:rsidRPr="00564DB3">
        <w:rPr>
          <w:rFonts w:cs="Arial"/>
          <w:szCs w:val="18"/>
        </w:rPr>
        <w:t xml:space="preserve"> observer</w:t>
      </w:r>
      <w:r w:rsidR="00B54727" w:rsidRPr="00564DB3">
        <w:rPr>
          <w:rFonts w:cs="Arial"/>
          <w:szCs w:val="18"/>
        </w:rPr>
        <w:t xml:space="preserve"> and the captain of the fishing vessel initial</w:t>
      </w:r>
      <w:r w:rsidRPr="00564DB3">
        <w:rPr>
          <w:rFonts w:cs="Arial"/>
          <w:szCs w:val="18"/>
        </w:rPr>
        <w:t xml:space="preserve"> both TTFs to certify that the information on the forms is accurate.</w:t>
      </w:r>
      <w:r w:rsidR="005B1CE4" w:rsidRPr="00564DB3">
        <w:rPr>
          <w:rStyle w:val="FootnoteReference"/>
          <w:rFonts w:cs="Arial"/>
          <w:szCs w:val="18"/>
        </w:rPr>
        <w:footnoteReference w:id="127"/>
      </w:r>
      <w:r w:rsidRPr="00564DB3">
        <w:rPr>
          <w:szCs w:val="18"/>
          <w:lang w:eastAsia="en-US"/>
        </w:rPr>
        <w:t xml:space="preserve"> </w:t>
      </w:r>
    </w:p>
    <w:p w:rsidR="00940CBB" w:rsidRPr="00564DB3" w:rsidRDefault="00940CBB" w:rsidP="00F70E38">
      <w:pPr>
        <w:pStyle w:val="BodyText"/>
        <w:rPr>
          <w:rFonts w:cs="Arial"/>
          <w:szCs w:val="18"/>
        </w:rPr>
      </w:pPr>
      <w:r w:rsidRPr="00564DB3">
        <w:rPr>
          <w:rFonts w:cs="Arial"/>
          <w:szCs w:val="18"/>
        </w:rPr>
        <w:t>At the time of unloading, the relevant TTF must be transmitted to the competent authority of an AIDCP party.</w:t>
      </w:r>
      <w:r w:rsidR="005B1CE4" w:rsidRPr="00564DB3">
        <w:rPr>
          <w:rStyle w:val="FootnoteReference"/>
          <w:rFonts w:cs="Arial"/>
          <w:szCs w:val="18"/>
        </w:rPr>
        <w:footnoteReference w:id="128"/>
      </w:r>
      <w:r w:rsidRPr="00564DB3">
        <w:rPr>
          <w:rFonts w:cs="Arial"/>
          <w:szCs w:val="18"/>
        </w:rPr>
        <w:t xml:space="preserve"> The relevant TTF number must then accompany the tuna through sales of portions </w:t>
      </w:r>
      <w:r w:rsidRPr="00564DB3">
        <w:rPr>
          <w:rFonts w:cs="Arial"/>
          <w:szCs w:val="18"/>
        </w:rPr>
        <w:lastRenderedPageBreak/>
        <w:t>of the catch and through every processing step of those portions.</w:t>
      </w:r>
      <w:r w:rsidR="005B1CE4" w:rsidRPr="00564DB3">
        <w:rPr>
          <w:rStyle w:val="FootnoteReference"/>
          <w:rFonts w:cs="Arial"/>
          <w:szCs w:val="18"/>
        </w:rPr>
        <w:footnoteReference w:id="129"/>
      </w:r>
      <w:r w:rsidRPr="00564DB3">
        <w:rPr>
          <w:szCs w:val="18"/>
          <w:lang w:eastAsia="en-US"/>
        </w:rPr>
        <w:t xml:space="preserve"> </w:t>
      </w:r>
      <w:r w:rsidR="00993270" w:rsidRPr="00564DB3">
        <w:rPr>
          <w:szCs w:val="18"/>
          <w:lang w:eastAsia="en-US"/>
        </w:rPr>
        <w:t>A t</w:t>
      </w:r>
      <w:r w:rsidRPr="00564DB3">
        <w:rPr>
          <w:rFonts w:cs="Arial"/>
          <w:szCs w:val="18"/>
        </w:rPr>
        <w:t xml:space="preserve">una </w:t>
      </w:r>
      <w:r w:rsidR="00D500D9" w:rsidRPr="00564DB3">
        <w:rPr>
          <w:rFonts w:cs="Arial"/>
          <w:szCs w:val="18"/>
        </w:rPr>
        <w:t xml:space="preserve">product </w:t>
      </w:r>
      <w:r w:rsidRPr="00564DB3">
        <w:rPr>
          <w:rFonts w:cs="Arial"/>
          <w:szCs w:val="18"/>
        </w:rPr>
        <w:t>exported as AIDCP dolphin-safe must be accompanied by a certificate of its dolphin-safe status issued by a competent authority, which must also include a reference to the relevant TTF number.</w:t>
      </w:r>
      <w:r w:rsidR="005B1CE4" w:rsidRPr="00564DB3">
        <w:rPr>
          <w:rStyle w:val="FootnoteReference"/>
          <w:rFonts w:cs="Arial"/>
          <w:szCs w:val="18"/>
        </w:rPr>
        <w:footnoteReference w:id="130"/>
      </w:r>
      <w:r w:rsidRPr="00564DB3">
        <w:rPr>
          <w:rFonts w:cs="Arial"/>
          <w:szCs w:val="18"/>
        </w:rPr>
        <w:t xml:space="preserve"> The AIDCP Tracking and Verification System also provides that the national programs established by the parties to the AIDCP should include periodic audits and spot checks for tuna products, as well as mechanisms for cooperation among national authorities.</w:t>
      </w:r>
      <w:r w:rsidR="005B1CE4" w:rsidRPr="00564DB3">
        <w:rPr>
          <w:rStyle w:val="FootnoteReference"/>
          <w:rFonts w:cs="Arial"/>
          <w:szCs w:val="18"/>
        </w:rPr>
        <w:footnoteReference w:id="131"/>
      </w:r>
    </w:p>
    <w:p w:rsidR="00940CBB" w:rsidRPr="00564DB3" w:rsidRDefault="00940CBB" w:rsidP="00F70E38">
      <w:pPr>
        <w:pStyle w:val="BodyText"/>
        <w:rPr>
          <w:rFonts w:cs="Arial"/>
          <w:szCs w:val="18"/>
        </w:rPr>
      </w:pPr>
      <w:r w:rsidRPr="00564DB3">
        <w:rPr>
          <w:rFonts w:cs="Arial"/>
          <w:szCs w:val="18"/>
        </w:rPr>
        <w:t xml:space="preserve">In addition, all tuna products imported into the </w:t>
      </w:r>
      <w:r w:rsidR="00083DFC" w:rsidRPr="00564DB3">
        <w:rPr>
          <w:rFonts w:cs="Arial"/>
          <w:szCs w:val="18"/>
        </w:rPr>
        <w:t>United States</w:t>
      </w:r>
      <w:r w:rsidRPr="00564DB3">
        <w:rPr>
          <w:rFonts w:cs="Arial"/>
          <w:szCs w:val="18"/>
        </w:rPr>
        <w:t xml:space="preserve">, regardless of where the tuna was caught and whether the dolphin-safe label is used, must be accompanied by NOAA Form 370, which designates, </w:t>
      </w:r>
      <w:r w:rsidRPr="00564DB3">
        <w:rPr>
          <w:rFonts w:cs="Arial"/>
          <w:i/>
          <w:szCs w:val="18"/>
        </w:rPr>
        <w:t>inter alia</w:t>
      </w:r>
      <w:r w:rsidRPr="00564DB3">
        <w:rPr>
          <w:rFonts w:cs="Arial"/>
          <w:szCs w:val="18"/>
        </w:rPr>
        <w:t>, whether the tuna is dolphin</w:t>
      </w:r>
      <w:r w:rsidRPr="00564DB3">
        <w:rPr>
          <w:rFonts w:cs="Arial"/>
          <w:szCs w:val="18"/>
        </w:rPr>
        <w:noBreakHyphen/>
        <w:t>safe.</w:t>
      </w:r>
      <w:r w:rsidR="005B1CE4" w:rsidRPr="00564DB3">
        <w:rPr>
          <w:rStyle w:val="FootnoteReference"/>
          <w:rFonts w:cs="Arial"/>
          <w:szCs w:val="18"/>
        </w:rPr>
        <w:footnoteReference w:id="132"/>
      </w:r>
      <w:r w:rsidRPr="00564DB3">
        <w:rPr>
          <w:rFonts w:cs="Arial"/>
          <w:szCs w:val="18"/>
        </w:rPr>
        <w:t xml:space="preserve"> This means that, for imported tuna caught in the ETP large purse seine fishery, both TTFs and Form 370 are required. By contrast, for imported tuna caught in all other fisheries, only Form 370 is required.</w:t>
      </w:r>
    </w:p>
    <w:p w:rsidR="00940CBB" w:rsidRPr="00564DB3" w:rsidRDefault="00940CBB" w:rsidP="00F70E38">
      <w:pPr>
        <w:pStyle w:val="BodyText"/>
        <w:rPr>
          <w:rFonts w:cs="Arial"/>
          <w:szCs w:val="18"/>
        </w:rPr>
      </w:pPr>
      <w:r w:rsidRPr="00564DB3">
        <w:rPr>
          <w:rFonts w:cs="Arial"/>
          <w:szCs w:val="18"/>
        </w:rPr>
        <w:t xml:space="preserve">Moreover, </w:t>
      </w:r>
      <w:proofErr w:type="gramStart"/>
      <w:r w:rsidRPr="00564DB3">
        <w:rPr>
          <w:rFonts w:cs="Arial"/>
          <w:szCs w:val="18"/>
        </w:rPr>
        <w:t>as regards</w:t>
      </w:r>
      <w:proofErr w:type="gramEnd"/>
      <w:r w:rsidRPr="00564DB3">
        <w:rPr>
          <w:rFonts w:cs="Arial"/>
          <w:szCs w:val="18"/>
        </w:rPr>
        <w:t xml:space="preserve"> all other fisheries, the NOAA regime requires US tuna processors to submit monthly reports to the US </w:t>
      </w:r>
      <w:r w:rsidR="00211CAB" w:rsidRPr="00564DB3">
        <w:rPr>
          <w:szCs w:val="18"/>
        </w:rPr>
        <w:t>Tuna Tracking and Verification Program</w:t>
      </w:r>
      <w:r w:rsidRPr="00564DB3">
        <w:rPr>
          <w:rFonts w:cs="Arial"/>
          <w:szCs w:val="18"/>
        </w:rPr>
        <w:t xml:space="preserve"> for all tuna received at their processing facilities. These reports contain the same information contained in </w:t>
      </w:r>
      <w:r w:rsidR="00967C56" w:rsidRPr="00564DB3">
        <w:rPr>
          <w:rFonts w:cs="Arial"/>
          <w:szCs w:val="18"/>
        </w:rPr>
        <w:t xml:space="preserve">NOAA </w:t>
      </w:r>
      <w:r w:rsidRPr="00564DB3">
        <w:rPr>
          <w:rFonts w:cs="Arial"/>
          <w:szCs w:val="18"/>
        </w:rPr>
        <w:t>Form 370, as well as additional information, such as unloading dates and the condition of the tuna products.</w:t>
      </w:r>
      <w:r w:rsidR="005B1CE4" w:rsidRPr="00564DB3">
        <w:rPr>
          <w:rStyle w:val="FootnoteReference"/>
          <w:rFonts w:cs="Arial"/>
          <w:szCs w:val="18"/>
        </w:rPr>
        <w:footnoteReference w:id="133"/>
      </w:r>
      <w:r w:rsidR="00105496" w:rsidRPr="00564DB3">
        <w:rPr>
          <w:rFonts w:cs="Arial"/>
          <w:szCs w:val="18"/>
        </w:rPr>
        <w:t xml:space="preserve"> Furthermore, under the NOAA </w:t>
      </w:r>
      <w:r w:rsidRPr="00564DB3">
        <w:rPr>
          <w:rFonts w:cs="Arial"/>
          <w:szCs w:val="18"/>
        </w:rPr>
        <w:t xml:space="preserve">regime, </w:t>
      </w:r>
      <w:r w:rsidR="00D500D9" w:rsidRPr="00564DB3">
        <w:rPr>
          <w:rFonts w:cs="Arial"/>
          <w:szCs w:val="18"/>
        </w:rPr>
        <w:t xml:space="preserve">the </w:t>
      </w:r>
      <w:r w:rsidRPr="00564DB3">
        <w:rPr>
          <w:rFonts w:cs="Arial"/>
          <w:szCs w:val="18"/>
        </w:rPr>
        <w:t>NMFS is empowered to undertake verification activities, including dockside inspections of vessels, monitoring of Form 370s, monitoring of cannery reports, audits of US canneries, and retail market spot checks.</w:t>
      </w:r>
      <w:r w:rsidR="005B1CE4" w:rsidRPr="00564DB3">
        <w:rPr>
          <w:rStyle w:val="FootnoteReference"/>
          <w:rFonts w:cs="Arial"/>
          <w:szCs w:val="18"/>
        </w:rPr>
        <w:footnoteReference w:id="134"/>
      </w:r>
      <w:r w:rsidRPr="00564DB3">
        <w:rPr>
          <w:rFonts w:cs="Arial"/>
          <w:szCs w:val="18"/>
        </w:rPr>
        <w:t xml:space="preserve"> Other </w:t>
      </w:r>
      <w:r w:rsidR="008F7926" w:rsidRPr="00564DB3">
        <w:rPr>
          <w:rFonts w:cs="Arial"/>
          <w:szCs w:val="18"/>
        </w:rPr>
        <w:t>US agencies may also conduct on</w:t>
      </w:r>
      <w:r w:rsidR="008F7926" w:rsidRPr="00564DB3">
        <w:rPr>
          <w:rFonts w:cs="Arial"/>
          <w:szCs w:val="18"/>
        </w:rPr>
        <w:noBreakHyphen/>
      </w:r>
      <w:r w:rsidRPr="00564DB3">
        <w:rPr>
          <w:rFonts w:cs="Arial"/>
          <w:szCs w:val="18"/>
        </w:rPr>
        <w:t>board inspections on the high seas and in US waters.</w:t>
      </w:r>
      <w:r w:rsidR="005B1CE4" w:rsidRPr="00564DB3">
        <w:rPr>
          <w:rStyle w:val="FootnoteReference"/>
          <w:rFonts w:cs="Arial"/>
          <w:szCs w:val="18"/>
        </w:rPr>
        <w:footnoteReference w:id="135"/>
      </w:r>
    </w:p>
    <w:p w:rsidR="00940CBB" w:rsidRPr="00564DB3" w:rsidRDefault="00940CBB" w:rsidP="00F70E38">
      <w:pPr>
        <w:pStyle w:val="BodyText"/>
        <w:rPr>
          <w:rFonts w:cs="Arial"/>
          <w:szCs w:val="18"/>
        </w:rPr>
      </w:pPr>
      <w:bookmarkStart w:id="68" w:name="_Ref529185746"/>
      <w:r w:rsidRPr="00564DB3">
        <w:rPr>
          <w:rFonts w:cs="Arial"/>
          <w:szCs w:val="18"/>
        </w:rPr>
        <w:t>Furthermore, while the 2016 Tuna Measure has made no changes to the tracking and verification requirements applicable to the ETP large purse seine fishery, it has introduced some additional requirements under the NOAA regime</w:t>
      </w:r>
      <w:r w:rsidR="004D2943" w:rsidRPr="00564DB3">
        <w:rPr>
          <w:rFonts w:cs="Arial"/>
          <w:szCs w:val="18"/>
        </w:rPr>
        <w:t xml:space="preserve">, which </w:t>
      </w:r>
      <w:r w:rsidRPr="00564DB3">
        <w:rPr>
          <w:rFonts w:cs="Arial"/>
          <w:szCs w:val="18"/>
        </w:rPr>
        <w:t>governs all other fisheries. As the Panels observed, the 2016 Tuna Measure establishes new chain of custody record-keeping requirements for tuna products harvested from all other fisheries. Specifically, the US processors and importers of such tuna products must collect and retain, for two years, information on each point in the chain of custody of the tuna or tuna products, including information on all storage facilities, trans-shippers, processors, and wholesalers or distributors. Th</w:t>
      </w:r>
      <w:r w:rsidR="00D500D9" w:rsidRPr="00564DB3">
        <w:rPr>
          <w:rFonts w:cs="Arial"/>
          <w:szCs w:val="18"/>
        </w:rPr>
        <w:t>is</w:t>
      </w:r>
      <w:r w:rsidRPr="00564DB3">
        <w:rPr>
          <w:rFonts w:cs="Arial"/>
          <w:szCs w:val="18"/>
        </w:rPr>
        <w:t xml:space="preserve"> information must be provided to </w:t>
      </w:r>
      <w:r w:rsidR="00D500D9" w:rsidRPr="00564DB3">
        <w:rPr>
          <w:rFonts w:cs="Arial"/>
          <w:szCs w:val="18"/>
        </w:rPr>
        <w:t xml:space="preserve">the </w:t>
      </w:r>
      <w:r w:rsidRPr="00564DB3">
        <w:rPr>
          <w:rFonts w:cs="Arial"/>
          <w:szCs w:val="18"/>
        </w:rPr>
        <w:t xml:space="preserve">NMFS upon </w:t>
      </w:r>
      <w:proofErr w:type="gramStart"/>
      <w:r w:rsidRPr="00564DB3">
        <w:rPr>
          <w:rFonts w:cs="Arial"/>
          <w:szCs w:val="18"/>
        </w:rPr>
        <w:t>request, and</w:t>
      </w:r>
      <w:proofErr w:type="gramEnd"/>
      <w:r w:rsidRPr="00564DB3">
        <w:rPr>
          <w:rFonts w:cs="Arial"/>
          <w:szCs w:val="18"/>
        </w:rPr>
        <w:t xml:space="preserve"> must be sufficient for </w:t>
      </w:r>
      <w:r w:rsidR="00D500D9" w:rsidRPr="00564DB3">
        <w:rPr>
          <w:rFonts w:cs="Arial"/>
          <w:szCs w:val="18"/>
        </w:rPr>
        <w:t xml:space="preserve">the </w:t>
      </w:r>
      <w:r w:rsidRPr="00564DB3">
        <w:rPr>
          <w:rFonts w:cs="Arial"/>
          <w:szCs w:val="18"/>
        </w:rPr>
        <w:t>NMFS to conduct a trace-back of any tuna product marketed as dolphin</w:t>
      </w:r>
      <w:r w:rsidRPr="00564DB3">
        <w:rPr>
          <w:rFonts w:cs="Arial"/>
          <w:szCs w:val="18"/>
        </w:rPr>
        <w:noBreakHyphen/>
        <w:t>safe to verify that the tuna product in fact meets the dolphin-safe labelling requirements. These new requirements apply to all tuna products labelled dolphin</w:t>
      </w:r>
      <w:r w:rsidRPr="00564DB3">
        <w:rPr>
          <w:rFonts w:cs="Arial"/>
          <w:szCs w:val="18"/>
        </w:rPr>
        <w:noBreakHyphen/>
        <w:t>safe if those products contain tuna harvested on a fishing tr</w:t>
      </w:r>
      <w:r w:rsidR="00105496" w:rsidRPr="00564DB3">
        <w:rPr>
          <w:rFonts w:cs="Arial"/>
          <w:szCs w:val="18"/>
        </w:rPr>
        <w:t>ip beginning on or after 21 May </w:t>
      </w:r>
      <w:r w:rsidRPr="00564DB3">
        <w:rPr>
          <w:rFonts w:cs="Arial"/>
          <w:szCs w:val="18"/>
        </w:rPr>
        <w:t>2016.</w:t>
      </w:r>
      <w:r w:rsidR="005B1CE4" w:rsidRPr="00564DB3">
        <w:rPr>
          <w:rStyle w:val="FootnoteReference"/>
          <w:rFonts w:cs="Arial"/>
          <w:szCs w:val="18"/>
        </w:rPr>
        <w:footnoteReference w:id="136"/>
      </w:r>
      <w:bookmarkEnd w:id="68"/>
    </w:p>
    <w:p w:rsidR="00940CBB" w:rsidRPr="00564DB3" w:rsidRDefault="00940CBB" w:rsidP="00F70E38">
      <w:pPr>
        <w:pStyle w:val="BodyText"/>
        <w:rPr>
          <w:rFonts w:cs="Arial"/>
          <w:szCs w:val="18"/>
        </w:rPr>
      </w:pPr>
      <w:r w:rsidRPr="00564DB3">
        <w:rPr>
          <w:rFonts w:cs="Arial"/>
          <w:szCs w:val="18"/>
        </w:rPr>
        <w:t xml:space="preserve">Importantly, the breach of these new chain of custody record-keeping requirements may lead to the imposition of sanctions under US law. Sanctions for offering for sale or export tuna products falsely labelled dolphin-safe may be assessed against any producer, importer, exporter, distributor, or seller that is subject to the jurisdiction of the </w:t>
      </w:r>
      <w:r w:rsidR="00083DFC" w:rsidRPr="00564DB3">
        <w:rPr>
          <w:rFonts w:cs="Arial"/>
          <w:szCs w:val="18"/>
        </w:rPr>
        <w:t>United States</w:t>
      </w:r>
      <w:r w:rsidRPr="00564DB3">
        <w:rPr>
          <w:rFonts w:cs="Arial"/>
          <w:szCs w:val="18"/>
        </w:rPr>
        <w:t>.</w:t>
      </w:r>
      <w:r w:rsidR="005B1CE4" w:rsidRPr="00564DB3">
        <w:rPr>
          <w:rStyle w:val="FootnoteReference"/>
          <w:rFonts w:cs="Arial"/>
          <w:szCs w:val="18"/>
        </w:rPr>
        <w:footnoteReference w:id="137"/>
      </w:r>
      <w:r w:rsidRPr="00564DB3">
        <w:rPr>
          <w:rFonts w:cs="Arial"/>
          <w:szCs w:val="18"/>
        </w:rPr>
        <w:t xml:space="preserve"> They may be prosecuted under </w:t>
      </w:r>
      <w:r w:rsidRPr="00564DB3">
        <w:rPr>
          <w:rFonts w:cs="Arial"/>
          <w:szCs w:val="18"/>
        </w:rPr>
        <w:lastRenderedPageBreak/>
        <w:t>the DPCIA provisions, the federal provisions prohibiting false statements and smuggling, or the federal labelling standards.</w:t>
      </w:r>
      <w:r w:rsidR="005B1CE4" w:rsidRPr="00564DB3">
        <w:rPr>
          <w:rStyle w:val="FootnoteReference"/>
          <w:rFonts w:cs="Arial"/>
          <w:szCs w:val="18"/>
        </w:rPr>
        <w:footnoteReference w:id="138"/>
      </w:r>
    </w:p>
    <w:p w:rsidR="00940CBB" w:rsidRPr="00564DB3" w:rsidRDefault="00940CBB" w:rsidP="00F70E38">
      <w:pPr>
        <w:pStyle w:val="BodyText"/>
        <w:rPr>
          <w:szCs w:val="18"/>
        </w:rPr>
      </w:pPr>
      <w:bookmarkStart w:id="71" w:name="_Ref529970140"/>
      <w:r w:rsidRPr="00564DB3">
        <w:rPr>
          <w:szCs w:val="18"/>
        </w:rPr>
        <w:t xml:space="preserve">Additionally, in fisheries where the Assistant Administrator has </w:t>
      </w:r>
      <w:proofErr w:type="gramStart"/>
      <w:r w:rsidRPr="00564DB3">
        <w:rPr>
          <w:szCs w:val="18"/>
        </w:rPr>
        <w:t>made a determination</w:t>
      </w:r>
      <w:proofErr w:type="gramEnd"/>
      <w:r w:rsidRPr="00564DB3">
        <w:rPr>
          <w:szCs w:val="18"/>
        </w:rPr>
        <w:t xml:space="preserve"> under the determination provisions described in</w:t>
      </w:r>
      <w:r w:rsidR="00A53A52">
        <w:rPr>
          <w:szCs w:val="18"/>
        </w:rPr>
        <w:t xml:space="preserve"> paragraph 5.16 </w:t>
      </w:r>
      <w:r w:rsidRPr="00564DB3">
        <w:rPr>
          <w:szCs w:val="18"/>
        </w:rPr>
        <w:t xml:space="preserve">above, the following conditions apply. Any imported tuna or tuna product made from tuna caught on a trip, in those fisheries, beginning on or more than 60 days after the publication of a notice of the determination in the </w:t>
      </w:r>
      <w:r w:rsidRPr="00564DB3">
        <w:rPr>
          <w:i/>
          <w:szCs w:val="18"/>
        </w:rPr>
        <w:t>Federal Register</w:t>
      </w:r>
      <w:r w:rsidRPr="00564DB3">
        <w:rPr>
          <w:szCs w:val="18"/>
        </w:rPr>
        <w:t>, and which is intended to be labelled as dolphin</w:t>
      </w:r>
      <w:r w:rsidRPr="00564DB3">
        <w:rPr>
          <w:szCs w:val="18"/>
        </w:rPr>
        <w:noBreakHyphen/>
        <w:t xml:space="preserve">safe, must be accompanied by valid documentation signed by a representative of the vessel flag nation or the processing nation (if processed in another nation) certifying that: (i) the catch documentation recorded on </w:t>
      </w:r>
      <w:r w:rsidR="00967C56" w:rsidRPr="00564DB3">
        <w:rPr>
          <w:szCs w:val="18"/>
        </w:rPr>
        <w:t xml:space="preserve">NOAA </w:t>
      </w:r>
      <w:r w:rsidRPr="00564DB3">
        <w:rPr>
          <w:szCs w:val="18"/>
        </w:rPr>
        <w:t>Form 370 is correct; (ii) the tuna or tuna products meet the US dolphin-safe labelling standards; and (iii) the chain of custody information is correct.</w:t>
      </w:r>
      <w:r w:rsidR="005B1CE4" w:rsidRPr="00564DB3">
        <w:rPr>
          <w:rStyle w:val="FootnoteReference"/>
          <w:szCs w:val="18"/>
        </w:rPr>
        <w:footnoteReference w:id="139"/>
      </w:r>
      <w:bookmarkEnd w:id="71"/>
    </w:p>
    <w:p w:rsidR="00940CBB" w:rsidRPr="00564DB3" w:rsidRDefault="00940CBB" w:rsidP="00F70E38">
      <w:pPr>
        <w:pStyle w:val="BodyText"/>
        <w:rPr>
          <w:szCs w:val="18"/>
          <w:lang w:eastAsia="zh-CN"/>
        </w:rPr>
      </w:pPr>
      <w:r w:rsidRPr="00564DB3">
        <w:rPr>
          <w:szCs w:val="18"/>
        </w:rPr>
        <w:t>In sum, we observe that the eligibility criteria, the certification requirements, and the tracking and verification requirements all form part of a single measure, the 2016 Tuna Measure, and thus work together in pursuing the same objectives. Hence, following the Appellate Body</w:t>
      </w:r>
      <w:r w:rsidR="009035AE" w:rsidRPr="00564DB3">
        <w:rPr>
          <w:szCs w:val="18"/>
        </w:rPr>
        <w:t>'s</w:t>
      </w:r>
      <w:r w:rsidRPr="00564DB3">
        <w:rPr>
          <w:szCs w:val="18"/>
        </w:rPr>
        <w:t xml:space="preserve"> finding</w:t>
      </w:r>
      <w:r w:rsidR="009035AE" w:rsidRPr="00564DB3">
        <w:rPr>
          <w:szCs w:val="18"/>
        </w:rPr>
        <w:t>s</w:t>
      </w:r>
      <w:r w:rsidRPr="00564DB3">
        <w:rPr>
          <w:szCs w:val="18"/>
        </w:rPr>
        <w:t xml:space="preserve"> in the first compliance proceedings, in our review of the Panels' evaluation of the 2016 Tuna Measure, we "take account of the fact that its various elements – the eligibility criteria, the certification requirements, and the tracking and verification requirements – establish a series of conditions of access to the dolphin</w:t>
      </w:r>
      <w:r w:rsidRPr="00564DB3">
        <w:rPr>
          <w:szCs w:val="18"/>
        </w:rPr>
        <w:noBreakHyphen/>
        <w:t>safe label that are cumulative and highly interrelated".</w:t>
      </w:r>
      <w:r w:rsidR="005B1CE4" w:rsidRPr="00564DB3">
        <w:rPr>
          <w:rStyle w:val="FootnoteReference"/>
          <w:szCs w:val="18"/>
        </w:rPr>
        <w:footnoteReference w:id="140"/>
      </w:r>
    </w:p>
    <w:p w:rsidR="00D0148B" w:rsidRPr="00564DB3" w:rsidRDefault="00F72513" w:rsidP="00F70E38">
      <w:pPr>
        <w:pStyle w:val="Heading1"/>
        <w:rPr>
          <w:szCs w:val="18"/>
        </w:rPr>
      </w:pPr>
      <w:bookmarkStart w:id="72" w:name="_Toc531967465"/>
      <w:r w:rsidRPr="00564DB3">
        <w:rPr>
          <w:szCs w:val="18"/>
        </w:rPr>
        <w:t>Analysis of the A</w:t>
      </w:r>
      <w:r w:rsidR="00025CB6" w:rsidRPr="00564DB3">
        <w:rPr>
          <w:szCs w:val="18"/>
        </w:rPr>
        <w:t>ppellate Body</w:t>
      </w:r>
      <w:bookmarkEnd w:id="72"/>
    </w:p>
    <w:p w:rsidR="00F96EF6" w:rsidRPr="00564DB3" w:rsidRDefault="00083DFC" w:rsidP="00F70E38">
      <w:pPr>
        <w:pStyle w:val="Heading2"/>
        <w:rPr>
          <w:szCs w:val="18"/>
        </w:rPr>
      </w:pPr>
      <w:bookmarkStart w:id="73" w:name="_Toc528506749"/>
      <w:bookmarkStart w:id="74" w:name="_Toc528506914"/>
      <w:bookmarkStart w:id="75" w:name="_Toc531967466"/>
      <w:r w:rsidRPr="00564DB3">
        <w:rPr>
          <w:szCs w:val="18"/>
        </w:rPr>
        <w:t>Article </w:t>
      </w:r>
      <w:r w:rsidR="00F96EF6" w:rsidRPr="00564DB3">
        <w:rPr>
          <w:szCs w:val="18"/>
        </w:rPr>
        <w:t xml:space="preserve">2.1 of the </w:t>
      </w:r>
      <w:r w:rsidRPr="00564DB3">
        <w:rPr>
          <w:szCs w:val="18"/>
        </w:rPr>
        <w:t>TBT Agreement</w:t>
      </w:r>
      <w:bookmarkEnd w:id="73"/>
      <w:bookmarkEnd w:id="74"/>
      <w:bookmarkEnd w:id="75"/>
    </w:p>
    <w:p w:rsidR="00F96EF6" w:rsidRPr="00564DB3" w:rsidRDefault="00F96EF6" w:rsidP="00F70E38">
      <w:pPr>
        <w:pStyle w:val="Heading3"/>
        <w:rPr>
          <w:szCs w:val="18"/>
        </w:rPr>
      </w:pPr>
      <w:bookmarkStart w:id="76" w:name="_Toc528506750"/>
      <w:bookmarkStart w:id="77" w:name="_Toc528506915"/>
      <w:bookmarkStart w:id="78" w:name="_Toc531967467"/>
      <w:r w:rsidRPr="00564DB3">
        <w:rPr>
          <w:szCs w:val="18"/>
        </w:rPr>
        <w:t>Introduction</w:t>
      </w:r>
      <w:bookmarkEnd w:id="76"/>
      <w:bookmarkEnd w:id="77"/>
      <w:bookmarkEnd w:id="78"/>
    </w:p>
    <w:p w:rsidR="00432E5C" w:rsidRPr="00564DB3" w:rsidRDefault="00432E5C" w:rsidP="00F70E38">
      <w:pPr>
        <w:pStyle w:val="BodyText"/>
        <w:numPr>
          <w:ilvl w:val="6"/>
          <w:numId w:val="15"/>
        </w:numPr>
        <w:rPr>
          <w:szCs w:val="18"/>
        </w:rPr>
      </w:pPr>
      <w:r w:rsidRPr="00564DB3">
        <w:rPr>
          <w:szCs w:val="18"/>
        </w:rPr>
        <w:t xml:space="preserve">As noted above, in the present compliance proceedings, the </w:t>
      </w:r>
      <w:r w:rsidR="00083DFC" w:rsidRPr="00564DB3">
        <w:rPr>
          <w:szCs w:val="18"/>
        </w:rPr>
        <w:t>United States</w:t>
      </w:r>
      <w:r w:rsidRPr="00564DB3">
        <w:rPr>
          <w:szCs w:val="18"/>
        </w:rPr>
        <w:t xml:space="preserve"> requested the Panels to find that the 2016 Tuna Measure is consistent with </w:t>
      </w:r>
      <w:r w:rsidR="00083DFC" w:rsidRPr="00564DB3">
        <w:rPr>
          <w:szCs w:val="18"/>
        </w:rPr>
        <w:t>Article </w:t>
      </w:r>
      <w:r w:rsidRPr="00564DB3">
        <w:rPr>
          <w:szCs w:val="18"/>
        </w:rPr>
        <w:t xml:space="preserve">2.1 of the </w:t>
      </w:r>
      <w:r w:rsidR="00083DFC" w:rsidRPr="00564DB3">
        <w:rPr>
          <w:szCs w:val="18"/>
        </w:rPr>
        <w:t>TBT Agreement</w:t>
      </w:r>
      <w:r w:rsidR="00B54727" w:rsidRPr="00564DB3">
        <w:rPr>
          <w:szCs w:val="18"/>
        </w:rPr>
        <w:t>.</w:t>
      </w:r>
      <w:r w:rsidRPr="00564DB3">
        <w:rPr>
          <w:szCs w:val="18"/>
        </w:rPr>
        <w:t xml:space="preserve"> Mexico asked the Panels to find that the 2016 Tuna Measure is inconsistent with the same provision. The Panels recalled that a finding of inconsistency with </w:t>
      </w:r>
      <w:r w:rsidR="00083DFC" w:rsidRPr="00564DB3">
        <w:rPr>
          <w:szCs w:val="18"/>
        </w:rPr>
        <w:t>Article </w:t>
      </w:r>
      <w:r w:rsidRPr="00564DB3">
        <w:rPr>
          <w:szCs w:val="18"/>
        </w:rPr>
        <w:t xml:space="preserve">2.1 must be based on the following three elements: (i) the measure at issue is a technical regulation within the meaning of Annex 1.1 to the </w:t>
      </w:r>
      <w:r w:rsidR="00083DFC" w:rsidRPr="00564DB3">
        <w:rPr>
          <w:szCs w:val="18"/>
        </w:rPr>
        <w:t>TBT Agreement</w:t>
      </w:r>
      <w:r w:rsidR="00105496" w:rsidRPr="00564DB3">
        <w:rPr>
          <w:szCs w:val="18"/>
        </w:rPr>
        <w:t>; (ii) the </w:t>
      </w:r>
      <w:r w:rsidRPr="00564DB3">
        <w:rPr>
          <w:szCs w:val="18"/>
        </w:rPr>
        <w:t>relevant products are "like" products; and (iii) the measure at issue accords less favourable treatment to imported products than to the relevant group of like products.</w:t>
      </w:r>
      <w:r w:rsidR="005B1CE4" w:rsidRPr="00564DB3">
        <w:rPr>
          <w:rStyle w:val="FootnoteReference"/>
          <w:szCs w:val="18"/>
        </w:rPr>
        <w:footnoteReference w:id="141"/>
      </w:r>
      <w:r w:rsidRPr="00564DB3">
        <w:rPr>
          <w:szCs w:val="18"/>
        </w:rPr>
        <w:t xml:space="preserve"> Noting the similarity in the factual circumstances underlying the first two elements </w:t>
      </w:r>
      <w:r w:rsidR="00016009" w:rsidRPr="00564DB3">
        <w:rPr>
          <w:szCs w:val="18"/>
        </w:rPr>
        <w:t>in</w:t>
      </w:r>
      <w:r w:rsidRPr="00564DB3">
        <w:rPr>
          <w:szCs w:val="18"/>
        </w:rPr>
        <w:t xml:space="preserve"> the first compliance proceedings, the Panels </w:t>
      </w:r>
      <w:r w:rsidR="00016009" w:rsidRPr="00564DB3">
        <w:rPr>
          <w:szCs w:val="18"/>
        </w:rPr>
        <w:t xml:space="preserve">in these compliance proceedings </w:t>
      </w:r>
      <w:r w:rsidRPr="00564DB3">
        <w:rPr>
          <w:szCs w:val="18"/>
        </w:rPr>
        <w:t>agreed with the parties that the 2016 Tuna Measure is a technical regulation and that the relevant products are</w:t>
      </w:r>
      <w:r w:rsidR="00151545" w:rsidRPr="00564DB3">
        <w:rPr>
          <w:szCs w:val="18"/>
        </w:rPr>
        <w:t xml:space="preserve"> </w:t>
      </w:r>
      <w:r w:rsidRPr="00564DB3">
        <w:rPr>
          <w:szCs w:val="18"/>
        </w:rPr>
        <w:t>like.</w:t>
      </w:r>
      <w:r w:rsidR="005B1CE4" w:rsidRPr="00564DB3">
        <w:rPr>
          <w:rStyle w:val="FootnoteReference"/>
          <w:szCs w:val="18"/>
        </w:rPr>
        <w:footnoteReference w:id="142"/>
      </w:r>
    </w:p>
    <w:p w:rsidR="00432E5C" w:rsidRPr="00564DB3" w:rsidRDefault="00432E5C" w:rsidP="00F70E38">
      <w:pPr>
        <w:pStyle w:val="BodyText"/>
        <w:rPr>
          <w:szCs w:val="18"/>
        </w:rPr>
      </w:pPr>
      <w:r w:rsidRPr="00564DB3">
        <w:rPr>
          <w:szCs w:val="18"/>
        </w:rPr>
        <w:t>Regarding the third element, the Panels recalled the Appellate</w:t>
      </w:r>
      <w:r w:rsidR="00025CB6" w:rsidRPr="00564DB3">
        <w:rPr>
          <w:szCs w:val="18"/>
        </w:rPr>
        <w:t> Body</w:t>
      </w:r>
      <w:r w:rsidRPr="00564DB3">
        <w:rPr>
          <w:szCs w:val="18"/>
        </w:rPr>
        <w:t xml:space="preserve">'s finding that assessing whether the measure accords less favourable treatment under </w:t>
      </w:r>
      <w:r w:rsidR="00083DFC" w:rsidRPr="00564DB3">
        <w:rPr>
          <w:szCs w:val="18"/>
        </w:rPr>
        <w:t>Article </w:t>
      </w:r>
      <w:r w:rsidRPr="00564DB3">
        <w:rPr>
          <w:szCs w:val="18"/>
        </w:rPr>
        <w:t xml:space="preserve">2.1 </w:t>
      </w:r>
      <w:r w:rsidR="00016009" w:rsidRPr="00564DB3">
        <w:rPr>
          <w:szCs w:val="18"/>
        </w:rPr>
        <w:t>requires</w:t>
      </w:r>
      <w:r w:rsidRPr="00564DB3">
        <w:rPr>
          <w:szCs w:val="18"/>
        </w:rPr>
        <w:t xml:space="preserve"> two distinct steps: </w:t>
      </w:r>
      <w:r w:rsidR="00B54727" w:rsidRPr="00564DB3">
        <w:rPr>
          <w:szCs w:val="18"/>
        </w:rPr>
        <w:t xml:space="preserve">(i) </w:t>
      </w:r>
      <w:r w:rsidRPr="00564DB3">
        <w:rPr>
          <w:szCs w:val="18"/>
        </w:rPr>
        <w:t>determin</w:t>
      </w:r>
      <w:r w:rsidR="00B54727" w:rsidRPr="00564DB3">
        <w:rPr>
          <w:szCs w:val="18"/>
        </w:rPr>
        <w:t>ing</w:t>
      </w:r>
      <w:r w:rsidRPr="00564DB3">
        <w:rPr>
          <w:szCs w:val="18"/>
        </w:rPr>
        <w:t xml:space="preserve"> whether the challenged measure modifies the conditions of competition to the detriment of the relevant imported products </w:t>
      </w:r>
      <w:r w:rsidRPr="00564DB3">
        <w:rPr>
          <w:iCs/>
          <w:szCs w:val="18"/>
        </w:rPr>
        <w:t>vis-à-vis</w:t>
      </w:r>
      <w:r w:rsidRPr="00564DB3">
        <w:rPr>
          <w:szCs w:val="18"/>
        </w:rPr>
        <w:t xml:space="preserve"> like products of domestic origin and/or like products originating in any other country; </w:t>
      </w:r>
      <w:r w:rsidR="00B54727" w:rsidRPr="00564DB3">
        <w:rPr>
          <w:szCs w:val="18"/>
        </w:rPr>
        <w:t>and, if the</w:t>
      </w:r>
      <w:r w:rsidRPr="00564DB3">
        <w:rPr>
          <w:szCs w:val="18"/>
        </w:rPr>
        <w:t xml:space="preserve"> panel makes such a finding, </w:t>
      </w:r>
      <w:r w:rsidR="00B54727" w:rsidRPr="00564DB3">
        <w:rPr>
          <w:szCs w:val="18"/>
        </w:rPr>
        <w:t xml:space="preserve">(ii) </w:t>
      </w:r>
      <w:r w:rsidRPr="00564DB3">
        <w:rPr>
          <w:szCs w:val="18"/>
        </w:rPr>
        <w:t>determin</w:t>
      </w:r>
      <w:r w:rsidR="00B54727" w:rsidRPr="00564DB3">
        <w:rPr>
          <w:szCs w:val="18"/>
        </w:rPr>
        <w:t>ing</w:t>
      </w:r>
      <w:r w:rsidRPr="00564DB3">
        <w:rPr>
          <w:szCs w:val="18"/>
        </w:rPr>
        <w:t xml:space="preserve"> whether the detrimental impact on imports stems exclusively from a legitimate regulatory distinction rather than reflecting discrimination against the group of imported products.</w:t>
      </w:r>
      <w:r w:rsidR="005B1CE4" w:rsidRPr="00564DB3">
        <w:rPr>
          <w:rStyle w:val="FootnoteReference"/>
          <w:szCs w:val="18"/>
        </w:rPr>
        <w:footnoteReference w:id="143"/>
      </w:r>
      <w:r w:rsidRPr="00564DB3">
        <w:rPr>
          <w:szCs w:val="18"/>
        </w:rPr>
        <w:t xml:space="preserve"> The Panels noted that the 2016</w:t>
      </w:r>
      <w:r w:rsidR="008F7926" w:rsidRPr="00564DB3">
        <w:rPr>
          <w:szCs w:val="18"/>
        </w:rPr>
        <w:t> </w:t>
      </w:r>
      <w:r w:rsidRPr="00564DB3">
        <w:rPr>
          <w:szCs w:val="18"/>
        </w:rPr>
        <w:t>Tuna Measure</w:t>
      </w:r>
      <w:bookmarkStart w:id="79" w:name="_Ref484510548"/>
      <w:r w:rsidRPr="00564DB3">
        <w:rPr>
          <w:szCs w:val="18"/>
        </w:rPr>
        <w:t xml:space="preserve"> maintains the overall architecture and structure of the original and </w:t>
      </w:r>
      <w:r w:rsidRPr="00564DB3">
        <w:rPr>
          <w:szCs w:val="18"/>
        </w:rPr>
        <w:lastRenderedPageBreak/>
        <w:t>2013 Tuna Measures and that the parties agreed that the relevant factual situation has not changed from the original or the first compliance proceedings.</w:t>
      </w:r>
      <w:r w:rsidR="00B54727" w:rsidRPr="00564DB3">
        <w:rPr>
          <w:rStyle w:val="FootnoteReference"/>
          <w:szCs w:val="18"/>
        </w:rPr>
        <w:footnoteReference w:id="144"/>
      </w:r>
      <w:r w:rsidRPr="00564DB3">
        <w:rPr>
          <w:szCs w:val="18"/>
        </w:rPr>
        <w:t xml:space="preserve"> The Panels thus found that, by excluding most Mexican tuna products from accessing the dolphin-safe label, while granting conditional access to such label to like products from the </w:t>
      </w:r>
      <w:r w:rsidR="00083DFC" w:rsidRPr="00564DB3">
        <w:rPr>
          <w:szCs w:val="18"/>
        </w:rPr>
        <w:t>United States</w:t>
      </w:r>
      <w:r w:rsidRPr="00564DB3">
        <w:rPr>
          <w:szCs w:val="18"/>
        </w:rPr>
        <w:t xml:space="preserve"> and other countries, the 2016 Tuna Measure, </w:t>
      </w:r>
      <w:r w:rsidR="00016009" w:rsidRPr="00564DB3">
        <w:rPr>
          <w:szCs w:val="18"/>
        </w:rPr>
        <w:t>like</w:t>
      </w:r>
      <w:r w:rsidRPr="00564DB3">
        <w:rPr>
          <w:szCs w:val="18"/>
        </w:rPr>
        <w:t xml:space="preserve"> the original and the 2013 Tuna Measures, modifies the conditions of competition to the detriment of </w:t>
      </w:r>
      <w:r w:rsidR="00151545" w:rsidRPr="00564DB3">
        <w:rPr>
          <w:szCs w:val="18"/>
        </w:rPr>
        <w:t>Mexican tuna products in the US </w:t>
      </w:r>
      <w:r w:rsidRPr="00564DB3">
        <w:rPr>
          <w:szCs w:val="18"/>
        </w:rPr>
        <w:t>market.</w:t>
      </w:r>
      <w:bookmarkEnd w:id="79"/>
      <w:r w:rsidR="005B1CE4" w:rsidRPr="00564DB3">
        <w:rPr>
          <w:rStyle w:val="FootnoteReference"/>
          <w:szCs w:val="18"/>
        </w:rPr>
        <w:footnoteReference w:id="145"/>
      </w:r>
      <w:r w:rsidRPr="00564DB3">
        <w:rPr>
          <w:szCs w:val="18"/>
        </w:rPr>
        <w:t xml:space="preserve"> </w:t>
      </w:r>
    </w:p>
    <w:p w:rsidR="00432E5C" w:rsidRPr="00564DB3" w:rsidRDefault="00432E5C" w:rsidP="00F70E38">
      <w:pPr>
        <w:pStyle w:val="BodyText"/>
        <w:rPr>
          <w:szCs w:val="18"/>
        </w:rPr>
      </w:pPr>
      <w:bookmarkStart w:id="80" w:name="_Ref526179050"/>
      <w:r w:rsidRPr="00564DB3">
        <w:rPr>
          <w:szCs w:val="18"/>
        </w:rPr>
        <w:t xml:space="preserve">The Panels therefore noted that the parties' disagreement on the consistency of the 2016 Tuna Measure </w:t>
      </w:r>
      <w:r w:rsidR="00151545" w:rsidRPr="00564DB3">
        <w:rPr>
          <w:szCs w:val="18"/>
        </w:rPr>
        <w:t xml:space="preserve">with Article 2.1 of the TBT Agreement </w:t>
      </w:r>
      <w:r w:rsidRPr="00564DB3">
        <w:rPr>
          <w:szCs w:val="18"/>
        </w:rPr>
        <w:t xml:space="preserve">centred on the question whether the detrimental impact caused by the 2016 Tuna Measure stems exclusively from a legitimate regulatory distinction. The Panels understood their task in these proceedings to </w:t>
      </w:r>
      <w:r w:rsidR="003E155E" w:rsidRPr="00564DB3">
        <w:rPr>
          <w:szCs w:val="18"/>
        </w:rPr>
        <w:t>be</w:t>
      </w:r>
      <w:r w:rsidRPr="00564DB3">
        <w:rPr>
          <w:szCs w:val="18"/>
        </w:rPr>
        <w:t xml:space="preserve"> ascertaining "whether the relevant regulatory distinctions are appropriately 'calibrated' and 'tailored' to, and commensurate with", the different risks to dolphins arising from the use of different fishing methods in different areas of the ocean</w:t>
      </w:r>
      <w:r w:rsidRPr="00564DB3">
        <w:rPr>
          <w:rStyle w:val="FootnoteReference"/>
          <w:szCs w:val="18"/>
          <w:vertAlign w:val="baseline"/>
        </w:rPr>
        <w:t>.</w:t>
      </w:r>
      <w:r w:rsidR="005B1CE4" w:rsidRPr="00564DB3">
        <w:rPr>
          <w:rStyle w:val="FootnoteReference"/>
          <w:szCs w:val="18"/>
        </w:rPr>
        <w:footnoteReference w:id="146"/>
      </w:r>
      <w:bookmarkEnd w:id="80"/>
      <w:r w:rsidR="00083DFC" w:rsidRPr="00564DB3">
        <w:rPr>
          <w:szCs w:val="18"/>
        </w:rPr>
        <w:t xml:space="preserve"> </w:t>
      </w:r>
    </w:p>
    <w:p w:rsidR="00432E5C" w:rsidRPr="00564DB3" w:rsidRDefault="00432E5C" w:rsidP="00F70E38">
      <w:pPr>
        <w:pStyle w:val="BodyText"/>
        <w:rPr>
          <w:szCs w:val="18"/>
        </w:rPr>
      </w:pPr>
      <w:r w:rsidRPr="00564DB3">
        <w:rPr>
          <w:szCs w:val="18"/>
        </w:rPr>
        <w:t>The Panels went on to establish "the risk profiles of the relevant fishing methods in different areas of the ocean, taking into account data on both observable and unobservable harms".</w:t>
      </w:r>
      <w:r w:rsidR="005B1CE4" w:rsidRPr="00564DB3">
        <w:rPr>
          <w:rStyle w:val="FootnoteReference"/>
          <w:szCs w:val="18"/>
        </w:rPr>
        <w:footnoteReference w:id="147"/>
      </w:r>
      <w:r w:rsidRPr="00564DB3">
        <w:rPr>
          <w:szCs w:val="18"/>
        </w:rPr>
        <w:t xml:space="preserve"> The</w:t>
      </w:r>
      <w:r w:rsidR="00151545" w:rsidRPr="00564DB3">
        <w:rPr>
          <w:szCs w:val="18"/>
        </w:rPr>
        <w:t>reafter, the</w:t>
      </w:r>
      <w:r w:rsidRPr="00564DB3">
        <w:rPr>
          <w:szCs w:val="18"/>
        </w:rPr>
        <w:t xml:space="preserve"> Panels examined whether the 2016 Tuna Measure, including its relevant constituent elements, is calibrated to </w:t>
      </w:r>
      <w:r w:rsidR="00151545" w:rsidRPr="00564DB3">
        <w:rPr>
          <w:szCs w:val="18"/>
        </w:rPr>
        <w:t>different risks to dolphins</w:t>
      </w:r>
      <w:r w:rsidRPr="00564DB3">
        <w:rPr>
          <w:szCs w:val="18"/>
        </w:rPr>
        <w:t>. In this regard, the Panels examined, sequentially, the eligibility criteria, the certification requirements, the tracking and verification requirements, and the determination provisions</w:t>
      </w:r>
      <w:r w:rsidR="005B1CE4" w:rsidRPr="00564DB3">
        <w:rPr>
          <w:rStyle w:val="FootnoteReference"/>
          <w:szCs w:val="18"/>
        </w:rPr>
        <w:footnoteReference w:id="148"/>
      </w:r>
      <w:r w:rsidRPr="00564DB3">
        <w:rPr>
          <w:szCs w:val="18"/>
        </w:rPr>
        <w:t xml:space="preserve">, before providing an overall assessment of the consistency of the 2016 Tuna Measure with </w:t>
      </w:r>
      <w:r w:rsidR="00083DFC" w:rsidRPr="00564DB3">
        <w:rPr>
          <w:szCs w:val="18"/>
        </w:rPr>
        <w:t>Article </w:t>
      </w:r>
      <w:r w:rsidRPr="00564DB3">
        <w:rPr>
          <w:szCs w:val="18"/>
        </w:rPr>
        <w:t>2.1.</w:t>
      </w:r>
      <w:r w:rsidR="005B1CE4" w:rsidRPr="00564DB3">
        <w:rPr>
          <w:rStyle w:val="FootnoteReference"/>
          <w:szCs w:val="18"/>
        </w:rPr>
        <w:footnoteReference w:id="149"/>
      </w:r>
      <w:r w:rsidRPr="00564DB3">
        <w:rPr>
          <w:szCs w:val="18"/>
        </w:rPr>
        <w:t xml:space="preserve"> </w:t>
      </w:r>
    </w:p>
    <w:p w:rsidR="00432E5C" w:rsidRPr="00564DB3" w:rsidRDefault="00432E5C" w:rsidP="00F70E38">
      <w:pPr>
        <w:pStyle w:val="BodyText"/>
        <w:rPr>
          <w:szCs w:val="18"/>
        </w:rPr>
      </w:pPr>
      <w:r w:rsidRPr="00564DB3">
        <w:rPr>
          <w:szCs w:val="18"/>
        </w:rPr>
        <w:t xml:space="preserve">On appeal, Mexico claims that the Panels erred in their interpretation and application of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in finding that the 2016 Tuna Measure is not inconsistent with that provision. Mexico raises four main grounds of appeal. First, Mexico contends that the Panels relied on a legal standard that fails to </w:t>
      </w:r>
      <w:proofErr w:type="gramStart"/>
      <w:r w:rsidRPr="00564DB3">
        <w:rPr>
          <w:szCs w:val="18"/>
        </w:rPr>
        <w:t>take into account</w:t>
      </w:r>
      <w:proofErr w:type="gramEnd"/>
      <w:r w:rsidRPr="00564DB3">
        <w:rPr>
          <w:szCs w:val="18"/>
        </w:rPr>
        <w:t xml:space="preserve"> whether the regu</w:t>
      </w:r>
      <w:r w:rsidR="00BB343B" w:rsidRPr="00564DB3">
        <w:rPr>
          <w:szCs w:val="18"/>
        </w:rPr>
        <w:t>latory distinctions of the 2016 </w:t>
      </w:r>
      <w:r w:rsidRPr="00564DB3">
        <w:rPr>
          <w:szCs w:val="18"/>
        </w:rPr>
        <w:t>Tuna Measure are rationally related to its objectives. In this regard, Mexico argues that the Panels erred in their calibration analysis because they failed to consider the risks of inaccurate labelling under the 2016 Tuna Measure.</w:t>
      </w:r>
      <w:r w:rsidR="005B1CE4" w:rsidRPr="00564DB3">
        <w:rPr>
          <w:rStyle w:val="FootnoteReference"/>
          <w:szCs w:val="18"/>
        </w:rPr>
        <w:footnoteReference w:id="150"/>
      </w:r>
      <w:r w:rsidRPr="00564DB3">
        <w:rPr>
          <w:szCs w:val="18"/>
        </w:rPr>
        <w:t xml:space="preserve"> Second, Mexico contends that the Panels erred in their application of </w:t>
      </w:r>
      <w:r w:rsidR="00083DFC" w:rsidRPr="00564DB3">
        <w:rPr>
          <w:szCs w:val="18"/>
        </w:rPr>
        <w:t>Article </w:t>
      </w:r>
      <w:r w:rsidRPr="00564DB3">
        <w:rPr>
          <w:szCs w:val="18"/>
        </w:rPr>
        <w:t xml:space="preserve">2.1 by </w:t>
      </w:r>
      <w:r w:rsidR="00151545" w:rsidRPr="00564DB3">
        <w:rPr>
          <w:szCs w:val="18"/>
        </w:rPr>
        <w:t>limiting aspects of their calibration analysis to a comparison of the risk profiles of different fishing methods</w:t>
      </w:r>
      <w:r w:rsidRPr="00564DB3">
        <w:rPr>
          <w:szCs w:val="18"/>
        </w:rPr>
        <w:t>.</w:t>
      </w:r>
      <w:r w:rsidR="005B1CE4" w:rsidRPr="00564DB3">
        <w:rPr>
          <w:rStyle w:val="FootnoteReference"/>
          <w:szCs w:val="18"/>
        </w:rPr>
        <w:footnoteReference w:id="151"/>
      </w:r>
      <w:r w:rsidRPr="00564DB3">
        <w:rPr>
          <w:szCs w:val="18"/>
        </w:rPr>
        <w:t xml:space="preserve"> Third, Mexico alleges that the Panels erred in their assessment of the risks to dolphins arising from the use of different fishing methods in different areas of the ocean by: (i) failing to adequately evaluate the risk profiles of different fisheries</w:t>
      </w:r>
      <w:r w:rsidR="005B1CE4" w:rsidRPr="00564DB3">
        <w:rPr>
          <w:rStyle w:val="FootnoteReference"/>
          <w:szCs w:val="18"/>
        </w:rPr>
        <w:footnoteReference w:id="152"/>
      </w:r>
      <w:r w:rsidRPr="00564DB3">
        <w:rPr>
          <w:szCs w:val="18"/>
        </w:rPr>
        <w:t>; (ii) using setting on dolphins in the ETP as the benchmark</w:t>
      </w:r>
      <w:r w:rsidR="005B1CE4" w:rsidRPr="00564DB3">
        <w:rPr>
          <w:rStyle w:val="FootnoteReference"/>
          <w:szCs w:val="18"/>
        </w:rPr>
        <w:footnoteReference w:id="153"/>
      </w:r>
      <w:r w:rsidRPr="00564DB3">
        <w:rPr>
          <w:szCs w:val="18"/>
        </w:rPr>
        <w:t>; and (iii) ignoring relevant measurements of risks.</w:t>
      </w:r>
      <w:r w:rsidR="005B1CE4" w:rsidRPr="00564DB3">
        <w:rPr>
          <w:rStyle w:val="FootnoteReference"/>
          <w:szCs w:val="18"/>
        </w:rPr>
        <w:footnoteReference w:id="154"/>
      </w:r>
      <w:r w:rsidRPr="00564DB3">
        <w:rPr>
          <w:szCs w:val="18"/>
        </w:rPr>
        <w:t xml:space="preserve"> Fourth, Mexico alleges that the Panels erred in the</w:t>
      </w:r>
      <w:r w:rsidR="002375CD" w:rsidRPr="00564DB3">
        <w:rPr>
          <w:szCs w:val="18"/>
        </w:rPr>
        <w:t>ir</w:t>
      </w:r>
      <w:r w:rsidRPr="00564DB3">
        <w:rPr>
          <w:szCs w:val="18"/>
        </w:rPr>
        <w:t xml:space="preserve"> application of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in finding that the eligibility criteria, the certification requirements, the tracking and verification requirements, as well as the 2016 Tuna Measure as a whole, are calibrated to the risks to dolphins arising from the use of different fishing methods in different areas of the ocean.</w:t>
      </w:r>
      <w:r w:rsidR="005B1CE4" w:rsidRPr="00564DB3">
        <w:rPr>
          <w:rStyle w:val="FootnoteReference"/>
          <w:szCs w:val="18"/>
        </w:rPr>
        <w:footnoteReference w:id="155"/>
      </w:r>
    </w:p>
    <w:p w:rsidR="00432E5C" w:rsidRPr="00564DB3" w:rsidRDefault="00432E5C" w:rsidP="00F70E38">
      <w:pPr>
        <w:pStyle w:val="BodyText"/>
        <w:rPr>
          <w:szCs w:val="18"/>
        </w:rPr>
      </w:pPr>
      <w:r w:rsidRPr="00564DB3">
        <w:rPr>
          <w:szCs w:val="18"/>
        </w:rPr>
        <w:t xml:space="preserve">The </w:t>
      </w:r>
      <w:r w:rsidR="00083DFC" w:rsidRPr="00564DB3">
        <w:rPr>
          <w:szCs w:val="18"/>
        </w:rPr>
        <w:t>United States</w:t>
      </w:r>
      <w:r w:rsidRPr="00564DB3">
        <w:rPr>
          <w:szCs w:val="18"/>
        </w:rPr>
        <w:t xml:space="preserve"> claims that the Panels correctly determined that the regulatory distinctions of the 2016 Tuna Measure are properly calibrated to different risks to dolphins </w:t>
      </w:r>
      <w:r w:rsidR="002375CD" w:rsidRPr="00564DB3">
        <w:rPr>
          <w:szCs w:val="18"/>
        </w:rPr>
        <w:t xml:space="preserve">arising from the use of different fishing methods </w:t>
      </w:r>
      <w:r w:rsidRPr="00564DB3">
        <w:rPr>
          <w:szCs w:val="18"/>
        </w:rPr>
        <w:t>in different areas of the oceans, based on the Appellate</w:t>
      </w:r>
      <w:r w:rsidR="00025CB6" w:rsidRPr="00564DB3">
        <w:rPr>
          <w:szCs w:val="18"/>
        </w:rPr>
        <w:t> Body</w:t>
      </w:r>
      <w:r w:rsidRPr="00564DB3">
        <w:rPr>
          <w:szCs w:val="18"/>
        </w:rPr>
        <w:t xml:space="preserve">'s guidance in the </w:t>
      </w:r>
      <w:r w:rsidR="00F85532" w:rsidRPr="00564DB3">
        <w:rPr>
          <w:szCs w:val="18"/>
        </w:rPr>
        <w:t>first</w:t>
      </w:r>
      <w:r w:rsidRPr="00564DB3">
        <w:rPr>
          <w:szCs w:val="18"/>
        </w:rPr>
        <w:t xml:space="preserve"> compliance proceedings. First, the </w:t>
      </w:r>
      <w:r w:rsidR="00083DFC" w:rsidRPr="00564DB3">
        <w:rPr>
          <w:szCs w:val="18"/>
        </w:rPr>
        <w:t>United States</w:t>
      </w:r>
      <w:r w:rsidRPr="00564DB3">
        <w:rPr>
          <w:szCs w:val="18"/>
        </w:rPr>
        <w:t xml:space="preserve"> contends that, in the first compliance proceeding</w:t>
      </w:r>
      <w:r w:rsidR="00F85532" w:rsidRPr="00564DB3">
        <w:rPr>
          <w:szCs w:val="18"/>
        </w:rPr>
        <w:t>s</w:t>
      </w:r>
      <w:r w:rsidRPr="00564DB3">
        <w:rPr>
          <w:szCs w:val="18"/>
        </w:rPr>
        <w:t>, the Appellate</w:t>
      </w:r>
      <w:r w:rsidR="00025CB6" w:rsidRPr="00564DB3">
        <w:rPr>
          <w:szCs w:val="18"/>
        </w:rPr>
        <w:t> Body</w:t>
      </w:r>
      <w:r w:rsidRPr="00564DB3">
        <w:rPr>
          <w:szCs w:val="18"/>
        </w:rPr>
        <w:t xml:space="preserve"> examined the interplay between the rational connection and calibration analyses and made clear that, in this dispute, the concept of calibration </w:t>
      </w:r>
      <w:r w:rsidR="002375CD" w:rsidRPr="00564DB3">
        <w:rPr>
          <w:szCs w:val="18"/>
        </w:rPr>
        <w:t>"</w:t>
      </w:r>
      <w:r w:rsidRPr="00564DB3">
        <w:rPr>
          <w:szCs w:val="18"/>
        </w:rPr>
        <w:t xml:space="preserve">reflects the </w:t>
      </w:r>
      <w:r w:rsidRPr="00564DB3">
        <w:rPr>
          <w:szCs w:val="18"/>
        </w:rPr>
        <w:lastRenderedPageBreak/>
        <w:t>nexus between the distinctions of the measure and the measure's objective</w:t>
      </w:r>
      <w:r w:rsidR="002375CD" w:rsidRPr="00564DB3">
        <w:rPr>
          <w:szCs w:val="18"/>
        </w:rPr>
        <w:t>[</w:t>
      </w:r>
      <w:r w:rsidRPr="00564DB3">
        <w:rPr>
          <w:szCs w:val="18"/>
        </w:rPr>
        <w:t>s</w:t>
      </w:r>
      <w:r w:rsidR="002375CD" w:rsidRPr="00564DB3">
        <w:rPr>
          <w:szCs w:val="18"/>
        </w:rPr>
        <w:t>]"</w:t>
      </w:r>
      <w:r w:rsidRPr="00564DB3">
        <w:rPr>
          <w:szCs w:val="18"/>
        </w:rPr>
        <w:t>.</w:t>
      </w:r>
      <w:r w:rsidR="002375CD" w:rsidRPr="00564DB3">
        <w:rPr>
          <w:rStyle w:val="FootnoteReference"/>
          <w:szCs w:val="18"/>
        </w:rPr>
        <w:footnoteReference w:id="156"/>
      </w:r>
      <w:r w:rsidRPr="00564DB3">
        <w:rPr>
          <w:szCs w:val="18"/>
        </w:rPr>
        <w:t xml:space="preserve"> Second, in the </w:t>
      </w:r>
      <w:r w:rsidR="00083DFC" w:rsidRPr="00564DB3">
        <w:rPr>
          <w:szCs w:val="18"/>
        </w:rPr>
        <w:t>United States</w:t>
      </w:r>
      <w:r w:rsidRPr="00564DB3">
        <w:rPr>
          <w:szCs w:val="18"/>
        </w:rPr>
        <w:t xml:space="preserve">' view, the Panels acted in accordance with the requirements of </w:t>
      </w:r>
      <w:r w:rsidR="00083DFC" w:rsidRPr="00564DB3">
        <w:rPr>
          <w:szCs w:val="18"/>
        </w:rPr>
        <w:t>Article </w:t>
      </w:r>
      <w:r w:rsidRPr="00564DB3">
        <w:rPr>
          <w:szCs w:val="18"/>
        </w:rPr>
        <w:t>2.1 in examining the relevant regulatory distinctions under the 2016 Tuna Measure.</w:t>
      </w:r>
      <w:r w:rsidR="002375CD" w:rsidRPr="00564DB3">
        <w:rPr>
          <w:rStyle w:val="FootnoteReference"/>
          <w:szCs w:val="18"/>
        </w:rPr>
        <w:footnoteReference w:id="157"/>
      </w:r>
      <w:r w:rsidRPr="00564DB3">
        <w:rPr>
          <w:szCs w:val="18"/>
        </w:rPr>
        <w:t xml:space="preserve"> Third, the </w:t>
      </w:r>
      <w:r w:rsidR="00083DFC" w:rsidRPr="00564DB3">
        <w:rPr>
          <w:szCs w:val="18"/>
        </w:rPr>
        <w:t>United States</w:t>
      </w:r>
      <w:r w:rsidRPr="00564DB3">
        <w:rPr>
          <w:szCs w:val="18"/>
        </w:rPr>
        <w:t xml:space="preserve"> also considers that the Panels appropriately examined the risk profiles of fishing methods and fisheries.</w:t>
      </w:r>
      <w:r w:rsidR="002375CD" w:rsidRPr="00564DB3">
        <w:rPr>
          <w:rStyle w:val="FootnoteReference"/>
          <w:szCs w:val="18"/>
        </w:rPr>
        <w:footnoteReference w:id="158"/>
      </w:r>
      <w:r w:rsidRPr="00564DB3">
        <w:rPr>
          <w:szCs w:val="18"/>
        </w:rPr>
        <w:t xml:space="preserve"> Fourth, the </w:t>
      </w:r>
      <w:r w:rsidR="00083DFC" w:rsidRPr="00564DB3">
        <w:rPr>
          <w:szCs w:val="18"/>
        </w:rPr>
        <w:t>United States</w:t>
      </w:r>
      <w:r w:rsidRPr="00564DB3">
        <w:rPr>
          <w:szCs w:val="18"/>
        </w:rPr>
        <w:t xml:space="preserve"> submits that the Panels' "intermediate conclusions" concerning the eligibility criteria, certification requirements, and tracking and verification requirements were "correct and not in error".</w:t>
      </w:r>
      <w:r w:rsidR="005B1CE4" w:rsidRPr="00564DB3">
        <w:rPr>
          <w:rStyle w:val="FootnoteReference"/>
          <w:szCs w:val="18"/>
        </w:rPr>
        <w:footnoteReference w:id="159"/>
      </w:r>
      <w:r w:rsidRPr="00564DB3">
        <w:rPr>
          <w:szCs w:val="18"/>
        </w:rPr>
        <w:t xml:space="preserve"> The </w:t>
      </w:r>
      <w:r w:rsidR="00083DFC" w:rsidRPr="00564DB3">
        <w:rPr>
          <w:szCs w:val="18"/>
        </w:rPr>
        <w:t>United States</w:t>
      </w:r>
      <w:r w:rsidRPr="00564DB3">
        <w:rPr>
          <w:szCs w:val="18"/>
        </w:rPr>
        <w:t xml:space="preserve"> adds that, contrary to Mexico's arguments, the Panels' overall assessment of the 2016 Tuna Measure was not only based on their intermediate analyses but also their examination as to how the different parts of the measure interact to address the risk</w:t>
      </w:r>
      <w:r w:rsidR="00E7192D" w:rsidRPr="00564DB3">
        <w:rPr>
          <w:szCs w:val="18"/>
        </w:rPr>
        <w:t>s</w:t>
      </w:r>
      <w:r w:rsidRPr="00564DB3">
        <w:rPr>
          <w:szCs w:val="18"/>
        </w:rPr>
        <w:t xml:space="preserve"> to dolphins arising from </w:t>
      </w:r>
      <w:r w:rsidR="00CB22D4" w:rsidRPr="00564DB3">
        <w:rPr>
          <w:szCs w:val="18"/>
        </w:rPr>
        <w:t xml:space="preserve">the use of </w:t>
      </w:r>
      <w:r w:rsidRPr="00564DB3">
        <w:rPr>
          <w:szCs w:val="18"/>
        </w:rPr>
        <w:t>different fishing methods in different ocean areas.</w:t>
      </w:r>
      <w:r w:rsidR="005B1CE4" w:rsidRPr="00564DB3">
        <w:rPr>
          <w:rStyle w:val="FootnoteReference"/>
          <w:szCs w:val="18"/>
        </w:rPr>
        <w:footnoteReference w:id="160"/>
      </w:r>
      <w:r w:rsidRPr="00564DB3">
        <w:rPr>
          <w:szCs w:val="18"/>
        </w:rPr>
        <w:t xml:space="preserve"> </w:t>
      </w:r>
    </w:p>
    <w:p w:rsidR="00432E5C" w:rsidRPr="00564DB3" w:rsidRDefault="00573752" w:rsidP="00F70E38">
      <w:pPr>
        <w:pStyle w:val="BodyText"/>
        <w:rPr>
          <w:szCs w:val="18"/>
        </w:rPr>
      </w:pPr>
      <w:r w:rsidRPr="00564DB3">
        <w:rPr>
          <w:szCs w:val="18"/>
        </w:rPr>
        <w:t>W</w:t>
      </w:r>
      <w:r w:rsidR="00432E5C" w:rsidRPr="00564DB3">
        <w:rPr>
          <w:szCs w:val="18"/>
        </w:rPr>
        <w:t xml:space="preserve">e begin by briefly recalling the relevant legal standard under </w:t>
      </w:r>
      <w:r w:rsidR="00083DFC" w:rsidRPr="00564DB3">
        <w:rPr>
          <w:szCs w:val="18"/>
        </w:rPr>
        <w:t>Article </w:t>
      </w:r>
      <w:r w:rsidR="00432E5C" w:rsidRPr="00564DB3">
        <w:rPr>
          <w:szCs w:val="18"/>
        </w:rPr>
        <w:t xml:space="preserve">2.1, </w:t>
      </w:r>
      <w:r w:rsidRPr="00564DB3">
        <w:rPr>
          <w:szCs w:val="18"/>
        </w:rPr>
        <w:t>before assessing</w:t>
      </w:r>
      <w:r w:rsidR="00432E5C" w:rsidRPr="00564DB3">
        <w:rPr>
          <w:szCs w:val="18"/>
        </w:rPr>
        <w:t xml:space="preserve"> whether the Panels erred in their articulation thereof. Thereafter, we </w:t>
      </w:r>
      <w:r w:rsidR="00441272" w:rsidRPr="00564DB3">
        <w:rPr>
          <w:szCs w:val="18"/>
        </w:rPr>
        <w:t>turn to</w:t>
      </w:r>
      <w:r w:rsidR="00432E5C" w:rsidRPr="00564DB3">
        <w:rPr>
          <w:szCs w:val="18"/>
        </w:rPr>
        <w:t xml:space="preserve"> the Panels</w:t>
      </w:r>
      <w:r w:rsidR="00441272" w:rsidRPr="00564DB3">
        <w:rPr>
          <w:szCs w:val="18"/>
        </w:rPr>
        <w:t>'</w:t>
      </w:r>
      <w:r w:rsidR="00432E5C" w:rsidRPr="00564DB3">
        <w:rPr>
          <w:szCs w:val="18"/>
        </w:rPr>
        <w:t xml:space="preserve"> application of that standard in the context of this dispute</w:t>
      </w:r>
      <w:r w:rsidR="00441272" w:rsidRPr="00564DB3">
        <w:rPr>
          <w:szCs w:val="18"/>
        </w:rPr>
        <w:t xml:space="preserve">, by first </w:t>
      </w:r>
      <w:r w:rsidR="00432E5C" w:rsidRPr="00564DB3">
        <w:rPr>
          <w:szCs w:val="18"/>
        </w:rPr>
        <w:t>address</w:t>
      </w:r>
      <w:r w:rsidR="00441272" w:rsidRPr="00564DB3">
        <w:rPr>
          <w:szCs w:val="18"/>
        </w:rPr>
        <w:t>ing</w:t>
      </w:r>
      <w:r w:rsidR="00432E5C" w:rsidRPr="00564DB3">
        <w:rPr>
          <w:szCs w:val="18"/>
        </w:rPr>
        <w:t xml:space="preserve"> Mexico's two overarching arguments regarding the Panels' analysis under </w:t>
      </w:r>
      <w:r w:rsidR="00083DFC" w:rsidRPr="00564DB3">
        <w:rPr>
          <w:szCs w:val="18"/>
        </w:rPr>
        <w:t>Article </w:t>
      </w:r>
      <w:r w:rsidR="00432E5C" w:rsidRPr="00564DB3">
        <w:rPr>
          <w:szCs w:val="18"/>
        </w:rPr>
        <w:t>2.1, namely</w:t>
      </w:r>
      <w:r w:rsidR="004D2943" w:rsidRPr="00564DB3">
        <w:rPr>
          <w:szCs w:val="18"/>
        </w:rPr>
        <w:t>,</w:t>
      </w:r>
      <w:r w:rsidR="00432E5C" w:rsidRPr="00564DB3">
        <w:rPr>
          <w:szCs w:val="18"/>
        </w:rPr>
        <w:t xml:space="preserve"> that the Panels: (i) failed to examine the nexus between the regulatory distinctions under the measure at issue and its objectives; and (ii) er</w:t>
      </w:r>
      <w:r w:rsidR="008F7926" w:rsidRPr="00564DB3">
        <w:rPr>
          <w:szCs w:val="18"/>
        </w:rPr>
        <w:t xml:space="preserve">red </w:t>
      </w:r>
      <w:r w:rsidR="00441272" w:rsidRPr="00564DB3">
        <w:rPr>
          <w:szCs w:val="18"/>
        </w:rPr>
        <w:t xml:space="preserve">by limiting aspects of their calibration analysis to a comparison of the risk profiles of different fishing methods. </w:t>
      </w:r>
      <w:r w:rsidRPr="00564DB3">
        <w:rPr>
          <w:szCs w:val="18"/>
        </w:rPr>
        <w:t>Next</w:t>
      </w:r>
      <w:r w:rsidR="00441272" w:rsidRPr="00564DB3">
        <w:rPr>
          <w:szCs w:val="18"/>
        </w:rPr>
        <w:t xml:space="preserve">, </w:t>
      </w:r>
      <w:r w:rsidR="00432E5C" w:rsidRPr="00564DB3">
        <w:rPr>
          <w:szCs w:val="18"/>
        </w:rPr>
        <w:t xml:space="preserve">we </w:t>
      </w:r>
      <w:r w:rsidRPr="00564DB3">
        <w:rPr>
          <w:szCs w:val="18"/>
        </w:rPr>
        <w:t>address</w:t>
      </w:r>
      <w:r w:rsidR="00432E5C" w:rsidRPr="00564DB3">
        <w:rPr>
          <w:szCs w:val="18"/>
        </w:rPr>
        <w:t xml:space="preserve"> Mexico's arguments pertaining to specific aspects of the Panels' assessment of risk profiles, including the allegations that the Panels did not adequately assess the risks arising from tuna fishing in different fisheries, adopted a wrong benchmark, and ignored relevant measurements of risks. Finally, we </w:t>
      </w:r>
      <w:r w:rsidRPr="00564DB3">
        <w:rPr>
          <w:szCs w:val="18"/>
        </w:rPr>
        <w:t>examine</w:t>
      </w:r>
      <w:r w:rsidR="00432E5C" w:rsidRPr="00564DB3">
        <w:rPr>
          <w:szCs w:val="18"/>
        </w:rPr>
        <w:t xml:space="preserve"> Mexico's arguments that the Panels erred in concluding that the eligibility criteria, certification requirements, and tracking and verification requirements, as well as the </w:t>
      </w:r>
      <w:r w:rsidR="00016009" w:rsidRPr="00564DB3">
        <w:rPr>
          <w:szCs w:val="18"/>
        </w:rPr>
        <w:t>2016 Tuna Measure a</w:t>
      </w:r>
      <w:r w:rsidR="00432E5C" w:rsidRPr="00564DB3">
        <w:rPr>
          <w:szCs w:val="18"/>
        </w:rPr>
        <w:t>s a whole, are calibrated to the relevant risk profiles.</w:t>
      </w:r>
    </w:p>
    <w:p w:rsidR="00432E5C" w:rsidRPr="00564DB3" w:rsidRDefault="00432E5C" w:rsidP="00F70E38">
      <w:pPr>
        <w:pStyle w:val="Heading3"/>
        <w:rPr>
          <w:szCs w:val="18"/>
        </w:rPr>
      </w:pPr>
      <w:bookmarkStart w:id="81" w:name="_Toc528506751"/>
      <w:bookmarkStart w:id="82" w:name="_Toc528506916"/>
      <w:bookmarkStart w:id="83" w:name="_Toc531967468"/>
      <w:r w:rsidRPr="00564DB3">
        <w:rPr>
          <w:szCs w:val="18"/>
        </w:rPr>
        <w:t xml:space="preserve">"Treatment no less favourable" under </w:t>
      </w:r>
      <w:r w:rsidR="00083DFC" w:rsidRPr="00564DB3">
        <w:rPr>
          <w:szCs w:val="18"/>
        </w:rPr>
        <w:t>Article </w:t>
      </w:r>
      <w:r w:rsidRPr="00564DB3">
        <w:rPr>
          <w:szCs w:val="18"/>
        </w:rPr>
        <w:t xml:space="preserve">2.1 of the </w:t>
      </w:r>
      <w:r w:rsidR="00083DFC" w:rsidRPr="00564DB3">
        <w:rPr>
          <w:szCs w:val="18"/>
        </w:rPr>
        <w:t>TBT Agreement</w:t>
      </w:r>
      <w:bookmarkEnd w:id="81"/>
      <w:bookmarkEnd w:id="82"/>
      <w:bookmarkEnd w:id="83"/>
    </w:p>
    <w:p w:rsidR="00432E5C" w:rsidRPr="00564DB3" w:rsidRDefault="00432E5C" w:rsidP="00F70E38">
      <w:pPr>
        <w:pStyle w:val="Heading4"/>
        <w:rPr>
          <w:szCs w:val="18"/>
        </w:rPr>
      </w:pPr>
      <w:bookmarkStart w:id="84" w:name="_Toc528506752"/>
      <w:bookmarkStart w:id="85" w:name="_Toc528506917"/>
      <w:bookmarkStart w:id="86" w:name="_Ref530066370"/>
      <w:bookmarkStart w:id="87" w:name="_Ref530582062"/>
      <w:bookmarkStart w:id="88" w:name="_Toc531967469"/>
      <w:r w:rsidRPr="00564DB3">
        <w:rPr>
          <w:szCs w:val="18"/>
        </w:rPr>
        <w:t>Whether the Panels erred in their articulation of the legal standard</w:t>
      </w:r>
      <w:bookmarkEnd w:id="84"/>
      <w:bookmarkEnd w:id="85"/>
      <w:bookmarkEnd w:id="86"/>
      <w:bookmarkEnd w:id="87"/>
      <w:bookmarkEnd w:id="88"/>
      <w:r w:rsidRPr="00564DB3">
        <w:rPr>
          <w:szCs w:val="18"/>
        </w:rPr>
        <w:t xml:space="preserve"> </w:t>
      </w:r>
    </w:p>
    <w:p w:rsidR="00432E5C" w:rsidRPr="00564DB3" w:rsidRDefault="00083DFC" w:rsidP="00F70E38">
      <w:pPr>
        <w:pStyle w:val="BodyText"/>
        <w:rPr>
          <w:szCs w:val="18"/>
        </w:rPr>
      </w:pPr>
      <w:r w:rsidRPr="00564DB3">
        <w:rPr>
          <w:szCs w:val="18"/>
        </w:rPr>
        <w:t>Article </w:t>
      </w:r>
      <w:r w:rsidR="00432E5C" w:rsidRPr="00564DB3">
        <w:rPr>
          <w:szCs w:val="18"/>
        </w:rPr>
        <w:t xml:space="preserve">2.1 of the </w:t>
      </w:r>
      <w:r w:rsidRPr="00564DB3">
        <w:rPr>
          <w:szCs w:val="18"/>
        </w:rPr>
        <w:t>TBT Agreement</w:t>
      </w:r>
      <w:r w:rsidR="00432E5C" w:rsidRPr="00564DB3">
        <w:rPr>
          <w:szCs w:val="18"/>
        </w:rPr>
        <w:t xml:space="preserve"> provides that:</w:t>
      </w:r>
    </w:p>
    <w:p w:rsidR="00432E5C" w:rsidRPr="00564DB3" w:rsidRDefault="00432E5C" w:rsidP="00F70E38">
      <w:pPr>
        <w:pStyle w:val="Quotation"/>
      </w:pPr>
      <w:r w:rsidRPr="00564DB3">
        <w:t>Members shall ensure that in respect of technical regulations, products imported from the territory of any Member shall be accorded treatment no less favourable than that accorded to like products of national origin and to like products originating in any other country.</w:t>
      </w:r>
    </w:p>
    <w:p w:rsidR="00432E5C" w:rsidRPr="00564DB3" w:rsidRDefault="00432E5C" w:rsidP="00F70E38">
      <w:pPr>
        <w:pStyle w:val="BodyText"/>
        <w:rPr>
          <w:szCs w:val="18"/>
        </w:rPr>
      </w:pPr>
      <w:bookmarkStart w:id="89" w:name="_Ref529185991"/>
      <w:r w:rsidRPr="00564DB3">
        <w:rPr>
          <w:szCs w:val="18"/>
        </w:rPr>
        <w:t>The Appellate</w:t>
      </w:r>
      <w:r w:rsidR="00025CB6" w:rsidRPr="00564DB3">
        <w:rPr>
          <w:szCs w:val="18"/>
        </w:rPr>
        <w:t> Body</w:t>
      </w:r>
      <w:r w:rsidRPr="00564DB3">
        <w:rPr>
          <w:szCs w:val="18"/>
        </w:rPr>
        <w:t xml:space="preserve"> has identified a two-step analysis for examining whether the technical regulation at issue accords less favourable treatment to imported products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(i) whether it modifies the conditions of competition to the detriment of such imported products vis-à-vis like products of domestic origin and/or like products originating in any other country; and (ii) whether the detrimental impact on imports stem</w:t>
      </w:r>
      <w:r w:rsidR="00573752" w:rsidRPr="00564DB3">
        <w:rPr>
          <w:szCs w:val="18"/>
        </w:rPr>
        <w:t>s</w:t>
      </w:r>
      <w:r w:rsidRPr="00564DB3">
        <w:rPr>
          <w:szCs w:val="18"/>
        </w:rPr>
        <w:t xml:space="preserve"> exclusively from a legitimate regulatory distinction.</w:t>
      </w:r>
      <w:r w:rsidR="005B1CE4" w:rsidRPr="00564DB3">
        <w:rPr>
          <w:rStyle w:val="FootnoteReference"/>
          <w:szCs w:val="18"/>
        </w:rPr>
        <w:footnoteReference w:id="161"/>
      </w:r>
      <w:r w:rsidRPr="00564DB3">
        <w:rPr>
          <w:szCs w:val="18"/>
        </w:rPr>
        <w:t xml:space="preserve"> Where the detrimental impact caused by a technical regulation is found to stem exclusively from a legitimate regulatory distinction, "such a technical regulation does not accord less favourable treatment to imported products and is therefore 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w:t>
      </w:r>
      <w:r w:rsidR="005B1CE4" w:rsidRPr="00564DB3">
        <w:rPr>
          <w:rStyle w:val="FootnoteReference"/>
          <w:szCs w:val="18"/>
        </w:rPr>
        <w:footnoteReference w:id="162"/>
      </w:r>
      <w:bookmarkEnd w:id="89"/>
      <w:r w:rsidRPr="00564DB3">
        <w:rPr>
          <w:szCs w:val="18"/>
        </w:rPr>
        <w:t xml:space="preserve"> </w:t>
      </w:r>
    </w:p>
    <w:p w:rsidR="00432E5C" w:rsidRPr="00564DB3" w:rsidRDefault="00432E5C" w:rsidP="00F70E38">
      <w:pPr>
        <w:pStyle w:val="BodyText"/>
        <w:rPr>
          <w:szCs w:val="18"/>
          <w:lang w:eastAsia="zh-CN"/>
        </w:rPr>
      </w:pPr>
      <w:bookmarkStart w:id="90" w:name="_Hlk523838831"/>
      <w:r w:rsidRPr="00564DB3">
        <w:rPr>
          <w:szCs w:val="18"/>
        </w:rPr>
        <w:t>To determine whether the detrimental impact stems exclusively from a legitimate regulatory distinction, "a panel must carefully scrutinize whether the techni</w:t>
      </w:r>
      <w:r w:rsidR="00AA22DA" w:rsidRPr="00564DB3">
        <w:rPr>
          <w:szCs w:val="18"/>
        </w:rPr>
        <w:t xml:space="preserve">cal regulation at issue is </w:t>
      </w:r>
      <w:r w:rsidR="00AA22DA" w:rsidRPr="00564DB3">
        <w:rPr>
          <w:szCs w:val="18"/>
        </w:rPr>
        <w:lastRenderedPageBreak/>
        <w:t>even</w:t>
      </w:r>
      <w:r w:rsidR="00AA22DA" w:rsidRPr="00564DB3">
        <w:rPr>
          <w:szCs w:val="18"/>
        </w:rPr>
        <w:noBreakHyphen/>
      </w:r>
      <w:r w:rsidRPr="00564DB3">
        <w:rPr>
          <w:szCs w:val="18"/>
        </w:rPr>
        <w:t>handed in its design, architecture, revealing structure, operation, and application in the light of the particular circumstances of the case."</w:t>
      </w:r>
      <w:r w:rsidR="005B1CE4" w:rsidRPr="00564DB3">
        <w:rPr>
          <w:rStyle w:val="FootnoteReference"/>
          <w:szCs w:val="18"/>
        </w:rPr>
        <w:footnoteReference w:id="163"/>
      </w:r>
      <w:r w:rsidRPr="00564DB3">
        <w:rPr>
          <w:szCs w:val="18"/>
        </w:rPr>
        <w:t xml:space="preserve"> </w:t>
      </w:r>
      <w:bookmarkEnd w:id="90"/>
      <w:r w:rsidRPr="00564DB3">
        <w:rPr>
          <w:szCs w:val="18"/>
          <w:lang w:eastAsia="zh-CN"/>
        </w:rPr>
        <w:t>The Appellate</w:t>
      </w:r>
      <w:r w:rsidR="00025CB6" w:rsidRPr="00564DB3">
        <w:rPr>
          <w:szCs w:val="18"/>
          <w:lang w:eastAsia="zh-CN"/>
        </w:rPr>
        <w:t> Body</w:t>
      </w:r>
      <w:r w:rsidRPr="00564DB3">
        <w:rPr>
          <w:szCs w:val="18"/>
          <w:lang w:eastAsia="zh-CN"/>
        </w:rPr>
        <w:t xml:space="preserve"> has found that there may be different ways </w:t>
      </w:r>
      <w:r w:rsidR="00902C7E" w:rsidRPr="00564DB3">
        <w:rPr>
          <w:szCs w:val="18"/>
          <w:lang w:eastAsia="zh-CN"/>
        </w:rPr>
        <w:t>to demonstrate that a measure does not stem exclusively from a legitimate regulatory distinction</w:t>
      </w:r>
      <w:r w:rsidR="008F7926" w:rsidRPr="00564DB3">
        <w:rPr>
          <w:szCs w:val="18"/>
          <w:lang w:eastAsia="zh-CN"/>
        </w:rPr>
        <w:t>, including, "for </w:t>
      </w:r>
      <w:r w:rsidRPr="00564DB3">
        <w:rPr>
          <w:szCs w:val="18"/>
          <w:lang w:eastAsia="zh-CN"/>
        </w:rPr>
        <w:t xml:space="preserve">example", by </w:t>
      </w:r>
      <w:r w:rsidR="00902C7E" w:rsidRPr="00564DB3">
        <w:rPr>
          <w:szCs w:val="18"/>
          <w:lang w:eastAsia="zh-CN"/>
        </w:rPr>
        <w:t>showing that</w:t>
      </w:r>
      <w:r w:rsidRPr="00564DB3">
        <w:rPr>
          <w:szCs w:val="18"/>
          <w:lang w:eastAsia="zh-CN"/>
        </w:rPr>
        <w:t xml:space="preserve"> the measure is applied in a manner that constitutes arbitrary or unjustifiable discrimination.</w:t>
      </w:r>
      <w:r w:rsidR="005B1CE4" w:rsidRPr="00564DB3">
        <w:rPr>
          <w:rStyle w:val="FootnoteReference"/>
          <w:szCs w:val="18"/>
          <w:lang w:eastAsia="zh-CN"/>
        </w:rPr>
        <w:footnoteReference w:id="164"/>
      </w:r>
      <w:r w:rsidRPr="00564DB3">
        <w:rPr>
          <w:szCs w:val="18"/>
          <w:lang w:eastAsia="zh-CN"/>
        </w:rPr>
        <w:t xml:space="preserve"> At the same time, the Appellate</w:t>
      </w:r>
      <w:r w:rsidR="00025CB6" w:rsidRPr="00564DB3">
        <w:rPr>
          <w:szCs w:val="18"/>
          <w:lang w:eastAsia="zh-CN"/>
        </w:rPr>
        <w:t> Body</w:t>
      </w:r>
      <w:r w:rsidRPr="00564DB3">
        <w:rPr>
          <w:szCs w:val="18"/>
          <w:lang w:eastAsia="zh-CN"/>
        </w:rPr>
        <w:t xml:space="preserve"> has emphasized that "an</w:t>
      </w:r>
      <w:r w:rsidR="00105496" w:rsidRPr="00564DB3">
        <w:rPr>
          <w:szCs w:val="18"/>
          <w:lang w:eastAsia="zh-CN"/>
        </w:rPr>
        <w:t> </w:t>
      </w:r>
      <w:r w:rsidRPr="00564DB3">
        <w:rPr>
          <w:szCs w:val="18"/>
          <w:lang w:eastAsia="zh-CN"/>
        </w:rPr>
        <w:t xml:space="preserve">examination of whether a measure is designed or applied in a manner that constitutes a means of arbitrary or unjustifiable discrimination is not the </w:t>
      </w:r>
      <w:r w:rsidRPr="00564DB3">
        <w:rPr>
          <w:i/>
          <w:szCs w:val="18"/>
          <w:lang w:eastAsia="zh-CN"/>
        </w:rPr>
        <w:t>only</w:t>
      </w:r>
      <w:r w:rsidRPr="00564DB3">
        <w:rPr>
          <w:szCs w:val="18"/>
          <w:lang w:eastAsia="zh-CN"/>
        </w:rPr>
        <w:t xml:space="preserve"> way to assess whether a measure lacks even-handedness".</w:t>
      </w:r>
      <w:r w:rsidR="005B1CE4" w:rsidRPr="00564DB3">
        <w:rPr>
          <w:rStyle w:val="FootnoteReference"/>
          <w:szCs w:val="18"/>
          <w:lang w:eastAsia="zh-CN"/>
        </w:rPr>
        <w:footnoteReference w:id="165"/>
      </w:r>
      <w:r w:rsidRPr="00564DB3">
        <w:rPr>
          <w:szCs w:val="18"/>
        </w:rPr>
        <w:t xml:space="preserve"> </w:t>
      </w:r>
    </w:p>
    <w:p w:rsidR="00432E5C" w:rsidRPr="00564DB3" w:rsidRDefault="00432E5C" w:rsidP="00F70E38">
      <w:pPr>
        <w:pStyle w:val="BodyText"/>
        <w:rPr>
          <w:szCs w:val="18"/>
          <w:lang w:eastAsia="zh-CN"/>
        </w:rPr>
      </w:pPr>
      <w:r w:rsidRPr="00564DB3">
        <w:rPr>
          <w:szCs w:val="18"/>
        </w:rPr>
        <w:t>The Appellate</w:t>
      </w:r>
      <w:r w:rsidR="00025CB6" w:rsidRPr="00564DB3">
        <w:rPr>
          <w:szCs w:val="18"/>
        </w:rPr>
        <w:t> Body</w:t>
      </w:r>
      <w:r w:rsidRPr="00564DB3">
        <w:rPr>
          <w:szCs w:val="18"/>
        </w:rPr>
        <w:t xml:space="preserve"> has said that, in light of the "important parallels" between the analyses under </w:t>
      </w:r>
      <w:r w:rsidR="00083DFC" w:rsidRPr="00564DB3">
        <w:rPr>
          <w:szCs w:val="18"/>
        </w:rPr>
        <w:t>Article </w:t>
      </w:r>
      <w:r w:rsidRPr="00564DB3">
        <w:rPr>
          <w:szCs w:val="18"/>
        </w:rPr>
        <w:t xml:space="preserve">2.1 </w:t>
      </w:r>
      <w:r w:rsidR="0048494D" w:rsidRPr="00564DB3">
        <w:rPr>
          <w:szCs w:val="18"/>
        </w:rPr>
        <w:t xml:space="preserve">of the TBT Agreement </w:t>
      </w:r>
      <w:r w:rsidRPr="00564DB3">
        <w:rPr>
          <w:szCs w:val="18"/>
        </w:rPr>
        <w:t xml:space="preserve">and the </w:t>
      </w:r>
      <w:r w:rsidRPr="00564DB3">
        <w:rPr>
          <w:i/>
          <w:szCs w:val="18"/>
        </w:rPr>
        <w:t>chapeau</w:t>
      </w:r>
      <w:r w:rsidRPr="00564DB3">
        <w:rPr>
          <w:szCs w:val="18"/>
        </w:rPr>
        <w:t xml:space="preserve"> of </w:t>
      </w:r>
      <w:r w:rsidR="00083DFC" w:rsidRPr="00564DB3">
        <w:rPr>
          <w:szCs w:val="18"/>
        </w:rPr>
        <w:t>Article </w:t>
      </w:r>
      <w:r w:rsidRPr="00564DB3">
        <w:rPr>
          <w:szCs w:val="18"/>
        </w:rPr>
        <w:t>XX</w:t>
      </w:r>
      <w:r w:rsidR="0048494D" w:rsidRPr="00564DB3">
        <w:rPr>
          <w:szCs w:val="18"/>
        </w:rPr>
        <w:t xml:space="preserve"> of the GATT 1994</w:t>
      </w:r>
      <w:r w:rsidR="005B1CE4" w:rsidRPr="00564DB3">
        <w:rPr>
          <w:rStyle w:val="FootnoteReference"/>
          <w:szCs w:val="18"/>
        </w:rPr>
        <w:footnoteReference w:id="166"/>
      </w:r>
      <w:r w:rsidRPr="00564DB3">
        <w:rPr>
          <w:szCs w:val="18"/>
        </w:rPr>
        <w:t>, relevant jurisprudence under the latter, p</w:t>
      </w:r>
      <w:r w:rsidR="0048494D" w:rsidRPr="00564DB3">
        <w:rPr>
          <w:szCs w:val="18"/>
        </w:rPr>
        <w:t>articularly that relating to th</w:t>
      </w:r>
      <w:r w:rsidR="00B40469" w:rsidRPr="00564DB3">
        <w:rPr>
          <w:szCs w:val="18"/>
        </w:rPr>
        <w:t>e</w:t>
      </w:r>
      <w:r w:rsidRPr="00564DB3">
        <w:rPr>
          <w:szCs w:val="18"/>
        </w:rPr>
        <w:t xml:space="preserve"> concept of "arbitrary or unjustifiable discrimination", may provide useful insight as to how the </w:t>
      </w:r>
      <w:r w:rsidR="00F85532" w:rsidRPr="00564DB3">
        <w:rPr>
          <w:szCs w:val="18"/>
        </w:rPr>
        <w:t>concept</w:t>
      </w:r>
      <w:r w:rsidRPr="00564DB3">
        <w:rPr>
          <w:szCs w:val="18"/>
        </w:rPr>
        <w:t xml:space="preserve"> should be understood in the context of the second step of the "treatment no less favourable" analysis under </w:t>
      </w:r>
      <w:r w:rsidR="00083DFC" w:rsidRPr="00564DB3">
        <w:rPr>
          <w:szCs w:val="18"/>
        </w:rPr>
        <w:t>Article </w:t>
      </w:r>
      <w:r w:rsidRPr="00564DB3">
        <w:rPr>
          <w:szCs w:val="18"/>
        </w:rPr>
        <w:t>2.1.</w:t>
      </w:r>
      <w:r w:rsidR="005B1CE4" w:rsidRPr="00564DB3">
        <w:rPr>
          <w:rStyle w:val="FootnoteReference"/>
          <w:szCs w:val="18"/>
        </w:rPr>
        <w:footnoteReference w:id="167"/>
      </w:r>
      <w:r w:rsidRPr="00564DB3">
        <w:rPr>
          <w:szCs w:val="18"/>
        </w:rPr>
        <w:t xml:space="preserve"> In this connection, "[o]</w:t>
      </w:r>
      <w:proofErr w:type="spellStart"/>
      <w:r w:rsidRPr="00564DB3">
        <w:rPr>
          <w:szCs w:val="18"/>
        </w:rPr>
        <w:t>ne</w:t>
      </w:r>
      <w:proofErr w:type="spellEnd"/>
      <w:r w:rsidRPr="00564DB3">
        <w:rPr>
          <w:szCs w:val="18"/>
        </w:rPr>
        <w:t xml:space="preserve"> of the most important factors in the assessment of arbitrary or unjustifiable discrimination [under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is the question of whether the discrimination can be reconciled with, or is rationally related to, the policy objective with respect to which the measure has been provisionally justified under one of the subparagraphs of </w:t>
      </w:r>
      <w:r w:rsidR="00083DFC" w:rsidRPr="00564DB3">
        <w:rPr>
          <w:szCs w:val="18"/>
        </w:rPr>
        <w:t>Article </w:t>
      </w:r>
      <w:r w:rsidRPr="00564DB3">
        <w:rPr>
          <w:szCs w:val="18"/>
        </w:rPr>
        <w:t>XX."</w:t>
      </w:r>
      <w:r w:rsidR="005B1CE4" w:rsidRPr="00564DB3">
        <w:rPr>
          <w:rStyle w:val="FootnoteReference"/>
          <w:szCs w:val="18"/>
        </w:rPr>
        <w:footnoteReference w:id="168"/>
      </w:r>
      <w:r w:rsidRPr="00564DB3">
        <w:rPr>
          <w:szCs w:val="18"/>
        </w:rPr>
        <w:t xml:space="preserve"> To the Appellate</w:t>
      </w:r>
      <w:r w:rsidR="00025CB6" w:rsidRPr="00564DB3">
        <w:rPr>
          <w:szCs w:val="18"/>
        </w:rPr>
        <w:t> Body</w:t>
      </w:r>
      <w:r w:rsidRPr="00564DB3">
        <w:rPr>
          <w:szCs w:val="18"/>
        </w:rPr>
        <w:t xml:space="preserve">, the </w:t>
      </w:r>
      <w:r w:rsidR="004B44AA" w:rsidRPr="00564DB3">
        <w:rPr>
          <w:szCs w:val="18"/>
        </w:rPr>
        <w:t>"</w:t>
      </w:r>
      <w:r w:rsidRPr="00564DB3">
        <w:rPr>
          <w:szCs w:val="18"/>
        </w:rPr>
        <w:t xml:space="preserve">same considerations … are valid in the context of the second step of the analysis of 'treatment no less favourable' under </w:t>
      </w:r>
      <w:r w:rsidR="00083DFC" w:rsidRPr="00564DB3">
        <w:rPr>
          <w:szCs w:val="18"/>
        </w:rPr>
        <w:t>Article </w:t>
      </w:r>
      <w:r w:rsidRPr="00564DB3">
        <w:rPr>
          <w:szCs w:val="18"/>
        </w:rPr>
        <w:t>2.1".</w:t>
      </w:r>
      <w:r w:rsidR="005B1CE4" w:rsidRPr="00564DB3">
        <w:rPr>
          <w:rStyle w:val="FootnoteReference"/>
          <w:szCs w:val="18"/>
        </w:rPr>
        <w:footnoteReference w:id="169"/>
      </w:r>
      <w:r w:rsidRPr="00564DB3">
        <w:rPr>
          <w:szCs w:val="18"/>
        </w:rPr>
        <w:t xml:space="preserve"> Thus, </w:t>
      </w:r>
      <w:r w:rsidR="00FF1995" w:rsidRPr="00564DB3">
        <w:rPr>
          <w:szCs w:val="18"/>
        </w:rPr>
        <w:t xml:space="preserve">for the purpose of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in examining whether a technical regulation constitutes a means of arbitrary or unjustifiable discrimination, "it is likely that this assessment [will] involve[] consideration of the nexus between the regulatory distinctions found in the measure and the measure's policy objectives"</w:t>
      </w:r>
      <w:r w:rsidR="005B1CE4" w:rsidRPr="00564DB3">
        <w:rPr>
          <w:rStyle w:val="FootnoteReference"/>
          <w:szCs w:val="18"/>
        </w:rPr>
        <w:footnoteReference w:id="170"/>
      </w:r>
      <w:r w:rsidRPr="00564DB3">
        <w:rPr>
          <w:szCs w:val="18"/>
        </w:rPr>
        <w:t xml:space="preserve">, although </w:t>
      </w:r>
      <w:r w:rsidR="008D49FB" w:rsidRPr="00564DB3">
        <w:rPr>
          <w:szCs w:val="18"/>
        </w:rPr>
        <w:t>"consideration of other factors </w:t>
      </w:r>
      <w:r w:rsidR="0048494D" w:rsidRPr="00564DB3">
        <w:rPr>
          <w:szCs w:val="18"/>
        </w:rPr>
        <w:t xml:space="preserve">… </w:t>
      </w:r>
      <w:r w:rsidRPr="00564DB3">
        <w:rPr>
          <w:szCs w:val="18"/>
        </w:rPr>
        <w:t>may also be relevant to the analysis</w:t>
      </w:r>
      <w:r w:rsidR="00124085" w:rsidRPr="00564DB3">
        <w:rPr>
          <w:szCs w:val="18"/>
        </w:rPr>
        <w:t>.</w:t>
      </w:r>
      <w:r w:rsidRPr="00564DB3">
        <w:rPr>
          <w:szCs w:val="18"/>
        </w:rPr>
        <w:t>"</w:t>
      </w:r>
      <w:r w:rsidR="005B1CE4" w:rsidRPr="00564DB3">
        <w:rPr>
          <w:rStyle w:val="FootnoteReference"/>
          <w:szCs w:val="18"/>
        </w:rPr>
        <w:footnoteReference w:id="171"/>
      </w:r>
      <w:r w:rsidRPr="00564DB3">
        <w:rPr>
          <w:szCs w:val="18"/>
        </w:rPr>
        <w:t xml:space="preserve"> </w:t>
      </w:r>
    </w:p>
    <w:p w:rsidR="00432E5C" w:rsidRPr="00564DB3" w:rsidRDefault="00432E5C" w:rsidP="00F70E38">
      <w:pPr>
        <w:pStyle w:val="BodyText"/>
        <w:rPr>
          <w:szCs w:val="18"/>
        </w:rPr>
      </w:pPr>
      <w:bookmarkStart w:id="91" w:name="_Ref526163258"/>
      <w:r w:rsidRPr="00564DB3">
        <w:rPr>
          <w:szCs w:val="18"/>
          <w:lang w:eastAsia="zh-CN"/>
        </w:rPr>
        <w:t xml:space="preserve">In the original proceedings, the </w:t>
      </w:r>
      <w:r w:rsidR="00083DFC" w:rsidRPr="00564DB3">
        <w:rPr>
          <w:szCs w:val="18"/>
          <w:lang w:eastAsia="zh-CN"/>
        </w:rPr>
        <w:t>United States</w:t>
      </w:r>
      <w:r w:rsidRPr="00564DB3">
        <w:rPr>
          <w:szCs w:val="18"/>
          <w:lang w:eastAsia="zh-CN"/>
        </w:rPr>
        <w:t xml:space="preserve"> sought to demonstrate that the detrimental impact under the original Tuna Measure stemmed exclusively from a legitimate regulatory distinction by introducing the notion of calibration. More specifically, the </w:t>
      </w:r>
      <w:r w:rsidR="00083DFC" w:rsidRPr="00564DB3">
        <w:rPr>
          <w:szCs w:val="18"/>
          <w:lang w:eastAsia="zh-CN"/>
        </w:rPr>
        <w:t>United States</w:t>
      </w:r>
      <w:r w:rsidRPr="00564DB3">
        <w:rPr>
          <w:szCs w:val="18"/>
          <w:lang w:eastAsia="zh-CN"/>
        </w:rPr>
        <w:t xml:space="preserve"> contended that the regulatory distinctions drawn under the original </w:t>
      </w:r>
      <w:r w:rsidR="0048494D" w:rsidRPr="00564DB3">
        <w:rPr>
          <w:szCs w:val="18"/>
          <w:lang w:eastAsia="zh-CN"/>
        </w:rPr>
        <w:t xml:space="preserve">Tuna Measure </w:t>
      </w:r>
      <w:r w:rsidRPr="00564DB3">
        <w:rPr>
          <w:szCs w:val="18"/>
          <w:lang w:eastAsia="zh-CN"/>
        </w:rPr>
        <w:t>"between different tuna fishing methods and different areas of the oceans could be explained or justified by differences in the risks associated with such fishing methods and areas of the oceans".</w:t>
      </w:r>
      <w:r w:rsidR="005B1CE4" w:rsidRPr="00564DB3">
        <w:rPr>
          <w:rStyle w:val="FootnoteReference"/>
          <w:szCs w:val="18"/>
          <w:lang w:eastAsia="zh-CN"/>
        </w:rPr>
        <w:footnoteReference w:id="172"/>
      </w:r>
      <w:r w:rsidRPr="00564DB3">
        <w:rPr>
          <w:szCs w:val="18"/>
          <w:lang w:eastAsia="zh-CN"/>
        </w:rPr>
        <w:t xml:space="preserve"> This led the Appellate Body </w:t>
      </w:r>
      <w:r w:rsidRPr="00564DB3">
        <w:rPr>
          <w:szCs w:val="18"/>
        </w:rPr>
        <w:t xml:space="preserve">to examine the legitimacy of the </w:t>
      </w:r>
      <w:r w:rsidR="008D49FB" w:rsidRPr="00564DB3">
        <w:rPr>
          <w:szCs w:val="18"/>
          <w:lang w:eastAsia="zh-CN"/>
        </w:rPr>
        <w:t>original Tuna Measure</w:t>
      </w:r>
      <w:r w:rsidRPr="00564DB3">
        <w:rPr>
          <w:szCs w:val="18"/>
        </w:rPr>
        <w:t>'s regulatory di</w:t>
      </w:r>
      <w:r w:rsidR="00BB343B" w:rsidRPr="00564DB3">
        <w:rPr>
          <w:szCs w:val="18"/>
        </w:rPr>
        <w:t>stinctions "through the lens of … </w:t>
      </w:r>
      <w:r w:rsidRPr="00564DB3">
        <w:rPr>
          <w:szCs w:val="18"/>
        </w:rPr>
        <w:t>'calibration'".</w:t>
      </w:r>
      <w:r w:rsidR="005B1CE4" w:rsidRPr="00564DB3">
        <w:rPr>
          <w:rStyle w:val="FootnoteReference"/>
          <w:szCs w:val="18"/>
        </w:rPr>
        <w:footnoteReference w:id="173"/>
      </w:r>
      <w:r w:rsidRPr="00564DB3">
        <w:rPr>
          <w:szCs w:val="18"/>
        </w:rPr>
        <w:t xml:space="preserve"> The Appellate</w:t>
      </w:r>
      <w:r w:rsidR="00025CB6" w:rsidRPr="00564DB3">
        <w:rPr>
          <w:szCs w:val="18"/>
        </w:rPr>
        <w:t> Body</w:t>
      </w:r>
      <w:r w:rsidRPr="00564DB3">
        <w:rPr>
          <w:szCs w:val="18"/>
        </w:rPr>
        <w:t xml:space="preserve"> emphasized that its use of the terms "even-handed" and "calibrated":</w:t>
      </w:r>
      <w:bookmarkEnd w:id="91"/>
    </w:p>
    <w:p w:rsidR="00432E5C" w:rsidRPr="00564DB3" w:rsidRDefault="00432E5C" w:rsidP="00F70E38">
      <w:pPr>
        <w:pStyle w:val="Quotation"/>
      </w:pPr>
      <w:r w:rsidRPr="00564DB3">
        <w:t>[D]id not constitute different legal tests, since the entire inquiry by the Appellate</w:t>
      </w:r>
      <w:r w:rsidR="00025CB6" w:rsidRPr="00564DB3">
        <w:t> Body</w:t>
      </w:r>
      <w:r w:rsidRPr="00564DB3">
        <w:t xml:space="preserve"> revolved around whether the </w:t>
      </w:r>
      <w:r w:rsidR="00083DFC" w:rsidRPr="00564DB3">
        <w:t>United States</w:t>
      </w:r>
      <w:r w:rsidRPr="00564DB3">
        <w:t xml:space="preserve"> had properly substantiated its argument </w:t>
      </w:r>
      <w:r w:rsidRPr="00564DB3">
        <w:lastRenderedPageBreak/>
        <w:t>that the original tuna measure</w:t>
      </w:r>
      <w:r w:rsidRPr="00564DB3">
        <w:rPr>
          <w:i/>
        </w:rPr>
        <w:t xml:space="preserve"> was even-handed</w:t>
      </w:r>
      <w:r w:rsidRPr="00564DB3">
        <w:t xml:space="preserve">, and thus not inconsistent with </w:t>
      </w:r>
      <w:r w:rsidR="00083DFC" w:rsidRPr="00564DB3">
        <w:t>Article </w:t>
      </w:r>
      <w:r w:rsidRPr="00564DB3">
        <w:t xml:space="preserve">2.1, </w:t>
      </w:r>
      <w:r w:rsidRPr="00564DB3">
        <w:rPr>
          <w:i/>
        </w:rPr>
        <w:t>because it was "calibrated"</w:t>
      </w:r>
      <w:r w:rsidRPr="00564DB3">
        <w:t xml:space="preserve"> to the risks to dolphins arising from different fishing methods in different areas of the oceans.</w:t>
      </w:r>
      <w:r w:rsidR="005B1CE4" w:rsidRPr="00564DB3">
        <w:rPr>
          <w:rStyle w:val="FootnoteReference"/>
        </w:rPr>
        <w:footnoteReference w:id="174"/>
      </w:r>
    </w:p>
    <w:p w:rsidR="00432E5C" w:rsidRPr="00564DB3" w:rsidRDefault="00432E5C" w:rsidP="00F70E38">
      <w:pPr>
        <w:pStyle w:val="BodyText"/>
        <w:rPr>
          <w:szCs w:val="18"/>
          <w:lang w:eastAsia="zh-CN"/>
        </w:rPr>
      </w:pPr>
      <w:r w:rsidRPr="00564DB3">
        <w:rPr>
          <w:szCs w:val="18"/>
          <w:lang w:eastAsia="zh-CN"/>
        </w:rPr>
        <w:t xml:space="preserve">Thus, rather than being a separate legal test, calibration is </w:t>
      </w:r>
      <w:r w:rsidRPr="00564DB3">
        <w:rPr>
          <w:i/>
          <w:szCs w:val="18"/>
          <w:lang w:eastAsia="zh-CN"/>
        </w:rPr>
        <w:t>the means</w:t>
      </w:r>
      <w:r w:rsidRPr="00564DB3">
        <w:rPr>
          <w:szCs w:val="18"/>
          <w:lang w:eastAsia="zh-CN"/>
        </w:rPr>
        <w:t xml:space="preserve"> to assess whether the detrimental impact of the measure at </w:t>
      </w:r>
      <w:r w:rsidR="00130DD5" w:rsidRPr="00564DB3">
        <w:rPr>
          <w:szCs w:val="18"/>
          <w:lang w:eastAsia="zh-CN"/>
        </w:rPr>
        <w:t>issue</w:t>
      </w:r>
      <w:r w:rsidRPr="00564DB3">
        <w:rPr>
          <w:szCs w:val="18"/>
          <w:lang w:eastAsia="zh-CN"/>
        </w:rPr>
        <w:t xml:space="preserve"> in this dispute stems exclusively from a legitimate regulatory distinction</w:t>
      </w:r>
      <w:r w:rsidR="008D49FB" w:rsidRPr="00564DB3">
        <w:rPr>
          <w:szCs w:val="18"/>
          <w:lang w:eastAsia="zh-CN"/>
        </w:rPr>
        <w:t>, in the context of the second step of the "treatment no less favourable" analysis under Article 2.1</w:t>
      </w:r>
      <w:r w:rsidRPr="00564DB3">
        <w:rPr>
          <w:szCs w:val="18"/>
          <w:lang w:eastAsia="zh-CN"/>
        </w:rPr>
        <w:t xml:space="preserve">. </w:t>
      </w:r>
      <w:r w:rsidR="008D49FB" w:rsidRPr="00564DB3">
        <w:rPr>
          <w:szCs w:val="18"/>
          <w:lang w:eastAsia="zh-CN"/>
        </w:rPr>
        <w:t>As</w:t>
      </w:r>
      <w:r w:rsidRPr="00564DB3">
        <w:rPr>
          <w:szCs w:val="18"/>
          <w:lang w:eastAsia="zh-CN"/>
        </w:rPr>
        <w:t xml:space="preserve"> we explai</w:t>
      </w:r>
      <w:r w:rsidR="00F85532" w:rsidRPr="00564DB3">
        <w:rPr>
          <w:szCs w:val="18"/>
          <w:lang w:eastAsia="zh-CN"/>
        </w:rPr>
        <w:t>n in greater detail in</w:t>
      </w:r>
      <w:r w:rsidR="00A53A52">
        <w:rPr>
          <w:szCs w:val="18"/>
          <w:lang w:eastAsia="zh-CN"/>
        </w:rPr>
        <w:t xml:space="preserve"> section 6.1.3 </w:t>
      </w:r>
      <w:r w:rsidRPr="00564DB3">
        <w:rPr>
          <w:szCs w:val="18"/>
          <w:lang w:eastAsia="zh-CN"/>
        </w:rPr>
        <w:t>below, if done</w:t>
      </w:r>
      <w:r w:rsidR="004B44AA" w:rsidRPr="00564DB3">
        <w:rPr>
          <w:i/>
          <w:szCs w:val="18"/>
          <w:lang w:eastAsia="zh-CN"/>
        </w:rPr>
        <w:t xml:space="preserve"> properly</w:t>
      </w:r>
      <w:r w:rsidRPr="00564DB3">
        <w:rPr>
          <w:szCs w:val="18"/>
          <w:lang w:eastAsia="zh-CN"/>
        </w:rPr>
        <w:t>, the cali</w:t>
      </w:r>
      <w:r w:rsidR="004B44AA" w:rsidRPr="00564DB3">
        <w:rPr>
          <w:szCs w:val="18"/>
          <w:lang w:eastAsia="zh-CN"/>
        </w:rPr>
        <w:t xml:space="preserve">bration analysis </w:t>
      </w:r>
      <w:r w:rsidR="008D49FB" w:rsidRPr="00564DB3">
        <w:rPr>
          <w:szCs w:val="18"/>
          <w:lang w:eastAsia="zh-CN"/>
        </w:rPr>
        <w:t xml:space="preserve">should </w:t>
      </w:r>
      <w:r w:rsidR="004B44AA" w:rsidRPr="00564DB3">
        <w:rPr>
          <w:szCs w:val="18"/>
          <w:lang w:eastAsia="zh-CN"/>
        </w:rPr>
        <w:t xml:space="preserve">encompass </w:t>
      </w:r>
      <w:r w:rsidRPr="00564DB3">
        <w:rPr>
          <w:szCs w:val="18"/>
          <w:lang w:eastAsia="zh-CN"/>
        </w:rPr>
        <w:t>consideration of the rational relationship between the regulatory distinctions and the objectives of the 2016 Tuna Measure. Thus, if calibrated</w:t>
      </w:r>
      <w:r w:rsidR="008D49FB" w:rsidRPr="00564DB3">
        <w:rPr>
          <w:szCs w:val="18"/>
          <w:lang w:eastAsia="zh-CN"/>
        </w:rPr>
        <w:t xml:space="preserve"> properly</w:t>
      </w:r>
      <w:r w:rsidRPr="00564DB3">
        <w:rPr>
          <w:szCs w:val="18"/>
          <w:lang w:eastAsia="zh-CN"/>
        </w:rPr>
        <w:t xml:space="preserve">, these regulatory distinctions will not amount to arbitrary or unjustifiable discrimination and will thus comply with the requirements of </w:t>
      </w:r>
      <w:r w:rsidR="00083DFC" w:rsidRPr="00564DB3">
        <w:rPr>
          <w:szCs w:val="18"/>
          <w:lang w:eastAsia="zh-CN"/>
        </w:rPr>
        <w:t>Article </w:t>
      </w:r>
      <w:r w:rsidRPr="00564DB3">
        <w:rPr>
          <w:szCs w:val="18"/>
          <w:lang w:eastAsia="zh-CN"/>
        </w:rPr>
        <w:t xml:space="preserve">2.1 of the </w:t>
      </w:r>
      <w:r w:rsidR="00083DFC" w:rsidRPr="00564DB3">
        <w:rPr>
          <w:szCs w:val="18"/>
          <w:lang w:eastAsia="zh-CN"/>
        </w:rPr>
        <w:t>TBT Agreement</w:t>
      </w:r>
      <w:r w:rsidRPr="00564DB3">
        <w:rPr>
          <w:szCs w:val="18"/>
          <w:lang w:eastAsia="zh-CN"/>
        </w:rPr>
        <w:t>.</w:t>
      </w:r>
    </w:p>
    <w:p w:rsidR="008D49FB" w:rsidRPr="00564DB3" w:rsidRDefault="00432E5C" w:rsidP="00F70E38">
      <w:pPr>
        <w:pStyle w:val="BodyText"/>
        <w:rPr>
          <w:szCs w:val="18"/>
        </w:rPr>
      </w:pPr>
      <w:bookmarkStart w:id="92" w:name="_Ref527547040"/>
      <w:r w:rsidRPr="00564DB3">
        <w:rPr>
          <w:szCs w:val="18"/>
        </w:rPr>
        <w:t xml:space="preserve">In articulating the applicable legal standard under </w:t>
      </w:r>
      <w:r w:rsidR="00083DFC" w:rsidRPr="00564DB3">
        <w:rPr>
          <w:szCs w:val="18"/>
        </w:rPr>
        <w:t>Article </w:t>
      </w:r>
      <w:r w:rsidRPr="00564DB3">
        <w:rPr>
          <w:szCs w:val="18"/>
        </w:rPr>
        <w:t>2.1 in these compliance proceedings, the Panels recalled the Appellate</w:t>
      </w:r>
      <w:r w:rsidR="00025CB6" w:rsidRPr="00564DB3">
        <w:rPr>
          <w:szCs w:val="18"/>
        </w:rPr>
        <w:t> Body</w:t>
      </w:r>
      <w:r w:rsidRPr="00564DB3">
        <w:rPr>
          <w:szCs w:val="18"/>
        </w:rPr>
        <w:t xml:space="preserve">'s findings as set forth above. The Panels considered that, "while there may in theory be a number of ways" to assess </w:t>
      </w:r>
      <w:r w:rsidR="004B44AA" w:rsidRPr="00564DB3">
        <w:rPr>
          <w:szCs w:val="18"/>
        </w:rPr>
        <w:t xml:space="preserve">whether </w:t>
      </w:r>
      <w:r w:rsidRPr="00564DB3">
        <w:rPr>
          <w:szCs w:val="18"/>
        </w:rPr>
        <w:t xml:space="preserve">the measure </w:t>
      </w:r>
      <w:r w:rsidR="004B44AA" w:rsidRPr="00564DB3">
        <w:rPr>
          <w:szCs w:val="18"/>
        </w:rPr>
        <w:t>satisfies</w:t>
      </w:r>
      <w:r w:rsidRPr="00564DB3">
        <w:rPr>
          <w:szCs w:val="18"/>
        </w:rPr>
        <w:t xml:space="preserve"> the second step of the analysis under </w:t>
      </w:r>
      <w:r w:rsidR="00083DFC" w:rsidRPr="00564DB3">
        <w:rPr>
          <w:szCs w:val="18"/>
        </w:rPr>
        <w:t>Article </w:t>
      </w:r>
      <w:r w:rsidRPr="00564DB3">
        <w:rPr>
          <w:szCs w:val="18"/>
        </w:rPr>
        <w:t>2.1</w:t>
      </w:r>
      <w:r w:rsidR="005B1CE4" w:rsidRPr="00564DB3">
        <w:rPr>
          <w:rStyle w:val="FootnoteReference"/>
          <w:szCs w:val="18"/>
        </w:rPr>
        <w:footnoteReference w:id="175"/>
      </w:r>
      <w:r w:rsidRPr="00564DB3">
        <w:rPr>
          <w:szCs w:val="18"/>
        </w:rPr>
        <w:t>, in this dispute</w:t>
      </w:r>
      <w:r w:rsidR="00823F4B" w:rsidRPr="00564DB3">
        <w:rPr>
          <w:szCs w:val="18"/>
        </w:rPr>
        <w:t xml:space="preserve"> it was appropriate </w:t>
      </w:r>
      <w:r w:rsidRPr="00564DB3">
        <w:rPr>
          <w:szCs w:val="18"/>
        </w:rPr>
        <w:t xml:space="preserve">to assess whether the detrimental impact caused by the </w:t>
      </w:r>
      <w:r w:rsidR="00016009" w:rsidRPr="00564DB3">
        <w:rPr>
          <w:szCs w:val="18"/>
        </w:rPr>
        <w:t xml:space="preserve">2016 </w:t>
      </w:r>
      <w:r w:rsidRPr="00564DB3">
        <w:rPr>
          <w:szCs w:val="18"/>
        </w:rPr>
        <w:t>Tuna Measure stems exclusively from a legitimate regulatory distinction</w:t>
      </w:r>
      <w:r w:rsidR="008D49FB" w:rsidRPr="00564DB3">
        <w:rPr>
          <w:szCs w:val="18"/>
        </w:rPr>
        <w:t xml:space="preserve"> through the </w:t>
      </w:r>
      <w:r w:rsidR="00823F4B" w:rsidRPr="00564DB3">
        <w:rPr>
          <w:szCs w:val="18"/>
        </w:rPr>
        <w:t>lens of calibration</w:t>
      </w:r>
      <w:r w:rsidRPr="00564DB3">
        <w:rPr>
          <w:szCs w:val="18"/>
        </w:rPr>
        <w:t>.</w:t>
      </w:r>
      <w:bookmarkEnd w:id="92"/>
      <w:r w:rsidR="005B1CE4" w:rsidRPr="00564DB3">
        <w:rPr>
          <w:rStyle w:val="FootnoteReference"/>
          <w:szCs w:val="18"/>
        </w:rPr>
        <w:footnoteReference w:id="176"/>
      </w:r>
      <w:r w:rsidRPr="00564DB3">
        <w:rPr>
          <w:szCs w:val="18"/>
        </w:rPr>
        <w:t xml:space="preserve"> </w:t>
      </w:r>
    </w:p>
    <w:p w:rsidR="00432E5C" w:rsidRPr="00564DB3" w:rsidRDefault="00432E5C" w:rsidP="00F70E38">
      <w:pPr>
        <w:pStyle w:val="BodyText"/>
        <w:rPr>
          <w:szCs w:val="18"/>
        </w:rPr>
      </w:pPr>
      <w:r w:rsidRPr="00564DB3">
        <w:rPr>
          <w:szCs w:val="18"/>
        </w:rPr>
        <w:t>On appeal, Mexico highlights the Appellate</w:t>
      </w:r>
      <w:r w:rsidR="00025CB6" w:rsidRPr="00564DB3">
        <w:rPr>
          <w:szCs w:val="18"/>
        </w:rPr>
        <w:t> Body</w:t>
      </w:r>
      <w:r w:rsidRPr="00564DB3">
        <w:rPr>
          <w:szCs w:val="18"/>
        </w:rPr>
        <w:t>'s statement that a rational relationship test is "</w:t>
      </w:r>
      <w:r w:rsidR="00995560" w:rsidRPr="00564DB3">
        <w:rPr>
          <w:szCs w:val="18"/>
        </w:rPr>
        <w:t>[</w:t>
      </w:r>
      <w:r w:rsidRPr="00564DB3">
        <w:rPr>
          <w:i/>
          <w:szCs w:val="18"/>
        </w:rPr>
        <w:t>o</w:t>
      </w:r>
      <w:r w:rsidR="00995560" w:rsidRPr="00564DB3">
        <w:rPr>
          <w:szCs w:val="18"/>
        </w:rPr>
        <w:t>]</w:t>
      </w:r>
      <w:proofErr w:type="spellStart"/>
      <w:r w:rsidRPr="00564DB3">
        <w:rPr>
          <w:i/>
          <w:szCs w:val="18"/>
        </w:rPr>
        <w:t>ne</w:t>
      </w:r>
      <w:proofErr w:type="spellEnd"/>
      <w:r w:rsidRPr="00564DB3">
        <w:rPr>
          <w:i/>
          <w:szCs w:val="18"/>
        </w:rPr>
        <w:t xml:space="preserve"> of the most important factors</w:t>
      </w:r>
      <w:r w:rsidRPr="00564DB3">
        <w:rPr>
          <w:szCs w:val="18"/>
        </w:rPr>
        <w:t xml:space="preserve">" in assessing arbitrary and unjustifiable discrimination under the </w:t>
      </w:r>
      <w:r w:rsidRPr="00564DB3">
        <w:rPr>
          <w:i/>
          <w:szCs w:val="18"/>
        </w:rPr>
        <w:t>chapeau</w:t>
      </w:r>
      <w:r w:rsidR="008D49FB" w:rsidRPr="00564DB3">
        <w:rPr>
          <w:szCs w:val="18"/>
        </w:rPr>
        <w:t xml:space="preserve"> of Article XX of the GATT 1994.</w:t>
      </w:r>
      <w:r w:rsidR="005B1CE4" w:rsidRPr="00564DB3">
        <w:rPr>
          <w:rStyle w:val="FootnoteReference"/>
          <w:szCs w:val="18"/>
        </w:rPr>
        <w:footnoteReference w:id="177"/>
      </w:r>
      <w:r w:rsidRPr="00564DB3">
        <w:rPr>
          <w:szCs w:val="18"/>
        </w:rPr>
        <w:t xml:space="preserve"> Thus, Mexico argues</w:t>
      </w:r>
      <w:r w:rsidR="008D49FB" w:rsidRPr="00564DB3">
        <w:rPr>
          <w:szCs w:val="18"/>
        </w:rPr>
        <w:t xml:space="preserve"> that</w:t>
      </w:r>
      <w:r w:rsidRPr="00564DB3">
        <w:rPr>
          <w:szCs w:val="18"/>
        </w:rPr>
        <w:t xml:space="preserve">, given the "close relationship" between the notion of even-handedness under </w:t>
      </w:r>
      <w:r w:rsidR="00083DFC" w:rsidRPr="00564DB3">
        <w:rPr>
          <w:szCs w:val="18"/>
        </w:rPr>
        <w:t>Article </w:t>
      </w:r>
      <w:r w:rsidRPr="00564DB3">
        <w:rPr>
          <w:szCs w:val="18"/>
        </w:rPr>
        <w:t xml:space="preserve">2.1 and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"an assessment of whether the detrimental impact can be reconciled with, or is rationally related to, the policy objective pursued by the measure" is required in the analysis under </w:t>
      </w:r>
      <w:r w:rsidR="00AA22DA" w:rsidRPr="00564DB3">
        <w:rPr>
          <w:szCs w:val="18"/>
        </w:rPr>
        <w:t>Article </w:t>
      </w:r>
      <w:r w:rsidR="008D49FB" w:rsidRPr="00564DB3">
        <w:rPr>
          <w:szCs w:val="18"/>
        </w:rPr>
        <w:t>2.1</w:t>
      </w:r>
      <w:r w:rsidRPr="00564DB3">
        <w:rPr>
          <w:szCs w:val="18"/>
        </w:rPr>
        <w:t>.</w:t>
      </w:r>
      <w:r w:rsidR="005B1CE4" w:rsidRPr="00564DB3">
        <w:rPr>
          <w:rStyle w:val="FootnoteReference"/>
          <w:szCs w:val="18"/>
        </w:rPr>
        <w:footnoteReference w:id="178"/>
      </w:r>
      <w:r w:rsidRPr="00564DB3">
        <w:rPr>
          <w:szCs w:val="18"/>
        </w:rPr>
        <w:t xml:space="preserve"> </w:t>
      </w:r>
    </w:p>
    <w:p w:rsidR="00432E5C" w:rsidRPr="00564DB3" w:rsidRDefault="00432E5C" w:rsidP="00F70E38">
      <w:pPr>
        <w:pStyle w:val="BodyText"/>
        <w:rPr>
          <w:szCs w:val="18"/>
          <w:lang w:eastAsia="zh-CN"/>
        </w:rPr>
      </w:pPr>
      <w:bookmarkStart w:id="93" w:name="_Ref526148343"/>
      <w:r w:rsidRPr="00564DB3">
        <w:rPr>
          <w:szCs w:val="18"/>
        </w:rPr>
        <w:t xml:space="preserve">As indicated above, the assessment of whether the detrimental impact of a measure amounts to arbitrary or unjustifiable discrimination in the context of </w:t>
      </w:r>
      <w:r w:rsidR="00083DFC" w:rsidRPr="00564DB3">
        <w:rPr>
          <w:szCs w:val="18"/>
        </w:rPr>
        <w:t>Article </w:t>
      </w:r>
      <w:r w:rsidRPr="00564DB3">
        <w:rPr>
          <w:szCs w:val="18"/>
        </w:rPr>
        <w:t xml:space="preserve">2.1 will likely involve consideration of the nexus between the regulatory distinctions of the measure and its objectives. This does not mean that such consideration necessarily constitutes a </w:t>
      </w:r>
      <w:r w:rsidR="008D49FB" w:rsidRPr="00564DB3">
        <w:rPr>
          <w:szCs w:val="18"/>
        </w:rPr>
        <w:t xml:space="preserve">step that is </w:t>
      </w:r>
      <w:r w:rsidRPr="00564DB3">
        <w:rPr>
          <w:szCs w:val="18"/>
        </w:rPr>
        <w:t xml:space="preserve">separate and distinct </w:t>
      </w:r>
      <w:r w:rsidR="008D49FB" w:rsidRPr="00564DB3">
        <w:rPr>
          <w:szCs w:val="18"/>
        </w:rPr>
        <w:t>from a proper calibration analysis</w:t>
      </w:r>
      <w:r w:rsidRPr="00564DB3">
        <w:rPr>
          <w:szCs w:val="18"/>
        </w:rPr>
        <w:t xml:space="preserve">, as Mexico appears to suggest. At the same time, we do not understand Mexico's arguments on appeal to relate primarily to the Panels' articulation of the legal standard under </w:t>
      </w:r>
      <w:r w:rsidR="00083DFC" w:rsidRPr="00564DB3">
        <w:rPr>
          <w:szCs w:val="18"/>
        </w:rPr>
        <w:t>Article </w:t>
      </w:r>
      <w:r w:rsidRPr="00564DB3">
        <w:rPr>
          <w:szCs w:val="18"/>
        </w:rPr>
        <w:t xml:space="preserve">2.1. Rather, as further discussed in </w:t>
      </w:r>
      <w:r w:rsidR="00A53A52">
        <w:rPr>
          <w:szCs w:val="18"/>
          <w:lang w:eastAsia="zh-CN"/>
        </w:rPr>
        <w:t xml:space="preserve">section 6.1.3 </w:t>
      </w:r>
      <w:r w:rsidRPr="00564DB3">
        <w:rPr>
          <w:szCs w:val="18"/>
        </w:rPr>
        <w:t>below,</w:t>
      </w:r>
      <w:bookmarkStart w:id="94" w:name="_Hlk526148530"/>
      <w:r w:rsidRPr="00564DB3">
        <w:rPr>
          <w:szCs w:val="18"/>
        </w:rPr>
        <w:t xml:space="preserve"> Mexico contends that</w:t>
      </w:r>
      <w:r w:rsidR="00124085" w:rsidRPr="00564DB3">
        <w:rPr>
          <w:szCs w:val="18"/>
        </w:rPr>
        <w:t xml:space="preserve"> the Panels</w:t>
      </w:r>
      <w:r w:rsidRPr="00564DB3">
        <w:rPr>
          <w:szCs w:val="18"/>
        </w:rPr>
        <w:t xml:space="preserve">, in their calibration analysis, failed to include an examination of the nexus between the regulatory distinctions giving rise to the detrimental impact, on the one hand, and the 2016 Tuna Measure's objectives, on the other hand. </w:t>
      </w:r>
      <w:bookmarkEnd w:id="94"/>
      <w:r w:rsidRPr="00564DB3">
        <w:rPr>
          <w:szCs w:val="18"/>
        </w:rPr>
        <w:t xml:space="preserve">Therefore, while Mexico indicates that its claims relate, </w:t>
      </w:r>
      <w:r w:rsidRPr="00564DB3">
        <w:rPr>
          <w:i/>
          <w:szCs w:val="18"/>
        </w:rPr>
        <w:t>inter alia</w:t>
      </w:r>
      <w:r w:rsidRPr="00564DB3">
        <w:rPr>
          <w:szCs w:val="18"/>
        </w:rPr>
        <w:t xml:space="preserve">, to the Panels' interpretation of </w:t>
      </w:r>
      <w:r w:rsidR="00083DFC" w:rsidRPr="00564DB3">
        <w:rPr>
          <w:szCs w:val="18"/>
        </w:rPr>
        <w:t>Article </w:t>
      </w:r>
      <w:r w:rsidRPr="00564DB3">
        <w:rPr>
          <w:szCs w:val="18"/>
        </w:rPr>
        <w:t xml:space="preserve">2.1, we observe that its arguments </w:t>
      </w:r>
      <w:r w:rsidR="008D49FB" w:rsidRPr="00564DB3">
        <w:rPr>
          <w:szCs w:val="18"/>
        </w:rPr>
        <w:t>main</w:t>
      </w:r>
      <w:r w:rsidRPr="00564DB3">
        <w:rPr>
          <w:szCs w:val="18"/>
        </w:rPr>
        <w:t>ly concern the</w:t>
      </w:r>
      <w:r w:rsidR="00823F4B" w:rsidRPr="00564DB3">
        <w:rPr>
          <w:szCs w:val="18"/>
        </w:rPr>
        <w:t xml:space="preserve"> Panels'</w:t>
      </w:r>
      <w:r w:rsidRPr="00564DB3">
        <w:rPr>
          <w:szCs w:val="18"/>
        </w:rPr>
        <w:t xml:space="preserve"> application of th</w:t>
      </w:r>
      <w:r w:rsidR="008D49FB" w:rsidRPr="00564DB3">
        <w:rPr>
          <w:szCs w:val="18"/>
        </w:rPr>
        <w:t>e</w:t>
      </w:r>
      <w:r w:rsidRPr="00564DB3">
        <w:rPr>
          <w:szCs w:val="18"/>
        </w:rPr>
        <w:t xml:space="preserve"> legal standard</w:t>
      </w:r>
      <w:r w:rsidR="008D49FB" w:rsidRPr="00564DB3">
        <w:rPr>
          <w:szCs w:val="18"/>
        </w:rPr>
        <w:t xml:space="preserve"> under Article 2.1</w:t>
      </w:r>
      <w:r w:rsidRPr="00564DB3">
        <w:rPr>
          <w:szCs w:val="18"/>
        </w:rPr>
        <w:t xml:space="preserve"> in the context of the present dispute. We address these arguments in </w:t>
      </w:r>
      <w:r w:rsidR="00A53A52">
        <w:rPr>
          <w:szCs w:val="18"/>
          <w:lang w:eastAsia="zh-CN"/>
        </w:rPr>
        <w:t xml:space="preserve">section 6.1.3 </w:t>
      </w:r>
      <w:r w:rsidRPr="00564DB3">
        <w:rPr>
          <w:szCs w:val="18"/>
        </w:rPr>
        <w:t>below.</w:t>
      </w:r>
      <w:bookmarkEnd w:id="93"/>
      <w:r w:rsidRPr="00564DB3">
        <w:rPr>
          <w:szCs w:val="18"/>
        </w:rPr>
        <w:t xml:space="preserve"> However, before turning to the issue of what constitutes a proper calibration analysis in this dispute, we address Mexico's argument that the Panels should have </w:t>
      </w:r>
      <w:proofErr w:type="gramStart"/>
      <w:r w:rsidRPr="00564DB3">
        <w:rPr>
          <w:szCs w:val="18"/>
        </w:rPr>
        <w:t>taken into account</w:t>
      </w:r>
      <w:proofErr w:type="gramEnd"/>
      <w:r w:rsidRPr="00564DB3">
        <w:rPr>
          <w:szCs w:val="18"/>
        </w:rPr>
        <w:t xml:space="preserve"> the objective of sustainable development </w:t>
      </w:r>
      <w:r w:rsidR="008D49FB" w:rsidRPr="00564DB3">
        <w:rPr>
          <w:szCs w:val="18"/>
        </w:rPr>
        <w:t xml:space="preserve">set out </w:t>
      </w:r>
      <w:r w:rsidRPr="00564DB3">
        <w:rPr>
          <w:szCs w:val="18"/>
        </w:rPr>
        <w:t>in the preamble of the WTO</w:t>
      </w:r>
      <w:r w:rsidR="00025CB6" w:rsidRPr="00564DB3">
        <w:rPr>
          <w:szCs w:val="18"/>
        </w:rPr>
        <w:t> Agreement</w:t>
      </w:r>
      <w:r w:rsidRPr="00564DB3">
        <w:rPr>
          <w:szCs w:val="18"/>
        </w:rPr>
        <w:t xml:space="preserve"> when interpreting and applying </w:t>
      </w:r>
      <w:r w:rsidR="00083DFC" w:rsidRPr="00564DB3">
        <w:rPr>
          <w:szCs w:val="18"/>
        </w:rPr>
        <w:t>Article </w:t>
      </w:r>
      <w:r w:rsidRPr="00564DB3">
        <w:rPr>
          <w:szCs w:val="18"/>
        </w:rPr>
        <w:t xml:space="preserve">2.1 </w:t>
      </w:r>
      <w:r w:rsidR="008D49FB" w:rsidRPr="00564DB3">
        <w:rPr>
          <w:szCs w:val="18"/>
        </w:rPr>
        <w:t xml:space="preserve">of the TBT Agreement </w:t>
      </w:r>
      <w:r w:rsidRPr="00564DB3">
        <w:rPr>
          <w:szCs w:val="18"/>
        </w:rPr>
        <w:t>in this dispute.</w:t>
      </w:r>
    </w:p>
    <w:p w:rsidR="00432E5C" w:rsidRPr="00564DB3" w:rsidRDefault="00432E5C" w:rsidP="00F70E38">
      <w:pPr>
        <w:pStyle w:val="Heading4"/>
        <w:rPr>
          <w:szCs w:val="18"/>
        </w:rPr>
      </w:pPr>
      <w:bookmarkStart w:id="95" w:name="_Toc528506753"/>
      <w:bookmarkStart w:id="96" w:name="_Toc528506918"/>
      <w:bookmarkStart w:id="97" w:name="_Toc531967470"/>
      <w:bookmarkStart w:id="98" w:name="_Hlk528594980"/>
      <w:r w:rsidRPr="00564DB3">
        <w:rPr>
          <w:szCs w:val="18"/>
        </w:rPr>
        <w:t>Whether the Panels erred in rejecting Mexico's argument c</w:t>
      </w:r>
      <w:r w:rsidR="008D49FB" w:rsidRPr="00564DB3">
        <w:rPr>
          <w:szCs w:val="18"/>
        </w:rPr>
        <w:t xml:space="preserve">oncerning the relevance of </w:t>
      </w:r>
      <w:r w:rsidR="005F0C22" w:rsidRPr="00564DB3">
        <w:rPr>
          <w:szCs w:val="18"/>
        </w:rPr>
        <w:t xml:space="preserve">the sustainability of tuna </w:t>
      </w:r>
      <w:r w:rsidRPr="00564DB3">
        <w:rPr>
          <w:szCs w:val="18"/>
        </w:rPr>
        <w:t>stock</w:t>
      </w:r>
      <w:r w:rsidR="00850114" w:rsidRPr="00564DB3">
        <w:rPr>
          <w:szCs w:val="18"/>
        </w:rPr>
        <w:t xml:space="preserve"> and </w:t>
      </w:r>
      <w:r w:rsidR="005F0C22" w:rsidRPr="00564DB3">
        <w:rPr>
          <w:szCs w:val="18"/>
        </w:rPr>
        <w:t xml:space="preserve">the marine </w:t>
      </w:r>
      <w:r w:rsidR="00F0172A" w:rsidRPr="00564DB3">
        <w:rPr>
          <w:szCs w:val="18"/>
        </w:rPr>
        <w:t>ecosystem</w:t>
      </w:r>
      <w:bookmarkEnd w:id="95"/>
      <w:bookmarkEnd w:id="96"/>
      <w:bookmarkEnd w:id="97"/>
    </w:p>
    <w:p w:rsidR="00432E5C" w:rsidRPr="00564DB3" w:rsidRDefault="008D49FB" w:rsidP="00F70E38">
      <w:pPr>
        <w:pStyle w:val="BodyText"/>
        <w:rPr>
          <w:szCs w:val="18"/>
        </w:rPr>
      </w:pPr>
      <w:bookmarkStart w:id="99" w:name="_Hlk528697662"/>
      <w:bookmarkStart w:id="100" w:name="_Hlk524702269"/>
      <w:bookmarkStart w:id="101" w:name="_Hlk524971952"/>
      <w:r w:rsidRPr="00564DB3">
        <w:rPr>
          <w:szCs w:val="18"/>
        </w:rPr>
        <w:t xml:space="preserve">Before the Panels, </w:t>
      </w:r>
      <w:r w:rsidR="00432E5C" w:rsidRPr="00564DB3">
        <w:rPr>
          <w:szCs w:val="18"/>
        </w:rPr>
        <w:t xml:space="preserve">Mexico </w:t>
      </w:r>
      <w:r w:rsidRPr="00564DB3">
        <w:rPr>
          <w:szCs w:val="18"/>
        </w:rPr>
        <w:t>argued</w:t>
      </w:r>
      <w:r w:rsidR="00432E5C" w:rsidRPr="00564DB3">
        <w:rPr>
          <w:szCs w:val="18"/>
        </w:rPr>
        <w:t xml:space="preserve"> that, "while </w:t>
      </w:r>
      <w:bookmarkStart w:id="102" w:name="_Hlk528697107"/>
      <w:r w:rsidR="00432E5C" w:rsidRPr="00564DB3">
        <w:rPr>
          <w:szCs w:val="18"/>
        </w:rPr>
        <w:t xml:space="preserve">the reference to sustainable development in the preamble of the WTO Agreement does not itself create any obligations, </w:t>
      </w:r>
      <w:bookmarkEnd w:id="102"/>
      <w:r w:rsidRPr="00564DB3">
        <w:rPr>
          <w:szCs w:val="18"/>
        </w:rPr>
        <w:t xml:space="preserve">nevertheless </w:t>
      </w:r>
      <w:r w:rsidR="00432E5C" w:rsidRPr="00564DB3">
        <w:rPr>
          <w:szCs w:val="18"/>
        </w:rPr>
        <w:t xml:space="preserve">the text of </w:t>
      </w:r>
      <w:r w:rsidR="00432E5C" w:rsidRPr="00564DB3">
        <w:rPr>
          <w:i/>
          <w:szCs w:val="18"/>
        </w:rPr>
        <w:t xml:space="preserve">all </w:t>
      </w:r>
      <w:r w:rsidR="00432E5C" w:rsidRPr="00564DB3">
        <w:rPr>
          <w:i/>
          <w:szCs w:val="18"/>
        </w:rPr>
        <w:lastRenderedPageBreak/>
        <w:t>WTO obligations that in any way relate to the objective of sustainable development</w:t>
      </w:r>
      <w:r w:rsidR="00432E5C" w:rsidRPr="00564DB3">
        <w:rPr>
          <w:szCs w:val="18"/>
        </w:rPr>
        <w:t xml:space="preserve"> </w:t>
      </w:r>
      <w:r w:rsidR="00432E5C" w:rsidRPr="00564DB3">
        <w:rPr>
          <w:i/>
          <w:szCs w:val="18"/>
        </w:rPr>
        <w:t>or environmental protection</w:t>
      </w:r>
      <w:r w:rsidR="00432E5C" w:rsidRPr="00564DB3">
        <w:rPr>
          <w:szCs w:val="18"/>
        </w:rPr>
        <w:t xml:space="preserve"> must be interpreted and clarified within </w:t>
      </w:r>
      <w:r w:rsidR="00016009" w:rsidRPr="00564DB3">
        <w:rPr>
          <w:szCs w:val="18"/>
        </w:rPr>
        <w:t>[</w:t>
      </w:r>
      <w:r w:rsidR="00432E5C" w:rsidRPr="00564DB3">
        <w:rPr>
          <w:szCs w:val="18"/>
        </w:rPr>
        <w:t>th</w:t>
      </w:r>
      <w:r w:rsidR="00016009" w:rsidRPr="00564DB3">
        <w:rPr>
          <w:szCs w:val="18"/>
        </w:rPr>
        <w:t>e]</w:t>
      </w:r>
      <w:r w:rsidR="00432E5C" w:rsidRPr="00564DB3">
        <w:rPr>
          <w:szCs w:val="18"/>
        </w:rPr>
        <w:t xml:space="preserve"> … context" provided by the preamble.</w:t>
      </w:r>
      <w:r w:rsidR="005B1CE4" w:rsidRPr="00564DB3">
        <w:rPr>
          <w:rStyle w:val="FootnoteReference"/>
          <w:szCs w:val="18"/>
        </w:rPr>
        <w:footnoteReference w:id="179"/>
      </w:r>
      <w:r w:rsidR="00432E5C" w:rsidRPr="00564DB3">
        <w:rPr>
          <w:szCs w:val="18"/>
        </w:rPr>
        <w:t xml:space="preserve"> Therefore, Mexico contend</w:t>
      </w:r>
      <w:r w:rsidR="00F0172A" w:rsidRPr="00564DB3">
        <w:rPr>
          <w:szCs w:val="18"/>
        </w:rPr>
        <w:t>ed</w:t>
      </w:r>
      <w:r w:rsidR="00432E5C" w:rsidRPr="00564DB3">
        <w:rPr>
          <w:szCs w:val="18"/>
        </w:rPr>
        <w:t xml:space="preserve"> that, while WTO Members are free to choose their own objectives, the</w:t>
      </w:r>
      <w:r w:rsidRPr="00564DB3">
        <w:rPr>
          <w:szCs w:val="18"/>
        </w:rPr>
        <w:t xml:space="preserve"> Members</w:t>
      </w:r>
      <w:r w:rsidR="00432E5C" w:rsidRPr="00564DB3">
        <w:rPr>
          <w:szCs w:val="18"/>
        </w:rPr>
        <w:t xml:space="preserve"> would be acting inconsistently with their WTO obligations "if the means … to achieve" such objectives "are inconsistent with the objectives of sustainable development".</w:t>
      </w:r>
      <w:r w:rsidR="005B1CE4" w:rsidRPr="00564DB3">
        <w:rPr>
          <w:rStyle w:val="FootnoteReference"/>
          <w:szCs w:val="18"/>
        </w:rPr>
        <w:footnoteReference w:id="180"/>
      </w:r>
      <w:r w:rsidR="00432E5C" w:rsidRPr="00564DB3">
        <w:rPr>
          <w:szCs w:val="18"/>
        </w:rPr>
        <w:t xml:space="preserve"> Mexico submit</w:t>
      </w:r>
      <w:r w:rsidR="00F0172A" w:rsidRPr="00564DB3">
        <w:rPr>
          <w:szCs w:val="18"/>
        </w:rPr>
        <w:t>ted</w:t>
      </w:r>
      <w:r w:rsidR="00432E5C" w:rsidRPr="00564DB3">
        <w:rPr>
          <w:szCs w:val="18"/>
        </w:rPr>
        <w:t xml:space="preserve"> that the principle of sustainable development has risen to the status of a principle of international law applicable to all countries.</w:t>
      </w:r>
      <w:r w:rsidR="005B1CE4" w:rsidRPr="00564DB3">
        <w:rPr>
          <w:rStyle w:val="FootnoteReference"/>
          <w:szCs w:val="18"/>
        </w:rPr>
        <w:footnoteReference w:id="181"/>
      </w:r>
      <w:r w:rsidR="00432E5C" w:rsidRPr="00564DB3">
        <w:rPr>
          <w:szCs w:val="18"/>
        </w:rPr>
        <w:t xml:space="preserve"> </w:t>
      </w:r>
    </w:p>
    <w:p w:rsidR="00432E5C" w:rsidRPr="00564DB3" w:rsidRDefault="00432E5C" w:rsidP="00F70E38">
      <w:pPr>
        <w:pStyle w:val="BodyText"/>
        <w:rPr>
          <w:szCs w:val="18"/>
        </w:rPr>
      </w:pPr>
      <w:r w:rsidRPr="00564DB3">
        <w:rPr>
          <w:szCs w:val="18"/>
        </w:rPr>
        <w:t xml:space="preserve">The Panels </w:t>
      </w:r>
      <w:r w:rsidR="008D49FB" w:rsidRPr="00564DB3">
        <w:rPr>
          <w:szCs w:val="18"/>
        </w:rPr>
        <w:t>rejected</w:t>
      </w:r>
      <w:r w:rsidRPr="00564DB3">
        <w:rPr>
          <w:szCs w:val="18"/>
        </w:rPr>
        <w:t xml:space="preserve"> Mexico's argument, finding that </w:t>
      </w:r>
      <w:r w:rsidR="008D49FB" w:rsidRPr="00564DB3">
        <w:rPr>
          <w:szCs w:val="18"/>
        </w:rPr>
        <w:t>this</w:t>
      </w:r>
      <w:r w:rsidRPr="00564DB3">
        <w:rPr>
          <w:szCs w:val="18"/>
        </w:rPr>
        <w:t xml:space="preserve"> argument </w:t>
      </w:r>
      <w:r w:rsidRPr="00564DB3">
        <w:rPr>
          <w:iCs/>
          <w:szCs w:val="18"/>
        </w:rPr>
        <w:t>"</w:t>
      </w:r>
      <w:r w:rsidRPr="00564DB3">
        <w:rPr>
          <w:szCs w:val="18"/>
        </w:rPr>
        <w:t>appear</w:t>
      </w:r>
      <w:r w:rsidR="00F85532" w:rsidRPr="00564DB3">
        <w:rPr>
          <w:szCs w:val="18"/>
        </w:rPr>
        <w:t>[ed]</w:t>
      </w:r>
      <w:r w:rsidRPr="00564DB3">
        <w:rPr>
          <w:szCs w:val="18"/>
        </w:rPr>
        <w:t xml:space="preserve"> to elevate the preambular language to the level of substantive obligation, despite Mexico's assertion to the contrary".</w:t>
      </w:r>
      <w:r w:rsidR="005B1CE4" w:rsidRPr="00564DB3">
        <w:rPr>
          <w:rStyle w:val="FootnoteReference"/>
          <w:szCs w:val="18"/>
        </w:rPr>
        <w:footnoteReference w:id="182"/>
      </w:r>
      <w:r w:rsidRPr="00564DB3">
        <w:rPr>
          <w:szCs w:val="18"/>
        </w:rPr>
        <w:t xml:space="preserve"> Furthermore, the Panels emphasized that the 2016 Tuna Measure is not concerned with sustainable development, but rather with the protection and well-being of dolphins, and that the WTO</w:t>
      </w:r>
      <w:r w:rsidR="00025CB6" w:rsidRPr="00564DB3">
        <w:rPr>
          <w:szCs w:val="18"/>
        </w:rPr>
        <w:t> Agreement</w:t>
      </w:r>
      <w:r w:rsidRPr="00564DB3">
        <w:rPr>
          <w:szCs w:val="18"/>
        </w:rPr>
        <w:t xml:space="preserve"> does not obligate a Member to regulate only for the objective of "sustainable development".</w:t>
      </w:r>
      <w:r w:rsidR="005B1CE4" w:rsidRPr="00564DB3">
        <w:rPr>
          <w:rStyle w:val="FootnoteReference"/>
          <w:szCs w:val="18"/>
        </w:rPr>
        <w:footnoteReference w:id="183"/>
      </w:r>
      <w:r w:rsidRPr="00564DB3">
        <w:rPr>
          <w:szCs w:val="18"/>
        </w:rPr>
        <w:t xml:space="preserve"> </w:t>
      </w:r>
    </w:p>
    <w:p w:rsidR="00432E5C" w:rsidRPr="00564DB3" w:rsidRDefault="008D49FB" w:rsidP="00F70E38">
      <w:pPr>
        <w:pStyle w:val="BodyText"/>
        <w:rPr>
          <w:szCs w:val="18"/>
        </w:rPr>
      </w:pPr>
      <w:r w:rsidRPr="00564DB3">
        <w:rPr>
          <w:szCs w:val="18"/>
        </w:rPr>
        <w:t xml:space="preserve">On appeal, Mexico argues that, where the obligations at issue in a dispute relate to sustainable development, they must be interpreted consistently with the objective of sustainable development. For Mexico, this </w:t>
      </w:r>
      <w:r w:rsidR="00C60124" w:rsidRPr="00564DB3">
        <w:rPr>
          <w:szCs w:val="18"/>
        </w:rPr>
        <w:t>requirement</w:t>
      </w:r>
      <w:r w:rsidRPr="00564DB3">
        <w:rPr>
          <w:szCs w:val="18"/>
        </w:rPr>
        <w:t xml:space="preserve"> arises under Article 2.1 in the determination of whether the 2016 Tuna Measure stems exclusively from a legitimate regulatory distinction.</w:t>
      </w:r>
      <w:r w:rsidRPr="00564DB3">
        <w:rPr>
          <w:rStyle w:val="FootnoteReference"/>
          <w:szCs w:val="18"/>
        </w:rPr>
        <w:footnoteReference w:id="184"/>
      </w:r>
      <w:r w:rsidRPr="00564DB3">
        <w:rPr>
          <w:szCs w:val="18"/>
        </w:rPr>
        <w:t xml:space="preserve"> </w:t>
      </w:r>
      <w:r w:rsidR="00432E5C" w:rsidRPr="00564DB3">
        <w:rPr>
          <w:szCs w:val="18"/>
        </w:rPr>
        <w:t xml:space="preserve">In Mexico's view, </w:t>
      </w:r>
      <w:r w:rsidRPr="00564DB3">
        <w:rPr>
          <w:szCs w:val="18"/>
        </w:rPr>
        <w:t xml:space="preserve">applying </w:t>
      </w:r>
      <w:r w:rsidR="00432E5C" w:rsidRPr="00564DB3">
        <w:rPr>
          <w:szCs w:val="18"/>
        </w:rPr>
        <w:t xml:space="preserve">a technical regulation that is </w:t>
      </w:r>
      <w:r w:rsidRPr="00564DB3">
        <w:rPr>
          <w:szCs w:val="18"/>
        </w:rPr>
        <w:t xml:space="preserve">inconsistent </w:t>
      </w:r>
      <w:r w:rsidR="00F535B9" w:rsidRPr="00564DB3">
        <w:rPr>
          <w:szCs w:val="18"/>
        </w:rPr>
        <w:t xml:space="preserve">with </w:t>
      </w:r>
      <w:r w:rsidRPr="00564DB3">
        <w:rPr>
          <w:szCs w:val="18"/>
        </w:rPr>
        <w:t xml:space="preserve">or undermines the objective </w:t>
      </w:r>
      <w:r w:rsidR="00432E5C" w:rsidRPr="00564DB3">
        <w:rPr>
          <w:szCs w:val="18"/>
        </w:rPr>
        <w:t xml:space="preserve">of sustainable development </w:t>
      </w:r>
      <w:r w:rsidRPr="00564DB3">
        <w:rPr>
          <w:szCs w:val="18"/>
        </w:rPr>
        <w:t xml:space="preserve">results in </w:t>
      </w:r>
      <w:r w:rsidR="00432E5C" w:rsidRPr="00564DB3">
        <w:rPr>
          <w:szCs w:val="18"/>
        </w:rPr>
        <w:t>"unjustifiable discrimination".</w:t>
      </w:r>
      <w:r w:rsidR="005B1CE4" w:rsidRPr="00564DB3">
        <w:rPr>
          <w:rStyle w:val="FootnoteReference"/>
          <w:szCs w:val="18"/>
        </w:rPr>
        <w:footnoteReference w:id="185"/>
      </w:r>
      <w:r w:rsidR="00432E5C" w:rsidRPr="00564DB3">
        <w:rPr>
          <w:szCs w:val="18"/>
        </w:rPr>
        <w:t xml:space="preserve"> Mexico highlights that, by encouraging the use of fish aggregating devices (FADs) and other forms of tuna fishing outside the ETP as alternatives to the fishing method of setting on dolphins, the 2016 Tuna Measure "does grievous harm to fisheries and to the overall marine ecosystem" and "must </w:t>
      </w:r>
      <w:r w:rsidRPr="00564DB3">
        <w:rPr>
          <w:szCs w:val="18"/>
        </w:rPr>
        <w:t xml:space="preserve">therefore </w:t>
      </w:r>
      <w:r w:rsidR="00432E5C" w:rsidRPr="00564DB3">
        <w:rPr>
          <w:szCs w:val="18"/>
        </w:rPr>
        <w:t>be seen as inconsistent with the objective of sustainable development".</w:t>
      </w:r>
      <w:r w:rsidR="005B1CE4" w:rsidRPr="00564DB3">
        <w:rPr>
          <w:rStyle w:val="FootnoteReference"/>
          <w:szCs w:val="18"/>
        </w:rPr>
        <w:footnoteReference w:id="186"/>
      </w:r>
      <w:r w:rsidR="00432E5C" w:rsidRPr="00564DB3">
        <w:rPr>
          <w:szCs w:val="18"/>
        </w:rPr>
        <w:t xml:space="preserve"> Mexico contends t</w:t>
      </w:r>
      <w:r w:rsidR="008F7926" w:rsidRPr="00564DB3">
        <w:rPr>
          <w:szCs w:val="18"/>
        </w:rPr>
        <w:t>hat the application of the 2016 </w:t>
      </w:r>
      <w:r w:rsidR="00432E5C" w:rsidRPr="00564DB3">
        <w:rPr>
          <w:szCs w:val="18"/>
        </w:rPr>
        <w:t xml:space="preserve">Tuna Measure results in "unjustifiable discrimination", and </w:t>
      </w:r>
      <w:r w:rsidRPr="00564DB3">
        <w:rPr>
          <w:szCs w:val="18"/>
        </w:rPr>
        <w:t xml:space="preserve">therefore </w:t>
      </w:r>
      <w:r w:rsidR="00432E5C" w:rsidRPr="00564DB3">
        <w:rPr>
          <w:szCs w:val="18"/>
        </w:rPr>
        <w:t>that the regulatory distinctions under the measure "cannot be 'legitimate</w:t>
      </w:r>
      <w:r w:rsidR="00F85532" w:rsidRPr="00564DB3">
        <w:rPr>
          <w:szCs w:val="18"/>
        </w:rPr>
        <w:t>'</w:t>
      </w:r>
      <w:r w:rsidR="00432E5C" w:rsidRPr="00564DB3">
        <w:rPr>
          <w:szCs w:val="18"/>
        </w:rPr>
        <w:t xml:space="preserve">" </w:t>
      </w:r>
      <w:r w:rsidR="00FF1995" w:rsidRPr="00564DB3">
        <w:rPr>
          <w:szCs w:val="18"/>
        </w:rPr>
        <w:t xml:space="preserve">for the purpose of </w:t>
      </w:r>
      <w:r w:rsidR="00432E5C" w:rsidRPr="00564DB3">
        <w:rPr>
          <w:szCs w:val="18"/>
        </w:rPr>
        <w:t xml:space="preserve">the second step of the analysis under </w:t>
      </w:r>
      <w:r w:rsidR="00083DFC" w:rsidRPr="00564DB3">
        <w:rPr>
          <w:szCs w:val="18"/>
        </w:rPr>
        <w:t>Article </w:t>
      </w:r>
      <w:r w:rsidR="00432E5C" w:rsidRPr="00564DB3">
        <w:rPr>
          <w:szCs w:val="18"/>
        </w:rPr>
        <w:t>2.1.</w:t>
      </w:r>
      <w:r w:rsidR="005B1CE4" w:rsidRPr="00564DB3">
        <w:rPr>
          <w:rStyle w:val="FootnoteReference"/>
          <w:szCs w:val="18"/>
        </w:rPr>
        <w:footnoteReference w:id="187"/>
      </w:r>
      <w:r w:rsidR="00432E5C" w:rsidRPr="00564DB3">
        <w:rPr>
          <w:szCs w:val="18"/>
        </w:rPr>
        <w:t xml:space="preserve"> </w:t>
      </w:r>
    </w:p>
    <w:p w:rsidR="00432E5C" w:rsidRPr="00564DB3" w:rsidRDefault="00432E5C" w:rsidP="00F70E38">
      <w:pPr>
        <w:pStyle w:val="BodyText"/>
        <w:rPr>
          <w:szCs w:val="18"/>
        </w:rPr>
      </w:pPr>
      <w:r w:rsidRPr="00564DB3">
        <w:rPr>
          <w:szCs w:val="18"/>
        </w:rPr>
        <w:t xml:space="preserve">The </w:t>
      </w:r>
      <w:r w:rsidR="00083DFC" w:rsidRPr="00564DB3">
        <w:rPr>
          <w:szCs w:val="18"/>
        </w:rPr>
        <w:t>United States</w:t>
      </w:r>
      <w:r w:rsidRPr="00564DB3">
        <w:rPr>
          <w:szCs w:val="18"/>
        </w:rPr>
        <w:t xml:space="preserve"> responds that Mexico seek</w:t>
      </w:r>
      <w:r w:rsidR="00F85532" w:rsidRPr="00564DB3">
        <w:rPr>
          <w:szCs w:val="18"/>
        </w:rPr>
        <w:t>s</w:t>
      </w:r>
      <w:r w:rsidRPr="00564DB3">
        <w:rPr>
          <w:szCs w:val="18"/>
        </w:rPr>
        <w:t xml:space="preserve"> to transform preambular language regarding sustainable development into a substantive obligation.</w:t>
      </w:r>
      <w:r w:rsidR="005B1CE4" w:rsidRPr="00564DB3">
        <w:rPr>
          <w:rStyle w:val="FootnoteReference"/>
          <w:szCs w:val="18"/>
        </w:rPr>
        <w:footnoteReference w:id="188"/>
      </w:r>
      <w:r w:rsidRPr="00564DB3">
        <w:rPr>
          <w:szCs w:val="18"/>
        </w:rPr>
        <w:t xml:space="preserve"> In addition, the </w:t>
      </w:r>
      <w:r w:rsidR="00083DFC" w:rsidRPr="00564DB3">
        <w:rPr>
          <w:szCs w:val="18"/>
        </w:rPr>
        <w:t>United States</w:t>
      </w:r>
      <w:r w:rsidRPr="00564DB3">
        <w:rPr>
          <w:szCs w:val="18"/>
        </w:rPr>
        <w:t xml:space="preserve"> argues that, to make its argument, "Mexico is forced to substantially change the objectives of the 2016 measure" and transform the </w:t>
      </w:r>
      <w:r w:rsidR="00F3786C" w:rsidRPr="00564DB3">
        <w:rPr>
          <w:szCs w:val="18"/>
        </w:rPr>
        <w:t>dolphin-protection and consumer</w:t>
      </w:r>
      <w:r w:rsidR="00F3786C" w:rsidRPr="00564DB3">
        <w:rPr>
          <w:szCs w:val="18"/>
        </w:rPr>
        <w:noBreakHyphen/>
      </w:r>
      <w:r w:rsidRPr="00564DB3">
        <w:rPr>
          <w:szCs w:val="18"/>
        </w:rPr>
        <w:t>information objectives of the measure into labelling requirements that relate to "the sustainability of tuna stocks and of the marine ecosystem generally".</w:t>
      </w:r>
      <w:r w:rsidR="005B1CE4" w:rsidRPr="00564DB3">
        <w:rPr>
          <w:rStyle w:val="FootnoteReference"/>
          <w:szCs w:val="18"/>
        </w:rPr>
        <w:footnoteReference w:id="189"/>
      </w:r>
    </w:p>
    <w:p w:rsidR="00432E5C" w:rsidRPr="00564DB3" w:rsidRDefault="00432E5C" w:rsidP="00F70E38">
      <w:pPr>
        <w:pStyle w:val="BodyText"/>
        <w:rPr>
          <w:szCs w:val="18"/>
        </w:rPr>
      </w:pPr>
      <w:bookmarkStart w:id="103" w:name="_Hlk528697625"/>
      <w:bookmarkEnd w:id="99"/>
      <w:r w:rsidRPr="00564DB3">
        <w:rPr>
          <w:szCs w:val="18"/>
        </w:rPr>
        <w:t>We observe that the issue raised by Mexico is twofold. First, we must determine whether, under the "treatme</w:t>
      </w:r>
      <w:r w:rsidR="00F3786C" w:rsidRPr="00564DB3">
        <w:rPr>
          <w:szCs w:val="18"/>
        </w:rPr>
        <w:t>nt no less favourable</w:t>
      </w:r>
      <w:r w:rsidRPr="00564DB3">
        <w:rPr>
          <w:szCs w:val="18"/>
        </w:rPr>
        <w:t xml:space="preserve">" requirement in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the means through which a technical regulation achieves its objectives must be compatible with the principle of sustainable development in the preamble of the WTO</w:t>
      </w:r>
      <w:r w:rsidR="00025CB6" w:rsidRPr="00564DB3">
        <w:rPr>
          <w:szCs w:val="18"/>
        </w:rPr>
        <w:t> Agreement</w:t>
      </w:r>
      <w:r w:rsidRPr="00564DB3">
        <w:rPr>
          <w:szCs w:val="18"/>
        </w:rPr>
        <w:t xml:space="preserve">. Second, if we find that there is such a requirement </w:t>
      </w:r>
      <w:r w:rsidR="00B82260" w:rsidRPr="00564DB3">
        <w:rPr>
          <w:szCs w:val="18"/>
        </w:rPr>
        <w:t>under</w:t>
      </w:r>
      <w:r w:rsidRPr="00564DB3">
        <w:rPr>
          <w:szCs w:val="18"/>
        </w:rPr>
        <w:t xml:space="preserve"> </w:t>
      </w:r>
      <w:r w:rsidR="00083DFC" w:rsidRPr="00564DB3">
        <w:rPr>
          <w:szCs w:val="18"/>
        </w:rPr>
        <w:t>Article </w:t>
      </w:r>
      <w:r w:rsidRPr="00564DB3">
        <w:rPr>
          <w:szCs w:val="18"/>
        </w:rPr>
        <w:t xml:space="preserve">2.1, we </w:t>
      </w:r>
      <w:r w:rsidR="008D49FB" w:rsidRPr="00564DB3">
        <w:rPr>
          <w:szCs w:val="18"/>
        </w:rPr>
        <w:t>must</w:t>
      </w:r>
      <w:r w:rsidRPr="00564DB3">
        <w:rPr>
          <w:szCs w:val="18"/>
        </w:rPr>
        <w:t xml:space="preserve"> determine whether, in the circumstances of the present dispute, the 2016 Tuna Measure is incompatible with this requirement because </w:t>
      </w:r>
      <w:r w:rsidR="00F0172A" w:rsidRPr="00564DB3">
        <w:rPr>
          <w:szCs w:val="18"/>
        </w:rPr>
        <w:t>it</w:t>
      </w:r>
      <w:r w:rsidRPr="00564DB3">
        <w:rPr>
          <w:szCs w:val="18"/>
        </w:rPr>
        <w:t xml:space="preserve"> encourages the use of FADs and other forms of fishing that are unsustainable for tuna stock. </w:t>
      </w:r>
    </w:p>
    <w:p w:rsidR="00B82260" w:rsidRPr="00564DB3" w:rsidRDefault="00432E5C" w:rsidP="00F70E38">
      <w:pPr>
        <w:pStyle w:val="BodyText"/>
        <w:rPr>
          <w:szCs w:val="18"/>
        </w:rPr>
      </w:pPr>
      <w:r w:rsidRPr="00564DB3">
        <w:rPr>
          <w:szCs w:val="18"/>
        </w:rPr>
        <w:t>The Appellate</w:t>
      </w:r>
      <w:r w:rsidR="00025CB6" w:rsidRPr="00564DB3">
        <w:rPr>
          <w:szCs w:val="18"/>
        </w:rPr>
        <w:t> Body</w:t>
      </w:r>
      <w:r w:rsidRPr="00564DB3">
        <w:rPr>
          <w:szCs w:val="18"/>
        </w:rPr>
        <w:t xml:space="preserve"> has said that</w:t>
      </w:r>
      <w:r w:rsidR="00F3786C" w:rsidRPr="00564DB3">
        <w:rPr>
          <w:szCs w:val="18"/>
        </w:rPr>
        <w:t>,</w:t>
      </w:r>
      <w:r w:rsidRPr="00564DB3">
        <w:rPr>
          <w:szCs w:val="18"/>
        </w:rPr>
        <w:t xml:space="preserve"> in assessing </w:t>
      </w:r>
      <w:r w:rsidR="00B82260" w:rsidRPr="00564DB3">
        <w:rPr>
          <w:szCs w:val="18"/>
        </w:rPr>
        <w:t>whether a technical regulation accords less favourable treatment to imported products under</w:t>
      </w:r>
      <w:r w:rsidRPr="00564DB3">
        <w:rPr>
          <w:szCs w:val="18"/>
        </w:rPr>
        <w:t xml:space="preserve"> </w:t>
      </w:r>
      <w:r w:rsidR="00083DFC" w:rsidRPr="00564DB3">
        <w:rPr>
          <w:szCs w:val="18"/>
        </w:rPr>
        <w:t>Article </w:t>
      </w:r>
      <w:r w:rsidRPr="00564DB3">
        <w:rPr>
          <w:szCs w:val="18"/>
        </w:rPr>
        <w:t>2.1, a panel's task lies</w:t>
      </w:r>
      <w:r w:rsidR="00F85532" w:rsidRPr="00564DB3">
        <w:rPr>
          <w:szCs w:val="18"/>
        </w:rPr>
        <w:t>, in part,</w:t>
      </w:r>
      <w:r w:rsidRPr="00564DB3">
        <w:rPr>
          <w:szCs w:val="18"/>
        </w:rPr>
        <w:t xml:space="preserve"> in ascertaining whether the detrimental impact caused by a technical regulation stems exclusively from </w:t>
      </w:r>
      <w:r w:rsidRPr="00564DB3">
        <w:rPr>
          <w:szCs w:val="18"/>
        </w:rPr>
        <w:lastRenderedPageBreak/>
        <w:t>a legitimate regulatory distinction.</w:t>
      </w:r>
      <w:r w:rsidR="00F0172A" w:rsidRPr="00564DB3">
        <w:rPr>
          <w:rStyle w:val="FootnoteReference"/>
          <w:szCs w:val="18"/>
        </w:rPr>
        <w:footnoteReference w:id="190"/>
      </w:r>
      <w:r w:rsidRPr="00564DB3">
        <w:rPr>
          <w:szCs w:val="18"/>
        </w:rPr>
        <w:t xml:space="preserve"> </w:t>
      </w:r>
      <w:r w:rsidR="00B82260" w:rsidRPr="00564DB3">
        <w:rPr>
          <w:szCs w:val="18"/>
        </w:rPr>
        <w:t>T</w:t>
      </w:r>
      <w:r w:rsidRPr="00564DB3">
        <w:rPr>
          <w:szCs w:val="18"/>
        </w:rPr>
        <w:t>he Appellate Body has</w:t>
      </w:r>
      <w:r w:rsidR="00B82260" w:rsidRPr="00564DB3">
        <w:rPr>
          <w:szCs w:val="18"/>
        </w:rPr>
        <w:t xml:space="preserve"> also</w:t>
      </w:r>
      <w:r w:rsidRPr="00564DB3">
        <w:rPr>
          <w:szCs w:val="18"/>
        </w:rPr>
        <w:t xml:space="preserve"> indicated that the preamble of the </w:t>
      </w:r>
      <w:r w:rsidR="00083DFC" w:rsidRPr="00564DB3">
        <w:rPr>
          <w:szCs w:val="18"/>
        </w:rPr>
        <w:t>TBT Agreement</w:t>
      </w:r>
      <w:r w:rsidRPr="00564DB3">
        <w:rPr>
          <w:szCs w:val="18"/>
        </w:rPr>
        <w:t xml:space="preserve"> informs "the ambit of the 'treatment no less favourable' requirement in </w:t>
      </w:r>
      <w:r w:rsidR="00083DFC" w:rsidRPr="00564DB3">
        <w:rPr>
          <w:szCs w:val="18"/>
        </w:rPr>
        <w:t>Article </w:t>
      </w:r>
      <w:r w:rsidRPr="00564DB3">
        <w:rPr>
          <w:szCs w:val="18"/>
        </w:rPr>
        <w:t>2.1, by making clear that technical regulations may pursue the objectives listed therein".</w:t>
      </w:r>
      <w:r w:rsidR="001854D7" w:rsidRPr="00564DB3">
        <w:rPr>
          <w:rStyle w:val="FootnoteReference"/>
          <w:szCs w:val="18"/>
        </w:rPr>
        <w:footnoteReference w:id="191"/>
      </w:r>
      <w:r w:rsidR="00083DFC" w:rsidRPr="00564DB3">
        <w:rPr>
          <w:szCs w:val="18"/>
        </w:rPr>
        <w:t xml:space="preserve"> </w:t>
      </w:r>
    </w:p>
    <w:p w:rsidR="00432E5C" w:rsidRPr="00564DB3" w:rsidRDefault="00432E5C" w:rsidP="00F70E38">
      <w:pPr>
        <w:pStyle w:val="BodyText"/>
        <w:rPr>
          <w:szCs w:val="18"/>
        </w:rPr>
      </w:pPr>
      <w:r w:rsidRPr="00564DB3">
        <w:rPr>
          <w:szCs w:val="18"/>
        </w:rPr>
        <w:t>We consider that the preamble of the WTO</w:t>
      </w:r>
      <w:r w:rsidR="00025CB6" w:rsidRPr="00564DB3">
        <w:rPr>
          <w:szCs w:val="18"/>
        </w:rPr>
        <w:t> Agreement</w:t>
      </w:r>
      <w:r w:rsidRPr="00564DB3">
        <w:rPr>
          <w:szCs w:val="18"/>
        </w:rPr>
        <w:t xml:space="preserve"> may also inform interpretations of the covered agreements in appropriate circumstances. In this regard, the Appellate</w:t>
      </w:r>
      <w:r w:rsidR="00025CB6" w:rsidRPr="00564DB3">
        <w:rPr>
          <w:szCs w:val="18"/>
        </w:rPr>
        <w:t> Body</w:t>
      </w:r>
      <w:r w:rsidRPr="00564DB3">
        <w:rPr>
          <w:szCs w:val="18"/>
        </w:rPr>
        <w:t xml:space="preserve"> has found that the preamble of the WTO</w:t>
      </w:r>
      <w:r w:rsidR="00025CB6" w:rsidRPr="00564DB3">
        <w:rPr>
          <w:szCs w:val="18"/>
        </w:rPr>
        <w:t> Agreement</w:t>
      </w:r>
      <w:r w:rsidRPr="00564DB3">
        <w:rPr>
          <w:szCs w:val="18"/>
        </w:rPr>
        <w:t xml:space="preserve"> "add[s] colour, texture and shading" to the interpretation of the covered agreements.</w:t>
      </w:r>
      <w:r w:rsidR="005B1CE4" w:rsidRPr="00564DB3">
        <w:rPr>
          <w:rStyle w:val="FootnoteReference"/>
          <w:szCs w:val="18"/>
        </w:rPr>
        <w:footnoteReference w:id="192"/>
      </w:r>
      <w:r w:rsidRPr="00564DB3">
        <w:rPr>
          <w:szCs w:val="18"/>
        </w:rPr>
        <w:t xml:space="preserve"> Thus, while the preamble of the WTO</w:t>
      </w:r>
      <w:r w:rsidR="00025CB6" w:rsidRPr="00564DB3">
        <w:rPr>
          <w:szCs w:val="18"/>
        </w:rPr>
        <w:t> Agreement</w:t>
      </w:r>
      <w:r w:rsidRPr="00564DB3">
        <w:rPr>
          <w:szCs w:val="18"/>
        </w:rPr>
        <w:t xml:space="preserve"> does not itself create substantive obligations, it can provide important context for the interpretation of the covered agreements, for example, by shedding light on the kinds of policy objectives a Member may pursue.</w:t>
      </w:r>
      <w:r w:rsidR="00083DFC" w:rsidRPr="00564DB3">
        <w:rPr>
          <w:szCs w:val="18"/>
        </w:rPr>
        <w:t xml:space="preserve"> </w:t>
      </w:r>
    </w:p>
    <w:p w:rsidR="00B82260" w:rsidRPr="00564DB3" w:rsidRDefault="00432E5C" w:rsidP="00F70E38">
      <w:pPr>
        <w:pStyle w:val="BodyText"/>
        <w:rPr>
          <w:szCs w:val="18"/>
        </w:rPr>
      </w:pPr>
      <w:r w:rsidRPr="00564DB3">
        <w:rPr>
          <w:szCs w:val="18"/>
        </w:rPr>
        <w:t xml:space="preserve">We note that the legitimacy of the objectives of the 2016 Tuna Measure is not at issue before us in this dispute. Indeed, </w:t>
      </w:r>
      <w:r w:rsidR="00B82260" w:rsidRPr="00564DB3">
        <w:rPr>
          <w:szCs w:val="18"/>
        </w:rPr>
        <w:t xml:space="preserve">in response to questioning at the hearing, </w:t>
      </w:r>
      <w:r w:rsidRPr="00564DB3">
        <w:rPr>
          <w:szCs w:val="18"/>
        </w:rPr>
        <w:t xml:space="preserve">Mexico indicated that it </w:t>
      </w:r>
      <w:r w:rsidR="00B82260" w:rsidRPr="00564DB3">
        <w:rPr>
          <w:szCs w:val="18"/>
        </w:rPr>
        <w:t>did</w:t>
      </w:r>
      <w:r w:rsidRPr="00564DB3">
        <w:rPr>
          <w:szCs w:val="18"/>
        </w:rPr>
        <w:t xml:space="preserve"> not challenge the right of the </w:t>
      </w:r>
      <w:r w:rsidR="00083DFC" w:rsidRPr="00564DB3">
        <w:rPr>
          <w:szCs w:val="18"/>
        </w:rPr>
        <w:t>United States</w:t>
      </w:r>
      <w:r w:rsidRPr="00564DB3">
        <w:rPr>
          <w:szCs w:val="18"/>
        </w:rPr>
        <w:t xml:space="preserve"> or other WTO Members to determine the objectives of their measures.</w:t>
      </w:r>
      <w:r w:rsidR="005B1CE4" w:rsidRPr="00564DB3">
        <w:rPr>
          <w:rStyle w:val="FootnoteReference"/>
          <w:szCs w:val="18"/>
        </w:rPr>
        <w:footnoteReference w:id="193"/>
      </w:r>
      <w:r w:rsidRPr="00564DB3">
        <w:rPr>
          <w:szCs w:val="18"/>
        </w:rPr>
        <w:t xml:space="preserve"> Mexico</w:t>
      </w:r>
      <w:r w:rsidR="00B82260" w:rsidRPr="00564DB3">
        <w:rPr>
          <w:szCs w:val="18"/>
        </w:rPr>
        <w:t xml:space="preserve"> also</w:t>
      </w:r>
      <w:r w:rsidRPr="00564DB3">
        <w:rPr>
          <w:szCs w:val="18"/>
        </w:rPr>
        <w:t xml:space="preserve"> acknowledge</w:t>
      </w:r>
      <w:r w:rsidR="00B82260" w:rsidRPr="00564DB3">
        <w:rPr>
          <w:szCs w:val="18"/>
        </w:rPr>
        <w:t>d</w:t>
      </w:r>
      <w:r w:rsidRPr="00564DB3">
        <w:rPr>
          <w:szCs w:val="18"/>
        </w:rPr>
        <w:t xml:space="preserve"> that "the reference to sustainable development in the preamble of the WTO</w:t>
      </w:r>
      <w:r w:rsidR="00025CB6" w:rsidRPr="00564DB3">
        <w:rPr>
          <w:szCs w:val="18"/>
        </w:rPr>
        <w:t> Agreement</w:t>
      </w:r>
      <w:r w:rsidRPr="00564DB3">
        <w:rPr>
          <w:szCs w:val="18"/>
        </w:rPr>
        <w:t xml:space="preserve"> does not itself create any obligations</w:t>
      </w:r>
      <w:r w:rsidR="00124085" w:rsidRPr="00564DB3">
        <w:rPr>
          <w:szCs w:val="18"/>
        </w:rPr>
        <w:t>.</w:t>
      </w:r>
      <w:r w:rsidRPr="00564DB3">
        <w:rPr>
          <w:szCs w:val="18"/>
        </w:rPr>
        <w:t>"</w:t>
      </w:r>
      <w:r w:rsidR="005B1CE4" w:rsidRPr="00564DB3">
        <w:rPr>
          <w:rStyle w:val="FootnoteReference"/>
          <w:szCs w:val="18"/>
        </w:rPr>
        <w:footnoteReference w:id="194"/>
      </w:r>
      <w:r w:rsidRPr="00564DB3">
        <w:rPr>
          <w:szCs w:val="18"/>
        </w:rPr>
        <w:t xml:space="preserve"> </w:t>
      </w:r>
      <w:r w:rsidR="00B82260" w:rsidRPr="00564DB3">
        <w:rPr>
          <w:szCs w:val="18"/>
        </w:rPr>
        <w:t>At the same time</w:t>
      </w:r>
      <w:r w:rsidRPr="00564DB3">
        <w:rPr>
          <w:szCs w:val="18"/>
        </w:rPr>
        <w:t xml:space="preserve">, Mexico maintains that "[w]here </w:t>
      </w:r>
      <w:r w:rsidR="00770E91" w:rsidRPr="00564DB3">
        <w:rPr>
          <w:szCs w:val="18"/>
        </w:rPr>
        <w:t>…</w:t>
      </w:r>
      <w:r w:rsidRPr="00564DB3">
        <w:rPr>
          <w:szCs w:val="18"/>
        </w:rPr>
        <w:t xml:space="preserve"> obligations </w:t>
      </w:r>
      <w:r w:rsidR="0001381F" w:rsidRPr="00564DB3">
        <w:rPr>
          <w:szCs w:val="18"/>
        </w:rPr>
        <w:t xml:space="preserve">[at issue in a dispute] </w:t>
      </w:r>
      <w:r w:rsidRPr="00564DB3">
        <w:rPr>
          <w:szCs w:val="18"/>
        </w:rPr>
        <w:t>relate to sustainable development, they must be interpreted consistently with the objective of sustainable development."</w:t>
      </w:r>
      <w:r w:rsidR="005B1CE4" w:rsidRPr="00564DB3">
        <w:rPr>
          <w:rStyle w:val="FootnoteReference"/>
          <w:szCs w:val="18"/>
        </w:rPr>
        <w:footnoteReference w:id="195"/>
      </w:r>
      <w:r w:rsidRPr="00564DB3">
        <w:rPr>
          <w:szCs w:val="18"/>
        </w:rPr>
        <w:t xml:space="preserve"> In Mexico's view, "this interpretive requirement arises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w:t>
      </w:r>
      <w:r w:rsidR="00B82260" w:rsidRPr="00564DB3">
        <w:rPr>
          <w:szCs w:val="18"/>
        </w:rPr>
        <w:t xml:space="preserve">when </w:t>
      </w:r>
      <w:r w:rsidRPr="00564DB3">
        <w:rPr>
          <w:szCs w:val="18"/>
        </w:rPr>
        <w:t>determining whether the detrimental impact under the Tuna Measure stems exclusively from a legitimate regulatory distinction.</w:t>
      </w:r>
      <w:r w:rsidR="005B1CE4" w:rsidRPr="00564DB3">
        <w:rPr>
          <w:rStyle w:val="FootnoteReference"/>
          <w:szCs w:val="18"/>
        </w:rPr>
        <w:footnoteReference w:id="196"/>
      </w:r>
      <w:r w:rsidR="00083DFC" w:rsidRPr="00564DB3">
        <w:rPr>
          <w:szCs w:val="18"/>
        </w:rPr>
        <w:t xml:space="preserve"> </w:t>
      </w:r>
    </w:p>
    <w:p w:rsidR="00432E5C" w:rsidRPr="00564DB3" w:rsidRDefault="00432E5C" w:rsidP="00F70E38">
      <w:pPr>
        <w:pStyle w:val="BodyText"/>
        <w:rPr>
          <w:szCs w:val="18"/>
        </w:rPr>
      </w:pPr>
      <w:r w:rsidRPr="00564DB3">
        <w:rPr>
          <w:szCs w:val="18"/>
        </w:rPr>
        <w:t xml:space="preserve">Mexico's argument thus appears to be premised on its view that </w:t>
      </w:r>
      <w:r w:rsidR="00083DFC" w:rsidRPr="00564DB3">
        <w:rPr>
          <w:szCs w:val="18"/>
        </w:rPr>
        <w:t>Article </w:t>
      </w:r>
      <w:r w:rsidRPr="00564DB3">
        <w:rPr>
          <w:szCs w:val="18"/>
        </w:rPr>
        <w:t>2.1 is an obligation that "relate[s] to sustainable development".</w:t>
      </w:r>
      <w:r w:rsidR="005B1CE4" w:rsidRPr="00564DB3">
        <w:rPr>
          <w:rStyle w:val="FootnoteReference"/>
          <w:szCs w:val="18"/>
        </w:rPr>
        <w:footnoteReference w:id="197"/>
      </w:r>
      <w:r w:rsidRPr="00564DB3">
        <w:rPr>
          <w:szCs w:val="18"/>
        </w:rPr>
        <w:t xml:space="preserve"> However, </w:t>
      </w:r>
      <w:r w:rsidR="00083DFC" w:rsidRPr="00564DB3">
        <w:rPr>
          <w:szCs w:val="18"/>
        </w:rPr>
        <w:t>Article </w:t>
      </w:r>
      <w:r w:rsidRPr="00564DB3">
        <w:rPr>
          <w:szCs w:val="18"/>
        </w:rPr>
        <w:t>2.1 is concerned with ensuring that technical regulations are designed and applied in a manner that affords "treatment no less favourable" to like imported products. In our view, Mexico seems to conflate the nature of the</w:t>
      </w:r>
      <w:r w:rsidRPr="00564DB3">
        <w:rPr>
          <w:i/>
          <w:szCs w:val="18"/>
        </w:rPr>
        <w:t xml:space="preserve"> obligation</w:t>
      </w:r>
      <w:r w:rsidRPr="00564DB3">
        <w:rPr>
          <w:szCs w:val="18"/>
        </w:rPr>
        <w:t xml:space="preserve"> in </w:t>
      </w:r>
      <w:r w:rsidR="00083DFC" w:rsidRPr="00564DB3">
        <w:rPr>
          <w:szCs w:val="18"/>
        </w:rPr>
        <w:t>Article </w:t>
      </w:r>
      <w:r w:rsidRPr="00564DB3">
        <w:rPr>
          <w:szCs w:val="18"/>
        </w:rPr>
        <w:t>2.1 with the nature of the</w:t>
      </w:r>
      <w:r w:rsidRPr="00564DB3">
        <w:rPr>
          <w:i/>
          <w:szCs w:val="18"/>
        </w:rPr>
        <w:t xml:space="preserve"> technical regulations</w:t>
      </w:r>
      <w:r w:rsidRPr="00564DB3">
        <w:rPr>
          <w:szCs w:val="18"/>
        </w:rPr>
        <w:t xml:space="preserve"> that Members may choose to adopt.</w:t>
      </w:r>
      <w:r w:rsidRPr="00564DB3" w:rsidDel="00EF5940">
        <w:rPr>
          <w:szCs w:val="18"/>
        </w:rPr>
        <w:t xml:space="preserve"> </w:t>
      </w:r>
      <w:r w:rsidRPr="00564DB3">
        <w:rPr>
          <w:szCs w:val="18"/>
        </w:rPr>
        <w:t>For instance, Mexico indicates that "[n]</w:t>
      </w:r>
      <w:proofErr w:type="spellStart"/>
      <w:r w:rsidRPr="00564DB3">
        <w:rPr>
          <w:szCs w:val="18"/>
        </w:rPr>
        <w:t>ot</w:t>
      </w:r>
      <w:proofErr w:type="spellEnd"/>
      <w:r w:rsidRPr="00564DB3">
        <w:rPr>
          <w:szCs w:val="18"/>
        </w:rPr>
        <w:t xml:space="preserve"> all technical regulations will relate to sustainable development, but</w:t>
      </w:r>
      <w:r w:rsidR="0001381F" w:rsidRPr="00564DB3">
        <w:rPr>
          <w:szCs w:val="18"/>
        </w:rPr>
        <w:t>,</w:t>
      </w:r>
      <w:r w:rsidRPr="00564DB3">
        <w:rPr>
          <w:szCs w:val="18"/>
        </w:rPr>
        <w:t xml:space="preserve"> where they do, they will be inconsistent with [</w:t>
      </w:r>
      <w:r w:rsidR="00083DFC" w:rsidRPr="00564DB3">
        <w:rPr>
          <w:szCs w:val="18"/>
        </w:rPr>
        <w:t>Article </w:t>
      </w:r>
      <w:r w:rsidRPr="00564DB3">
        <w:rPr>
          <w:szCs w:val="18"/>
        </w:rPr>
        <w:t>2.1] if their effects are unsustainable</w:t>
      </w:r>
      <w:r w:rsidR="00124085" w:rsidRPr="00564DB3">
        <w:rPr>
          <w:szCs w:val="18"/>
        </w:rPr>
        <w:t>.</w:t>
      </w:r>
      <w:r w:rsidRPr="00564DB3">
        <w:rPr>
          <w:szCs w:val="18"/>
        </w:rPr>
        <w:t>"</w:t>
      </w:r>
      <w:r w:rsidR="005B1CE4" w:rsidRPr="00564DB3">
        <w:rPr>
          <w:rStyle w:val="FootnoteReference"/>
          <w:szCs w:val="18"/>
        </w:rPr>
        <w:footnoteReference w:id="198"/>
      </w:r>
      <w:r w:rsidRPr="00564DB3">
        <w:rPr>
          <w:szCs w:val="18"/>
        </w:rPr>
        <w:t xml:space="preserve"> Thus, Mexico's argument appears to suggest that the relevance of the principle of sustainable development to the interpretation of </w:t>
      </w:r>
      <w:r w:rsidR="00083DFC" w:rsidRPr="00564DB3">
        <w:rPr>
          <w:szCs w:val="18"/>
        </w:rPr>
        <w:t>Article </w:t>
      </w:r>
      <w:r w:rsidRPr="00564DB3">
        <w:rPr>
          <w:szCs w:val="18"/>
        </w:rPr>
        <w:t>2.1</w:t>
      </w:r>
      <w:r w:rsidR="00B73EE5" w:rsidRPr="00564DB3">
        <w:rPr>
          <w:szCs w:val="18"/>
        </w:rPr>
        <w:t> </w:t>
      </w:r>
      <w:r w:rsidRPr="00564DB3">
        <w:rPr>
          <w:szCs w:val="18"/>
        </w:rPr>
        <w:t xml:space="preserve">may differ depending on whether a measure "relates to", or has "effects" on, sustainable development. We fail to see </w:t>
      </w:r>
      <w:r w:rsidR="00B82260" w:rsidRPr="00564DB3">
        <w:rPr>
          <w:szCs w:val="18"/>
        </w:rPr>
        <w:t>why</w:t>
      </w:r>
      <w:r w:rsidRPr="00564DB3">
        <w:rPr>
          <w:szCs w:val="18"/>
        </w:rPr>
        <w:t xml:space="preserve"> the interpretation of </w:t>
      </w:r>
      <w:r w:rsidR="00083DFC" w:rsidRPr="00564DB3">
        <w:rPr>
          <w:szCs w:val="18"/>
        </w:rPr>
        <w:t>Article </w:t>
      </w:r>
      <w:r w:rsidRPr="00564DB3">
        <w:rPr>
          <w:szCs w:val="18"/>
        </w:rPr>
        <w:t xml:space="preserve">2.1 should vary </w:t>
      </w:r>
      <w:r w:rsidR="00B82260" w:rsidRPr="00564DB3">
        <w:rPr>
          <w:szCs w:val="18"/>
        </w:rPr>
        <w:t>depending on</w:t>
      </w:r>
      <w:r w:rsidRPr="00564DB3">
        <w:rPr>
          <w:szCs w:val="18"/>
        </w:rPr>
        <w:t xml:space="preserve"> the kind of technical regulation </w:t>
      </w:r>
      <w:r w:rsidR="00B82260" w:rsidRPr="00564DB3">
        <w:rPr>
          <w:szCs w:val="18"/>
        </w:rPr>
        <w:t xml:space="preserve">that </w:t>
      </w:r>
      <w:r w:rsidRPr="00564DB3">
        <w:rPr>
          <w:szCs w:val="18"/>
        </w:rPr>
        <w:t xml:space="preserve">a Member adopts. While a Member's technical regulation may, depending on the circumstances, relate to sustainable development, the nature and scope of the obligation in </w:t>
      </w:r>
      <w:r w:rsidR="00083DFC" w:rsidRPr="00564DB3">
        <w:rPr>
          <w:szCs w:val="18"/>
        </w:rPr>
        <w:t>Article </w:t>
      </w:r>
      <w:r w:rsidRPr="00564DB3">
        <w:rPr>
          <w:szCs w:val="18"/>
        </w:rPr>
        <w:t xml:space="preserve">2.1 remain unchanged. </w:t>
      </w:r>
    </w:p>
    <w:p w:rsidR="00432E5C" w:rsidRPr="00564DB3" w:rsidRDefault="00432E5C" w:rsidP="00F70E38">
      <w:pPr>
        <w:pStyle w:val="BodyText"/>
        <w:rPr>
          <w:szCs w:val="18"/>
        </w:rPr>
      </w:pPr>
      <w:r w:rsidRPr="00564DB3">
        <w:rPr>
          <w:szCs w:val="18"/>
        </w:rPr>
        <w:t>In any event, we recall that the objectives of</w:t>
      </w:r>
      <w:r w:rsidR="00105496" w:rsidRPr="00564DB3">
        <w:rPr>
          <w:szCs w:val="18"/>
        </w:rPr>
        <w:t xml:space="preserve"> the 2016 Tuna Measure are: (i) </w:t>
      </w:r>
      <w:r w:rsidRPr="00564DB3">
        <w:rPr>
          <w:szCs w:val="18"/>
        </w:rPr>
        <w:t>to</w:t>
      </w:r>
      <w:r w:rsidRPr="00564DB3">
        <w:rPr>
          <w:rFonts w:cs="Arial"/>
          <w:szCs w:val="18"/>
        </w:rPr>
        <w:t xml:space="preserve"> ensure that consumers are not misled or deceived about whether tuna products contain tuna caught in a manner that adversely affects dolphins; and (ii) to contribute to the protection of dolphins by ensuring that the US market is not used to encourage fishing fleets to catch tuna in a manner that adversely affects dolphins.</w:t>
      </w:r>
      <w:r w:rsidR="005B1CE4" w:rsidRPr="00564DB3">
        <w:rPr>
          <w:rStyle w:val="FootnoteReference"/>
          <w:rFonts w:cs="Arial"/>
          <w:szCs w:val="18"/>
        </w:rPr>
        <w:footnoteReference w:id="199"/>
      </w:r>
      <w:r w:rsidRPr="00564DB3">
        <w:rPr>
          <w:szCs w:val="18"/>
        </w:rPr>
        <w:t xml:space="preserve"> Given that the legitimacy of the objectives of the 2016 Tuna Measure is not at issue in these compliance proceedings, we consider that the question before the Panels was whether </w:t>
      </w:r>
      <w:r w:rsidRPr="00564DB3">
        <w:rPr>
          <w:szCs w:val="18"/>
        </w:rPr>
        <w:lastRenderedPageBreak/>
        <w:t xml:space="preserve">the </w:t>
      </w:r>
      <w:r w:rsidR="00F85532" w:rsidRPr="00564DB3">
        <w:rPr>
          <w:szCs w:val="18"/>
        </w:rPr>
        <w:t xml:space="preserve">detrimental impact caused by the </w:t>
      </w:r>
      <w:r w:rsidRPr="00564DB3">
        <w:rPr>
          <w:szCs w:val="18"/>
        </w:rPr>
        <w:t xml:space="preserve">2016 Tuna Measure </w:t>
      </w:r>
      <w:r w:rsidR="00F85532" w:rsidRPr="00564DB3">
        <w:rPr>
          <w:szCs w:val="18"/>
        </w:rPr>
        <w:t xml:space="preserve">stems exclusively from a legitimate regulatory distinction </w:t>
      </w:r>
      <w:r w:rsidRPr="00564DB3">
        <w:rPr>
          <w:szCs w:val="18"/>
        </w:rPr>
        <w:t xml:space="preserve">in light of the objectives the </w:t>
      </w:r>
      <w:r w:rsidR="00083DFC" w:rsidRPr="00564DB3">
        <w:rPr>
          <w:szCs w:val="18"/>
        </w:rPr>
        <w:t>United States</w:t>
      </w:r>
      <w:r w:rsidRPr="00564DB3">
        <w:rPr>
          <w:szCs w:val="18"/>
        </w:rPr>
        <w:t xml:space="preserve"> chose to pursue through the measure. </w:t>
      </w:r>
      <w:proofErr w:type="gramStart"/>
      <w:r w:rsidR="00F85532" w:rsidRPr="00564DB3">
        <w:rPr>
          <w:szCs w:val="18"/>
        </w:rPr>
        <w:t>On the basis</w:t>
      </w:r>
      <w:r w:rsidRPr="00564DB3">
        <w:rPr>
          <w:szCs w:val="18"/>
        </w:rPr>
        <w:t xml:space="preserve"> of</w:t>
      </w:r>
      <w:proofErr w:type="gramEnd"/>
      <w:r w:rsidRPr="00564DB3">
        <w:rPr>
          <w:szCs w:val="18"/>
        </w:rPr>
        <w:t xml:space="preserve"> the above considerations, we do not need to examine whether, in the circumstances o</w:t>
      </w:r>
      <w:r w:rsidR="008F7926" w:rsidRPr="00564DB3">
        <w:rPr>
          <w:szCs w:val="18"/>
        </w:rPr>
        <w:t>f the present dispute, the 2016 </w:t>
      </w:r>
      <w:r w:rsidRPr="00564DB3">
        <w:rPr>
          <w:szCs w:val="18"/>
        </w:rPr>
        <w:t xml:space="preserve">Tuna Measure is incompatible with </w:t>
      </w:r>
      <w:r w:rsidR="00083DFC" w:rsidRPr="00564DB3">
        <w:rPr>
          <w:szCs w:val="18"/>
        </w:rPr>
        <w:t>Article </w:t>
      </w:r>
      <w:r w:rsidRPr="00564DB3">
        <w:rPr>
          <w:szCs w:val="18"/>
        </w:rPr>
        <w:t>2.1 because it encourages the use of FADs and other forms of fishing that are unsustainable for tuna stock.</w:t>
      </w:r>
      <w:bookmarkEnd w:id="100"/>
      <w:bookmarkEnd w:id="103"/>
    </w:p>
    <w:p w:rsidR="00432E5C" w:rsidRPr="00564DB3" w:rsidRDefault="00432E5C" w:rsidP="00F70E38">
      <w:pPr>
        <w:pStyle w:val="BodyText"/>
        <w:rPr>
          <w:szCs w:val="18"/>
        </w:rPr>
      </w:pPr>
      <w:r w:rsidRPr="00564DB3">
        <w:rPr>
          <w:szCs w:val="18"/>
        </w:rPr>
        <w:t xml:space="preserve">We now turn to examine what the legal standard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as </w:t>
      </w:r>
      <w:r w:rsidR="00B82260" w:rsidRPr="00564DB3">
        <w:rPr>
          <w:szCs w:val="18"/>
        </w:rPr>
        <w:t>articulated</w:t>
      </w:r>
      <w:r w:rsidRPr="00564DB3">
        <w:rPr>
          <w:szCs w:val="18"/>
        </w:rPr>
        <w:t xml:space="preserve"> above, entails in the context of the present dispute, and whether the Panels erred in their articulation and application thereof.</w:t>
      </w:r>
      <w:r w:rsidRPr="00564DB3">
        <w:rPr>
          <w:b/>
          <w:szCs w:val="18"/>
        </w:rPr>
        <w:t xml:space="preserve"> </w:t>
      </w:r>
    </w:p>
    <w:p w:rsidR="00432E5C" w:rsidRPr="00564DB3" w:rsidRDefault="00432E5C" w:rsidP="00F70E38">
      <w:pPr>
        <w:pStyle w:val="Heading3"/>
        <w:rPr>
          <w:szCs w:val="18"/>
        </w:rPr>
      </w:pPr>
      <w:bookmarkStart w:id="104" w:name="_Ref527544854"/>
      <w:bookmarkStart w:id="105" w:name="_Ref527545252"/>
      <w:bookmarkStart w:id="106" w:name="_Ref527547064"/>
      <w:bookmarkStart w:id="107" w:name="_Ref527547128"/>
      <w:bookmarkStart w:id="108" w:name="_Ref527547190"/>
      <w:bookmarkStart w:id="109" w:name="_Ref527559076"/>
      <w:bookmarkStart w:id="110" w:name="_Ref527559213"/>
      <w:bookmarkStart w:id="111" w:name="_Ref527559643"/>
      <w:bookmarkStart w:id="112" w:name="_Toc528506754"/>
      <w:bookmarkStart w:id="113" w:name="_Toc528506919"/>
      <w:bookmarkStart w:id="114" w:name="_Toc531967471"/>
      <w:bookmarkEnd w:id="98"/>
      <w:bookmarkEnd w:id="101"/>
      <w:r w:rsidRPr="00564DB3">
        <w:rPr>
          <w:szCs w:val="18"/>
        </w:rPr>
        <w:t xml:space="preserve">What the legal standard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entails in this dispute</w:t>
      </w:r>
      <w:bookmarkEnd w:id="104"/>
      <w:bookmarkEnd w:id="105"/>
      <w:bookmarkEnd w:id="106"/>
      <w:bookmarkEnd w:id="107"/>
      <w:bookmarkEnd w:id="108"/>
      <w:bookmarkEnd w:id="109"/>
      <w:bookmarkEnd w:id="110"/>
      <w:bookmarkEnd w:id="111"/>
      <w:bookmarkEnd w:id="112"/>
      <w:bookmarkEnd w:id="113"/>
      <w:bookmarkEnd w:id="114"/>
    </w:p>
    <w:p w:rsidR="00432E5C" w:rsidRPr="00564DB3" w:rsidRDefault="00432E5C" w:rsidP="00F70E38">
      <w:pPr>
        <w:pStyle w:val="BodyText"/>
        <w:rPr>
          <w:szCs w:val="18"/>
        </w:rPr>
      </w:pPr>
      <w:r w:rsidRPr="00564DB3">
        <w:rPr>
          <w:szCs w:val="18"/>
        </w:rPr>
        <w:t xml:space="preserve">As noted in </w:t>
      </w:r>
      <w:r w:rsidR="00A53A52">
        <w:rPr>
          <w:szCs w:val="18"/>
        </w:rPr>
        <w:t xml:space="preserve">paragraph 6.3 </w:t>
      </w:r>
      <w:r w:rsidRPr="00564DB3">
        <w:rPr>
          <w:szCs w:val="18"/>
        </w:rPr>
        <w:t xml:space="preserve">above, the Panels considered that, in light of the specific circumstances of this dispute, their task in examining the parties' respective claims under </w:t>
      </w:r>
      <w:r w:rsidR="00083DFC" w:rsidRPr="00564DB3">
        <w:rPr>
          <w:szCs w:val="18"/>
        </w:rPr>
        <w:t>Article </w:t>
      </w:r>
      <w:r w:rsidRPr="00564DB3">
        <w:rPr>
          <w:szCs w:val="18"/>
        </w:rPr>
        <w:t>2.1 was to ascertain "whether the relevant regulatory distinctions are appropriately 'calibrated' and 'tailored' to, and commensurate with", the different risks to dolphins arising from the use of different fishing methods in different areas of the ocean</w:t>
      </w:r>
      <w:r w:rsidRPr="00564DB3">
        <w:rPr>
          <w:rStyle w:val="FootnoteReference"/>
          <w:szCs w:val="18"/>
          <w:vertAlign w:val="baseline"/>
        </w:rPr>
        <w:t>.</w:t>
      </w:r>
      <w:r w:rsidR="005B1CE4" w:rsidRPr="00564DB3">
        <w:rPr>
          <w:rStyle w:val="FootnoteReference"/>
          <w:szCs w:val="18"/>
        </w:rPr>
        <w:footnoteReference w:id="200"/>
      </w:r>
      <w:r w:rsidRPr="00564DB3">
        <w:rPr>
          <w:szCs w:val="18"/>
        </w:rPr>
        <w:t xml:space="preserve"> After establishing "the risk profiles of the relevant fishing methods in different areas of the ocean, taking into account data on both observable and unobservable harms"</w:t>
      </w:r>
      <w:r w:rsidR="005B1CE4" w:rsidRPr="00564DB3">
        <w:rPr>
          <w:rStyle w:val="FootnoteReference"/>
          <w:szCs w:val="18"/>
        </w:rPr>
        <w:footnoteReference w:id="201"/>
      </w:r>
      <w:r w:rsidRPr="00564DB3">
        <w:rPr>
          <w:szCs w:val="18"/>
        </w:rPr>
        <w:t xml:space="preserve">, the Panels examined the relevant constituent elements of the 2016 Tuna Measure. They then synthesized their intermediate analyses "to reach an overall, holistic conclusion" regarding whether the </w:t>
      </w:r>
      <w:r w:rsidR="00016009" w:rsidRPr="00564DB3">
        <w:rPr>
          <w:szCs w:val="18"/>
        </w:rPr>
        <w:t>labelling conditions under the m</w:t>
      </w:r>
      <w:r w:rsidRPr="00564DB3">
        <w:rPr>
          <w:szCs w:val="18"/>
        </w:rPr>
        <w:t>easure are calibrated to the relevant risk profiles.</w:t>
      </w:r>
      <w:r w:rsidR="005B1CE4" w:rsidRPr="00564DB3">
        <w:rPr>
          <w:rStyle w:val="FootnoteReference"/>
          <w:szCs w:val="18"/>
        </w:rPr>
        <w:footnoteReference w:id="202"/>
      </w:r>
      <w:r w:rsidRPr="00564DB3">
        <w:rPr>
          <w:szCs w:val="18"/>
        </w:rPr>
        <w:t xml:space="preserve"> On this basis, the Panels ultimately found that the 2016 Tuna Measure is consistent with </w:t>
      </w:r>
      <w:r w:rsidR="00083DFC" w:rsidRPr="00564DB3">
        <w:rPr>
          <w:szCs w:val="18"/>
        </w:rPr>
        <w:t>Article </w:t>
      </w:r>
      <w:r w:rsidRPr="00564DB3">
        <w:rPr>
          <w:szCs w:val="18"/>
        </w:rPr>
        <w:t>2.1.</w:t>
      </w:r>
      <w:r w:rsidR="00B82260" w:rsidRPr="00564DB3">
        <w:rPr>
          <w:rStyle w:val="FootnoteReference"/>
          <w:szCs w:val="18"/>
        </w:rPr>
        <w:footnoteReference w:id="203"/>
      </w:r>
    </w:p>
    <w:p w:rsidR="003323C6" w:rsidRPr="00564DB3" w:rsidRDefault="00432E5C" w:rsidP="00F70E38">
      <w:pPr>
        <w:pStyle w:val="BodyText"/>
        <w:rPr>
          <w:szCs w:val="18"/>
        </w:rPr>
      </w:pPr>
      <w:r w:rsidRPr="00564DB3">
        <w:rPr>
          <w:szCs w:val="18"/>
        </w:rPr>
        <w:t>On appeal,</w:t>
      </w:r>
      <w:r w:rsidRPr="00564DB3">
        <w:rPr>
          <w:szCs w:val="18"/>
          <w:lang w:eastAsia="zh-CN"/>
        </w:rPr>
        <w:t xml:space="preserve"> Mexico claims that the Panels erred in their "legal interpretation" of the calibration test under </w:t>
      </w:r>
      <w:r w:rsidR="00083DFC" w:rsidRPr="00564DB3">
        <w:rPr>
          <w:szCs w:val="18"/>
          <w:lang w:eastAsia="zh-CN"/>
        </w:rPr>
        <w:t>Article </w:t>
      </w:r>
      <w:r w:rsidRPr="00564DB3">
        <w:rPr>
          <w:szCs w:val="18"/>
          <w:lang w:eastAsia="zh-CN"/>
        </w:rPr>
        <w:t>2.1.</w:t>
      </w:r>
      <w:r w:rsidR="005B1CE4" w:rsidRPr="00564DB3">
        <w:rPr>
          <w:rStyle w:val="FootnoteReference"/>
          <w:szCs w:val="18"/>
          <w:lang w:eastAsia="zh-CN"/>
        </w:rPr>
        <w:footnoteReference w:id="204"/>
      </w:r>
      <w:r w:rsidRPr="00564DB3">
        <w:rPr>
          <w:szCs w:val="18"/>
          <w:lang w:eastAsia="zh-CN"/>
        </w:rPr>
        <w:t xml:space="preserve"> We recall, however, that calibration is not a separate legal standard under </w:t>
      </w:r>
      <w:r w:rsidR="00083DFC" w:rsidRPr="00564DB3">
        <w:rPr>
          <w:szCs w:val="18"/>
          <w:lang w:eastAsia="zh-CN"/>
        </w:rPr>
        <w:t>Article </w:t>
      </w:r>
      <w:r w:rsidRPr="00564DB3">
        <w:rPr>
          <w:szCs w:val="18"/>
          <w:lang w:eastAsia="zh-CN"/>
        </w:rPr>
        <w:t xml:space="preserve">2.1 but, rather, a case-specific analytical tool used to assess whether the 2016 Tuna Measure is consistent with this provision. </w:t>
      </w:r>
      <w:bookmarkStart w:id="115" w:name="_Hlk526148422"/>
      <w:r w:rsidRPr="00564DB3">
        <w:rPr>
          <w:szCs w:val="18"/>
          <w:lang w:eastAsia="zh-CN"/>
        </w:rPr>
        <w:t xml:space="preserve">As explained above, we understand Mexico's arguments </w:t>
      </w:r>
      <w:r w:rsidR="007A68DF" w:rsidRPr="00564DB3">
        <w:rPr>
          <w:szCs w:val="18"/>
          <w:lang w:eastAsia="zh-CN"/>
        </w:rPr>
        <w:t xml:space="preserve">to </w:t>
      </w:r>
      <w:r w:rsidR="006F57D7" w:rsidRPr="00564DB3">
        <w:rPr>
          <w:szCs w:val="18"/>
          <w:lang w:eastAsia="zh-CN"/>
        </w:rPr>
        <w:t xml:space="preserve">concern </w:t>
      </w:r>
      <w:r w:rsidRPr="00564DB3">
        <w:rPr>
          <w:szCs w:val="18"/>
          <w:lang w:eastAsia="zh-CN"/>
        </w:rPr>
        <w:t>whether, in applying the calibration analysis, the Panels properly assessed the nexus between the regulatory distinctions and the measure's objectives</w:t>
      </w:r>
      <w:r w:rsidRPr="00564DB3">
        <w:rPr>
          <w:szCs w:val="18"/>
        </w:rPr>
        <w:t>.</w:t>
      </w:r>
      <w:bookmarkEnd w:id="115"/>
      <w:r w:rsidR="005B1CE4" w:rsidRPr="00564DB3">
        <w:rPr>
          <w:rStyle w:val="FootnoteReference"/>
          <w:szCs w:val="18"/>
        </w:rPr>
        <w:footnoteReference w:id="205"/>
      </w:r>
      <w:r w:rsidRPr="00564DB3">
        <w:rPr>
          <w:szCs w:val="18"/>
        </w:rPr>
        <w:t xml:space="preserve"> </w:t>
      </w:r>
    </w:p>
    <w:p w:rsidR="00432E5C" w:rsidRPr="00564DB3" w:rsidRDefault="00432E5C" w:rsidP="00F70E38">
      <w:pPr>
        <w:pStyle w:val="BodyText"/>
        <w:rPr>
          <w:szCs w:val="18"/>
        </w:rPr>
      </w:pPr>
      <w:r w:rsidRPr="00564DB3">
        <w:rPr>
          <w:szCs w:val="18"/>
        </w:rPr>
        <w:t xml:space="preserve">Mexico argues in this regard that, </w:t>
      </w:r>
      <w:r w:rsidRPr="00564DB3">
        <w:rPr>
          <w:szCs w:val="18"/>
          <w:lang w:eastAsia="zh-CN"/>
        </w:rPr>
        <w:t xml:space="preserve">in assessing the consistency of the 2016 Tuna Measure with </w:t>
      </w:r>
      <w:r w:rsidR="00083DFC" w:rsidRPr="00564DB3">
        <w:rPr>
          <w:szCs w:val="18"/>
          <w:lang w:eastAsia="zh-CN"/>
        </w:rPr>
        <w:t>Article </w:t>
      </w:r>
      <w:r w:rsidRPr="00564DB3">
        <w:rPr>
          <w:szCs w:val="18"/>
          <w:lang w:eastAsia="zh-CN"/>
        </w:rPr>
        <w:t xml:space="preserve">2.1, the Panels erred </w:t>
      </w:r>
      <w:r w:rsidR="00124085" w:rsidRPr="00564DB3">
        <w:rPr>
          <w:szCs w:val="18"/>
          <w:lang w:eastAsia="zh-CN"/>
        </w:rPr>
        <w:t>in</w:t>
      </w:r>
      <w:r w:rsidRPr="00564DB3">
        <w:rPr>
          <w:szCs w:val="18"/>
          <w:lang w:eastAsia="zh-CN"/>
        </w:rPr>
        <w:t xml:space="preserve"> determining that the measure is calibrated </w:t>
      </w:r>
      <w:r w:rsidRPr="00564DB3">
        <w:rPr>
          <w:szCs w:val="18"/>
        </w:rPr>
        <w:t xml:space="preserve">to the risks to dolphins arising from different fishing methods in different areas of the oceans, without at the same time considering whether the regulatory distinctions that </w:t>
      </w:r>
      <w:r w:rsidR="007A68DF" w:rsidRPr="00564DB3">
        <w:rPr>
          <w:szCs w:val="18"/>
        </w:rPr>
        <w:t>the measure</w:t>
      </w:r>
      <w:r w:rsidRPr="00564DB3">
        <w:rPr>
          <w:szCs w:val="18"/>
        </w:rPr>
        <w:t xml:space="preserve"> draws are rationally related to its objectives. </w:t>
      </w:r>
      <w:proofErr w:type="gramStart"/>
      <w:r w:rsidRPr="00564DB3">
        <w:rPr>
          <w:szCs w:val="18"/>
        </w:rPr>
        <w:t>In particular, Mexico</w:t>
      </w:r>
      <w:proofErr w:type="gramEnd"/>
      <w:r w:rsidRPr="00564DB3">
        <w:rPr>
          <w:szCs w:val="18"/>
        </w:rPr>
        <w:t xml:space="preserve"> contends that the Panels failed to consider risks relating to inaccurate labelling in examining the risk profiles of relevant fishing methods and ocean areas </w:t>
      </w:r>
      <w:r w:rsidR="00FF1995" w:rsidRPr="00564DB3">
        <w:rPr>
          <w:szCs w:val="18"/>
        </w:rPr>
        <w:t xml:space="preserve">for the purpose of </w:t>
      </w:r>
      <w:r w:rsidRPr="00564DB3">
        <w:rPr>
          <w:szCs w:val="18"/>
        </w:rPr>
        <w:t>the calibration analysis. In Mexico's view, because the 2016 Tuna Measure cannot achieve its objectives without label accuracy, a proper calibration analysis should have included considerations of such risks of inaccurate labelling.</w:t>
      </w:r>
      <w:r w:rsidR="005B1CE4" w:rsidRPr="00564DB3">
        <w:rPr>
          <w:rStyle w:val="FootnoteReference"/>
          <w:szCs w:val="18"/>
        </w:rPr>
        <w:footnoteReference w:id="206"/>
      </w:r>
    </w:p>
    <w:p w:rsidR="00432E5C" w:rsidRPr="00564DB3" w:rsidRDefault="00432E5C" w:rsidP="00F70E38">
      <w:pPr>
        <w:pStyle w:val="BodyText"/>
        <w:rPr>
          <w:szCs w:val="18"/>
        </w:rPr>
      </w:pPr>
      <w:bookmarkStart w:id="116" w:name="_Ref524513387"/>
      <w:bookmarkStart w:id="117" w:name="_Toc526162676"/>
      <w:r w:rsidRPr="00564DB3">
        <w:rPr>
          <w:szCs w:val="18"/>
        </w:rPr>
        <w:t>Mexico also alleges several errors in the Panels' "establishment and assessment of the risk profiles of different fishing methods in different ocean areas", which, in Mexico's view, "resulted in deficiencies that caused the Panels to subsequently err in conducting their assessment of whether the relevant regulatory distinctions [under the 2016 Tuna Measure] are calibrated".</w:t>
      </w:r>
      <w:r w:rsidR="005B1CE4" w:rsidRPr="00564DB3">
        <w:rPr>
          <w:rStyle w:val="FootnoteReference"/>
          <w:szCs w:val="18"/>
        </w:rPr>
        <w:footnoteReference w:id="207"/>
      </w:r>
      <w:r w:rsidRPr="00564DB3">
        <w:rPr>
          <w:szCs w:val="18"/>
        </w:rPr>
        <w:t xml:space="preserve"> Specifically, Mexico claims that the Panels erred in assessing and comparing the risk profiles of different fishing methods without differentiating between different ocean areas.</w:t>
      </w:r>
      <w:r w:rsidR="005B1CE4" w:rsidRPr="00564DB3">
        <w:rPr>
          <w:rStyle w:val="FootnoteReference"/>
          <w:szCs w:val="18"/>
        </w:rPr>
        <w:footnoteReference w:id="208"/>
      </w:r>
      <w:r w:rsidRPr="00564DB3">
        <w:rPr>
          <w:szCs w:val="18"/>
        </w:rPr>
        <w:t xml:space="preserve"> Mexico contends that, as a result, </w:t>
      </w:r>
      <w:r w:rsidRPr="00564DB3">
        <w:rPr>
          <w:szCs w:val="18"/>
        </w:rPr>
        <w:lastRenderedPageBreak/>
        <w:t>the Panels' calibration analysis is deficient because it fails to examine whether the relevant regulatory distinctions under the measure are calibrated on a fishery-by-fishery basis.</w:t>
      </w:r>
      <w:r w:rsidR="005B1CE4" w:rsidRPr="00564DB3">
        <w:rPr>
          <w:rStyle w:val="FootnoteReference"/>
          <w:szCs w:val="18"/>
        </w:rPr>
        <w:footnoteReference w:id="209"/>
      </w:r>
      <w:r w:rsidR="00083DFC" w:rsidRPr="00564DB3">
        <w:rPr>
          <w:szCs w:val="18"/>
        </w:rPr>
        <w:t xml:space="preserve"> </w:t>
      </w:r>
    </w:p>
    <w:p w:rsidR="00432E5C" w:rsidRPr="00564DB3" w:rsidRDefault="003323C6" w:rsidP="00F70E38">
      <w:pPr>
        <w:pStyle w:val="BodyText"/>
        <w:rPr>
          <w:szCs w:val="18"/>
        </w:rPr>
      </w:pPr>
      <w:bookmarkStart w:id="118" w:name="_Ref526179662"/>
      <w:bookmarkEnd w:id="116"/>
      <w:r w:rsidRPr="00564DB3">
        <w:rPr>
          <w:szCs w:val="18"/>
        </w:rPr>
        <w:t>A</w:t>
      </w:r>
      <w:r w:rsidR="00432E5C" w:rsidRPr="00564DB3">
        <w:rPr>
          <w:szCs w:val="18"/>
        </w:rPr>
        <w:t xml:space="preserve">ddressing Mexico's arguments calls for us to </w:t>
      </w:r>
      <w:r w:rsidRPr="00564DB3">
        <w:rPr>
          <w:szCs w:val="18"/>
        </w:rPr>
        <w:t xml:space="preserve">establish </w:t>
      </w:r>
      <w:r w:rsidR="00432E5C" w:rsidRPr="00564DB3">
        <w:rPr>
          <w:szCs w:val="18"/>
        </w:rPr>
        <w:t xml:space="preserve">what a proper calibration analysis entails </w:t>
      </w:r>
      <w:proofErr w:type="gramStart"/>
      <w:r w:rsidR="00FF1995" w:rsidRPr="00564DB3">
        <w:rPr>
          <w:szCs w:val="18"/>
        </w:rPr>
        <w:t>for the purpose of</w:t>
      </w:r>
      <w:proofErr w:type="gramEnd"/>
      <w:r w:rsidR="00FF1995" w:rsidRPr="00564DB3">
        <w:rPr>
          <w:szCs w:val="18"/>
        </w:rPr>
        <w:t xml:space="preserve"> </w:t>
      </w:r>
      <w:r w:rsidR="00432E5C" w:rsidRPr="00564DB3">
        <w:rPr>
          <w:szCs w:val="18"/>
        </w:rPr>
        <w:t xml:space="preserve">this dispute, </w:t>
      </w:r>
      <w:r w:rsidRPr="00564DB3">
        <w:rPr>
          <w:szCs w:val="18"/>
        </w:rPr>
        <w:t>before assessing</w:t>
      </w:r>
      <w:r w:rsidR="00432E5C" w:rsidRPr="00564DB3">
        <w:rPr>
          <w:szCs w:val="18"/>
        </w:rPr>
        <w:t xml:space="preserve"> whether the Panels erred in their calibration analysis. Specifically, we address: (i)</w:t>
      </w:r>
      <w:r w:rsidR="00105496" w:rsidRPr="00564DB3">
        <w:rPr>
          <w:szCs w:val="18"/>
        </w:rPr>
        <w:t xml:space="preserve"> how the objectives of the 2016 </w:t>
      </w:r>
      <w:r w:rsidR="00432E5C" w:rsidRPr="00564DB3">
        <w:rPr>
          <w:szCs w:val="18"/>
        </w:rPr>
        <w:t xml:space="preserve">Tuna Measure, and the risk of inaccuracy of the </w:t>
      </w:r>
      <w:r w:rsidR="009B1607" w:rsidRPr="00564DB3">
        <w:rPr>
          <w:szCs w:val="18"/>
        </w:rPr>
        <w:t xml:space="preserve">dolphin-safe </w:t>
      </w:r>
      <w:r w:rsidR="00432E5C" w:rsidRPr="00564DB3">
        <w:rPr>
          <w:szCs w:val="18"/>
        </w:rPr>
        <w:t xml:space="preserve">label, should be </w:t>
      </w:r>
      <w:proofErr w:type="gramStart"/>
      <w:r w:rsidR="00432E5C" w:rsidRPr="00564DB3">
        <w:rPr>
          <w:szCs w:val="18"/>
        </w:rPr>
        <w:t>taken into account</w:t>
      </w:r>
      <w:proofErr w:type="gramEnd"/>
      <w:r w:rsidR="00432E5C" w:rsidRPr="00564DB3">
        <w:rPr>
          <w:szCs w:val="18"/>
        </w:rPr>
        <w:t xml:space="preserve"> in a proper calibration analysis; and (ii) whether the Panels erred by limiting aspects of their calibration analysis to a comparison of the risk profiles of different fishing methods.</w:t>
      </w:r>
      <w:r w:rsidR="00560E08" w:rsidRPr="00564DB3">
        <w:rPr>
          <w:rStyle w:val="FootnoteReference"/>
          <w:szCs w:val="18"/>
        </w:rPr>
        <w:footnoteReference w:id="210"/>
      </w:r>
      <w:r w:rsidR="00432E5C" w:rsidRPr="00564DB3">
        <w:rPr>
          <w:szCs w:val="18"/>
        </w:rPr>
        <w:t xml:space="preserve"> </w:t>
      </w:r>
      <w:bookmarkEnd w:id="118"/>
    </w:p>
    <w:p w:rsidR="00432E5C" w:rsidRPr="00564DB3" w:rsidRDefault="00432E5C" w:rsidP="00F70E38">
      <w:pPr>
        <w:pStyle w:val="Heading4"/>
        <w:numPr>
          <w:ilvl w:val="3"/>
          <w:numId w:val="16"/>
        </w:numPr>
        <w:rPr>
          <w:szCs w:val="18"/>
        </w:rPr>
      </w:pPr>
      <w:bookmarkStart w:id="119" w:name="_Toc528506755"/>
      <w:bookmarkStart w:id="120" w:name="_Toc528506920"/>
      <w:bookmarkStart w:id="121" w:name="_Ref529186043"/>
      <w:bookmarkStart w:id="122" w:name="_Ref530389608"/>
      <w:bookmarkStart w:id="123" w:name="_Ref530581719"/>
      <w:bookmarkStart w:id="124" w:name="_Ref530582071"/>
      <w:bookmarkStart w:id="125" w:name="_Toc531967472"/>
      <w:r w:rsidRPr="00564DB3">
        <w:rPr>
          <w:szCs w:val="18"/>
        </w:rPr>
        <w:t>Whether the Panels erred in failing to consider the nexus between the regulatory distinctions of the measure and its objectives</w:t>
      </w:r>
      <w:bookmarkEnd w:id="117"/>
      <w:bookmarkEnd w:id="119"/>
      <w:bookmarkEnd w:id="120"/>
      <w:bookmarkEnd w:id="121"/>
      <w:bookmarkEnd w:id="122"/>
      <w:bookmarkEnd w:id="123"/>
      <w:bookmarkEnd w:id="124"/>
      <w:bookmarkEnd w:id="125"/>
      <w:r w:rsidRPr="00564DB3">
        <w:rPr>
          <w:szCs w:val="18"/>
        </w:rPr>
        <w:t xml:space="preserve"> </w:t>
      </w:r>
    </w:p>
    <w:p w:rsidR="00432E5C" w:rsidRPr="00564DB3" w:rsidRDefault="00432E5C" w:rsidP="00F70E38">
      <w:pPr>
        <w:pStyle w:val="BodyText"/>
        <w:rPr>
          <w:szCs w:val="18"/>
        </w:rPr>
      </w:pPr>
      <w:r w:rsidRPr="00564DB3">
        <w:rPr>
          <w:szCs w:val="18"/>
        </w:rPr>
        <w:t xml:space="preserve">Mexico raises three interconnected arguments in support of its claim that the Panels failed to assess the nexus between the regulatory distinctions of the measure and its objectives in </w:t>
      </w:r>
      <w:r w:rsidR="00993270" w:rsidRPr="00564DB3">
        <w:rPr>
          <w:szCs w:val="18"/>
        </w:rPr>
        <w:t>their</w:t>
      </w:r>
      <w:r w:rsidRPr="00564DB3">
        <w:rPr>
          <w:szCs w:val="18"/>
        </w:rPr>
        <w:t xml:space="preserve"> calibration analysis. Mexico argues that: (i) the Panels' calibration analysis fail</w:t>
      </w:r>
      <w:r w:rsidR="003323C6" w:rsidRPr="00564DB3">
        <w:rPr>
          <w:szCs w:val="18"/>
        </w:rPr>
        <w:t>ed</w:t>
      </w:r>
      <w:r w:rsidRPr="00564DB3">
        <w:rPr>
          <w:szCs w:val="18"/>
        </w:rPr>
        <w:t xml:space="preserve"> to recognize the relevance of label accuracy in light of the objectives of the 2016 Tuna Measure; (ii) the Panels failed to include risks of inaccuracy as part of the risk profiles of the different ocean areas to which the 2016 Tuna Measure should be calibrated; and (iii) </w:t>
      </w:r>
      <w:r w:rsidR="00333264" w:rsidRPr="00564DB3">
        <w:rPr>
          <w:szCs w:val="18"/>
        </w:rPr>
        <w:t>by</w:t>
      </w:r>
      <w:r w:rsidRPr="00564DB3">
        <w:rPr>
          <w:szCs w:val="18"/>
        </w:rPr>
        <w:t xml:space="preserve"> finding that the 2016 Tuna Measure contemplates a margin of error, the Panels erroneously considered that the measure tolerates label inaccuracy. We examine these arguments in turn. </w:t>
      </w:r>
    </w:p>
    <w:p w:rsidR="00432E5C" w:rsidRPr="00564DB3" w:rsidRDefault="00432E5C" w:rsidP="00F70E38">
      <w:pPr>
        <w:pStyle w:val="Heading5"/>
        <w:numPr>
          <w:ilvl w:val="4"/>
          <w:numId w:val="17"/>
        </w:numPr>
        <w:rPr>
          <w:szCs w:val="18"/>
        </w:rPr>
      </w:pPr>
      <w:bookmarkStart w:id="126" w:name="_Toc528506756"/>
      <w:bookmarkStart w:id="127" w:name="_Toc528506921"/>
      <w:bookmarkStart w:id="128" w:name="_Ref530747788"/>
      <w:bookmarkStart w:id="129" w:name="_Toc531967473"/>
      <w:bookmarkStart w:id="130" w:name="_Ref532290655"/>
      <w:bookmarkStart w:id="131" w:name="_Ref532295780"/>
      <w:bookmarkStart w:id="132" w:name="_Ref532296607"/>
      <w:bookmarkStart w:id="133" w:name="_Ref532296986"/>
      <w:r w:rsidRPr="00564DB3">
        <w:rPr>
          <w:szCs w:val="18"/>
        </w:rPr>
        <w:t xml:space="preserve">Whether the Panels' calibration analysis </w:t>
      </w:r>
      <w:proofErr w:type="gramStart"/>
      <w:r w:rsidRPr="00564DB3">
        <w:rPr>
          <w:szCs w:val="18"/>
        </w:rPr>
        <w:t>t</w:t>
      </w:r>
      <w:r w:rsidR="003323C6" w:rsidRPr="00564DB3">
        <w:rPr>
          <w:szCs w:val="18"/>
        </w:rPr>
        <w:t>ook</w:t>
      </w:r>
      <w:r w:rsidRPr="00564DB3">
        <w:rPr>
          <w:szCs w:val="18"/>
        </w:rPr>
        <w:t xml:space="preserve"> in</w:t>
      </w:r>
      <w:r w:rsidR="00016009" w:rsidRPr="00564DB3">
        <w:rPr>
          <w:szCs w:val="18"/>
        </w:rPr>
        <w:t>to account</w:t>
      </w:r>
      <w:proofErr w:type="gramEnd"/>
      <w:r w:rsidR="00016009" w:rsidRPr="00564DB3">
        <w:rPr>
          <w:szCs w:val="18"/>
        </w:rPr>
        <w:t xml:space="preserve"> the accuracy of the dolphin-safe</w:t>
      </w:r>
      <w:r w:rsidRPr="00564DB3">
        <w:rPr>
          <w:szCs w:val="18"/>
        </w:rPr>
        <w:t xml:space="preserve"> label in light of the objectives of the 2016 Tuna Measure</w:t>
      </w:r>
      <w:bookmarkEnd w:id="126"/>
      <w:bookmarkEnd w:id="127"/>
      <w:bookmarkEnd w:id="128"/>
      <w:bookmarkEnd w:id="129"/>
      <w:bookmarkEnd w:id="130"/>
      <w:bookmarkEnd w:id="131"/>
      <w:bookmarkEnd w:id="132"/>
      <w:bookmarkEnd w:id="133"/>
    </w:p>
    <w:p w:rsidR="00432E5C" w:rsidRPr="00564DB3" w:rsidRDefault="003323C6" w:rsidP="00F70E38">
      <w:pPr>
        <w:pStyle w:val="BodyText"/>
        <w:rPr>
          <w:szCs w:val="18"/>
          <w:lang w:eastAsia="zh-CN"/>
        </w:rPr>
      </w:pPr>
      <w:r w:rsidRPr="00564DB3">
        <w:rPr>
          <w:szCs w:val="18"/>
        </w:rPr>
        <w:t>B</w:t>
      </w:r>
      <w:r w:rsidR="00432E5C" w:rsidRPr="00564DB3">
        <w:rPr>
          <w:szCs w:val="18"/>
        </w:rPr>
        <w:t>ased on the Appellate</w:t>
      </w:r>
      <w:r w:rsidR="00025CB6" w:rsidRPr="00564DB3">
        <w:rPr>
          <w:szCs w:val="18"/>
        </w:rPr>
        <w:t> Body</w:t>
      </w:r>
      <w:r w:rsidR="00432E5C" w:rsidRPr="00564DB3">
        <w:rPr>
          <w:szCs w:val="18"/>
        </w:rPr>
        <w:t xml:space="preserve">'s findings in the first compliance proceedings, </w:t>
      </w:r>
      <w:r w:rsidRPr="00564DB3">
        <w:rPr>
          <w:szCs w:val="18"/>
        </w:rPr>
        <w:t xml:space="preserve">Mexico submits </w:t>
      </w:r>
      <w:r w:rsidR="00432E5C" w:rsidRPr="00564DB3">
        <w:rPr>
          <w:szCs w:val="18"/>
        </w:rPr>
        <w:t>that a proper calibration analysis "must take into account the nexus between the regulatory distinctions and the objectives of the measure".</w:t>
      </w:r>
      <w:r w:rsidR="005B1CE4" w:rsidRPr="00564DB3">
        <w:rPr>
          <w:rStyle w:val="FootnoteReference"/>
          <w:szCs w:val="18"/>
        </w:rPr>
        <w:footnoteReference w:id="211"/>
      </w:r>
      <w:r w:rsidR="00432E5C" w:rsidRPr="00564DB3">
        <w:rPr>
          <w:szCs w:val="18"/>
        </w:rPr>
        <w:t xml:space="preserve"> In Mexico's view, "[c]</w:t>
      </w:r>
      <w:proofErr w:type="spellStart"/>
      <w:r w:rsidR="00432E5C" w:rsidRPr="00564DB3">
        <w:rPr>
          <w:szCs w:val="18"/>
        </w:rPr>
        <w:t>onsideration</w:t>
      </w:r>
      <w:proofErr w:type="spellEnd"/>
      <w:r w:rsidR="00432E5C" w:rsidRPr="00564DB3">
        <w:rPr>
          <w:szCs w:val="18"/>
        </w:rPr>
        <w:t xml:space="preserve"> of the nexus between the detrimental impact and the objectives of the measure as a part of the 'calibration' test helps to ensure that a WTO Member</w:t>
      </w:r>
      <w:r w:rsidR="009B1607" w:rsidRPr="00564DB3">
        <w:rPr>
          <w:szCs w:val="18"/>
        </w:rPr>
        <w:t>'</w:t>
      </w:r>
      <w:r w:rsidR="00432E5C" w:rsidRPr="00564DB3">
        <w:rPr>
          <w:szCs w:val="18"/>
        </w:rPr>
        <w:t xml:space="preserve">s regulatory space is respected without undermining the disciplines set forth in the </w:t>
      </w:r>
      <w:r w:rsidR="00083DFC" w:rsidRPr="00564DB3">
        <w:rPr>
          <w:szCs w:val="18"/>
        </w:rPr>
        <w:t>TBT Agreement</w:t>
      </w:r>
      <w:r w:rsidR="00432E5C" w:rsidRPr="00564DB3">
        <w:rPr>
          <w:szCs w:val="18"/>
        </w:rPr>
        <w:t xml:space="preserve"> and other WTO</w:t>
      </w:r>
      <w:r w:rsidR="00025CB6" w:rsidRPr="00564DB3">
        <w:rPr>
          <w:szCs w:val="18"/>
        </w:rPr>
        <w:t> Agreement</w:t>
      </w:r>
      <w:r w:rsidR="00432E5C" w:rsidRPr="00564DB3">
        <w:rPr>
          <w:szCs w:val="18"/>
        </w:rPr>
        <w:t>s."</w:t>
      </w:r>
      <w:r w:rsidR="005B1CE4" w:rsidRPr="00564DB3">
        <w:rPr>
          <w:rStyle w:val="FootnoteReference"/>
          <w:szCs w:val="18"/>
        </w:rPr>
        <w:footnoteReference w:id="212"/>
      </w:r>
      <w:r w:rsidR="002D5D4F">
        <w:rPr>
          <w:szCs w:val="18"/>
        </w:rPr>
        <w:t xml:space="preserve"> Mexico argues that, "[a]s </w:t>
      </w:r>
      <w:r w:rsidR="00432E5C" w:rsidRPr="00564DB3">
        <w:rPr>
          <w:szCs w:val="18"/>
        </w:rPr>
        <w:t>a consumer labelling measure", the 2016 Tuna Measure "cannot achieve [its] objectives without label accuracy"</w:t>
      </w:r>
      <w:r w:rsidRPr="00564DB3">
        <w:rPr>
          <w:szCs w:val="18"/>
        </w:rPr>
        <w:t>.</w:t>
      </w:r>
      <w:r w:rsidRPr="00564DB3">
        <w:rPr>
          <w:rStyle w:val="FootnoteReference"/>
          <w:szCs w:val="18"/>
        </w:rPr>
        <w:footnoteReference w:id="213"/>
      </w:r>
      <w:r w:rsidR="00432E5C" w:rsidRPr="00564DB3">
        <w:rPr>
          <w:szCs w:val="18"/>
        </w:rPr>
        <w:t xml:space="preserve"> </w:t>
      </w:r>
      <w:r w:rsidRPr="00564DB3">
        <w:rPr>
          <w:szCs w:val="18"/>
        </w:rPr>
        <w:t xml:space="preserve">For Mexico, </w:t>
      </w:r>
      <w:r w:rsidR="00432E5C" w:rsidRPr="00564DB3">
        <w:rPr>
          <w:szCs w:val="18"/>
        </w:rPr>
        <w:t>a claim that the regulatory distinctions of the measure are "'calibrated' to the different risks posed to dolphins by different fishing methods in different ocean areas … cannot justify the detrimental impact on Mexican tuna products if the measure fails to ensure that the label provides accurate information to consumers"</w:t>
      </w:r>
      <w:r w:rsidRPr="00564DB3">
        <w:rPr>
          <w:szCs w:val="18"/>
        </w:rPr>
        <w:t>.</w:t>
      </w:r>
      <w:r w:rsidR="005B1CE4" w:rsidRPr="00564DB3">
        <w:rPr>
          <w:rStyle w:val="FootnoteReference"/>
          <w:szCs w:val="18"/>
        </w:rPr>
        <w:footnoteReference w:id="214"/>
      </w:r>
      <w:r w:rsidR="00432E5C" w:rsidRPr="00564DB3">
        <w:rPr>
          <w:szCs w:val="18"/>
        </w:rPr>
        <w:t xml:space="preserve"> Mexico </w:t>
      </w:r>
      <w:r w:rsidR="00276132" w:rsidRPr="00564DB3">
        <w:rPr>
          <w:szCs w:val="18"/>
        </w:rPr>
        <w:t xml:space="preserve">thus </w:t>
      </w:r>
      <w:r w:rsidR="002D5D4F">
        <w:rPr>
          <w:szCs w:val="18"/>
        </w:rPr>
        <w:t>alleges that the Panels' </w:t>
      </w:r>
      <w:r w:rsidR="00432E5C" w:rsidRPr="00564DB3">
        <w:rPr>
          <w:szCs w:val="18"/>
        </w:rPr>
        <w:t>calibration analysis was "narrow"</w:t>
      </w:r>
      <w:r w:rsidR="005B1CE4" w:rsidRPr="00564DB3">
        <w:rPr>
          <w:rStyle w:val="FootnoteReference"/>
          <w:szCs w:val="18"/>
        </w:rPr>
        <w:footnoteReference w:id="215"/>
      </w:r>
      <w:r w:rsidR="00432E5C" w:rsidRPr="00564DB3">
        <w:rPr>
          <w:szCs w:val="18"/>
        </w:rPr>
        <w:t xml:space="preserve"> and "incomplete"</w:t>
      </w:r>
      <w:r w:rsidR="005B1CE4" w:rsidRPr="00564DB3">
        <w:rPr>
          <w:rStyle w:val="FootnoteReference"/>
          <w:szCs w:val="18"/>
        </w:rPr>
        <w:footnoteReference w:id="216"/>
      </w:r>
      <w:r w:rsidR="00432E5C" w:rsidRPr="00564DB3">
        <w:rPr>
          <w:szCs w:val="18"/>
        </w:rPr>
        <w:t xml:space="preserve"> because the Panels failed to recognize </w:t>
      </w:r>
      <w:r w:rsidR="009458E7" w:rsidRPr="00564DB3">
        <w:rPr>
          <w:szCs w:val="18"/>
        </w:rPr>
        <w:t>the relevance of label accuracy to the calibration analysis</w:t>
      </w:r>
      <w:r w:rsidR="00432E5C" w:rsidRPr="00564DB3">
        <w:rPr>
          <w:szCs w:val="18"/>
        </w:rPr>
        <w:t>.</w:t>
      </w:r>
    </w:p>
    <w:p w:rsidR="00432E5C" w:rsidRPr="00564DB3" w:rsidRDefault="00432E5C" w:rsidP="00F70E38">
      <w:pPr>
        <w:pStyle w:val="BodyText"/>
        <w:rPr>
          <w:szCs w:val="18"/>
        </w:rPr>
      </w:pPr>
      <w:r w:rsidRPr="00564DB3">
        <w:rPr>
          <w:szCs w:val="18"/>
          <w:lang w:eastAsia="zh-CN"/>
        </w:rPr>
        <w:lastRenderedPageBreak/>
        <w:t xml:space="preserve">The </w:t>
      </w:r>
      <w:r w:rsidR="00083DFC" w:rsidRPr="00564DB3">
        <w:rPr>
          <w:szCs w:val="18"/>
          <w:lang w:eastAsia="zh-CN"/>
        </w:rPr>
        <w:t>United States</w:t>
      </w:r>
      <w:r w:rsidRPr="00564DB3">
        <w:rPr>
          <w:szCs w:val="18"/>
          <w:lang w:eastAsia="zh-CN"/>
        </w:rPr>
        <w:t xml:space="preserve"> contends that Mexico</w:t>
      </w:r>
      <w:r w:rsidRPr="00564DB3">
        <w:rPr>
          <w:szCs w:val="18"/>
        </w:rPr>
        <w:t xml:space="preserve"> is wrong in claiming that the Panels erred in following the Appellate</w:t>
      </w:r>
      <w:r w:rsidR="00025CB6" w:rsidRPr="00564DB3">
        <w:rPr>
          <w:szCs w:val="18"/>
        </w:rPr>
        <w:t> Body</w:t>
      </w:r>
      <w:r w:rsidRPr="00564DB3">
        <w:rPr>
          <w:szCs w:val="18"/>
        </w:rPr>
        <w:t>'s guidance in the previous compliance proceedings.</w:t>
      </w:r>
      <w:r w:rsidR="005B1CE4" w:rsidRPr="00564DB3">
        <w:rPr>
          <w:rStyle w:val="FootnoteReference"/>
          <w:szCs w:val="18"/>
        </w:rPr>
        <w:footnoteReference w:id="217"/>
      </w:r>
      <w:r w:rsidRPr="00564DB3">
        <w:rPr>
          <w:szCs w:val="18"/>
        </w:rPr>
        <w:t xml:space="preserve"> The </w:t>
      </w:r>
      <w:r w:rsidR="00083DFC" w:rsidRPr="00564DB3">
        <w:rPr>
          <w:szCs w:val="18"/>
        </w:rPr>
        <w:t>United States</w:t>
      </w:r>
      <w:r w:rsidRPr="00564DB3">
        <w:rPr>
          <w:szCs w:val="18"/>
        </w:rPr>
        <w:t xml:space="preserve"> argues that the Appellate</w:t>
      </w:r>
      <w:r w:rsidR="00025CB6" w:rsidRPr="00564DB3">
        <w:rPr>
          <w:szCs w:val="18"/>
        </w:rPr>
        <w:t> Body</w:t>
      </w:r>
      <w:r w:rsidRPr="00564DB3">
        <w:rPr>
          <w:szCs w:val="18"/>
        </w:rPr>
        <w:t xml:space="preserve"> clearly set out what it considered to be the appropriate calibration analysis</w:t>
      </w:r>
      <w:r w:rsidRPr="00564DB3" w:rsidDel="000B6D54">
        <w:rPr>
          <w:szCs w:val="18"/>
        </w:rPr>
        <w:t xml:space="preserve"> </w:t>
      </w:r>
      <w:r w:rsidRPr="00564DB3">
        <w:rPr>
          <w:szCs w:val="18"/>
        </w:rPr>
        <w:t>by repeatedly referring to the risk profiles of different fishing methods in different areas of the ocean, and by indicating that those risk profiles should reflect the relative risks of observed and unobserved mortalities and injury.</w:t>
      </w:r>
      <w:r w:rsidR="005B1CE4" w:rsidRPr="00564DB3">
        <w:rPr>
          <w:rStyle w:val="FootnoteReference"/>
          <w:szCs w:val="18"/>
        </w:rPr>
        <w:footnoteReference w:id="218"/>
      </w:r>
      <w:r w:rsidRPr="00564DB3" w:rsidDel="000B6D54">
        <w:rPr>
          <w:szCs w:val="18"/>
        </w:rPr>
        <w:t xml:space="preserve"> </w:t>
      </w:r>
      <w:r w:rsidRPr="00564DB3">
        <w:rPr>
          <w:szCs w:val="18"/>
        </w:rPr>
        <w:t xml:space="preserve">In the </w:t>
      </w:r>
      <w:r w:rsidR="00083DFC" w:rsidRPr="00564DB3">
        <w:rPr>
          <w:szCs w:val="18"/>
        </w:rPr>
        <w:t>United States</w:t>
      </w:r>
      <w:r w:rsidRPr="00564DB3">
        <w:rPr>
          <w:szCs w:val="18"/>
        </w:rPr>
        <w:t>' view,</w:t>
      </w:r>
      <w:r w:rsidR="00083DFC" w:rsidRPr="00564DB3">
        <w:rPr>
          <w:szCs w:val="18"/>
        </w:rPr>
        <w:t xml:space="preserve"> </w:t>
      </w:r>
      <w:r w:rsidRPr="00564DB3">
        <w:rPr>
          <w:szCs w:val="18"/>
        </w:rPr>
        <w:t xml:space="preserve">the Panels correctly assessed </w:t>
      </w:r>
      <w:r w:rsidR="00AA22DA" w:rsidRPr="00564DB3">
        <w:rPr>
          <w:szCs w:val="18"/>
        </w:rPr>
        <w:t>the WTO</w:t>
      </w:r>
      <w:r w:rsidR="00AA22DA" w:rsidRPr="00564DB3">
        <w:rPr>
          <w:szCs w:val="18"/>
        </w:rPr>
        <w:noBreakHyphen/>
      </w:r>
      <w:r w:rsidR="00AF6540" w:rsidRPr="00564DB3">
        <w:rPr>
          <w:szCs w:val="18"/>
        </w:rPr>
        <w:t>consistency of the 2016 </w:t>
      </w:r>
      <w:r w:rsidRPr="00564DB3">
        <w:rPr>
          <w:szCs w:val="18"/>
        </w:rPr>
        <w:t xml:space="preserve">Tuna Measure by considering whether its distinctions are calibrated to different risks to dolphins. </w:t>
      </w:r>
    </w:p>
    <w:p w:rsidR="00432E5C" w:rsidRPr="00564DB3" w:rsidRDefault="00432E5C" w:rsidP="00F70E38">
      <w:pPr>
        <w:pStyle w:val="BodyText"/>
        <w:rPr>
          <w:szCs w:val="18"/>
          <w:lang w:eastAsia="zh-CN"/>
        </w:rPr>
      </w:pPr>
      <w:bookmarkStart w:id="134" w:name="_Ref529196385"/>
      <w:bookmarkStart w:id="135" w:name="_Ref531869105"/>
      <w:r w:rsidRPr="00564DB3">
        <w:rPr>
          <w:szCs w:val="18"/>
          <w:lang w:eastAsia="zh-CN"/>
        </w:rPr>
        <w:t>We begin by recalling the Appellate</w:t>
      </w:r>
      <w:r w:rsidR="00025CB6" w:rsidRPr="00564DB3">
        <w:rPr>
          <w:szCs w:val="18"/>
          <w:lang w:eastAsia="zh-CN"/>
        </w:rPr>
        <w:t> Body</w:t>
      </w:r>
      <w:r w:rsidRPr="00564DB3">
        <w:rPr>
          <w:szCs w:val="18"/>
          <w:lang w:eastAsia="zh-CN"/>
        </w:rPr>
        <w:t xml:space="preserve">'s relevant findings in the original and first compliance </w:t>
      </w:r>
      <w:r w:rsidR="006F57D7" w:rsidRPr="00564DB3">
        <w:rPr>
          <w:szCs w:val="18"/>
          <w:lang w:eastAsia="zh-CN"/>
        </w:rPr>
        <w:t xml:space="preserve">proceedings </w:t>
      </w:r>
      <w:r w:rsidRPr="00564DB3">
        <w:rPr>
          <w:szCs w:val="18"/>
          <w:lang w:eastAsia="zh-CN"/>
        </w:rPr>
        <w:t xml:space="preserve">regarding the calibration analysis </w:t>
      </w:r>
      <w:r w:rsidR="009458E7" w:rsidRPr="00564DB3">
        <w:rPr>
          <w:szCs w:val="18"/>
          <w:lang w:eastAsia="zh-CN"/>
        </w:rPr>
        <w:t>in this dispute</w:t>
      </w:r>
      <w:r w:rsidRPr="00564DB3">
        <w:rPr>
          <w:szCs w:val="18"/>
          <w:lang w:eastAsia="zh-CN"/>
        </w:rPr>
        <w:t xml:space="preserve">. </w:t>
      </w:r>
      <w:r w:rsidRPr="00564DB3">
        <w:rPr>
          <w:szCs w:val="18"/>
        </w:rPr>
        <w:t>We recall that</w:t>
      </w:r>
      <w:r w:rsidRPr="00564DB3">
        <w:rPr>
          <w:szCs w:val="18"/>
          <w:lang w:eastAsia="zh-CN"/>
        </w:rPr>
        <w:t xml:space="preserve"> the </w:t>
      </w:r>
      <w:r w:rsidR="00083DFC" w:rsidRPr="00564DB3">
        <w:rPr>
          <w:szCs w:val="18"/>
          <w:lang w:eastAsia="zh-CN"/>
        </w:rPr>
        <w:t>United States</w:t>
      </w:r>
      <w:r w:rsidRPr="00564DB3">
        <w:rPr>
          <w:szCs w:val="18"/>
          <w:lang w:eastAsia="zh-CN"/>
        </w:rPr>
        <w:t xml:space="preserve"> sought to demonstrate that the detrimental impact under the original Tuna Measure stemmed exclusively from a legitimate regulatory distinction by introducing the notion of calibration.</w:t>
      </w:r>
      <w:r w:rsidR="005B1CE4" w:rsidRPr="00564DB3">
        <w:rPr>
          <w:rStyle w:val="FootnoteReference"/>
          <w:szCs w:val="18"/>
          <w:lang w:eastAsia="zh-CN"/>
        </w:rPr>
        <w:footnoteReference w:id="219"/>
      </w:r>
      <w:r w:rsidRPr="00564DB3">
        <w:rPr>
          <w:szCs w:val="18"/>
          <w:lang w:eastAsia="zh-CN"/>
        </w:rPr>
        <w:t xml:space="preserve"> As a result, </w:t>
      </w:r>
      <w:r w:rsidRPr="00564DB3">
        <w:rPr>
          <w:szCs w:val="18"/>
        </w:rPr>
        <w:t>the Appellate Body used the notion of calibration as an analytical tool to assess the consistency of the original Tuna Measure under the second step of the analysis of "treatment no less favourable". However, the Appellate</w:t>
      </w:r>
      <w:r w:rsidR="00025CB6" w:rsidRPr="00564DB3">
        <w:rPr>
          <w:szCs w:val="18"/>
        </w:rPr>
        <w:t> Body</w:t>
      </w:r>
      <w:r w:rsidRPr="00564DB3">
        <w:rPr>
          <w:szCs w:val="18"/>
        </w:rPr>
        <w:t xml:space="preserve"> found that the </w:t>
      </w:r>
      <w:r w:rsidR="00083DFC" w:rsidRPr="00564DB3">
        <w:rPr>
          <w:szCs w:val="18"/>
        </w:rPr>
        <w:t>United States</w:t>
      </w:r>
      <w:r w:rsidRPr="00564DB3">
        <w:rPr>
          <w:szCs w:val="18"/>
        </w:rPr>
        <w:t xml:space="preserve"> had not demonstrated that the original Tuna Measure was calibrated </w:t>
      </w:r>
      <w:r w:rsidR="003323C6" w:rsidRPr="00564DB3">
        <w:rPr>
          <w:szCs w:val="18"/>
        </w:rPr>
        <w:t>to the risks to dolphins</w:t>
      </w:r>
      <w:r w:rsidRPr="00564DB3">
        <w:rPr>
          <w:szCs w:val="18"/>
        </w:rPr>
        <w:t>.</w:t>
      </w:r>
      <w:r w:rsidR="007D2C84" w:rsidRPr="00564DB3">
        <w:rPr>
          <w:rStyle w:val="FootnoteReference"/>
          <w:szCs w:val="18"/>
        </w:rPr>
        <w:footnoteReference w:id="220"/>
      </w:r>
      <w:r w:rsidRPr="00564DB3">
        <w:rPr>
          <w:szCs w:val="18"/>
        </w:rPr>
        <w:t xml:space="preserve"> Rather, the Appellate</w:t>
      </w:r>
      <w:r w:rsidR="00025CB6" w:rsidRPr="00564DB3">
        <w:rPr>
          <w:szCs w:val="18"/>
        </w:rPr>
        <w:t> Body</w:t>
      </w:r>
      <w:r w:rsidRPr="00564DB3">
        <w:rPr>
          <w:szCs w:val="18"/>
        </w:rPr>
        <w:t xml:space="preserve"> shared the original panel's view that, while the risks to dolphins arising from purse seine</w:t>
      </w:r>
      <w:r w:rsidR="006C5D49" w:rsidRPr="00564DB3">
        <w:rPr>
          <w:szCs w:val="18"/>
        </w:rPr>
        <w:t xml:space="preserve"> fishing by setting on dolphins </w:t>
      </w:r>
      <w:r w:rsidRPr="00564DB3">
        <w:rPr>
          <w:szCs w:val="18"/>
        </w:rPr>
        <w:t>– a fishing method predominantly used by Mexican fleets – were fully addressed in the original Tuna Measure</w:t>
      </w:r>
      <w:r w:rsidR="005B1CE4" w:rsidRPr="00564DB3">
        <w:rPr>
          <w:rStyle w:val="FootnoteReference"/>
          <w:szCs w:val="18"/>
        </w:rPr>
        <w:footnoteReference w:id="221"/>
      </w:r>
      <w:r w:rsidRPr="00564DB3">
        <w:rPr>
          <w:szCs w:val="18"/>
        </w:rPr>
        <w:t>, the risks to dolphins arising from the use of other fishing methods – predominantly used by US and other fishing fleets – were not.</w:t>
      </w:r>
      <w:r w:rsidR="005B1CE4" w:rsidRPr="00564DB3">
        <w:rPr>
          <w:rStyle w:val="FootnoteReference"/>
          <w:szCs w:val="18"/>
        </w:rPr>
        <w:footnoteReference w:id="222"/>
      </w:r>
      <w:bookmarkEnd w:id="134"/>
      <w:r w:rsidRPr="00564DB3">
        <w:rPr>
          <w:szCs w:val="18"/>
        </w:rPr>
        <w:t xml:space="preserve"> </w:t>
      </w:r>
      <w:r w:rsidR="003323C6" w:rsidRPr="00564DB3">
        <w:rPr>
          <w:szCs w:val="18"/>
        </w:rPr>
        <w:t>In the original proceedings, the Appellate Body thus accepted the premise that the original Tuna Measure would not violate Article 2.1 if it was properly calibrated to the risks to dolphins arising from the use of different fishing methods in different areas of the oceans.</w:t>
      </w:r>
      <w:r w:rsidR="003323C6" w:rsidRPr="00564DB3">
        <w:rPr>
          <w:rStyle w:val="FootnoteReference"/>
          <w:szCs w:val="18"/>
        </w:rPr>
        <w:footnoteReference w:id="223"/>
      </w:r>
      <w:bookmarkEnd w:id="135"/>
    </w:p>
    <w:p w:rsidR="00432E5C" w:rsidRPr="00564DB3" w:rsidRDefault="008A7BE6" w:rsidP="00F70E38">
      <w:pPr>
        <w:pStyle w:val="BodyText"/>
        <w:rPr>
          <w:szCs w:val="18"/>
        </w:rPr>
      </w:pPr>
      <w:bookmarkStart w:id="136" w:name="_Ref526155482"/>
      <w:bookmarkStart w:id="137" w:name="_Ref518041380"/>
      <w:r w:rsidRPr="00564DB3">
        <w:rPr>
          <w:szCs w:val="18"/>
        </w:rPr>
        <w:t>Referring to the original proceedings</w:t>
      </w:r>
      <w:r w:rsidR="00432E5C" w:rsidRPr="00564DB3">
        <w:rPr>
          <w:szCs w:val="18"/>
        </w:rPr>
        <w:t>, the Appellate</w:t>
      </w:r>
      <w:r w:rsidR="00025CB6" w:rsidRPr="00564DB3">
        <w:rPr>
          <w:szCs w:val="18"/>
        </w:rPr>
        <w:t> Body</w:t>
      </w:r>
      <w:r w:rsidR="00432E5C" w:rsidRPr="00564DB3">
        <w:rPr>
          <w:szCs w:val="18"/>
        </w:rPr>
        <w:t xml:space="preserve"> indicated</w:t>
      </w:r>
      <w:r w:rsidRPr="00564DB3">
        <w:rPr>
          <w:szCs w:val="18"/>
        </w:rPr>
        <w:t xml:space="preserve"> in the first compliance proceedings</w:t>
      </w:r>
      <w:r w:rsidR="00432E5C" w:rsidRPr="00564DB3">
        <w:rPr>
          <w:szCs w:val="18"/>
        </w:rPr>
        <w:t xml:space="preserve"> that it was </w:t>
      </w:r>
      <w:r w:rsidR="003323C6" w:rsidRPr="00564DB3">
        <w:rPr>
          <w:szCs w:val="18"/>
        </w:rPr>
        <w:t xml:space="preserve">therefore </w:t>
      </w:r>
      <w:r w:rsidR="00432E5C" w:rsidRPr="00564DB3">
        <w:rPr>
          <w:szCs w:val="18"/>
        </w:rPr>
        <w:t>appropriate to conduct an analysis involving the following:</w:t>
      </w:r>
      <w:bookmarkEnd w:id="136"/>
      <w:bookmarkEnd w:id="137"/>
    </w:p>
    <w:p w:rsidR="00432E5C" w:rsidRPr="00564DB3" w:rsidRDefault="00432E5C" w:rsidP="00F70E38">
      <w:pPr>
        <w:pStyle w:val="Quotation"/>
      </w:pPr>
      <w:r w:rsidRPr="00564DB3">
        <w:t>[F]</w:t>
      </w:r>
      <w:proofErr w:type="spellStart"/>
      <w:r w:rsidRPr="00564DB3">
        <w:t>irst</w:t>
      </w:r>
      <w:proofErr w:type="spellEnd"/>
      <w:r w:rsidRPr="00564DB3">
        <w:t>, an identification of whether different tuna fishing methods in different areas of the oceans pose different risks to dolphins; and, second, examination of whether, in the light of these risks, the different treatment created by the relevant regulatory distinction shows that, as between different groups, the treatment accorded to each group is commensurate with the relevant risks, taking account of the objectives of the measure.</w:t>
      </w:r>
      <w:r w:rsidR="005B1CE4" w:rsidRPr="00564DB3">
        <w:rPr>
          <w:rStyle w:val="FootnoteReference"/>
        </w:rPr>
        <w:footnoteReference w:id="224"/>
      </w:r>
    </w:p>
    <w:p w:rsidR="00432E5C" w:rsidRPr="00564DB3" w:rsidRDefault="00432E5C" w:rsidP="00F70E38">
      <w:pPr>
        <w:pStyle w:val="BodyText"/>
        <w:rPr>
          <w:szCs w:val="18"/>
        </w:rPr>
      </w:pPr>
      <w:bookmarkStart w:id="138" w:name="_Ref526155483"/>
      <w:bookmarkStart w:id="139" w:name="_Ref529197270"/>
      <w:r w:rsidRPr="00564DB3">
        <w:rPr>
          <w:szCs w:val="18"/>
        </w:rPr>
        <w:t>The Appellate</w:t>
      </w:r>
      <w:r w:rsidR="00025CB6" w:rsidRPr="00564DB3">
        <w:rPr>
          <w:szCs w:val="18"/>
        </w:rPr>
        <w:t> Body</w:t>
      </w:r>
      <w:r w:rsidRPr="00564DB3">
        <w:rPr>
          <w:szCs w:val="18"/>
        </w:rPr>
        <w:t xml:space="preserve"> further noted that "the reasoning set out in adopted Appellate Body and panel reports" provides guidance for WTO Members to bring their inconsistent measures into compliance with their obligations under the covered agreements.</w:t>
      </w:r>
      <w:r w:rsidR="005B1CE4" w:rsidRPr="00564DB3">
        <w:rPr>
          <w:rStyle w:val="FootnoteReference"/>
          <w:szCs w:val="18"/>
        </w:rPr>
        <w:footnoteReference w:id="225"/>
      </w:r>
      <w:r w:rsidRPr="00564DB3">
        <w:rPr>
          <w:szCs w:val="18"/>
        </w:rPr>
        <w:t xml:space="preserve"> In light of the fact that the </w:t>
      </w:r>
      <w:r w:rsidR="00083DFC" w:rsidRPr="00564DB3">
        <w:rPr>
          <w:szCs w:val="18"/>
        </w:rPr>
        <w:t>United States</w:t>
      </w:r>
      <w:r w:rsidRPr="00564DB3">
        <w:rPr>
          <w:szCs w:val="18"/>
        </w:rPr>
        <w:t xml:space="preserve"> had defended its 2013 Tuna Measure under </w:t>
      </w:r>
      <w:r w:rsidR="00083DFC" w:rsidRPr="00564DB3">
        <w:rPr>
          <w:szCs w:val="18"/>
        </w:rPr>
        <w:t>Article </w:t>
      </w:r>
      <w:r w:rsidRPr="00564DB3">
        <w:rPr>
          <w:szCs w:val="18"/>
        </w:rPr>
        <w:t>2.1 in terms very similar to those used in the original proceedings, the Appellate</w:t>
      </w:r>
      <w:r w:rsidR="00025CB6" w:rsidRPr="00564DB3">
        <w:rPr>
          <w:szCs w:val="18"/>
        </w:rPr>
        <w:t> Body</w:t>
      </w:r>
      <w:r w:rsidRPr="00564DB3">
        <w:rPr>
          <w:szCs w:val="18"/>
        </w:rPr>
        <w:t xml:space="preserve"> considered that the first compliance panel's inquiry in those proceedings should have encompassed:</w:t>
      </w:r>
      <w:bookmarkEnd w:id="138"/>
      <w:r w:rsidRPr="00564DB3">
        <w:rPr>
          <w:szCs w:val="18"/>
        </w:rPr>
        <w:t xml:space="preserve"> (i) </w:t>
      </w:r>
      <w:r w:rsidR="00505D9B" w:rsidRPr="00564DB3">
        <w:rPr>
          <w:szCs w:val="18"/>
        </w:rPr>
        <w:t>an</w:t>
      </w:r>
      <w:r w:rsidRPr="00564DB3">
        <w:rPr>
          <w:szCs w:val="18"/>
        </w:rPr>
        <w:t xml:space="preserve"> assessment of the "overall relative risks</w:t>
      </w:r>
      <w:r w:rsidRPr="00564DB3">
        <w:rPr>
          <w:i/>
          <w:szCs w:val="18"/>
        </w:rPr>
        <w:t xml:space="preserve"> </w:t>
      </w:r>
      <w:r w:rsidRPr="00564DB3">
        <w:rPr>
          <w:szCs w:val="18"/>
        </w:rPr>
        <w:t>or levels of harm to dolphins" arising from different fishing methods in different ocean areas</w:t>
      </w:r>
      <w:r w:rsidR="005B1CE4" w:rsidRPr="00564DB3">
        <w:rPr>
          <w:rStyle w:val="FootnoteReference"/>
          <w:szCs w:val="18"/>
        </w:rPr>
        <w:footnoteReference w:id="226"/>
      </w:r>
      <w:r w:rsidRPr="00564DB3">
        <w:rPr>
          <w:szCs w:val="18"/>
        </w:rPr>
        <w:t xml:space="preserve">; </w:t>
      </w:r>
      <w:r w:rsidRPr="00564DB3">
        <w:rPr>
          <w:szCs w:val="18"/>
        </w:rPr>
        <w:lastRenderedPageBreak/>
        <w:t>and (ii) an assessment as to whether the differences in the dolphin-safe labelling conditions under the measure are appropriately tailored to</w:t>
      </w:r>
      <w:r w:rsidR="005B1CE4" w:rsidRPr="00564DB3">
        <w:rPr>
          <w:rStyle w:val="FootnoteReference"/>
          <w:szCs w:val="18"/>
        </w:rPr>
        <w:footnoteReference w:id="227"/>
      </w:r>
      <w:r w:rsidRPr="00564DB3">
        <w:rPr>
          <w:szCs w:val="18"/>
        </w:rPr>
        <w:t xml:space="preserve">, </w:t>
      </w:r>
      <w:r w:rsidR="00505D9B" w:rsidRPr="00564DB3">
        <w:rPr>
          <w:szCs w:val="18"/>
        </w:rPr>
        <w:t xml:space="preserve">or </w:t>
      </w:r>
      <w:r w:rsidRPr="00564DB3">
        <w:rPr>
          <w:szCs w:val="18"/>
        </w:rPr>
        <w:t>commensurate with</w:t>
      </w:r>
      <w:r w:rsidR="00096D00" w:rsidRPr="00564DB3">
        <w:rPr>
          <w:rStyle w:val="FootnoteReference"/>
          <w:szCs w:val="18"/>
        </w:rPr>
        <w:footnoteReference w:id="228"/>
      </w:r>
      <w:r w:rsidRPr="00564DB3">
        <w:rPr>
          <w:szCs w:val="18"/>
        </w:rPr>
        <w:t>, those respective risks.</w:t>
      </w:r>
      <w:r w:rsidR="005B1CE4" w:rsidRPr="00564DB3">
        <w:rPr>
          <w:rStyle w:val="FootnoteReference"/>
          <w:szCs w:val="18"/>
        </w:rPr>
        <w:footnoteReference w:id="229"/>
      </w:r>
      <w:bookmarkEnd w:id="139"/>
    </w:p>
    <w:p w:rsidR="00432E5C" w:rsidRPr="00564DB3" w:rsidRDefault="00432E5C" w:rsidP="00F70E38">
      <w:pPr>
        <w:pStyle w:val="BodyText"/>
        <w:rPr>
          <w:szCs w:val="18"/>
        </w:rPr>
      </w:pPr>
      <w:bookmarkStart w:id="140" w:name="_Ref527549683"/>
      <w:bookmarkStart w:id="141" w:name="_Ref530389681"/>
      <w:r w:rsidRPr="00564DB3">
        <w:rPr>
          <w:szCs w:val="18"/>
        </w:rPr>
        <w:t>Thus, under the calibration analysis set out by the Appellate</w:t>
      </w:r>
      <w:r w:rsidR="00025CB6" w:rsidRPr="00564DB3">
        <w:rPr>
          <w:szCs w:val="18"/>
        </w:rPr>
        <w:t> Body</w:t>
      </w:r>
      <w:r w:rsidRPr="00564DB3">
        <w:rPr>
          <w:szCs w:val="18"/>
        </w:rPr>
        <w:t xml:space="preserve"> in the original and first compliance proceedings, the risks to which the regulatory distinctions must be calibrated are risks to dolphins from </w:t>
      </w:r>
      <w:r w:rsidR="009B1607" w:rsidRPr="00564DB3">
        <w:rPr>
          <w:szCs w:val="18"/>
        </w:rPr>
        <w:t xml:space="preserve">the use of </w:t>
      </w:r>
      <w:r w:rsidRPr="00564DB3">
        <w:rPr>
          <w:szCs w:val="18"/>
        </w:rPr>
        <w:t xml:space="preserve">different fishing </w:t>
      </w:r>
      <w:r w:rsidR="009B1607" w:rsidRPr="00564DB3">
        <w:rPr>
          <w:szCs w:val="18"/>
        </w:rPr>
        <w:t>methods</w:t>
      </w:r>
      <w:r w:rsidRPr="00564DB3">
        <w:rPr>
          <w:szCs w:val="18"/>
        </w:rPr>
        <w:t xml:space="preserve"> in different areas of the ocean. In our view, therefore, the Panels correctly considered that "the relevant inquiry is one that focuses on the risks that dolphins face as a result of the use, in different areas of the ocean, of different fishing methods</w:t>
      </w:r>
      <w:r w:rsidR="00124085" w:rsidRPr="00564DB3">
        <w:rPr>
          <w:szCs w:val="18"/>
        </w:rPr>
        <w:t>.</w:t>
      </w:r>
      <w:r w:rsidRPr="00564DB3">
        <w:rPr>
          <w:szCs w:val="18"/>
        </w:rPr>
        <w:t>"</w:t>
      </w:r>
      <w:bookmarkEnd w:id="140"/>
      <w:r w:rsidR="005B1CE4" w:rsidRPr="00564DB3">
        <w:rPr>
          <w:rStyle w:val="FootnoteReference"/>
          <w:szCs w:val="18"/>
        </w:rPr>
        <w:footnoteReference w:id="230"/>
      </w:r>
      <w:bookmarkEnd w:id="141"/>
      <w:r w:rsidRPr="00564DB3">
        <w:rPr>
          <w:szCs w:val="18"/>
        </w:rPr>
        <w:t xml:space="preserve"> </w:t>
      </w:r>
    </w:p>
    <w:p w:rsidR="00432E5C" w:rsidRPr="00564DB3" w:rsidRDefault="00432E5C" w:rsidP="00F70E38">
      <w:pPr>
        <w:pStyle w:val="BodyText"/>
        <w:rPr>
          <w:szCs w:val="18"/>
        </w:rPr>
      </w:pPr>
      <w:bookmarkStart w:id="142" w:name="_Ref527549687"/>
      <w:bookmarkStart w:id="143" w:name="_Ref529196427"/>
      <w:r w:rsidRPr="00564DB3">
        <w:rPr>
          <w:szCs w:val="18"/>
        </w:rPr>
        <w:t>Moreover, as the Appellate</w:t>
      </w:r>
      <w:r w:rsidR="00025CB6" w:rsidRPr="00564DB3">
        <w:rPr>
          <w:szCs w:val="18"/>
        </w:rPr>
        <w:t> Body</w:t>
      </w:r>
      <w:r w:rsidRPr="00564DB3">
        <w:rPr>
          <w:szCs w:val="18"/>
        </w:rPr>
        <w:t xml:space="preserve"> found in the first compliance proceedings, the examination of whether the regulatory distinctions are commensurate with different risks to dolphins must be conducted "taking account of the objectives of the measure".</w:t>
      </w:r>
      <w:r w:rsidR="005B1CE4" w:rsidRPr="00564DB3">
        <w:rPr>
          <w:rStyle w:val="FootnoteReference"/>
          <w:szCs w:val="18"/>
        </w:rPr>
        <w:footnoteReference w:id="231"/>
      </w:r>
      <w:r w:rsidRPr="00564DB3">
        <w:rPr>
          <w:szCs w:val="18"/>
        </w:rPr>
        <w:t xml:space="preserve"> Indeed, aspects of the Appellate</w:t>
      </w:r>
      <w:r w:rsidR="00025CB6" w:rsidRPr="00564DB3">
        <w:rPr>
          <w:szCs w:val="18"/>
        </w:rPr>
        <w:t> Body</w:t>
      </w:r>
      <w:r w:rsidRPr="00564DB3">
        <w:rPr>
          <w:szCs w:val="18"/>
        </w:rPr>
        <w:t xml:space="preserve">'s reasoning as to why the first compliance panel erred in its application of </w:t>
      </w:r>
      <w:r w:rsidR="00083DFC" w:rsidRPr="00564DB3">
        <w:rPr>
          <w:szCs w:val="18"/>
        </w:rPr>
        <w:t>Article </w:t>
      </w:r>
      <w:r w:rsidRPr="00564DB3">
        <w:rPr>
          <w:szCs w:val="18"/>
        </w:rPr>
        <w:t xml:space="preserve">2.1 illustrate how considerations of the </w:t>
      </w:r>
      <w:r w:rsidR="00505D9B" w:rsidRPr="00564DB3">
        <w:rPr>
          <w:szCs w:val="18"/>
        </w:rPr>
        <w:t>2013 Tuna M</w:t>
      </w:r>
      <w:r w:rsidRPr="00564DB3">
        <w:rPr>
          <w:szCs w:val="18"/>
        </w:rPr>
        <w:t>easure</w:t>
      </w:r>
      <w:r w:rsidR="00505D9B" w:rsidRPr="00564DB3">
        <w:rPr>
          <w:szCs w:val="18"/>
        </w:rPr>
        <w:t>'s</w:t>
      </w:r>
      <w:r w:rsidRPr="00564DB3">
        <w:rPr>
          <w:szCs w:val="18"/>
        </w:rPr>
        <w:t xml:space="preserve"> objectives, and the related issue of label accuracy, form part of the calibration analysis. </w:t>
      </w:r>
      <w:bookmarkStart w:id="144" w:name="_Ref526179497"/>
      <w:r w:rsidRPr="00564DB3">
        <w:rPr>
          <w:szCs w:val="18"/>
        </w:rPr>
        <w:t>Specifically, the Appellate</w:t>
      </w:r>
      <w:r w:rsidR="00025CB6" w:rsidRPr="00564DB3">
        <w:rPr>
          <w:szCs w:val="18"/>
        </w:rPr>
        <w:t> Body</w:t>
      </w:r>
      <w:r w:rsidRPr="00564DB3">
        <w:rPr>
          <w:szCs w:val="18"/>
        </w:rPr>
        <w:t xml:space="preserve"> noted that the first compliance panel had dismissed the </w:t>
      </w:r>
      <w:r w:rsidR="00083DFC" w:rsidRPr="00564DB3">
        <w:rPr>
          <w:szCs w:val="18"/>
        </w:rPr>
        <w:t>United States</w:t>
      </w:r>
      <w:r w:rsidRPr="00564DB3">
        <w:rPr>
          <w:szCs w:val="18"/>
        </w:rPr>
        <w:t>' argument that the different tracking and verification requirements are justified or explained in light of the higher degree of risk to dolphins in the ETP large purse</w:t>
      </w:r>
      <w:r w:rsidR="006F57D7" w:rsidRPr="00564DB3">
        <w:rPr>
          <w:szCs w:val="18"/>
        </w:rPr>
        <w:t xml:space="preserve"> </w:t>
      </w:r>
      <w:r w:rsidRPr="00564DB3">
        <w:rPr>
          <w:szCs w:val="18"/>
        </w:rPr>
        <w:t>seine fishery.</w:t>
      </w:r>
      <w:r w:rsidR="00C92087" w:rsidRPr="00564DB3">
        <w:rPr>
          <w:rStyle w:val="FootnoteReference"/>
          <w:szCs w:val="18"/>
        </w:rPr>
        <w:footnoteReference w:id="232"/>
      </w:r>
      <w:r w:rsidRPr="00564DB3">
        <w:rPr>
          <w:szCs w:val="18"/>
        </w:rPr>
        <w:t xml:space="preserve"> According to the first compliance panel, the different risk profiles of different fisheries do not explain regulatory distinctions in the tracking and verification requirements because such distinctions are triggered </w:t>
      </w:r>
      <w:r w:rsidRPr="00564DB3">
        <w:rPr>
          <w:i/>
          <w:szCs w:val="18"/>
        </w:rPr>
        <w:t xml:space="preserve">after </w:t>
      </w:r>
      <w:r w:rsidRPr="00564DB3">
        <w:rPr>
          <w:szCs w:val="18"/>
        </w:rPr>
        <w:t>the tuna has been caught.</w:t>
      </w:r>
      <w:r w:rsidR="005B1CE4" w:rsidRPr="00564DB3">
        <w:rPr>
          <w:rStyle w:val="FootnoteReference"/>
          <w:szCs w:val="18"/>
        </w:rPr>
        <w:footnoteReference w:id="233"/>
      </w:r>
      <w:r w:rsidRPr="00564DB3">
        <w:rPr>
          <w:szCs w:val="18"/>
        </w:rPr>
        <w:t xml:space="preserve"> The Appellate</w:t>
      </w:r>
      <w:r w:rsidR="00025CB6" w:rsidRPr="00564DB3">
        <w:rPr>
          <w:szCs w:val="18"/>
        </w:rPr>
        <w:t> Body</w:t>
      </w:r>
      <w:r w:rsidRPr="00564DB3">
        <w:rPr>
          <w:szCs w:val="18"/>
        </w:rPr>
        <w:t xml:space="preserve">, however, disagreed with the first compliance panel's view that considerations of the similarities and differences in risks to dolphins were irrelevant to evaluating the even-handedness of the tracking and </w:t>
      </w:r>
      <w:r w:rsidR="009458E7" w:rsidRPr="00564DB3">
        <w:rPr>
          <w:szCs w:val="18"/>
        </w:rPr>
        <w:t>verification requirements</w:t>
      </w:r>
      <w:r w:rsidRPr="00564DB3">
        <w:rPr>
          <w:szCs w:val="18"/>
        </w:rPr>
        <w:t>. To the Appellate</w:t>
      </w:r>
      <w:r w:rsidR="00025CB6" w:rsidRPr="00564DB3">
        <w:rPr>
          <w:szCs w:val="18"/>
        </w:rPr>
        <w:t> Body</w:t>
      </w:r>
      <w:r w:rsidRPr="00564DB3">
        <w:rPr>
          <w:szCs w:val="18"/>
        </w:rPr>
        <w:t xml:space="preserve">, the first compliance panel's disregard of the "considerations of the similarities and differences in risks [to dolphins]" did not comport with its own reasoning that "the </w:t>
      </w:r>
      <w:r w:rsidRPr="00564DB3">
        <w:rPr>
          <w:i/>
          <w:szCs w:val="18"/>
        </w:rPr>
        <w:t xml:space="preserve">accuracy of the US dolphin-safe label </w:t>
      </w:r>
      <w:r w:rsidRPr="00564DB3">
        <w:rPr>
          <w:szCs w:val="18"/>
        </w:rPr>
        <w:t xml:space="preserve">can be compromised at any stage of the tuna production stage, </w:t>
      </w:r>
      <w:r w:rsidRPr="00564DB3">
        <w:rPr>
          <w:i/>
          <w:szCs w:val="18"/>
        </w:rPr>
        <w:t>in contradiction with the objectives of the amended tuna measure</w:t>
      </w:r>
      <w:r w:rsidRPr="00564DB3">
        <w:rPr>
          <w:szCs w:val="18"/>
        </w:rPr>
        <w:t>".</w:t>
      </w:r>
      <w:bookmarkEnd w:id="142"/>
      <w:bookmarkEnd w:id="144"/>
      <w:r w:rsidR="005B1CE4" w:rsidRPr="00564DB3">
        <w:rPr>
          <w:rStyle w:val="FootnoteReference"/>
          <w:szCs w:val="18"/>
        </w:rPr>
        <w:footnoteReference w:id="234"/>
      </w:r>
      <w:bookmarkEnd w:id="143"/>
      <w:r w:rsidRPr="00564DB3">
        <w:rPr>
          <w:szCs w:val="18"/>
        </w:rPr>
        <w:t xml:space="preserve"> </w:t>
      </w:r>
    </w:p>
    <w:p w:rsidR="00432E5C" w:rsidRPr="00564DB3" w:rsidRDefault="00432E5C" w:rsidP="00F70E38">
      <w:pPr>
        <w:pStyle w:val="BodyText"/>
        <w:rPr>
          <w:szCs w:val="18"/>
        </w:rPr>
      </w:pPr>
      <w:bookmarkStart w:id="145" w:name="_Ref531869115"/>
      <w:r w:rsidRPr="00564DB3">
        <w:rPr>
          <w:szCs w:val="18"/>
        </w:rPr>
        <w:t>Th</w:t>
      </w:r>
      <w:r w:rsidR="00BD35EE" w:rsidRPr="00564DB3">
        <w:rPr>
          <w:szCs w:val="18"/>
        </w:rPr>
        <w:t>us, in the first compliance proceedings, th</w:t>
      </w:r>
      <w:r w:rsidRPr="00564DB3">
        <w:rPr>
          <w:szCs w:val="18"/>
        </w:rPr>
        <w:t>e Appellate</w:t>
      </w:r>
      <w:r w:rsidR="00025CB6" w:rsidRPr="00564DB3">
        <w:rPr>
          <w:szCs w:val="18"/>
        </w:rPr>
        <w:t> Body</w:t>
      </w:r>
      <w:r w:rsidR="00BD35EE" w:rsidRPr="00564DB3">
        <w:rPr>
          <w:szCs w:val="18"/>
        </w:rPr>
        <w:t xml:space="preserve"> found</w:t>
      </w:r>
      <w:r w:rsidRPr="00564DB3">
        <w:rPr>
          <w:szCs w:val="18"/>
        </w:rPr>
        <w:t xml:space="preserve"> that the tracking and verification requirements should have been calibrated to the risks to dolphins arising from the different fishing methods in different areas of the ocean so as to avoid co</w:t>
      </w:r>
      <w:r w:rsidR="006C5D49" w:rsidRPr="00564DB3">
        <w:rPr>
          <w:szCs w:val="18"/>
        </w:rPr>
        <w:t xml:space="preserve">mpromising the accuracy of the </w:t>
      </w:r>
      <w:r w:rsidRPr="00564DB3">
        <w:rPr>
          <w:szCs w:val="18"/>
        </w:rPr>
        <w:t>dolphin-safe label and contradicting the measure's objectives</w:t>
      </w:r>
      <w:bookmarkStart w:id="146" w:name="_Ref526179500"/>
      <w:r w:rsidRPr="00564DB3">
        <w:rPr>
          <w:szCs w:val="18"/>
        </w:rPr>
        <w:t>.</w:t>
      </w:r>
      <w:r w:rsidR="005B1CE4" w:rsidRPr="00564DB3">
        <w:rPr>
          <w:rStyle w:val="FootnoteReference"/>
          <w:szCs w:val="18"/>
        </w:rPr>
        <w:footnoteReference w:id="235"/>
      </w:r>
      <w:r w:rsidR="009B1607" w:rsidRPr="00564DB3">
        <w:rPr>
          <w:szCs w:val="18"/>
        </w:rPr>
        <w:t xml:space="preserve"> These findings </w:t>
      </w:r>
      <w:r w:rsidRPr="00564DB3">
        <w:rPr>
          <w:szCs w:val="18"/>
        </w:rPr>
        <w:t xml:space="preserve">confirm that considerations regarding label accuracy </w:t>
      </w:r>
      <w:r w:rsidR="00E20B3B" w:rsidRPr="00564DB3">
        <w:rPr>
          <w:szCs w:val="18"/>
        </w:rPr>
        <w:t>should have informed</w:t>
      </w:r>
      <w:r w:rsidRPr="00564DB3">
        <w:rPr>
          <w:szCs w:val="18"/>
        </w:rPr>
        <w:t xml:space="preserve"> the calibration analysis, precisely because the </w:t>
      </w:r>
      <w:r w:rsidR="006C5D49" w:rsidRPr="00564DB3">
        <w:rPr>
          <w:szCs w:val="18"/>
        </w:rPr>
        <w:t xml:space="preserve">accuracy of the </w:t>
      </w:r>
      <w:r w:rsidRPr="00564DB3">
        <w:rPr>
          <w:szCs w:val="18"/>
        </w:rPr>
        <w:t>dolp</w:t>
      </w:r>
      <w:r w:rsidR="008F7926" w:rsidRPr="00564DB3">
        <w:rPr>
          <w:szCs w:val="18"/>
        </w:rPr>
        <w:t>hin</w:t>
      </w:r>
      <w:r w:rsidR="008F7926" w:rsidRPr="00564DB3">
        <w:rPr>
          <w:szCs w:val="18"/>
        </w:rPr>
        <w:noBreakHyphen/>
      </w:r>
      <w:r w:rsidRPr="00564DB3">
        <w:rPr>
          <w:szCs w:val="18"/>
        </w:rPr>
        <w:t>safe label was directly relate</w:t>
      </w:r>
      <w:r w:rsidR="00B23AD2">
        <w:rPr>
          <w:szCs w:val="18"/>
        </w:rPr>
        <w:t>d to the objectives of the 2013 </w:t>
      </w:r>
      <w:r w:rsidRPr="00564DB3">
        <w:rPr>
          <w:szCs w:val="18"/>
        </w:rPr>
        <w:t xml:space="preserve">Tuna Measure. Thus, considerations of the nexus between the regulatory distinctions and the measure's objectives, rather than being a separate inquiry, are </w:t>
      </w:r>
      <w:r w:rsidR="00E20B3B" w:rsidRPr="00564DB3">
        <w:rPr>
          <w:szCs w:val="18"/>
        </w:rPr>
        <w:t>encompassed in</w:t>
      </w:r>
      <w:r w:rsidRPr="00564DB3">
        <w:rPr>
          <w:szCs w:val="18"/>
        </w:rPr>
        <w:t xml:space="preserve"> a proper calibration analysis.</w:t>
      </w:r>
      <w:bookmarkEnd w:id="145"/>
      <w:bookmarkEnd w:id="146"/>
    </w:p>
    <w:p w:rsidR="00BD35EE" w:rsidRPr="00564DB3" w:rsidRDefault="00432E5C" w:rsidP="00F70E38">
      <w:pPr>
        <w:pStyle w:val="BodyText"/>
        <w:rPr>
          <w:szCs w:val="18"/>
        </w:rPr>
      </w:pPr>
      <w:r w:rsidRPr="00564DB3">
        <w:rPr>
          <w:szCs w:val="18"/>
        </w:rPr>
        <w:lastRenderedPageBreak/>
        <w:t>Turning to the Panels' findings in these proceedings, the Panels recalled that the Appellate</w:t>
      </w:r>
      <w:r w:rsidR="00025CB6" w:rsidRPr="00564DB3">
        <w:rPr>
          <w:szCs w:val="18"/>
        </w:rPr>
        <w:t> Body</w:t>
      </w:r>
      <w:r w:rsidRPr="00564DB3">
        <w:rPr>
          <w:szCs w:val="18"/>
        </w:rPr>
        <w:t>'s findings in the first compliance proceedings made clear that</w:t>
      </w:r>
      <w:r w:rsidR="00BD35EE" w:rsidRPr="00564DB3">
        <w:rPr>
          <w:szCs w:val="18"/>
        </w:rPr>
        <w:t>:</w:t>
      </w:r>
    </w:p>
    <w:p w:rsidR="00BD35EE" w:rsidRPr="00564DB3" w:rsidRDefault="00BD35EE" w:rsidP="00F70E38">
      <w:pPr>
        <w:pStyle w:val="Quotation"/>
      </w:pPr>
      <w:r w:rsidRPr="00564DB3">
        <w:t>[W]</w:t>
      </w:r>
      <w:proofErr w:type="spellStart"/>
      <w:r w:rsidR="00432E5C" w:rsidRPr="00564DB3">
        <w:t>hile</w:t>
      </w:r>
      <w:proofErr w:type="spellEnd"/>
      <w:r w:rsidR="00432E5C" w:rsidRPr="00564DB3">
        <w:t xml:space="preserve"> there may in theory be a number of ways in which a panel could assess the 'even-handedness' of a measure challenged under </w:t>
      </w:r>
      <w:r w:rsidR="00083DFC" w:rsidRPr="00564DB3">
        <w:t>Article </w:t>
      </w:r>
      <w:r w:rsidR="00432E5C" w:rsidRPr="00564DB3">
        <w:t xml:space="preserve">2.1 of the </w:t>
      </w:r>
      <w:r w:rsidR="00083DFC" w:rsidRPr="00564DB3">
        <w:t>TBT Agreement</w:t>
      </w:r>
      <w:r w:rsidR="00432E5C" w:rsidRPr="00564DB3">
        <w:t xml:space="preserve">, in the specific context of these proceedings, the </w:t>
      </w:r>
      <w:r w:rsidR="009B6174" w:rsidRPr="00564DB3">
        <w:t>appropriate</w:t>
      </w:r>
      <w:r w:rsidR="00432E5C" w:rsidRPr="00564DB3">
        <w:t xml:space="preserve"> legal standard for the Panels to apply is one that focuses on the relationship between the risks posed to dolphins by different fishing methods in different areas of the ocean, on the one hand, and the relevant regulatory d</w:t>
      </w:r>
      <w:r w:rsidRPr="00564DB3">
        <w:t>istinctions, on the other hand.</w:t>
      </w:r>
      <w:r w:rsidR="005B1CE4" w:rsidRPr="00564DB3">
        <w:rPr>
          <w:rStyle w:val="FootnoteReference"/>
        </w:rPr>
        <w:footnoteReference w:id="236"/>
      </w:r>
      <w:r w:rsidR="00432E5C" w:rsidRPr="00564DB3">
        <w:t xml:space="preserve"> </w:t>
      </w:r>
    </w:p>
    <w:p w:rsidR="00432E5C" w:rsidRPr="00564DB3" w:rsidRDefault="00432E5C" w:rsidP="00F70E38">
      <w:pPr>
        <w:pStyle w:val="BodyText"/>
        <w:numPr>
          <w:ilvl w:val="0"/>
          <w:numId w:val="0"/>
        </w:numPr>
        <w:rPr>
          <w:szCs w:val="18"/>
        </w:rPr>
      </w:pPr>
      <w:r w:rsidRPr="00564DB3">
        <w:rPr>
          <w:szCs w:val="18"/>
        </w:rPr>
        <w:t>Thus, the Panels understood their task to be that of ascertaining "whether the relevant regulatory distinctions are appropriately 'calibrated' and 'tailored' to, and commensurate with, the different risks to dolphins arising in different fisheries."</w:t>
      </w:r>
      <w:r w:rsidR="005B1CE4" w:rsidRPr="00564DB3">
        <w:rPr>
          <w:rStyle w:val="FootnoteReference"/>
          <w:szCs w:val="18"/>
        </w:rPr>
        <w:footnoteReference w:id="237"/>
      </w:r>
      <w:r w:rsidRPr="00564DB3">
        <w:rPr>
          <w:szCs w:val="18"/>
        </w:rPr>
        <w:t xml:space="preserve"> If </w:t>
      </w:r>
      <w:r w:rsidR="00BD35EE" w:rsidRPr="00564DB3">
        <w:rPr>
          <w:szCs w:val="18"/>
        </w:rPr>
        <w:t>the relevant regulatory distinctions are so calibrated</w:t>
      </w:r>
      <w:r w:rsidRPr="00564DB3">
        <w:rPr>
          <w:szCs w:val="18"/>
        </w:rPr>
        <w:t xml:space="preserve">, the Panels considered that this would indicate that the 2016 Tuna Measure is not inconsistent with </w:t>
      </w:r>
      <w:r w:rsidR="00083DFC" w:rsidRPr="00564DB3">
        <w:rPr>
          <w:szCs w:val="18"/>
        </w:rPr>
        <w:t>Article </w:t>
      </w:r>
      <w:r w:rsidRPr="00564DB3">
        <w:rPr>
          <w:szCs w:val="18"/>
        </w:rPr>
        <w:t>2.1.</w:t>
      </w:r>
    </w:p>
    <w:p w:rsidR="00432E5C" w:rsidRPr="00564DB3" w:rsidRDefault="009458E7" w:rsidP="00F70E38">
      <w:pPr>
        <w:pStyle w:val="BodyText"/>
        <w:rPr>
          <w:szCs w:val="18"/>
        </w:rPr>
      </w:pPr>
      <w:r w:rsidRPr="00564DB3">
        <w:rPr>
          <w:szCs w:val="18"/>
        </w:rPr>
        <w:t>T</w:t>
      </w:r>
      <w:r w:rsidR="00432E5C" w:rsidRPr="00564DB3">
        <w:rPr>
          <w:szCs w:val="18"/>
        </w:rPr>
        <w:t>he Panels found that, insofar as Mexico</w:t>
      </w:r>
      <w:r w:rsidR="009B1607" w:rsidRPr="00564DB3">
        <w:rPr>
          <w:szCs w:val="18"/>
        </w:rPr>
        <w:t xml:space="preserve"> considered </w:t>
      </w:r>
      <w:r w:rsidR="00432E5C" w:rsidRPr="00564DB3">
        <w:rPr>
          <w:szCs w:val="18"/>
        </w:rPr>
        <w:t>that they should assess the existence of a rational relationship between the detrimental impact and the objectives of the 2016 Tuna Measure as a separate or distinct step in their analysis, such an approach was not supported by the Appellate</w:t>
      </w:r>
      <w:r w:rsidR="00025CB6" w:rsidRPr="00564DB3">
        <w:rPr>
          <w:szCs w:val="18"/>
        </w:rPr>
        <w:t> Body</w:t>
      </w:r>
      <w:r w:rsidR="00432E5C" w:rsidRPr="00564DB3">
        <w:rPr>
          <w:szCs w:val="18"/>
        </w:rPr>
        <w:t>'s reports in the original or the first compliance proceedings.</w:t>
      </w:r>
      <w:r w:rsidR="005B1CE4" w:rsidRPr="00564DB3">
        <w:rPr>
          <w:rStyle w:val="FootnoteReference"/>
          <w:szCs w:val="18"/>
        </w:rPr>
        <w:footnoteReference w:id="238"/>
      </w:r>
      <w:r w:rsidR="00432E5C" w:rsidRPr="00564DB3">
        <w:rPr>
          <w:szCs w:val="18"/>
        </w:rPr>
        <w:t xml:space="preserve"> In this regard, the Panels did not read the Appellate</w:t>
      </w:r>
      <w:r w:rsidR="00025CB6" w:rsidRPr="00564DB3">
        <w:rPr>
          <w:szCs w:val="18"/>
        </w:rPr>
        <w:t> Body</w:t>
      </w:r>
      <w:r w:rsidR="009B1607" w:rsidRPr="00564DB3">
        <w:rPr>
          <w:szCs w:val="18"/>
        </w:rPr>
        <w:t>'s reports</w:t>
      </w:r>
      <w:r w:rsidR="00432E5C" w:rsidRPr="00564DB3">
        <w:rPr>
          <w:szCs w:val="18"/>
        </w:rPr>
        <w:t xml:space="preserve"> as requiring, beyond calibration, "any additional, separate analysis" </w:t>
      </w:r>
      <w:r w:rsidR="00130DD5" w:rsidRPr="00564DB3">
        <w:rPr>
          <w:szCs w:val="18"/>
        </w:rPr>
        <w:t>of the</w:t>
      </w:r>
      <w:r w:rsidR="00432E5C" w:rsidRPr="00564DB3">
        <w:rPr>
          <w:szCs w:val="18"/>
        </w:rPr>
        <w:t xml:space="preserve"> relationship between the objectives of the </w:t>
      </w:r>
      <w:r w:rsidR="006C5D49" w:rsidRPr="00564DB3">
        <w:rPr>
          <w:szCs w:val="18"/>
        </w:rPr>
        <w:t>m</w:t>
      </w:r>
      <w:r w:rsidR="00432E5C" w:rsidRPr="00564DB3">
        <w:rPr>
          <w:szCs w:val="18"/>
        </w:rPr>
        <w:t>easure and the detrimental impact.</w:t>
      </w:r>
      <w:r w:rsidR="005B1CE4" w:rsidRPr="00564DB3">
        <w:rPr>
          <w:rStyle w:val="FootnoteReference"/>
          <w:szCs w:val="18"/>
        </w:rPr>
        <w:footnoteReference w:id="239"/>
      </w:r>
      <w:r w:rsidR="00432E5C" w:rsidRPr="00564DB3">
        <w:rPr>
          <w:szCs w:val="18"/>
        </w:rPr>
        <w:t xml:space="preserve"> In our view, the Panels' statements comport with the Appellate</w:t>
      </w:r>
      <w:r w:rsidR="00025CB6" w:rsidRPr="00564DB3">
        <w:rPr>
          <w:szCs w:val="18"/>
        </w:rPr>
        <w:t> Body</w:t>
      </w:r>
      <w:r w:rsidR="00432E5C" w:rsidRPr="00564DB3">
        <w:rPr>
          <w:szCs w:val="18"/>
        </w:rPr>
        <w:t xml:space="preserve">'s findings, as reviewed in </w:t>
      </w:r>
      <w:r w:rsidR="00432E5C" w:rsidRPr="00A53A52">
        <w:rPr>
          <w:szCs w:val="18"/>
        </w:rPr>
        <w:t>para</w:t>
      </w:r>
      <w:r w:rsidRPr="00A53A52">
        <w:rPr>
          <w:szCs w:val="18"/>
        </w:rPr>
        <w:t>graphs</w:t>
      </w:r>
      <w:r w:rsidR="00A53A52">
        <w:rPr>
          <w:szCs w:val="18"/>
        </w:rPr>
        <w:t xml:space="preserve"> 6.36-6.41</w:t>
      </w:r>
      <w:r w:rsidR="009629D6" w:rsidRPr="00A53A52">
        <w:rPr>
          <w:szCs w:val="18"/>
        </w:rPr>
        <w:t xml:space="preserve"> </w:t>
      </w:r>
      <w:r w:rsidR="00432E5C" w:rsidRPr="00A53A52">
        <w:rPr>
          <w:szCs w:val="18"/>
        </w:rPr>
        <w:t>above</w:t>
      </w:r>
      <w:r w:rsidR="00432E5C" w:rsidRPr="00564DB3">
        <w:rPr>
          <w:szCs w:val="18"/>
        </w:rPr>
        <w:t>, that considerations of the nexus between the regulatory distinctions and the measure's objectives, rather than being a separate inquiry, are an integral part of a proper calibration analysis.</w:t>
      </w:r>
    </w:p>
    <w:p w:rsidR="00432E5C" w:rsidRPr="00564DB3" w:rsidRDefault="00432E5C" w:rsidP="00F70E38">
      <w:pPr>
        <w:pStyle w:val="BodyText"/>
        <w:rPr>
          <w:szCs w:val="18"/>
        </w:rPr>
      </w:pPr>
      <w:r w:rsidRPr="00564DB3">
        <w:rPr>
          <w:szCs w:val="18"/>
        </w:rPr>
        <w:t>To the Panels, the Appellate</w:t>
      </w:r>
      <w:r w:rsidR="00025CB6" w:rsidRPr="00564DB3">
        <w:rPr>
          <w:szCs w:val="18"/>
        </w:rPr>
        <w:t> Body</w:t>
      </w:r>
      <w:r w:rsidRPr="00564DB3">
        <w:rPr>
          <w:szCs w:val="18"/>
        </w:rPr>
        <w:t>'s statement that the calibration analysis must be conducted "taking account of the measure's objectives" meant that those objectives must "inform the criteria in respect of which calibration is to be assessed", and that the Panels had to "bear in mind" those objectives in applying the calibration analysis to the facts of this dispute.</w:t>
      </w:r>
      <w:r w:rsidR="005B1CE4" w:rsidRPr="00564DB3">
        <w:rPr>
          <w:rStyle w:val="FootnoteReference"/>
          <w:szCs w:val="18"/>
        </w:rPr>
        <w:footnoteReference w:id="240"/>
      </w:r>
      <w:r w:rsidRPr="00564DB3">
        <w:rPr>
          <w:szCs w:val="18"/>
        </w:rPr>
        <w:t xml:space="preserve"> The Panels recalled that the objectives of the 2016 Tuna Measure are: </w:t>
      </w:r>
      <w:r w:rsidR="00BD35EE" w:rsidRPr="00564DB3">
        <w:rPr>
          <w:szCs w:val="18"/>
        </w:rPr>
        <w:t>(i) </w:t>
      </w:r>
      <w:r w:rsidRPr="00564DB3">
        <w:rPr>
          <w:szCs w:val="18"/>
        </w:rPr>
        <w:t>"contributing to the protection of dolphins, by ensuring that the US market is not used to encourage fishing fleets to catch tuna in a manner that adversely affects dolphins"</w:t>
      </w:r>
      <w:r w:rsidR="007010A8" w:rsidRPr="00564DB3">
        <w:rPr>
          <w:szCs w:val="18"/>
        </w:rPr>
        <w:t>;</w:t>
      </w:r>
      <w:r w:rsidRPr="00564DB3">
        <w:rPr>
          <w:szCs w:val="18"/>
        </w:rPr>
        <w:t xml:space="preserve"> and</w:t>
      </w:r>
      <w:r w:rsidR="00BD35EE" w:rsidRPr="00564DB3">
        <w:rPr>
          <w:szCs w:val="18"/>
        </w:rPr>
        <w:t xml:space="preserve"> (ii) </w:t>
      </w:r>
      <w:r w:rsidRPr="00564DB3">
        <w:rPr>
          <w:szCs w:val="18"/>
        </w:rPr>
        <w:t>"ensuring that consumers are not misled or deceived about whether tuna products contain tuna that was caught in a manner that adversely affects dolphins".</w:t>
      </w:r>
      <w:r w:rsidR="005B1CE4" w:rsidRPr="00564DB3">
        <w:rPr>
          <w:rStyle w:val="FootnoteReference"/>
          <w:szCs w:val="18"/>
        </w:rPr>
        <w:footnoteReference w:id="241"/>
      </w:r>
      <w:r w:rsidRPr="00564DB3">
        <w:rPr>
          <w:szCs w:val="18"/>
        </w:rPr>
        <w:t xml:space="preserve"> Thus, the Panels considered that the 2016 Tuna Measure "aims to convey accurate information to consumers in order to ensure that the US tuna market is not used to encourage fishing fleets to catch tuna in a manner that adversely affects dolphins."</w:t>
      </w:r>
      <w:r w:rsidR="005B1CE4" w:rsidRPr="00564DB3">
        <w:rPr>
          <w:rStyle w:val="FootnoteReference"/>
          <w:szCs w:val="18"/>
        </w:rPr>
        <w:footnoteReference w:id="242"/>
      </w:r>
      <w:r w:rsidRPr="00564DB3">
        <w:rPr>
          <w:szCs w:val="18"/>
        </w:rPr>
        <w:t xml:space="preserve"> In the Panels' view, calibration to the risks to dolphins arising from the use of different fishing methods in different areas of the ocean would take into account the objectives of the 2016 Tuna Measure.</w:t>
      </w:r>
      <w:r w:rsidR="005B1CE4" w:rsidRPr="00564DB3">
        <w:rPr>
          <w:rStyle w:val="FootnoteReference"/>
          <w:szCs w:val="18"/>
        </w:rPr>
        <w:footnoteReference w:id="243"/>
      </w:r>
      <w:r w:rsidRPr="00564DB3">
        <w:rPr>
          <w:szCs w:val="18"/>
        </w:rPr>
        <w:t xml:space="preserve"> </w:t>
      </w:r>
      <w:r w:rsidR="00BD35EE" w:rsidRPr="00564DB3">
        <w:rPr>
          <w:szCs w:val="18"/>
        </w:rPr>
        <w:t>T</w:t>
      </w:r>
      <w:r w:rsidRPr="00564DB3">
        <w:rPr>
          <w:szCs w:val="18"/>
        </w:rPr>
        <w:t xml:space="preserve">he Panels' findings correctly suggest that the design, structure, and expected operation of the tuna measure reveal that the measure seeks to achieve both its objectives in concert. We thus share the Panels' view that these objectives are "mutually complementary and </w:t>
      </w:r>
      <w:proofErr w:type="gramStart"/>
      <w:r w:rsidRPr="00564DB3">
        <w:rPr>
          <w:szCs w:val="18"/>
        </w:rPr>
        <w:t>reinforcing, and</w:t>
      </w:r>
      <w:proofErr w:type="gramEnd"/>
      <w:r w:rsidRPr="00564DB3">
        <w:rPr>
          <w:szCs w:val="18"/>
        </w:rPr>
        <w:t xml:space="preserve"> work together to 'address [the adverse effects of] fishing techniques on dolphins'".</w:t>
      </w:r>
      <w:r w:rsidR="005B1CE4" w:rsidRPr="00564DB3">
        <w:rPr>
          <w:rStyle w:val="FootnoteReference"/>
          <w:szCs w:val="18"/>
        </w:rPr>
        <w:footnoteReference w:id="244"/>
      </w:r>
      <w:r w:rsidRPr="00564DB3">
        <w:rPr>
          <w:szCs w:val="18"/>
        </w:rPr>
        <w:t xml:space="preserve"> </w:t>
      </w:r>
    </w:p>
    <w:p w:rsidR="00432E5C" w:rsidRPr="00564DB3" w:rsidRDefault="00432E5C" w:rsidP="00F70E38">
      <w:pPr>
        <w:pStyle w:val="BodyText"/>
        <w:rPr>
          <w:szCs w:val="18"/>
        </w:rPr>
      </w:pPr>
      <w:r w:rsidRPr="00564DB3">
        <w:rPr>
          <w:szCs w:val="18"/>
        </w:rPr>
        <w:t xml:space="preserve">In this respect, we recall Mexico's argument that, "[a]s a consumer labelling measure", the 2016 Tuna Measure "cannot achieve [its] objectives without label accuracy", and that a claim that the regulatory distinctions of the measure are "'calibrated' to the different risks posed to dolphins by different fishing methods in different ocean areas … cannot justify the detrimental impact on Mexican tuna products if the measure fails to ensure that the label provides accurate information to </w:t>
      </w:r>
      <w:r w:rsidRPr="00564DB3">
        <w:rPr>
          <w:szCs w:val="18"/>
        </w:rPr>
        <w:lastRenderedPageBreak/>
        <w:t>consumers"</w:t>
      </w:r>
      <w:r w:rsidR="000F54E8" w:rsidRPr="00564DB3">
        <w:rPr>
          <w:szCs w:val="18"/>
        </w:rPr>
        <w:t>.</w:t>
      </w:r>
      <w:r w:rsidR="005B1CE4" w:rsidRPr="00564DB3">
        <w:rPr>
          <w:rStyle w:val="FootnoteReference"/>
          <w:szCs w:val="18"/>
        </w:rPr>
        <w:footnoteReference w:id="245"/>
      </w:r>
      <w:r w:rsidRPr="00564DB3">
        <w:rPr>
          <w:szCs w:val="18"/>
        </w:rPr>
        <w:t xml:space="preserve"> As discussed above, the </w:t>
      </w:r>
      <w:r w:rsidR="00130DD5" w:rsidRPr="00564DB3">
        <w:rPr>
          <w:szCs w:val="18"/>
        </w:rPr>
        <w:t>Appellate</w:t>
      </w:r>
      <w:r w:rsidR="00025CB6" w:rsidRPr="00564DB3">
        <w:rPr>
          <w:szCs w:val="18"/>
        </w:rPr>
        <w:t> Body</w:t>
      </w:r>
      <w:r w:rsidRPr="00564DB3">
        <w:rPr>
          <w:szCs w:val="18"/>
        </w:rPr>
        <w:t xml:space="preserve">'s findings in the first compliance proceedings indicate that considerations regarding label accuracy </w:t>
      </w:r>
      <w:r w:rsidR="00BD35EE" w:rsidRPr="00564DB3">
        <w:rPr>
          <w:szCs w:val="18"/>
        </w:rPr>
        <w:t>are encompassed in a proper</w:t>
      </w:r>
      <w:r w:rsidRPr="00564DB3">
        <w:rPr>
          <w:szCs w:val="18"/>
        </w:rPr>
        <w:t xml:space="preserve"> calibration analysis. </w:t>
      </w:r>
      <w:r w:rsidR="00BD35EE" w:rsidRPr="00564DB3">
        <w:rPr>
          <w:szCs w:val="18"/>
        </w:rPr>
        <w:t>Accordingly</w:t>
      </w:r>
      <w:r w:rsidRPr="00564DB3">
        <w:rPr>
          <w:szCs w:val="18"/>
        </w:rPr>
        <w:t xml:space="preserve">, we disagree that </w:t>
      </w:r>
      <w:r w:rsidR="00BD35EE" w:rsidRPr="00564DB3">
        <w:rPr>
          <w:szCs w:val="18"/>
        </w:rPr>
        <w:t xml:space="preserve">a </w:t>
      </w:r>
      <w:r w:rsidRPr="00564DB3">
        <w:rPr>
          <w:szCs w:val="18"/>
        </w:rPr>
        <w:t xml:space="preserve">calibration </w:t>
      </w:r>
      <w:r w:rsidR="00BD35EE" w:rsidRPr="00564DB3">
        <w:rPr>
          <w:szCs w:val="18"/>
        </w:rPr>
        <w:t xml:space="preserve">analysis, </w:t>
      </w:r>
      <w:proofErr w:type="gramStart"/>
      <w:r w:rsidRPr="00564DB3">
        <w:rPr>
          <w:szCs w:val="18"/>
        </w:rPr>
        <w:t>on</w:t>
      </w:r>
      <w:r w:rsidR="00BD35EE" w:rsidRPr="00564DB3">
        <w:rPr>
          <w:szCs w:val="18"/>
        </w:rPr>
        <w:t xml:space="preserve"> the basis of</w:t>
      </w:r>
      <w:proofErr w:type="gramEnd"/>
      <w:r w:rsidR="00BD35EE" w:rsidRPr="00564DB3">
        <w:rPr>
          <w:szCs w:val="18"/>
        </w:rPr>
        <w:t xml:space="preserve"> risks to dolphins, </w:t>
      </w:r>
      <w:r w:rsidRPr="00564DB3">
        <w:rPr>
          <w:szCs w:val="18"/>
        </w:rPr>
        <w:t xml:space="preserve">would fail to ascertain whether the labels granted under the relevant labelling conditions are accurate and, as a consequence, whether the regulatory distinctions in such conditions are rationally related to the measure's objectives. </w:t>
      </w:r>
    </w:p>
    <w:p w:rsidR="00432E5C" w:rsidRPr="00564DB3" w:rsidRDefault="00432E5C" w:rsidP="00F70E38">
      <w:pPr>
        <w:pStyle w:val="BodyText"/>
        <w:rPr>
          <w:szCs w:val="18"/>
        </w:rPr>
      </w:pPr>
      <w:bookmarkStart w:id="147" w:name="_Ref531967269"/>
      <w:r w:rsidRPr="00564DB3">
        <w:rPr>
          <w:szCs w:val="18"/>
        </w:rPr>
        <w:t>Instead, we consider that</w:t>
      </w:r>
      <w:r w:rsidR="007010A8" w:rsidRPr="00564DB3">
        <w:rPr>
          <w:szCs w:val="18"/>
        </w:rPr>
        <w:t>,</w:t>
      </w:r>
      <w:r w:rsidRPr="00564DB3">
        <w:rPr>
          <w:szCs w:val="18"/>
        </w:rPr>
        <w:t xml:space="preserve"> where the calibration </w:t>
      </w:r>
      <w:r w:rsidR="009B1607" w:rsidRPr="00564DB3">
        <w:rPr>
          <w:szCs w:val="18"/>
        </w:rPr>
        <w:t xml:space="preserve">analysis is conducted properly, taking account of the objectives pursued by the 2016 Tuna Measure, </w:t>
      </w:r>
      <w:r w:rsidRPr="00564DB3">
        <w:rPr>
          <w:szCs w:val="18"/>
        </w:rPr>
        <w:t xml:space="preserve">this exercise </w:t>
      </w:r>
      <w:r w:rsidR="00BD35EE" w:rsidRPr="00564DB3">
        <w:rPr>
          <w:szCs w:val="18"/>
        </w:rPr>
        <w:t xml:space="preserve">should </w:t>
      </w:r>
      <w:r w:rsidRPr="00564DB3">
        <w:rPr>
          <w:szCs w:val="18"/>
        </w:rPr>
        <w:t>also ascertain whether the label granted under the measure at issue convey</w:t>
      </w:r>
      <w:r w:rsidR="009B1607" w:rsidRPr="00564DB3">
        <w:rPr>
          <w:szCs w:val="18"/>
        </w:rPr>
        <w:t>s</w:t>
      </w:r>
      <w:r w:rsidRPr="00564DB3">
        <w:rPr>
          <w:szCs w:val="18"/>
        </w:rPr>
        <w:t xml:space="preserve"> the information regarding the dolphin-safe nature of the tuna products to consumers.</w:t>
      </w:r>
      <w:r w:rsidR="005B1CE4" w:rsidRPr="00564DB3">
        <w:rPr>
          <w:rStyle w:val="FootnoteReference"/>
          <w:szCs w:val="18"/>
        </w:rPr>
        <w:footnoteReference w:id="246"/>
      </w:r>
      <w:r w:rsidRPr="00564DB3">
        <w:rPr>
          <w:szCs w:val="18"/>
        </w:rPr>
        <w:t xml:space="preserve"> This is because, if the calibration </w:t>
      </w:r>
      <w:r w:rsidR="00BD35EE" w:rsidRPr="00564DB3">
        <w:rPr>
          <w:szCs w:val="18"/>
        </w:rPr>
        <w:t>analysis</w:t>
      </w:r>
      <w:r w:rsidRPr="00564DB3">
        <w:rPr>
          <w:szCs w:val="18"/>
        </w:rPr>
        <w:t xml:space="preserve"> shows that the strictness of the different labelling conditions is indeed commensurate with the risks of harms to dolphins, it </w:t>
      </w:r>
      <w:r w:rsidR="009B1607" w:rsidRPr="00564DB3">
        <w:rPr>
          <w:szCs w:val="18"/>
        </w:rPr>
        <w:t>indicate</w:t>
      </w:r>
      <w:r w:rsidRPr="00564DB3">
        <w:rPr>
          <w:szCs w:val="18"/>
        </w:rPr>
        <w:t>s that the labels granted under these conditions w</w:t>
      </w:r>
      <w:r w:rsidR="009B1607" w:rsidRPr="00564DB3">
        <w:rPr>
          <w:szCs w:val="18"/>
        </w:rPr>
        <w:t>ould</w:t>
      </w:r>
      <w:r w:rsidRPr="00564DB3">
        <w:rPr>
          <w:szCs w:val="18"/>
        </w:rPr>
        <w:t xml:space="preserve"> allow consumers to obtain information regarding whether the tuna in the tuna products is harvested in a manner that harms dolphins. Therefore, we agree with the Panels that a proper calibration to the risks to dolphins arising from the use of different fishing methods in different areas of the ocean would </w:t>
      </w:r>
      <w:proofErr w:type="gramStart"/>
      <w:r w:rsidRPr="00564DB3">
        <w:rPr>
          <w:szCs w:val="18"/>
        </w:rPr>
        <w:t>take into account</w:t>
      </w:r>
      <w:proofErr w:type="gramEnd"/>
      <w:r w:rsidRPr="00564DB3">
        <w:rPr>
          <w:szCs w:val="18"/>
        </w:rPr>
        <w:t xml:space="preserve"> the objectives of the 2016 Tuna Measure</w:t>
      </w:r>
      <w:r w:rsidR="005B1CE4" w:rsidRPr="00564DB3">
        <w:rPr>
          <w:rStyle w:val="FootnoteReference"/>
          <w:szCs w:val="18"/>
        </w:rPr>
        <w:footnoteReference w:id="247"/>
      </w:r>
      <w:r w:rsidRPr="00564DB3">
        <w:rPr>
          <w:szCs w:val="18"/>
        </w:rPr>
        <w:t xml:space="preserve">, and would help to ascertain the nexus between such objectives and the different labelling conditions under the measure. </w:t>
      </w:r>
      <w:bookmarkStart w:id="148" w:name="_Hlk526163494"/>
      <w:r w:rsidRPr="00564DB3">
        <w:rPr>
          <w:szCs w:val="18"/>
        </w:rPr>
        <w:t xml:space="preserve">In the same vein, we also agree with the Panels that the existence of a rational relationship between the regulatory distinctions and the objectives of the 2016 Tuna Measure need not be assessed </w:t>
      </w:r>
      <w:r w:rsidRPr="00564DB3">
        <w:rPr>
          <w:i/>
          <w:szCs w:val="18"/>
        </w:rPr>
        <w:t>as a separate or distinct step</w:t>
      </w:r>
      <w:r w:rsidRPr="00564DB3">
        <w:rPr>
          <w:szCs w:val="18"/>
        </w:rPr>
        <w:t xml:space="preserve"> in their analysis</w:t>
      </w:r>
      <w:bookmarkEnd w:id="148"/>
      <w:r w:rsidRPr="00564DB3">
        <w:rPr>
          <w:szCs w:val="18"/>
        </w:rPr>
        <w:t>.</w:t>
      </w:r>
      <w:bookmarkStart w:id="149" w:name="_Hlk525912917"/>
      <w:r w:rsidR="005B1CE4" w:rsidRPr="00564DB3">
        <w:rPr>
          <w:rStyle w:val="FootnoteReference"/>
          <w:szCs w:val="18"/>
        </w:rPr>
        <w:footnoteReference w:id="248"/>
      </w:r>
      <w:bookmarkEnd w:id="147"/>
      <w:r w:rsidRPr="00564DB3">
        <w:rPr>
          <w:szCs w:val="18"/>
        </w:rPr>
        <w:t xml:space="preserve"> </w:t>
      </w:r>
      <w:bookmarkEnd w:id="149"/>
    </w:p>
    <w:p w:rsidR="00432E5C" w:rsidRPr="00564DB3" w:rsidRDefault="00432E5C" w:rsidP="00F70E38">
      <w:pPr>
        <w:pStyle w:val="Heading5"/>
        <w:rPr>
          <w:szCs w:val="18"/>
        </w:rPr>
      </w:pPr>
      <w:bookmarkStart w:id="150" w:name="_Toc528506757"/>
      <w:bookmarkStart w:id="151" w:name="_Toc528506922"/>
      <w:bookmarkStart w:id="152" w:name="_Ref529971497"/>
      <w:bookmarkStart w:id="153" w:name="_Toc531967474"/>
      <w:r w:rsidRPr="00564DB3">
        <w:rPr>
          <w:szCs w:val="18"/>
        </w:rPr>
        <w:t>Whether the risks of label inaccuracy form part of the risks to which the 2016 Tuna Measure must be calibrated</w:t>
      </w:r>
      <w:bookmarkEnd w:id="150"/>
      <w:bookmarkEnd w:id="151"/>
      <w:bookmarkEnd w:id="152"/>
      <w:bookmarkEnd w:id="153"/>
    </w:p>
    <w:p w:rsidR="00432E5C" w:rsidRPr="00564DB3" w:rsidRDefault="00432E5C" w:rsidP="00F70E38">
      <w:pPr>
        <w:pStyle w:val="BodyText"/>
        <w:rPr>
          <w:szCs w:val="18"/>
        </w:rPr>
      </w:pPr>
      <w:bookmarkStart w:id="154" w:name="_Ref531966696"/>
      <w:r w:rsidRPr="00564DB3">
        <w:rPr>
          <w:szCs w:val="18"/>
        </w:rPr>
        <w:t xml:space="preserve">Mexico contends that the Panels erred </w:t>
      </w:r>
      <w:r w:rsidR="00134A82" w:rsidRPr="00564DB3">
        <w:rPr>
          <w:szCs w:val="18"/>
        </w:rPr>
        <w:t>in</w:t>
      </w:r>
      <w:r w:rsidRPr="00564DB3">
        <w:rPr>
          <w:szCs w:val="18"/>
        </w:rPr>
        <w:t xml:space="preserve"> finding that calibration under </w:t>
      </w:r>
      <w:r w:rsidR="00083DFC" w:rsidRPr="00564DB3">
        <w:rPr>
          <w:szCs w:val="18"/>
        </w:rPr>
        <w:t>Article </w:t>
      </w:r>
      <w:r w:rsidRPr="00564DB3">
        <w:rPr>
          <w:szCs w:val="18"/>
        </w:rPr>
        <w:t>2.1 "requires a panel to simply 'bear in mind the objectives of the … Measure'".</w:t>
      </w:r>
      <w:r w:rsidR="005B1CE4" w:rsidRPr="00564DB3">
        <w:rPr>
          <w:rStyle w:val="FootnoteReference"/>
          <w:szCs w:val="18"/>
        </w:rPr>
        <w:footnoteReference w:id="249"/>
      </w:r>
      <w:r w:rsidRPr="00564DB3">
        <w:rPr>
          <w:szCs w:val="18"/>
        </w:rPr>
        <w:t xml:space="preserve"> Rather, Mexico emphasizes that the objectives of the measure "must be reflected in the substantive criteria</w:t>
      </w:r>
      <w:r w:rsidR="001E22AC" w:rsidRPr="00564DB3">
        <w:rPr>
          <w:szCs w:val="18"/>
        </w:rPr>
        <w:t xml:space="preserve"> for assessing whether the measure's regulatory distinctions are designed and applied in an even-handed manner, including on the basis of '</w:t>
      </w:r>
      <w:r w:rsidRPr="00564DB3">
        <w:rPr>
          <w:szCs w:val="18"/>
        </w:rPr>
        <w:t>calibration</w:t>
      </w:r>
      <w:r w:rsidR="001E22AC" w:rsidRPr="00564DB3">
        <w:rPr>
          <w:szCs w:val="18"/>
        </w:rPr>
        <w:t>'".</w:t>
      </w:r>
      <w:r w:rsidR="001E22AC" w:rsidRPr="00564DB3">
        <w:rPr>
          <w:rStyle w:val="FootnoteReference"/>
          <w:szCs w:val="18"/>
        </w:rPr>
        <w:footnoteReference w:id="250"/>
      </w:r>
      <w:r w:rsidR="001E22AC" w:rsidRPr="00564DB3">
        <w:rPr>
          <w:szCs w:val="18"/>
        </w:rPr>
        <w:t xml:space="preserve"> As the </w:t>
      </w:r>
      <w:r w:rsidRPr="00564DB3">
        <w:rPr>
          <w:szCs w:val="18"/>
        </w:rPr>
        <w:t>2016 Tuna Measure can only achieve its objectives through label accuracy</w:t>
      </w:r>
      <w:r w:rsidR="001E22AC" w:rsidRPr="00564DB3">
        <w:rPr>
          <w:rStyle w:val="FootnoteReference"/>
          <w:szCs w:val="18"/>
        </w:rPr>
        <w:footnoteReference w:id="251"/>
      </w:r>
      <w:r w:rsidRPr="00564DB3">
        <w:rPr>
          <w:szCs w:val="18"/>
        </w:rPr>
        <w:t>, such criteria must include factors relating to the risk of inaccurate labelling.</w:t>
      </w:r>
      <w:r w:rsidR="005B1CE4" w:rsidRPr="00564DB3">
        <w:rPr>
          <w:rStyle w:val="FootnoteReference"/>
          <w:szCs w:val="18"/>
        </w:rPr>
        <w:footnoteReference w:id="252"/>
      </w:r>
      <w:r w:rsidRPr="00564DB3">
        <w:rPr>
          <w:szCs w:val="18"/>
        </w:rPr>
        <w:t xml:space="preserve"> Thus, Mexico argues that the Panels erred in finding that, </w:t>
      </w:r>
      <w:r w:rsidR="00FF1995" w:rsidRPr="00564DB3">
        <w:rPr>
          <w:szCs w:val="18"/>
        </w:rPr>
        <w:t xml:space="preserve">for the purpose of </w:t>
      </w:r>
      <w:r w:rsidRPr="00564DB3">
        <w:rPr>
          <w:szCs w:val="18"/>
        </w:rPr>
        <w:t xml:space="preserve">the calibration analysis, risks relating to inaccurate labelling </w:t>
      </w:r>
      <w:r w:rsidR="00BD35EE" w:rsidRPr="00564DB3">
        <w:rPr>
          <w:szCs w:val="18"/>
        </w:rPr>
        <w:t>a</w:t>
      </w:r>
      <w:r w:rsidRPr="00564DB3">
        <w:rPr>
          <w:szCs w:val="18"/>
        </w:rPr>
        <w:t>re not part of the risk profiles of the different fishing methods and ocean areas. Mexico submits that, in doing so, the Panels' approach "preclude[d] an assessment from taking full account of the particular circumstances of the case"</w:t>
      </w:r>
      <w:r w:rsidR="005B1CE4" w:rsidRPr="00564DB3">
        <w:rPr>
          <w:rStyle w:val="FootnoteReference"/>
          <w:szCs w:val="18"/>
        </w:rPr>
        <w:footnoteReference w:id="253"/>
      </w:r>
      <w:r w:rsidRPr="00564DB3">
        <w:rPr>
          <w:szCs w:val="18"/>
        </w:rPr>
        <w:t>, and "did not give meaningful relevance" to the nexus between the detrimental impact caused by the regulatory distinctions and the objectives of the measure.</w:t>
      </w:r>
      <w:r w:rsidR="005B1CE4" w:rsidRPr="00564DB3">
        <w:rPr>
          <w:rStyle w:val="FootnoteReference"/>
          <w:szCs w:val="18"/>
        </w:rPr>
        <w:footnoteReference w:id="254"/>
      </w:r>
      <w:bookmarkEnd w:id="154"/>
    </w:p>
    <w:p w:rsidR="00432E5C" w:rsidRPr="00564DB3" w:rsidRDefault="00432E5C" w:rsidP="00F70E38">
      <w:pPr>
        <w:pStyle w:val="BodyText"/>
        <w:rPr>
          <w:szCs w:val="18"/>
        </w:rPr>
      </w:pPr>
      <w:r w:rsidRPr="00564DB3">
        <w:rPr>
          <w:szCs w:val="18"/>
        </w:rPr>
        <w:t xml:space="preserve"> </w:t>
      </w:r>
      <w:r w:rsidR="00BD35EE" w:rsidRPr="00564DB3">
        <w:rPr>
          <w:szCs w:val="18"/>
        </w:rPr>
        <w:t>The A</w:t>
      </w:r>
      <w:r w:rsidRPr="00564DB3">
        <w:rPr>
          <w:szCs w:val="18"/>
        </w:rPr>
        <w:t>ppellate</w:t>
      </w:r>
      <w:r w:rsidR="00025CB6" w:rsidRPr="00564DB3">
        <w:rPr>
          <w:szCs w:val="18"/>
        </w:rPr>
        <w:t> Body</w:t>
      </w:r>
      <w:r w:rsidRPr="00564DB3">
        <w:rPr>
          <w:szCs w:val="18"/>
        </w:rPr>
        <w:t xml:space="preserve">'s findings reviewed above support Mexico's view that </w:t>
      </w:r>
      <w:r w:rsidR="00E20B3B" w:rsidRPr="00564DB3">
        <w:rPr>
          <w:szCs w:val="18"/>
        </w:rPr>
        <w:t xml:space="preserve">considerations regarding </w:t>
      </w:r>
      <w:r w:rsidRPr="00564DB3">
        <w:rPr>
          <w:szCs w:val="18"/>
        </w:rPr>
        <w:t xml:space="preserve">label accuracy </w:t>
      </w:r>
      <w:r w:rsidR="00E20B3B" w:rsidRPr="00564DB3">
        <w:rPr>
          <w:szCs w:val="18"/>
        </w:rPr>
        <w:t>are relevant to</w:t>
      </w:r>
      <w:r w:rsidRPr="00564DB3">
        <w:rPr>
          <w:szCs w:val="18"/>
        </w:rPr>
        <w:t xml:space="preserve"> assessing the nexus between the regulatory distinctions under the 2016 Tuna Measure and its policy objectives.</w:t>
      </w:r>
      <w:r w:rsidR="005B1CE4" w:rsidRPr="00564DB3">
        <w:rPr>
          <w:rStyle w:val="FootnoteReference"/>
          <w:szCs w:val="18"/>
        </w:rPr>
        <w:footnoteReference w:id="255"/>
      </w:r>
      <w:r w:rsidRPr="00564DB3">
        <w:rPr>
          <w:szCs w:val="18"/>
        </w:rPr>
        <w:t xml:space="preserve"> However, the Appellate</w:t>
      </w:r>
      <w:r w:rsidR="00025CB6" w:rsidRPr="00564DB3">
        <w:rPr>
          <w:szCs w:val="18"/>
        </w:rPr>
        <w:t> Body</w:t>
      </w:r>
      <w:r w:rsidRPr="00564DB3">
        <w:rPr>
          <w:szCs w:val="18"/>
        </w:rPr>
        <w:t xml:space="preserve"> did not suggest that the risk of label inaccuracy constitutes a risk to which the relevant regulatory distinctions must be calibrated. Rather, as noted above, the Appellate</w:t>
      </w:r>
      <w:r w:rsidR="00025CB6" w:rsidRPr="00564DB3">
        <w:rPr>
          <w:szCs w:val="18"/>
        </w:rPr>
        <w:t> Body</w:t>
      </w:r>
      <w:r w:rsidRPr="00564DB3">
        <w:rPr>
          <w:szCs w:val="18"/>
        </w:rPr>
        <w:t xml:space="preserve"> emphasized that the risks to which the regulatory distinctions must be calibrated were risks to dolphins arising from tuna</w:t>
      </w:r>
      <w:r w:rsidR="009458E7" w:rsidRPr="00564DB3">
        <w:rPr>
          <w:szCs w:val="18"/>
        </w:rPr>
        <w:t> </w:t>
      </w:r>
      <w:r w:rsidRPr="00564DB3">
        <w:rPr>
          <w:szCs w:val="18"/>
        </w:rPr>
        <w:t>fishing in different fisheries.</w:t>
      </w:r>
      <w:r w:rsidR="005B1CE4" w:rsidRPr="00564DB3">
        <w:rPr>
          <w:rStyle w:val="FootnoteReference"/>
          <w:szCs w:val="18"/>
        </w:rPr>
        <w:footnoteReference w:id="256"/>
      </w:r>
      <w:r w:rsidRPr="00564DB3">
        <w:rPr>
          <w:szCs w:val="18"/>
        </w:rPr>
        <w:t xml:space="preserve"> Thus, while accuracy of the information conveyed to consumers through the dolphin-safe label is a consideration that should inform the calibration </w:t>
      </w:r>
      <w:r w:rsidR="00BD35EE" w:rsidRPr="00564DB3">
        <w:rPr>
          <w:szCs w:val="18"/>
        </w:rPr>
        <w:t>analysis</w:t>
      </w:r>
      <w:r w:rsidRPr="00564DB3">
        <w:rPr>
          <w:szCs w:val="18"/>
        </w:rPr>
        <w:t xml:space="preserve">, we share the Panels' view that this </w:t>
      </w:r>
      <w:r w:rsidR="00E20B3B" w:rsidRPr="00564DB3">
        <w:rPr>
          <w:szCs w:val="18"/>
        </w:rPr>
        <w:t>i</w:t>
      </w:r>
      <w:r w:rsidRPr="00564DB3">
        <w:rPr>
          <w:szCs w:val="18"/>
        </w:rPr>
        <w:t xml:space="preserve">s "different from saying that the applicable legal standard … requires the </w:t>
      </w:r>
      <w:r w:rsidRPr="00564DB3">
        <w:rPr>
          <w:szCs w:val="18"/>
        </w:rPr>
        <w:lastRenderedPageBreak/>
        <w:t xml:space="preserve">Panels to determine whether the 2016 Tuna Measure is calibrated, </w:t>
      </w:r>
      <w:r w:rsidRPr="00564DB3">
        <w:rPr>
          <w:i/>
          <w:szCs w:val="18"/>
        </w:rPr>
        <w:t>inter alia</w:t>
      </w:r>
      <w:r w:rsidRPr="00564DB3">
        <w:rPr>
          <w:szCs w:val="18"/>
        </w:rPr>
        <w:t>, to the risk of inaccurate dolphin-safe information being passed to consumers</w:t>
      </w:r>
      <w:r w:rsidR="00E20B3B" w:rsidRPr="00564DB3">
        <w:rPr>
          <w:szCs w:val="18"/>
        </w:rPr>
        <w:t>"</w:t>
      </w:r>
      <w:r w:rsidR="0049607B" w:rsidRPr="00564DB3">
        <w:rPr>
          <w:szCs w:val="18"/>
        </w:rPr>
        <w:t>.</w:t>
      </w:r>
      <w:r w:rsidR="005B1CE4" w:rsidRPr="00564DB3">
        <w:rPr>
          <w:rStyle w:val="FootnoteReference"/>
          <w:szCs w:val="18"/>
        </w:rPr>
        <w:footnoteReference w:id="257"/>
      </w:r>
    </w:p>
    <w:p w:rsidR="00432E5C" w:rsidRPr="00564DB3" w:rsidRDefault="00432E5C" w:rsidP="00F70E38">
      <w:pPr>
        <w:pStyle w:val="BodyText"/>
        <w:rPr>
          <w:szCs w:val="18"/>
        </w:rPr>
      </w:pPr>
      <w:bookmarkStart w:id="155" w:name="_Ref526179261"/>
      <w:r w:rsidRPr="00564DB3">
        <w:rPr>
          <w:szCs w:val="18"/>
        </w:rPr>
        <w:t>Mexico additionally argues that, in finding that risk profiles of different fisheries do not encompass risks of label inaccuracy</w:t>
      </w:r>
      <w:r w:rsidR="009F3F1D" w:rsidRPr="00564DB3">
        <w:rPr>
          <w:rStyle w:val="FootnoteReference"/>
          <w:szCs w:val="18"/>
        </w:rPr>
        <w:footnoteReference w:id="258"/>
      </w:r>
      <w:r w:rsidRPr="00564DB3">
        <w:rPr>
          <w:szCs w:val="18"/>
        </w:rPr>
        <w:t>, the Panels failed to recognize that the risks to dolphins "are inextricably linked to the characteristics of ocean areas and fisheries that impact the accuracy of the dolphin-safe label".</w:t>
      </w:r>
      <w:r w:rsidR="005B1CE4" w:rsidRPr="00564DB3">
        <w:rPr>
          <w:rStyle w:val="FootnoteReference"/>
          <w:szCs w:val="18"/>
        </w:rPr>
        <w:footnoteReference w:id="259"/>
      </w:r>
      <w:r w:rsidRPr="00564DB3">
        <w:rPr>
          <w:szCs w:val="18"/>
        </w:rPr>
        <w:t xml:space="preserve"> </w:t>
      </w:r>
      <w:bookmarkStart w:id="156" w:name="_Hlk498594072"/>
      <w:r w:rsidRPr="00564DB3">
        <w:rPr>
          <w:szCs w:val="18"/>
        </w:rPr>
        <w:t xml:space="preserve">Specifically, "[f]or a given fishing method capable of causing harms to dolphins, dolphins will be at a greater relative risk of harms from that fishing method in ocean areas that are unregulated or that have insufficient regulatory oversight, resulting in unreliable reporting, significant </w:t>
      </w:r>
      <w:r w:rsidR="00B73EE5" w:rsidRPr="00564DB3">
        <w:rPr>
          <w:szCs w:val="18"/>
        </w:rPr>
        <w:t>[illegal, unreported</w:t>
      </w:r>
      <w:r w:rsidR="0049607B" w:rsidRPr="00564DB3">
        <w:rPr>
          <w:szCs w:val="18"/>
        </w:rPr>
        <w:t>,</w:t>
      </w:r>
      <w:r w:rsidR="00B73EE5" w:rsidRPr="00564DB3">
        <w:rPr>
          <w:szCs w:val="18"/>
        </w:rPr>
        <w:t xml:space="preserve"> and unregulated] </w:t>
      </w:r>
      <w:r w:rsidR="00F00236" w:rsidRPr="00564DB3">
        <w:rPr>
          <w:szCs w:val="18"/>
        </w:rPr>
        <w:t xml:space="preserve">IUU </w:t>
      </w:r>
      <w:r w:rsidRPr="00564DB3">
        <w:rPr>
          <w:szCs w:val="18"/>
        </w:rPr>
        <w:t xml:space="preserve">fishing, and/or significant </w:t>
      </w:r>
      <w:proofErr w:type="spellStart"/>
      <w:r w:rsidRPr="00564DB3">
        <w:rPr>
          <w:szCs w:val="18"/>
        </w:rPr>
        <w:t>transshipment</w:t>
      </w:r>
      <w:proofErr w:type="spellEnd"/>
      <w:r w:rsidRPr="00564DB3">
        <w:rPr>
          <w:szCs w:val="18"/>
        </w:rPr>
        <w:t xml:space="preserve"> at sea, than in ocean areas that have sufficient regulatory oversight and reliable reporting."</w:t>
      </w:r>
      <w:r w:rsidR="005B1CE4" w:rsidRPr="00564DB3">
        <w:rPr>
          <w:rStyle w:val="FootnoteReference"/>
          <w:szCs w:val="18"/>
        </w:rPr>
        <w:footnoteReference w:id="260"/>
      </w:r>
      <w:r w:rsidRPr="00564DB3">
        <w:rPr>
          <w:szCs w:val="18"/>
        </w:rPr>
        <w:t xml:space="preserve"> </w:t>
      </w:r>
      <w:bookmarkEnd w:id="156"/>
      <w:r w:rsidR="00BD35EE" w:rsidRPr="00564DB3">
        <w:rPr>
          <w:szCs w:val="18"/>
        </w:rPr>
        <w:t>I</w:t>
      </w:r>
      <w:r w:rsidR="002D5D4F">
        <w:rPr>
          <w:szCs w:val="18"/>
        </w:rPr>
        <w:t>n </w:t>
      </w:r>
      <w:r w:rsidRPr="00564DB3">
        <w:rPr>
          <w:szCs w:val="18"/>
        </w:rPr>
        <w:t>Mexico's view, for tuna caught in such ocean areas, "stricter certification requirements and tracking and verification requirements are justified (and required) on the basis that they are calibrated to the higher relative risks of harms to dolphins".</w:t>
      </w:r>
      <w:r w:rsidR="005B1CE4" w:rsidRPr="00564DB3">
        <w:rPr>
          <w:rStyle w:val="FootnoteReference"/>
          <w:szCs w:val="18"/>
        </w:rPr>
        <w:footnoteReference w:id="261"/>
      </w:r>
      <w:r w:rsidRPr="00564DB3">
        <w:rPr>
          <w:szCs w:val="18"/>
        </w:rPr>
        <w:t xml:space="preserve"> Mexico therefore contends that the Panels erroneously focused the calibration assessment solely on the impact of fishing methods in terms of their harm to dolphins, and that such an approach is "incomplete</w:t>
      </w:r>
      <w:r w:rsidR="006C5D49" w:rsidRPr="00564DB3">
        <w:rPr>
          <w:szCs w:val="18"/>
        </w:rPr>
        <w:t>" and</w:t>
      </w:r>
      <w:r w:rsidRPr="00564DB3">
        <w:rPr>
          <w:szCs w:val="18"/>
        </w:rPr>
        <w:t xml:space="preserve"> </w:t>
      </w:r>
      <w:r w:rsidR="006C5D49" w:rsidRPr="00564DB3">
        <w:rPr>
          <w:szCs w:val="18"/>
        </w:rPr>
        <w:t>"</w:t>
      </w:r>
      <w:r w:rsidRPr="00564DB3">
        <w:rPr>
          <w:szCs w:val="18"/>
        </w:rPr>
        <w:t>legally erroneous".</w:t>
      </w:r>
      <w:bookmarkEnd w:id="155"/>
      <w:r w:rsidR="005B1CE4" w:rsidRPr="00564DB3">
        <w:rPr>
          <w:rStyle w:val="FootnoteReference"/>
          <w:szCs w:val="18"/>
        </w:rPr>
        <w:footnoteReference w:id="262"/>
      </w:r>
    </w:p>
    <w:p w:rsidR="00432E5C" w:rsidRPr="00564DB3" w:rsidRDefault="00432E5C" w:rsidP="00F70E38">
      <w:pPr>
        <w:pStyle w:val="BodyText"/>
        <w:rPr>
          <w:szCs w:val="18"/>
        </w:rPr>
      </w:pPr>
      <w:bookmarkStart w:id="157" w:name="_Ref531966697"/>
      <w:r w:rsidRPr="00564DB3">
        <w:rPr>
          <w:szCs w:val="18"/>
        </w:rPr>
        <w:t xml:space="preserve">The </w:t>
      </w:r>
      <w:r w:rsidR="00083DFC" w:rsidRPr="00564DB3">
        <w:rPr>
          <w:szCs w:val="18"/>
        </w:rPr>
        <w:t>United States</w:t>
      </w:r>
      <w:r w:rsidRPr="00564DB3">
        <w:rPr>
          <w:szCs w:val="18"/>
        </w:rPr>
        <w:t xml:space="preserve"> contends that "Mexico makes a new factual allegation not made (or supported) before the Panels", namely, that "'the reliability of applicable systems' is 'inextricably linked' with actual, physical harm to dolphins"</w:t>
      </w:r>
      <w:r w:rsidR="005B1CE4" w:rsidRPr="00564DB3">
        <w:rPr>
          <w:rStyle w:val="FootnoteReference"/>
          <w:szCs w:val="18"/>
        </w:rPr>
        <w:footnoteReference w:id="263"/>
      </w:r>
      <w:r w:rsidRPr="00564DB3">
        <w:rPr>
          <w:szCs w:val="18"/>
        </w:rPr>
        <w:t>, and that dolphins will therefore be at a greater risk of harms in unregulated or insufficiently regulated ocean areas, resulting in unreliable reporting, significant IUU fi</w:t>
      </w:r>
      <w:r w:rsidR="008F7926" w:rsidRPr="00564DB3">
        <w:rPr>
          <w:szCs w:val="18"/>
        </w:rPr>
        <w:t>shing, and/or significant trans</w:t>
      </w:r>
      <w:r w:rsidR="008F7926" w:rsidRPr="00564DB3">
        <w:rPr>
          <w:szCs w:val="18"/>
        </w:rPr>
        <w:noBreakHyphen/>
      </w:r>
      <w:r w:rsidRPr="00564DB3">
        <w:rPr>
          <w:szCs w:val="18"/>
        </w:rPr>
        <w:t>shipment at sea, than in sufficiently regulated ocean areas.</w:t>
      </w:r>
      <w:r w:rsidR="005B1CE4" w:rsidRPr="00564DB3">
        <w:rPr>
          <w:rStyle w:val="FootnoteReference"/>
          <w:szCs w:val="18"/>
        </w:rPr>
        <w:footnoteReference w:id="264"/>
      </w:r>
      <w:r w:rsidRPr="00564DB3">
        <w:rPr>
          <w:szCs w:val="18"/>
        </w:rPr>
        <w:t xml:space="preserve"> </w:t>
      </w:r>
      <w:r w:rsidR="00BD35EE" w:rsidRPr="00564DB3">
        <w:rPr>
          <w:szCs w:val="18"/>
        </w:rPr>
        <w:t>T</w:t>
      </w:r>
      <w:r w:rsidRPr="00564DB3">
        <w:rPr>
          <w:szCs w:val="18"/>
        </w:rPr>
        <w:t xml:space="preserve">he </w:t>
      </w:r>
      <w:r w:rsidR="00083DFC" w:rsidRPr="00564DB3">
        <w:rPr>
          <w:szCs w:val="18"/>
        </w:rPr>
        <w:t>United States</w:t>
      </w:r>
      <w:r w:rsidRPr="00564DB3">
        <w:rPr>
          <w:szCs w:val="18"/>
        </w:rPr>
        <w:t xml:space="preserve"> points out that Mexico never provided any evidence to the Panels of a link between the risks of harm to dolphins, on the one hand, and the low reliability of applicable systems, on the other hand.</w:t>
      </w:r>
      <w:r w:rsidR="005B1CE4" w:rsidRPr="00564DB3">
        <w:rPr>
          <w:rStyle w:val="FootnoteReference"/>
          <w:szCs w:val="18"/>
        </w:rPr>
        <w:footnoteReference w:id="265"/>
      </w:r>
      <w:r w:rsidRPr="00564DB3">
        <w:rPr>
          <w:szCs w:val="18"/>
        </w:rPr>
        <w:t xml:space="preserve"> The </w:t>
      </w:r>
      <w:r w:rsidR="00083DFC" w:rsidRPr="00564DB3">
        <w:rPr>
          <w:szCs w:val="18"/>
        </w:rPr>
        <w:t>United States</w:t>
      </w:r>
      <w:r w:rsidRPr="00564DB3">
        <w:rPr>
          <w:szCs w:val="18"/>
        </w:rPr>
        <w:t xml:space="preserve"> highlights that "Mexico never even argued this point before the Panels – and the Panels made no such finding of fact."</w:t>
      </w:r>
      <w:r w:rsidR="005B1CE4" w:rsidRPr="00564DB3">
        <w:rPr>
          <w:rStyle w:val="FootnoteReference"/>
          <w:szCs w:val="18"/>
        </w:rPr>
        <w:footnoteReference w:id="266"/>
      </w:r>
      <w:bookmarkEnd w:id="157"/>
    </w:p>
    <w:p w:rsidR="00432E5C" w:rsidRPr="00564DB3" w:rsidRDefault="00BD35EE" w:rsidP="00F70E38">
      <w:pPr>
        <w:pStyle w:val="BodyText"/>
        <w:rPr>
          <w:szCs w:val="18"/>
        </w:rPr>
      </w:pPr>
      <w:bookmarkStart w:id="158" w:name="_Ref529197302"/>
      <w:r w:rsidRPr="00564DB3">
        <w:rPr>
          <w:szCs w:val="18"/>
        </w:rPr>
        <w:t>By</w:t>
      </w:r>
      <w:r w:rsidR="00432E5C" w:rsidRPr="00564DB3">
        <w:rPr>
          <w:szCs w:val="18"/>
        </w:rPr>
        <w:t xml:space="preserve"> arguing that "dolphins will be at a greater relative risk of harms from [a</w:t>
      </w:r>
      <w:r w:rsidR="006C5D49" w:rsidRPr="00564DB3">
        <w:rPr>
          <w:szCs w:val="18"/>
        </w:rPr>
        <w:t xml:space="preserve"> given</w:t>
      </w:r>
      <w:r w:rsidR="00432E5C" w:rsidRPr="00564DB3">
        <w:rPr>
          <w:szCs w:val="18"/>
        </w:rPr>
        <w:t xml:space="preserve">] fishing method in ocean areas that are unregulated or that have insufficient regulatory oversight, resulting in unreliable reporting, significant IUU fishing, and/or significant </w:t>
      </w:r>
      <w:proofErr w:type="spellStart"/>
      <w:r w:rsidR="00432E5C" w:rsidRPr="00564DB3">
        <w:rPr>
          <w:szCs w:val="18"/>
        </w:rPr>
        <w:t>transshipment</w:t>
      </w:r>
      <w:proofErr w:type="spellEnd"/>
      <w:r w:rsidR="00432E5C" w:rsidRPr="00564DB3">
        <w:rPr>
          <w:szCs w:val="18"/>
        </w:rPr>
        <w:t xml:space="preserve"> at sea"</w:t>
      </w:r>
      <w:r w:rsidR="005B1CE4" w:rsidRPr="00564DB3">
        <w:rPr>
          <w:rStyle w:val="FootnoteReference"/>
          <w:szCs w:val="18"/>
        </w:rPr>
        <w:footnoteReference w:id="267"/>
      </w:r>
      <w:r w:rsidR="00432E5C" w:rsidRPr="00564DB3">
        <w:rPr>
          <w:szCs w:val="18"/>
        </w:rPr>
        <w:t xml:space="preserve">, </w:t>
      </w:r>
      <w:r w:rsidR="00323500" w:rsidRPr="00564DB3">
        <w:rPr>
          <w:szCs w:val="18"/>
        </w:rPr>
        <w:t xml:space="preserve">we understand </w:t>
      </w:r>
      <w:r w:rsidR="00432E5C" w:rsidRPr="00564DB3">
        <w:rPr>
          <w:szCs w:val="18"/>
        </w:rPr>
        <w:t>Mexico to suggest that tuna fishing in ocean areas with less reliable regulatory systems is more likely to lead to "actual, physical harm to dolphins".</w:t>
      </w:r>
      <w:r w:rsidR="005B1CE4" w:rsidRPr="00564DB3">
        <w:rPr>
          <w:rStyle w:val="FootnoteReference"/>
          <w:szCs w:val="18"/>
        </w:rPr>
        <w:footnoteReference w:id="268"/>
      </w:r>
      <w:r w:rsidR="00432E5C" w:rsidRPr="00564DB3">
        <w:rPr>
          <w:szCs w:val="18"/>
        </w:rPr>
        <w:t xml:space="preserve"> </w:t>
      </w:r>
      <w:r w:rsidR="009458E7" w:rsidRPr="00564DB3">
        <w:rPr>
          <w:szCs w:val="18"/>
        </w:rPr>
        <w:t>H</w:t>
      </w:r>
      <w:r w:rsidR="00432E5C" w:rsidRPr="00564DB3">
        <w:rPr>
          <w:szCs w:val="18"/>
        </w:rPr>
        <w:t xml:space="preserve">owever, Mexico has not substantiated such an assertion. In these circumstances, we see no reason to disagree with the Panels' statement that "the risks of inaccurate certification, reporting, and/or record-keeping are </w:t>
      </w:r>
      <w:r w:rsidR="00432E5C" w:rsidRPr="00564DB3">
        <w:rPr>
          <w:i/>
          <w:szCs w:val="18"/>
        </w:rPr>
        <w:t xml:space="preserve">not </w:t>
      </w:r>
      <w:r w:rsidR="00432E5C" w:rsidRPr="00564DB3">
        <w:rPr>
          <w:szCs w:val="18"/>
        </w:rPr>
        <w:t>risks that affect dolphins themselves", or "risks that arise from the use of different fishing methods in different areas of the ocean".</w:t>
      </w:r>
      <w:r w:rsidR="005B1CE4" w:rsidRPr="00564DB3">
        <w:rPr>
          <w:rStyle w:val="FootnoteReference"/>
          <w:szCs w:val="18"/>
        </w:rPr>
        <w:footnoteReference w:id="269"/>
      </w:r>
      <w:bookmarkEnd w:id="158"/>
    </w:p>
    <w:p w:rsidR="00432E5C" w:rsidRPr="00564DB3" w:rsidRDefault="00432E5C" w:rsidP="00F70E38">
      <w:pPr>
        <w:pStyle w:val="BodyText"/>
        <w:rPr>
          <w:szCs w:val="18"/>
        </w:rPr>
      </w:pPr>
      <w:bookmarkStart w:id="159" w:name="_Ref529197344"/>
      <w:r w:rsidRPr="00564DB3">
        <w:rPr>
          <w:szCs w:val="18"/>
        </w:rPr>
        <w:t>At the same time, we emphasize that issues regarding label inaccuracy are relevant to assessing whether the labelling conditions under the measure are properly calibrated. As the Panels also acknowledged, the risks of inaccurate certification, reporting, and/or record-keeping may "have an indirect influence on the extent to which different fishing methods are used to catch tuna intended for the US market"</w:t>
      </w:r>
      <w:r w:rsidR="007010A8" w:rsidRPr="00564DB3">
        <w:rPr>
          <w:szCs w:val="18"/>
        </w:rPr>
        <w:t>.</w:t>
      </w:r>
      <w:r w:rsidR="005B1CE4" w:rsidRPr="00564DB3">
        <w:rPr>
          <w:rStyle w:val="FootnoteReference"/>
          <w:szCs w:val="18"/>
        </w:rPr>
        <w:footnoteReference w:id="270"/>
      </w:r>
      <w:r w:rsidRPr="00564DB3">
        <w:rPr>
          <w:szCs w:val="18"/>
        </w:rPr>
        <w:t xml:space="preserve"> Furthermore, the Panel</w:t>
      </w:r>
      <w:r w:rsidR="000A791C" w:rsidRPr="00564DB3">
        <w:rPr>
          <w:szCs w:val="18"/>
        </w:rPr>
        <w:t>s</w:t>
      </w:r>
      <w:r w:rsidRPr="00564DB3">
        <w:rPr>
          <w:szCs w:val="18"/>
        </w:rPr>
        <w:t xml:space="preserve"> recognized that "fish caught in different areas of the ocean through the use of different fishing methods may be associated with a greater or smaller risk </w:t>
      </w:r>
      <w:r w:rsidRPr="00564DB3">
        <w:rPr>
          <w:szCs w:val="18"/>
        </w:rPr>
        <w:lastRenderedPageBreak/>
        <w:t>of inaccurate labelling depending on a range of interconnected factors, including the persons involved in the catch, available technology, and applicable domestic and international regulatory requirements."</w:t>
      </w:r>
      <w:r w:rsidR="005B1CE4" w:rsidRPr="00564DB3">
        <w:rPr>
          <w:rStyle w:val="FootnoteReference"/>
          <w:szCs w:val="18"/>
        </w:rPr>
        <w:footnoteReference w:id="271"/>
      </w:r>
      <w:r w:rsidRPr="00564DB3">
        <w:rPr>
          <w:szCs w:val="18"/>
        </w:rPr>
        <w:t xml:space="preserve"> To the Panels, these risks were "relevant"</w:t>
      </w:r>
      <w:r w:rsidR="005B1CE4" w:rsidRPr="00564DB3">
        <w:rPr>
          <w:rStyle w:val="FootnoteReference"/>
          <w:szCs w:val="18"/>
        </w:rPr>
        <w:footnoteReference w:id="272"/>
      </w:r>
      <w:r w:rsidRPr="00564DB3">
        <w:rPr>
          <w:szCs w:val="18"/>
        </w:rPr>
        <w:t>, and even "central", to their application of the calibration analysis, precisely because</w:t>
      </w:r>
      <w:r w:rsidR="007010A8" w:rsidRPr="00564DB3">
        <w:rPr>
          <w:szCs w:val="18"/>
        </w:rPr>
        <w:t>,</w:t>
      </w:r>
      <w:r w:rsidRPr="00564DB3">
        <w:rPr>
          <w:szCs w:val="18"/>
        </w:rPr>
        <w:t xml:space="preserve"> in doing so, they were required to take the objectives of the measure into account.</w:t>
      </w:r>
      <w:r w:rsidR="005B1CE4" w:rsidRPr="00564DB3">
        <w:rPr>
          <w:rStyle w:val="FootnoteReference"/>
          <w:szCs w:val="18"/>
        </w:rPr>
        <w:footnoteReference w:id="273"/>
      </w:r>
      <w:r w:rsidRPr="00564DB3">
        <w:rPr>
          <w:szCs w:val="18"/>
        </w:rPr>
        <w:t xml:space="preserve"> We therefore consider that the Panels did not, as Mexico contends, adopt an approach to calibration that is "narrow" and "incomplete".</w:t>
      </w:r>
      <w:r w:rsidR="005B1CE4" w:rsidRPr="00564DB3">
        <w:rPr>
          <w:rStyle w:val="FootnoteReference"/>
          <w:szCs w:val="18"/>
        </w:rPr>
        <w:footnoteReference w:id="274"/>
      </w:r>
      <w:bookmarkEnd w:id="159"/>
      <w:r w:rsidRPr="00564DB3">
        <w:rPr>
          <w:szCs w:val="18"/>
        </w:rPr>
        <w:t xml:space="preserve"> </w:t>
      </w:r>
    </w:p>
    <w:p w:rsidR="00432E5C" w:rsidRPr="00564DB3" w:rsidRDefault="00432E5C" w:rsidP="00F70E38">
      <w:pPr>
        <w:pStyle w:val="BodyText"/>
        <w:rPr>
          <w:szCs w:val="18"/>
        </w:rPr>
      </w:pPr>
      <w:r w:rsidRPr="00564DB3">
        <w:rPr>
          <w:szCs w:val="18"/>
        </w:rPr>
        <w:t>Furthermore, by noting that the risk of inaccuracy depends on a range of interconnected factors, including "the persons involved in the catch, available technology, and applicable domestic and international regulatory requirements"</w:t>
      </w:r>
      <w:r w:rsidR="005B1CE4" w:rsidRPr="00564DB3">
        <w:rPr>
          <w:rStyle w:val="FootnoteReference"/>
          <w:szCs w:val="18"/>
        </w:rPr>
        <w:footnoteReference w:id="275"/>
      </w:r>
      <w:r w:rsidRPr="00564DB3">
        <w:rPr>
          <w:szCs w:val="18"/>
        </w:rPr>
        <w:t xml:space="preserve">, the Panels expressly recognized that the </w:t>
      </w:r>
      <w:r w:rsidR="00323500" w:rsidRPr="00564DB3">
        <w:rPr>
          <w:szCs w:val="18"/>
        </w:rPr>
        <w:t>risk of inaccuracy</w:t>
      </w:r>
      <w:r w:rsidRPr="00564DB3">
        <w:rPr>
          <w:szCs w:val="18"/>
        </w:rPr>
        <w:t xml:space="preserve"> encompasses the factors leading to such inaccuracy. Indeed, as the Panels explained, the expression "risk of inaccuracy" means "the risk that</w:t>
      </w:r>
      <w:r w:rsidRPr="00564DB3">
        <w:rPr>
          <w:i/>
          <w:szCs w:val="18"/>
        </w:rPr>
        <w:t xml:space="preserve"> an error</w:t>
      </w:r>
      <w:r w:rsidRPr="00564DB3">
        <w:rPr>
          <w:szCs w:val="18"/>
        </w:rPr>
        <w:t xml:space="preserve"> in the recording and reporting of information </w:t>
      </w:r>
      <w:r w:rsidRPr="00564DB3">
        <w:rPr>
          <w:i/>
          <w:szCs w:val="18"/>
        </w:rPr>
        <w:t>somewhere in the catch and processing chain</w:t>
      </w:r>
      <w:r w:rsidRPr="00564DB3">
        <w:rPr>
          <w:szCs w:val="18"/>
        </w:rPr>
        <w:t xml:space="preserve"> could result in a batch of t</w:t>
      </w:r>
      <w:r w:rsidR="00105496" w:rsidRPr="00564DB3">
        <w:rPr>
          <w:szCs w:val="18"/>
        </w:rPr>
        <w:t>una being designated as dolphin</w:t>
      </w:r>
      <w:r w:rsidR="00105496" w:rsidRPr="00564DB3">
        <w:rPr>
          <w:szCs w:val="18"/>
        </w:rPr>
        <w:noBreakHyphen/>
      </w:r>
      <w:r w:rsidRPr="00564DB3">
        <w:rPr>
          <w:szCs w:val="18"/>
        </w:rPr>
        <w:t>safe while in fact containing tuna that sho</w:t>
      </w:r>
      <w:r w:rsidR="00BB343B" w:rsidRPr="00564DB3">
        <w:rPr>
          <w:szCs w:val="18"/>
        </w:rPr>
        <w:t>uld have been designated as non</w:t>
      </w:r>
      <w:r w:rsidR="00BB343B" w:rsidRPr="00564DB3">
        <w:rPr>
          <w:szCs w:val="18"/>
        </w:rPr>
        <w:noBreakHyphen/>
      </w:r>
      <w:r w:rsidRPr="00564DB3">
        <w:rPr>
          <w:szCs w:val="18"/>
        </w:rPr>
        <w:t>dolphin-safe."</w:t>
      </w:r>
      <w:r w:rsidR="005B1CE4" w:rsidRPr="00564DB3">
        <w:rPr>
          <w:rStyle w:val="FootnoteReference"/>
          <w:szCs w:val="18"/>
        </w:rPr>
        <w:footnoteReference w:id="276"/>
      </w:r>
      <w:r w:rsidRPr="00564DB3">
        <w:rPr>
          <w:szCs w:val="18"/>
        </w:rPr>
        <w:t xml:space="preserve"> Our review of the Panels' findings therefore does not support Mexico's argument that th</w:t>
      </w:r>
      <w:r w:rsidR="000F54E8" w:rsidRPr="00564DB3">
        <w:rPr>
          <w:szCs w:val="18"/>
        </w:rPr>
        <w:t>e Panels erred in defining the risk of inaccuracy</w:t>
      </w:r>
      <w:r w:rsidRPr="00564DB3">
        <w:rPr>
          <w:szCs w:val="18"/>
        </w:rPr>
        <w:t xml:space="preserve"> "narrowly to relate to the symptom or outcome (i.e. an inaccurate label) rather than the risk factors that cause such an outcome".</w:t>
      </w:r>
      <w:r w:rsidR="005B1CE4" w:rsidRPr="00564DB3">
        <w:rPr>
          <w:rStyle w:val="FootnoteReference"/>
          <w:szCs w:val="18"/>
        </w:rPr>
        <w:footnoteReference w:id="277"/>
      </w:r>
      <w:r w:rsidRPr="00564DB3">
        <w:rPr>
          <w:szCs w:val="18"/>
        </w:rPr>
        <w:t xml:space="preserve"> </w:t>
      </w:r>
    </w:p>
    <w:p w:rsidR="00432E5C" w:rsidRPr="00564DB3" w:rsidRDefault="00432E5C" w:rsidP="00F70E38">
      <w:pPr>
        <w:pStyle w:val="Heading5"/>
        <w:rPr>
          <w:szCs w:val="18"/>
        </w:rPr>
      </w:pPr>
      <w:bookmarkStart w:id="160" w:name="_Toc528506758"/>
      <w:bookmarkStart w:id="161" w:name="_Toc528506923"/>
      <w:bookmarkStart w:id="162" w:name="_Ref529195144"/>
      <w:bookmarkStart w:id="163" w:name="_Toc531967475"/>
      <w:r w:rsidRPr="00564DB3">
        <w:rPr>
          <w:szCs w:val="18"/>
        </w:rPr>
        <w:t>Whether the Panels erred in</w:t>
      </w:r>
      <w:r w:rsidR="007744D5" w:rsidRPr="00564DB3">
        <w:rPr>
          <w:szCs w:val="18"/>
        </w:rPr>
        <w:t xml:space="preserve"> referring to </w:t>
      </w:r>
      <w:r w:rsidRPr="00564DB3">
        <w:rPr>
          <w:szCs w:val="18"/>
        </w:rPr>
        <w:t>"margin of error"</w:t>
      </w:r>
      <w:bookmarkEnd w:id="160"/>
      <w:bookmarkEnd w:id="161"/>
      <w:r w:rsidR="007744D5" w:rsidRPr="00564DB3">
        <w:rPr>
          <w:szCs w:val="18"/>
        </w:rPr>
        <w:t xml:space="preserve"> in their </w:t>
      </w:r>
      <w:r w:rsidR="00FC16D8" w:rsidRPr="00564DB3">
        <w:rPr>
          <w:szCs w:val="18"/>
        </w:rPr>
        <w:t xml:space="preserve">calibration </w:t>
      </w:r>
      <w:r w:rsidR="007744D5" w:rsidRPr="00564DB3">
        <w:rPr>
          <w:szCs w:val="18"/>
        </w:rPr>
        <w:t>analysis</w:t>
      </w:r>
      <w:bookmarkEnd w:id="162"/>
      <w:bookmarkEnd w:id="163"/>
    </w:p>
    <w:p w:rsidR="00432E5C" w:rsidRPr="00564DB3" w:rsidRDefault="00432E5C" w:rsidP="00F70E38">
      <w:pPr>
        <w:pStyle w:val="BodyText"/>
        <w:rPr>
          <w:szCs w:val="18"/>
        </w:rPr>
      </w:pPr>
      <w:r w:rsidRPr="00564DB3">
        <w:rPr>
          <w:szCs w:val="18"/>
        </w:rPr>
        <w:t xml:space="preserve">Mexico also takes issue with the Panels' discussion of the margin of error in the context of their analysis regarding risks of inaccuracy. Mexico disagrees with the Panels that the existence of margins of error in </w:t>
      </w:r>
      <w:r w:rsidR="007010A8" w:rsidRPr="00564DB3">
        <w:rPr>
          <w:szCs w:val="18"/>
        </w:rPr>
        <w:t xml:space="preserve">the </w:t>
      </w:r>
      <w:r w:rsidRPr="00564DB3">
        <w:rPr>
          <w:szCs w:val="18"/>
        </w:rPr>
        <w:t>certification and tracking and verification requirements is not necessarily inconsistent with the objectives of the measure.</w:t>
      </w:r>
      <w:r w:rsidR="005B1CE4" w:rsidRPr="00564DB3">
        <w:rPr>
          <w:rStyle w:val="FootnoteReference"/>
          <w:szCs w:val="18"/>
        </w:rPr>
        <w:footnoteReference w:id="278"/>
      </w:r>
      <w:r w:rsidRPr="00564DB3">
        <w:rPr>
          <w:szCs w:val="18"/>
        </w:rPr>
        <w:t xml:space="preserve"> Rather, Mexico contends that "the measure does not contemplate a 'margin of error' or a tolerance threshold for inaccurate labelling, and it does not incorporate a </w:t>
      </w:r>
      <w:r w:rsidRPr="00564DB3">
        <w:rPr>
          <w:i/>
          <w:szCs w:val="18"/>
        </w:rPr>
        <w:t>de minimis</w:t>
      </w:r>
      <w:r w:rsidRPr="00564DB3">
        <w:rPr>
          <w:szCs w:val="18"/>
        </w:rPr>
        <w:t xml:space="preserve"> test for accuracy."</w:t>
      </w:r>
      <w:r w:rsidR="005B1CE4" w:rsidRPr="00564DB3">
        <w:rPr>
          <w:rStyle w:val="FootnoteReference"/>
          <w:szCs w:val="18"/>
        </w:rPr>
        <w:footnoteReference w:id="279"/>
      </w:r>
      <w:r w:rsidRPr="00564DB3">
        <w:rPr>
          <w:szCs w:val="18"/>
        </w:rPr>
        <w:t xml:space="preserve"> Mexico also argues that the Panels erroneously "took the position that fisheries that have lower risk profiles … will always have a lower risk of conveying incorrect information to consumers", and </w:t>
      </w:r>
      <w:r w:rsidR="002725E3" w:rsidRPr="00564DB3">
        <w:rPr>
          <w:szCs w:val="18"/>
        </w:rPr>
        <w:t xml:space="preserve">that, </w:t>
      </w:r>
      <w:r w:rsidR="00323500" w:rsidRPr="00564DB3">
        <w:rPr>
          <w:szCs w:val="18"/>
        </w:rPr>
        <w:t>by doing so</w:t>
      </w:r>
      <w:r w:rsidR="002725E3" w:rsidRPr="00564DB3">
        <w:rPr>
          <w:szCs w:val="18"/>
        </w:rPr>
        <w:t>,</w:t>
      </w:r>
      <w:r w:rsidRPr="00564DB3">
        <w:rPr>
          <w:szCs w:val="18"/>
        </w:rPr>
        <w:t xml:space="preserve"> "determined that allowing inaccurate labels is consistent wit</w:t>
      </w:r>
      <w:r w:rsidR="007010A8" w:rsidRPr="00564DB3">
        <w:rPr>
          <w:szCs w:val="18"/>
        </w:rPr>
        <w:t>h the objectives of the measure</w:t>
      </w:r>
      <w:r w:rsidRPr="00564DB3">
        <w:rPr>
          <w:szCs w:val="18"/>
        </w:rPr>
        <w:t>"</w:t>
      </w:r>
      <w:r w:rsidR="007010A8" w:rsidRPr="00564DB3">
        <w:rPr>
          <w:szCs w:val="18"/>
        </w:rPr>
        <w:t>.</w:t>
      </w:r>
      <w:r w:rsidR="005B1CE4" w:rsidRPr="00564DB3">
        <w:rPr>
          <w:rStyle w:val="FootnoteReference"/>
          <w:szCs w:val="18"/>
        </w:rPr>
        <w:footnoteReference w:id="280"/>
      </w:r>
    </w:p>
    <w:p w:rsidR="00432E5C" w:rsidRPr="00564DB3" w:rsidRDefault="00432E5C" w:rsidP="00F70E38">
      <w:pPr>
        <w:pStyle w:val="BodyText"/>
        <w:rPr>
          <w:szCs w:val="18"/>
        </w:rPr>
      </w:pPr>
      <w:r w:rsidRPr="00564DB3">
        <w:rPr>
          <w:szCs w:val="18"/>
        </w:rPr>
        <w:t xml:space="preserve">The </w:t>
      </w:r>
      <w:r w:rsidR="00083DFC" w:rsidRPr="00564DB3">
        <w:rPr>
          <w:szCs w:val="18"/>
        </w:rPr>
        <w:t>United States</w:t>
      </w:r>
      <w:r w:rsidRPr="00564DB3">
        <w:rPr>
          <w:szCs w:val="18"/>
        </w:rPr>
        <w:t xml:space="preserve"> contends that Mexico's argument is based on a fundamental misunderstanding of the Panels' analysis to the extent that it suggests that the Panels' approach </w:t>
      </w:r>
      <w:r w:rsidR="00323500" w:rsidRPr="00564DB3">
        <w:rPr>
          <w:szCs w:val="18"/>
        </w:rPr>
        <w:t xml:space="preserve">is driven to </w:t>
      </w:r>
      <w:r w:rsidRPr="00564DB3">
        <w:rPr>
          <w:szCs w:val="18"/>
        </w:rPr>
        <w:t>tolerate less accurate labelling for tuna products from outside the ETP large purse</w:t>
      </w:r>
      <w:r w:rsidR="00025CB6" w:rsidRPr="00564DB3">
        <w:rPr>
          <w:szCs w:val="18"/>
        </w:rPr>
        <w:t xml:space="preserve"> </w:t>
      </w:r>
      <w:r w:rsidRPr="00564DB3">
        <w:rPr>
          <w:szCs w:val="18"/>
        </w:rPr>
        <w:t>seine fisheries.</w:t>
      </w:r>
      <w:r w:rsidR="005B1CE4" w:rsidRPr="00564DB3">
        <w:rPr>
          <w:rStyle w:val="FootnoteReference"/>
          <w:szCs w:val="18"/>
        </w:rPr>
        <w:footnoteReference w:id="281"/>
      </w:r>
      <w:r w:rsidRPr="00564DB3">
        <w:rPr>
          <w:szCs w:val="18"/>
        </w:rPr>
        <w:t xml:space="preserve"> In the </w:t>
      </w:r>
      <w:r w:rsidR="00083DFC" w:rsidRPr="00564DB3">
        <w:rPr>
          <w:szCs w:val="18"/>
        </w:rPr>
        <w:t>United States</w:t>
      </w:r>
      <w:r w:rsidRPr="00564DB3">
        <w:rPr>
          <w:szCs w:val="18"/>
        </w:rPr>
        <w:t>' view, the Panels properly recognized that the risk of inaccurate labelling is not a constant</w:t>
      </w:r>
      <w:r w:rsidR="005B1CE4" w:rsidRPr="00564DB3">
        <w:rPr>
          <w:rStyle w:val="FootnoteReference"/>
          <w:szCs w:val="18"/>
        </w:rPr>
        <w:footnoteReference w:id="282"/>
      </w:r>
      <w:r w:rsidRPr="00564DB3">
        <w:rPr>
          <w:szCs w:val="18"/>
        </w:rPr>
        <w:t>,</w:t>
      </w:r>
      <w:r w:rsidRPr="00564DB3">
        <w:rPr>
          <w:rStyle w:val="FootnoteReference"/>
          <w:szCs w:val="18"/>
        </w:rPr>
        <w:t xml:space="preserve"> </w:t>
      </w:r>
      <w:r w:rsidR="008F7926" w:rsidRPr="00564DB3">
        <w:rPr>
          <w:szCs w:val="18"/>
        </w:rPr>
        <w:t>and that "the U.S. </w:t>
      </w:r>
      <w:r w:rsidRPr="00564DB3">
        <w:rPr>
          <w:szCs w:val="18"/>
        </w:rPr>
        <w:t xml:space="preserve">measure need not 'be completely error-proof in order to be calibrated' (and, thus consistent with </w:t>
      </w:r>
      <w:r w:rsidR="00083DFC" w:rsidRPr="00564DB3">
        <w:rPr>
          <w:szCs w:val="18"/>
        </w:rPr>
        <w:t>Article </w:t>
      </w:r>
      <w:r w:rsidRPr="00564DB3">
        <w:rPr>
          <w:szCs w:val="18"/>
        </w:rPr>
        <w:t>2.1)."</w:t>
      </w:r>
      <w:r w:rsidR="005B1CE4" w:rsidRPr="00564DB3">
        <w:rPr>
          <w:rStyle w:val="FootnoteReference"/>
          <w:szCs w:val="18"/>
        </w:rPr>
        <w:footnoteReference w:id="283"/>
      </w:r>
      <w:r w:rsidRPr="00564DB3">
        <w:rPr>
          <w:szCs w:val="18"/>
        </w:rPr>
        <w:t xml:space="preserve"> Rather, the Panels correctly indicated that "the more pertinent question is whether the </w:t>
      </w:r>
      <w:r w:rsidRPr="00564DB3">
        <w:rPr>
          <w:i/>
          <w:szCs w:val="18"/>
        </w:rPr>
        <w:t>possibility</w:t>
      </w:r>
      <w:r w:rsidRPr="00564DB3">
        <w:rPr>
          <w:szCs w:val="18"/>
        </w:rPr>
        <w:t xml:space="preserve"> of error is tailored to, or commensurate with, the different risks to dolphins arising from the use of different fishing methods in different areas of the ocean."</w:t>
      </w:r>
      <w:r w:rsidR="005B1CE4" w:rsidRPr="00564DB3">
        <w:rPr>
          <w:rStyle w:val="FootnoteReference"/>
          <w:szCs w:val="18"/>
        </w:rPr>
        <w:footnoteReference w:id="284"/>
      </w:r>
      <w:r w:rsidRPr="00564DB3">
        <w:rPr>
          <w:szCs w:val="18"/>
        </w:rPr>
        <w:t xml:space="preserve"> Therefore, the </w:t>
      </w:r>
      <w:r w:rsidR="00083DFC" w:rsidRPr="00564DB3">
        <w:rPr>
          <w:szCs w:val="18"/>
        </w:rPr>
        <w:t>United States</w:t>
      </w:r>
      <w:r w:rsidRPr="00564DB3">
        <w:rPr>
          <w:szCs w:val="18"/>
        </w:rPr>
        <w:t xml:space="preserve"> argues that the Panels did not err in relying on the concept of margin of error in discussing the certification and tracking and verification requirements, and that this concept is entirely consistent with the guidance provided by the Appellate</w:t>
      </w:r>
      <w:r w:rsidR="00025CB6" w:rsidRPr="00564DB3">
        <w:rPr>
          <w:szCs w:val="18"/>
        </w:rPr>
        <w:t> Body</w:t>
      </w:r>
      <w:r w:rsidRPr="00564DB3">
        <w:rPr>
          <w:szCs w:val="18"/>
        </w:rPr>
        <w:t xml:space="preserve"> in </w:t>
      </w:r>
      <w:r w:rsidR="007010A8" w:rsidRPr="00564DB3">
        <w:rPr>
          <w:szCs w:val="18"/>
        </w:rPr>
        <w:t xml:space="preserve">both </w:t>
      </w:r>
      <w:r w:rsidRPr="00564DB3">
        <w:rPr>
          <w:szCs w:val="18"/>
        </w:rPr>
        <w:t>the original proceedings and the first compliance proceedings.</w:t>
      </w:r>
      <w:r w:rsidR="005B1CE4" w:rsidRPr="00564DB3">
        <w:rPr>
          <w:rStyle w:val="FootnoteReference"/>
          <w:szCs w:val="18"/>
        </w:rPr>
        <w:footnoteReference w:id="285"/>
      </w:r>
    </w:p>
    <w:p w:rsidR="00432E5C" w:rsidRPr="00564DB3" w:rsidRDefault="00432E5C" w:rsidP="00F70E38">
      <w:pPr>
        <w:pStyle w:val="BodyText"/>
        <w:rPr>
          <w:szCs w:val="18"/>
        </w:rPr>
      </w:pPr>
      <w:r w:rsidRPr="00564DB3">
        <w:rPr>
          <w:szCs w:val="18"/>
        </w:rPr>
        <w:lastRenderedPageBreak/>
        <w:t>In our view, by equating "margin of error" with "a tolerance threshold of inaccurate labelling"</w:t>
      </w:r>
      <w:r w:rsidR="000F54E8" w:rsidRPr="00564DB3">
        <w:rPr>
          <w:rStyle w:val="FootnoteReference"/>
          <w:szCs w:val="18"/>
        </w:rPr>
        <w:footnoteReference w:id="286"/>
      </w:r>
      <w:r w:rsidRPr="00564DB3">
        <w:rPr>
          <w:szCs w:val="18"/>
        </w:rPr>
        <w:t xml:space="preserve">, Mexico's above arguments are based on its understanding of the term "margin of error" as </w:t>
      </w:r>
      <w:r w:rsidR="00323500" w:rsidRPr="00564DB3">
        <w:rPr>
          <w:szCs w:val="18"/>
        </w:rPr>
        <w:t xml:space="preserve">being </w:t>
      </w:r>
      <w:r w:rsidRPr="00564DB3">
        <w:rPr>
          <w:szCs w:val="18"/>
        </w:rPr>
        <w:t>synonymous with the ultimate inaccuracy of a dolphin-s</w:t>
      </w:r>
      <w:r w:rsidR="002D5D4F">
        <w:rPr>
          <w:szCs w:val="18"/>
        </w:rPr>
        <w:t>afe label. However, the Panels' </w:t>
      </w:r>
      <w:r w:rsidRPr="00564DB3">
        <w:rPr>
          <w:szCs w:val="18"/>
        </w:rPr>
        <w:t xml:space="preserve">discussion of "margin of error", when read in its totality, suggests that the Panels did not equate the term with label inaccuracy. Rather, we understand the Panels' reference to the term "margin of error" as relating to the different degrees of strictness of the certification and tracking and verification requirements under the 2016 Tuna Measure. Pursuant to this understanding, the ultimate accuracy of the label depends not only </w:t>
      </w:r>
      <w:r w:rsidR="00323500" w:rsidRPr="00564DB3">
        <w:rPr>
          <w:szCs w:val="18"/>
        </w:rPr>
        <w:t xml:space="preserve">on the </w:t>
      </w:r>
      <w:r w:rsidRPr="00564DB3">
        <w:rPr>
          <w:szCs w:val="18"/>
        </w:rPr>
        <w:t>different degrees of the strictness of the relevant requirements, but also</w:t>
      </w:r>
      <w:r w:rsidR="00323500" w:rsidRPr="00564DB3">
        <w:rPr>
          <w:szCs w:val="18"/>
        </w:rPr>
        <w:t xml:space="preserve"> on</w:t>
      </w:r>
      <w:r w:rsidRPr="00564DB3">
        <w:rPr>
          <w:szCs w:val="18"/>
        </w:rPr>
        <w:t xml:space="preserve"> the level of risks to dolphins </w:t>
      </w:r>
      <w:proofErr w:type="gramStart"/>
      <w:r w:rsidRPr="00564DB3">
        <w:rPr>
          <w:szCs w:val="18"/>
        </w:rPr>
        <w:t>in a given</w:t>
      </w:r>
      <w:proofErr w:type="gramEnd"/>
      <w:r w:rsidRPr="00564DB3">
        <w:rPr>
          <w:szCs w:val="18"/>
        </w:rPr>
        <w:t xml:space="preserve"> fishery to which these requirements apply. </w:t>
      </w:r>
    </w:p>
    <w:p w:rsidR="00432E5C" w:rsidRPr="00564DB3" w:rsidRDefault="00432E5C" w:rsidP="00F70E38">
      <w:pPr>
        <w:pStyle w:val="BodyText"/>
        <w:rPr>
          <w:szCs w:val="18"/>
        </w:rPr>
      </w:pPr>
      <w:r w:rsidRPr="00564DB3">
        <w:rPr>
          <w:szCs w:val="18"/>
        </w:rPr>
        <w:t>We recall that the Panels introduced the notion of margin of error in discussing the "risk of inaccuracy".</w:t>
      </w:r>
      <w:r w:rsidR="005B1CE4" w:rsidRPr="00564DB3">
        <w:rPr>
          <w:rStyle w:val="FootnoteReference"/>
          <w:szCs w:val="18"/>
        </w:rPr>
        <w:footnoteReference w:id="287"/>
      </w:r>
      <w:r w:rsidRPr="00564DB3">
        <w:rPr>
          <w:szCs w:val="18"/>
        </w:rPr>
        <w:t xml:space="preserve"> To this effect, the Panels indicated that "the existence of a margin of error in certification, and tracking and verification requirements does not necessarily equate or give rise to a risk that the information ultimately conveyed to a consumer by a dolphin-safe label will itself be incorrect."</w:t>
      </w:r>
      <w:r w:rsidR="005B1CE4" w:rsidRPr="00564DB3">
        <w:rPr>
          <w:rStyle w:val="FootnoteReference"/>
          <w:szCs w:val="18"/>
        </w:rPr>
        <w:footnoteReference w:id="288"/>
      </w:r>
      <w:r w:rsidRPr="00564DB3">
        <w:rPr>
          <w:szCs w:val="18"/>
        </w:rPr>
        <w:t xml:space="preserve"> Rather, to the Panels, "the risk of inaccurate information being passed to consumers by the label will depend not only on the referred margin of error, but also, and importantly, on the </w:t>
      </w:r>
      <w:r w:rsidRPr="00564DB3">
        <w:rPr>
          <w:i/>
          <w:szCs w:val="18"/>
        </w:rPr>
        <w:t xml:space="preserve">extent of events that require recording whether a dolphin mortality or serious injury was observed </w:t>
      </w:r>
      <w:r w:rsidRPr="00564DB3">
        <w:rPr>
          <w:szCs w:val="18"/>
        </w:rPr>
        <w:t>in a given fishery."</w:t>
      </w:r>
      <w:r w:rsidR="005B1CE4" w:rsidRPr="00564DB3">
        <w:rPr>
          <w:rStyle w:val="FootnoteReference"/>
          <w:szCs w:val="18"/>
        </w:rPr>
        <w:footnoteReference w:id="289"/>
      </w:r>
      <w:r w:rsidRPr="00564DB3" w:rsidDel="008E349F">
        <w:rPr>
          <w:szCs w:val="18"/>
        </w:rPr>
        <w:t xml:space="preserve"> </w:t>
      </w:r>
      <w:r w:rsidRPr="00564DB3">
        <w:rPr>
          <w:szCs w:val="18"/>
        </w:rPr>
        <w:t>The Panels explained that the risk profile of relevant fisheries "is a good proxy to measure the extent of [such] events that require recording".</w:t>
      </w:r>
      <w:r w:rsidR="005B1CE4" w:rsidRPr="00564DB3">
        <w:rPr>
          <w:rStyle w:val="FootnoteReference"/>
          <w:szCs w:val="18"/>
        </w:rPr>
        <w:footnoteReference w:id="290"/>
      </w:r>
      <w:r w:rsidRPr="00564DB3">
        <w:rPr>
          <w:szCs w:val="18"/>
        </w:rPr>
        <w:t xml:space="preserve"> Therefore,</w:t>
      </w:r>
      <w:r w:rsidR="00323500" w:rsidRPr="00564DB3">
        <w:rPr>
          <w:szCs w:val="18"/>
        </w:rPr>
        <w:t xml:space="preserve"> the Panels reasoned that</w:t>
      </w:r>
      <w:r w:rsidRPr="00564DB3">
        <w:rPr>
          <w:szCs w:val="18"/>
        </w:rPr>
        <w:t xml:space="preserve"> "in applying the calibration test, it is appropriate … to consider whether the certification, and tracking and verification requirements applied in different fisheries are commensurate with, and tailored to, the particular risk profiles of those fisheries."</w:t>
      </w:r>
      <w:r w:rsidR="005B1CE4" w:rsidRPr="00564DB3">
        <w:rPr>
          <w:rStyle w:val="FootnoteReference"/>
          <w:szCs w:val="18"/>
        </w:rPr>
        <w:footnoteReference w:id="291"/>
      </w:r>
      <w:r w:rsidRPr="00564DB3">
        <w:rPr>
          <w:szCs w:val="18"/>
        </w:rPr>
        <w:t xml:space="preserve"> More specifically: </w:t>
      </w:r>
    </w:p>
    <w:p w:rsidR="00432E5C" w:rsidRPr="00564DB3" w:rsidRDefault="00432E5C" w:rsidP="00F70E38">
      <w:pPr>
        <w:pStyle w:val="Quotation"/>
      </w:pPr>
      <w:r w:rsidRPr="00564DB3">
        <w:t xml:space="preserve">[I]n a fishery where the risks to dolphins are low, it may be calibrated to apply certification, and tracking and verification requirements that tolerate a higher margin of error than the certification, reporting, and/or record-keeping requirements that apply in respect of fisheries with a </w:t>
      </w:r>
      <w:proofErr w:type="gramStart"/>
      <w:r w:rsidRPr="00564DB3">
        <w:t>high risk</w:t>
      </w:r>
      <w:proofErr w:type="gramEnd"/>
      <w:r w:rsidRPr="00564DB3">
        <w:t xml:space="preserve"> profile. This is be</w:t>
      </w:r>
      <w:r w:rsidR="00AA22DA" w:rsidRPr="00564DB3">
        <w:t>cause the risk that the dolphin</w:t>
      </w:r>
      <w:r w:rsidR="00AA22DA" w:rsidRPr="00564DB3">
        <w:noBreakHyphen/>
      </w:r>
      <w:r w:rsidRPr="00564DB3">
        <w:t xml:space="preserve">safe label will communicate inaccurate information is a function of numerous factors, including not only the regulations in place, but also the different levels of dolphin interaction, mortality, and serious injury in different fisheries. Thus, in fisheries with high dolphin interactions and harms, </w:t>
      </w:r>
      <w:r w:rsidRPr="00564DB3">
        <w:rPr>
          <w:i/>
        </w:rPr>
        <w:t>more sensitive certification</w:t>
      </w:r>
      <w:r w:rsidRPr="00564DB3">
        <w:t>, and tracking and verification requirements may be needed to ensure the u</w:t>
      </w:r>
      <w:r w:rsidR="00AA22DA" w:rsidRPr="00564DB3">
        <w:t>ltimate accuracy of the dolphin</w:t>
      </w:r>
      <w:r w:rsidR="00AA22DA" w:rsidRPr="00564DB3">
        <w:noBreakHyphen/>
      </w:r>
      <w:r w:rsidRPr="00564DB3">
        <w:t xml:space="preserve">safe label, whereas in fisheries with low dolphin interactions and harms, </w:t>
      </w:r>
      <w:r w:rsidRPr="00564DB3">
        <w:rPr>
          <w:i/>
        </w:rPr>
        <w:t>less sensitive requirements</w:t>
      </w:r>
      <w:r w:rsidRPr="00564DB3">
        <w:t xml:space="preserve"> may be </w:t>
      </w:r>
      <w:proofErr w:type="gramStart"/>
      <w:r w:rsidRPr="00564DB3">
        <w:t>sufficient</w:t>
      </w:r>
      <w:proofErr w:type="gramEnd"/>
      <w:r w:rsidRPr="00564DB3">
        <w:rPr>
          <w:i/>
        </w:rPr>
        <w:t>.</w:t>
      </w:r>
      <w:r w:rsidR="005B1CE4" w:rsidRPr="00564DB3">
        <w:rPr>
          <w:rStyle w:val="FootnoteReference"/>
        </w:rPr>
        <w:footnoteReference w:id="292"/>
      </w:r>
    </w:p>
    <w:p w:rsidR="00432E5C" w:rsidRPr="00564DB3" w:rsidRDefault="00432E5C" w:rsidP="00F70E38">
      <w:pPr>
        <w:pStyle w:val="BodyText"/>
        <w:rPr>
          <w:szCs w:val="18"/>
        </w:rPr>
      </w:pPr>
      <w:r w:rsidRPr="00564DB3">
        <w:rPr>
          <w:szCs w:val="18"/>
        </w:rPr>
        <w:t>Thus, the Panels' findings as set forth above indicate that the term "margin of error" relate</w:t>
      </w:r>
      <w:r w:rsidR="007010A8" w:rsidRPr="00564DB3">
        <w:rPr>
          <w:szCs w:val="18"/>
        </w:rPr>
        <w:t>s</w:t>
      </w:r>
      <w:r w:rsidRPr="00564DB3">
        <w:rPr>
          <w:szCs w:val="18"/>
        </w:rPr>
        <w:t xml:space="preserve"> to the strictness of the relevant certification and tracking and verification requirements, such that the less sensitive they are, the more likely that adverse effects on dolphins might go undetected and unreported. This, however, does not automatically translate into inaccuracy of the ultimate dolphin-safe label. Rather, as the Panels' statements quoted above make clear, the accuracy of the ultimate label depends not only on the sensitivity of the labelling conditions, but also on the level of risks to dolphins in a fishery. Where such risks are higher, the corresponding labelling conditions may need to be more "sensitive"</w:t>
      </w:r>
      <w:r w:rsidR="005B1CE4" w:rsidRPr="00564DB3">
        <w:rPr>
          <w:rStyle w:val="FootnoteReference"/>
          <w:szCs w:val="18"/>
        </w:rPr>
        <w:footnoteReference w:id="293"/>
      </w:r>
      <w:r w:rsidRPr="00564DB3">
        <w:rPr>
          <w:szCs w:val="18"/>
        </w:rPr>
        <w:t xml:space="preserve">, or strict, to ensure the accuracy of the label in conveying the </w:t>
      </w:r>
      <w:r w:rsidRPr="00564DB3">
        <w:rPr>
          <w:szCs w:val="18"/>
        </w:rPr>
        <w:lastRenderedPageBreak/>
        <w:t xml:space="preserve">information regarding the dolphin-safe nature of the tuna products. Conversely, where such risks are lower, less sensitive labelling conditions may be </w:t>
      </w:r>
      <w:proofErr w:type="gramStart"/>
      <w:r w:rsidRPr="00564DB3">
        <w:rPr>
          <w:szCs w:val="18"/>
        </w:rPr>
        <w:t>sufficient</w:t>
      </w:r>
      <w:proofErr w:type="gramEnd"/>
      <w:r w:rsidRPr="00564DB3">
        <w:rPr>
          <w:szCs w:val="18"/>
        </w:rPr>
        <w:t xml:space="preserve"> to ensure accuracy. Thus, we understand the Panels to have meant that the sensitivity of the labelling conditions should correspond, or be calibrated, to the risks to dolphins arising from the use of different fishing methods in different areas of the ocean, </w:t>
      </w:r>
      <w:proofErr w:type="gramStart"/>
      <w:r w:rsidRPr="00564DB3">
        <w:rPr>
          <w:szCs w:val="18"/>
        </w:rPr>
        <w:t>so as to</w:t>
      </w:r>
      <w:proofErr w:type="gramEnd"/>
      <w:r w:rsidRPr="00564DB3">
        <w:rPr>
          <w:szCs w:val="18"/>
        </w:rPr>
        <w:t xml:space="preserve"> ensure accurate labelling. </w:t>
      </w:r>
    </w:p>
    <w:p w:rsidR="00432E5C" w:rsidRPr="00564DB3" w:rsidRDefault="00432E5C" w:rsidP="00F70E38">
      <w:pPr>
        <w:pStyle w:val="BodyText"/>
        <w:rPr>
          <w:szCs w:val="18"/>
        </w:rPr>
      </w:pPr>
      <w:r w:rsidRPr="00564DB3">
        <w:rPr>
          <w:szCs w:val="18"/>
        </w:rPr>
        <w:t>We thus disagree with Mexico's contention that the Panels erroneously "took the position that fisheries that have lower risk profiles … will always have a lower risk of conveying incorrect information to consumers", and t</w:t>
      </w:r>
      <w:r w:rsidR="002725E3" w:rsidRPr="00564DB3">
        <w:rPr>
          <w:szCs w:val="18"/>
        </w:rPr>
        <w:t xml:space="preserve">hat, by doing so, </w:t>
      </w:r>
      <w:r w:rsidRPr="00564DB3">
        <w:rPr>
          <w:szCs w:val="18"/>
        </w:rPr>
        <w:t>"determined that allowing inaccurate labels is consistent with the objectives of the measure"</w:t>
      </w:r>
      <w:r w:rsidR="007010A8" w:rsidRPr="00564DB3">
        <w:rPr>
          <w:szCs w:val="18"/>
        </w:rPr>
        <w:t>.</w:t>
      </w:r>
      <w:r w:rsidR="005B1CE4" w:rsidRPr="00564DB3">
        <w:rPr>
          <w:rStyle w:val="FootnoteReference"/>
          <w:szCs w:val="18"/>
        </w:rPr>
        <w:footnoteReference w:id="294"/>
      </w:r>
      <w:r w:rsidRPr="00564DB3">
        <w:rPr>
          <w:szCs w:val="18"/>
        </w:rPr>
        <w:t xml:space="preserve"> In our view, Mexico's argument conflates the strictness of the relevant labelling conditions with </w:t>
      </w:r>
      <w:r w:rsidR="006C5D49" w:rsidRPr="00564DB3">
        <w:rPr>
          <w:szCs w:val="18"/>
        </w:rPr>
        <w:t xml:space="preserve">the inaccuracy of the ultimate </w:t>
      </w:r>
      <w:r w:rsidRPr="00564DB3">
        <w:rPr>
          <w:szCs w:val="18"/>
        </w:rPr>
        <w:t>dolphin-safe label.</w:t>
      </w:r>
      <w:r w:rsidRPr="00F70E38">
        <w:rPr>
          <w:szCs w:val="18"/>
        </w:rPr>
        <w:t xml:space="preserve"> </w:t>
      </w:r>
      <w:r w:rsidRPr="00564DB3">
        <w:rPr>
          <w:szCs w:val="18"/>
        </w:rPr>
        <w:t xml:space="preserve">While the term "margin of error", read in isolation, may be understood in the sense Mexico suggests, our above analysis indicates that the Panels used this term to denote the possibility of error </w:t>
      </w:r>
      <w:proofErr w:type="gramStart"/>
      <w:r w:rsidRPr="00564DB3">
        <w:rPr>
          <w:szCs w:val="18"/>
        </w:rPr>
        <w:t>as a result of</w:t>
      </w:r>
      <w:proofErr w:type="gramEnd"/>
      <w:r w:rsidRPr="00564DB3">
        <w:rPr>
          <w:szCs w:val="18"/>
        </w:rPr>
        <w:t xml:space="preserve"> different levels of strictness in </w:t>
      </w:r>
      <w:r w:rsidR="006C5D49" w:rsidRPr="00564DB3">
        <w:rPr>
          <w:szCs w:val="18"/>
        </w:rPr>
        <w:t xml:space="preserve">the </w:t>
      </w:r>
      <w:r w:rsidRPr="00564DB3">
        <w:rPr>
          <w:szCs w:val="18"/>
        </w:rPr>
        <w:t xml:space="preserve">certification and tracking and </w:t>
      </w:r>
      <w:r w:rsidR="00130DD5" w:rsidRPr="00564DB3">
        <w:rPr>
          <w:szCs w:val="18"/>
        </w:rPr>
        <w:t>verification</w:t>
      </w:r>
      <w:r w:rsidRPr="00564DB3">
        <w:rPr>
          <w:szCs w:val="18"/>
        </w:rPr>
        <w:t xml:space="preserve"> requirements, and did not equate it to the accuracy of the ultimate label. Rather, the latter depends not only on the sensitivity of the labelling conditions but also, importantly, </w:t>
      </w:r>
      <w:r w:rsidR="006C5D49" w:rsidRPr="00564DB3">
        <w:rPr>
          <w:szCs w:val="18"/>
        </w:rPr>
        <w:t xml:space="preserve">on </w:t>
      </w:r>
      <w:r w:rsidRPr="00564DB3">
        <w:rPr>
          <w:szCs w:val="18"/>
        </w:rPr>
        <w:t>the risks to dolphins arising from the use of different fishing methods in different areas of the ocean.</w:t>
      </w:r>
    </w:p>
    <w:p w:rsidR="00432E5C" w:rsidRPr="00564DB3" w:rsidRDefault="00432E5C" w:rsidP="00F70E38">
      <w:pPr>
        <w:pStyle w:val="BodyText"/>
        <w:rPr>
          <w:szCs w:val="18"/>
        </w:rPr>
      </w:pPr>
      <w:bookmarkStart w:id="164" w:name="_Hlk526954827"/>
      <w:r w:rsidRPr="00564DB3">
        <w:rPr>
          <w:szCs w:val="18"/>
        </w:rPr>
        <w:t xml:space="preserve">This being said, we do not consider that a reference to the term "margin of error" was necessary to the Panels' assessment of whether the 2016 Tuna Measure is </w:t>
      </w:r>
      <w:r w:rsidRPr="00564DB3">
        <w:rPr>
          <w:i/>
          <w:szCs w:val="18"/>
        </w:rPr>
        <w:t>properly</w:t>
      </w:r>
      <w:r w:rsidRPr="00564DB3">
        <w:rPr>
          <w:szCs w:val="18"/>
        </w:rPr>
        <w:t xml:space="preserve"> calibrated.</w:t>
      </w:r>
      <w:r w:rsidR="005B1CE4" w:rsidRPr="00564DB3">
        <w:rPr>
          <w:rStyle w:val="FootnoteReference"/>
          <w:szCs w:val="18"/>
        </w:rPr>
        <w:footnoteReference w:id="295"/>
      </w:r>
      <w:r w:rsidRPr="00564DB3">
        <w:rPr>
          <w:szCs w:val="18"/>
        </w:rPr>
        <w:t xml:space="preserve"> Indeed, the Panels highlighted that the question whether margins of error in the certification and tracking and verification requirements are consistent with the objectives of the measure "cannot be answered by looking at the regulations in isolation" but must be assessed "in </w:t>
      </w:r>
      <w:r w:rsidR="000F54E8" w:rsidRPr="00564DB3">
        <w:rPr>
          <w:szCs w:val="18"/>
        </w:rPr>
        <w:t xml:space="preserve">the </w:t>
      </w:r>
      <w:r w:rsidRPr="00564DB3">
        <w:rPr>
          <w:szCs w:val="18"/>
        </w:rPr>
        <w:t>light of the relevant risk profiles in different fisheries".</w:t>
      </w:r>
      <w:r w:rsidR="005B1CE4" w:rsidRPr="00564DB3">
        <w:rPr>
          <w:rStyle w:val="FootnoteReference"/>
          <w:szCs w:val="18"/>
        </w:rPr>
        <w:footnoteReference w:id="296"/>
      </w:r>
      <w:r w:rsidRPr="00564DB3">
        <w:rPr>
          <w:szCs w:val="18"/>
        </w:rPr>
        <w:t xml:space="preserve"> Read in its totality, the Panels' discussion rightly focused on the question whether the relevant regulatory distinctions are properly calibrated to the risks to dolphins.</w:t>
      </w:r>
    </w:p>
    <w:p w:rsidR="00432E5C" w:rsidRPr="00564DB3" w:rsidRDefault="00432E5C" w:rsidP="00F70E38">
      <w:pPr>
        <w:pStyle w:val="Heading4"/>
        <w:rPr>
          <w:szCs w:val="18"/>
        </w:rPr>
      </w:pPr>
      <w:bookmarkStart w:id="165" w:name="_Ref528506017"/>
      <w:bookmarkStart w:id="166" w:name="_Toc528506759"/>
      <w:bookmarkStart w:id="167" w:name="_Toc528506924"/>
      <w:bookmarkStart w:id="168" w:name="_Toc531967476"/>
      <w:bookmarkStart w:id="169" w:name="_Toc526162677"/>
      <w:bookmarkEnd w:id="164"/>
      <w:r w:rsidRPr="00564DB3">
        <w:rPr>
          <w:szCs w:val="18"/>
        </w:rPr>
        <w:t>Whether the Panels erred by limiting aspects of their calibration analysis to a comparison of the risk profiles of different fishing methods</w:t>
      </w:r>
      <w:bookmarkEnd w:id="165"/>
      <w:bookmarkEnd w:id="166"/>
      <w:bookmarkEnd w:id="167"/>
      <w:bookmarkEnd w:id="168"/>
    </w:p>
    <w:p w:rsidR="00432E5C" w:rsidRPr="00564DB3" w:rsidRDefault="00432E5C" w:rsidP="00F70E38">
      <w:pPr>
        <w:pStyle w:val="BodyText"/>
        <w:rPr>
          <w:szCs w:val="18"/>
        </w:rPr>
      </w:pPr>
      <w:bookmarkStart w:id="170" w:name="_Hlk523480258"/>
      <w:bookmarkStart w:id="171" w:name="_Ref522701581"/>
      <w:bookmarkStart w:id="172" w:name="_Ref524701747"/>
      <w:bookmarkStart w:id="173" w:name="_Ref524598012"/>
      <w:bookmarkStart w:id="174" w:name="_Ref527469874"/>
      <w:bookmarkEnd w:id="169"/>
      <w:r w:rsidRPr="00564DB3">
        <w:rPr>
          <w:szCs w:val="18"/>
        </w:rPr>
        <w:t>Mexico argues that the Panels erred in assessing and comparing the risk profiles of different fishing methods without distinguishing between different ocean areas.</w:t>
      </w:r>
      <w:r w:rsidR="005B1CE4" w:rsidRPr="00564DB3">
        <w:rPr>
          <w:rStyle w:val="FootnoteReference"/>
          <w:szCs w:val="18"/>
        </w:rPr>
        <w:footnoteReference w:id="297"/>
      </w:r>
      <w:r w:rsidRPr="00564DB3">
        <w:rPr>
          <w:szCs w:val="18"/>
        </w:rPr>
        <w:t xml:space="preserve"> </w:t>
      </w:r>
      <w:bookmarkEnd w:id="170"/>
      <w:r w:rsidRPr="00564DB3">
        <w:rPr>
          <w:szCs w:val="18"/>
        </w:rPr>
        <w:t>Mexico considers that, in order to assess whether the measure is properly calibrated to the risks to dolphins, the Panels were required to examine whether the 2016 Tuna Measure makes all relevant regulatory distinctions on the basis of both fishing methods and ocean areas.</w:t>
      </w:r>
      <w:r w:rsidR="005B1CE4" w:rsidRPr="00564DB3">
        <w:rPr>
          <w:rStyle w:val="FootnoteReference"/>
          <w:szCs w:val="18"/>
        </w:rPr>
        <w:footnoteReference w:id="298"/>
      </w:r>
      <w:r w:rsidRPr="00564DB3">
        <w:rPr>
          <w:szCs w:val="18"/>
        </w:rPr>
        <w:t xml:space="preserve"> This is because, according to Mexico, risks to dolphins depend not only on the fishing methods used but also</w:t>
      </w:r>
      <w:r w:rsidR="002725E3" w:rsidRPr="00564DB3">
        <w:rPr>
          <w:szCs w:val="18"/>
        </w:rPr>
        <w:t xml:space="preserve"> on</w:t>
      </w:r>
      <w:r w:rsidRPr="00564DB3">
        <w:rPr>
          <w:szCs w:val="18"/>
        </w:rPr>
        <w:t xml:space="preserve"> the relevant characteristics of the ocean areas where those fishing methods are used.</w:t>
      </w:r>
      <w:bookmarkStart w:id="175" w:name="_Ref529185774"/>
      <w:r w:rsidR="005B1CE4" w:rsidRPr="00564DB3">
        <w:rPr>
          <w:rStyle w:val="FootnoteReference"/>
          <w:szCs w:val="18"/>
        </w:rPr>
        <w:footnoteReference w:id="299"/>
      </w:r>
      <w:bookmarkEnd w:id="175"/>
      <w:r w:rsidRPr="00564DB3">
        <w:rPr>
          <w:szCs w:val="18"/>
        </w:rPr>
        <w:t xml:space="preserve"> Mexico considers this view to be supported </w:t>
      </w:r>
      <w:r w:rsidRPr="00564DB3">
        <w:rPr>
          <w:szCs w:val="18"/>
        </w:rPr>
        <w:lastRenderedPageBreak/>
        <w:t xml:space="preserve">by the Appellate Body's articulation of the calibration analysis in previous proceedings in this dispute, as well as the </w:t>
      </w:r>
      <w:r w:rsidR="006C5D49" w:rsidRPr="00564DB3">
        <w:rPr>
          <w:szCs w:val="18"/>
        </w:rPr>
        <w:t>"</w:t>
      </w:r>
      <w:r w:rsidRPr="00564DB3">
        <w:rPr>
          <w:szCs w:val="18"/>
        </w:rPr>
        <w:t>design, architecture, and revealing structure of the measure".</w:t>
      </w:r>
      <w:bookmarkEnd w:id="171"/>
      <w:r w:rsidR="005B1CE4" w:rsidRPr="00564DB3">
        <w:rPr>
          <w:rStyle w:val="FootnoteReference"/>
          <w:szCs w:val="18"/>
        </w:rPr>
        <w:footnoteReference w:id="300"/>
      </w:r>
      <w:r w:rsidRPr="00564DB3">
        <w:rPr>
          <w:szCs w:val="18"/>
        </w:rPr>
        <w:t xml:space="preserve"> </w:t>
      </w:r>
    </w:p>
    <w:p w:rsidR="00432E5C" w:rsidRPr="00564DB3" w:rsidRDefault="00432E5C" w:rsidP="00F70E38">
      <w:pPr>
        <w:pStyle w:val="BodyText"/>
        <w:rPr>
          <w:szCs w:val="18"/>
        </w:rPr>
      </w:pPr>
      <w:r w:rsidRPr="00564DB3">
        <w:rPr>
          <w:szCs w:val="18"/>
        </w:rPr>
        <w:t xml:space="preserve">The </w:t>
      </w:r>
      <w:r w:rsidR="00083DFC" w:rsidRPr="00564DB3">
        <w:rPr>
          <w:szCs w:val="18"/>
        </w:rPr>
        <w:t>United States</w:t>
      </w:r>
      <w:r w:rsidRPr="00564DB3">
        <w:rPr>
          <w:szCs w:val="18"/>
        </w:rPr>
        <w:t xml:space="preserve"> argues that the eligibility criteria relevant to this dispute draw distinctions on a fishing-method-by-fishing-method basis, and that it has not been suggested in any of the previous proceedings in this di</w:t>
      </w:r>
      <w:r w:rsidR="00962F01" w:rsidRPr="00564DB3">
        <w:rPr>
          <w:szCs w:val="18"/>
        </w:rPr>
        <w:t>spute, by panels, the Appellate</w:t>
      </w:r>
      <w:r w:rsidR="00832630" w:rsidRPr="00564DB3">
        <w:rPr>
          <w:szCs w:val="18"/>
        </w:rPr>
        <w:t> Body</w:t>
      </w:r>
      <w:r w:rsidRPr="00564DB3">
        <w:rPr>
          <w:szCs w:val="18"/>
        </w:rPr>
        <w:t>, or Mexico, that addressing eligibility</w:t>
      </w:r>
      <w:r w:rsidR="00AF6540" w:rsidRPr="00564DB3">
        <w:rPr>
          <w:szCs w:val="18"/>
        </w:rPr>
        <w:t xml:space="preserve"> on a fishing-method-by-fishing-</w:t>
      </w:r>
      <w:r w:rsidRPr="00564DB3">
        <w:rPr>
          <w:szCs w:val="18"/>
        </w:rPr>
        <w:t xml:space="preserve">method basis is inconsistent with </w:t>
      </w:r>
      <w:r w:rsidR="00083DFC" w:rsidRPr="00564DB3">
        <w:rPr>
          <w:szCs w:val="18"/>
        </w:rPr>
        <w:t>Article </w:t>
      </w:r>
      <w:r w:rsidRPr="00564DB3">
        <w:rPr>
          <w:szCs w:val="18"/>
        </w:rPr>
        <w:t>2.1</w:t>
      </w:r>
      <w:r w:rsidR="00B656E4" w:rsidRPr="00564DB3">
        <w:rPr>
          <w:szCs w:val="18"/>
        </w:rPr>
        <w:t xml:space="preserve"> of the TBT </w:t>
      </w:r>
      <w:r w:rsidR="00A46487" w:rsidRPr="00564DB3">
        <w:rPr>
          <w:szCs w:val="18"/>
        </w:rPr>
        <w:t>Agreement</w:t>
      </w:r>
      <w:r w:rsidRPr="00564DB3">
        <w:rPr>
          <w:szCs w:val="18"/>
        </w:rPr>
        <w:t>.</w:t>
      </w:r>
      <w:r w:rsidR="005B1CE4" w:rsidRPr="00564DB3">
        <w:rPr>
          <w:rStyle w:val="FootnoteReference"/>
          <w:szCs w:val="18"/>
        </w:rPr>
        <w:footnoteReference w:id="301"/>
      </w:r>
      <w:r w:rsidRPr="00564DB3">
        <w:rPr>
          <w:szCs w:val="18"/>
        </w:rPr>
        <w:t xml:space="preserve"> The </w:t>
      </w:r>
      <w:r w:rsidR="00083DFC" w:rsidRPr="00564DB3">
        <w:rPr>
          <w:szCs w:val="18"/>
        </w:rPr>
        <w:t>United States</w:t>
      </w:r>
      <w:r w:rsidRPr="00564DB3">
        <w:rPr>
          <w:szCs w:val="18"/>
        </w:rPr>
        <w:t xml:space="preserve"> considers that Mexico has not explained why this type of distinction is not permitted under </w:t>
      </w:r>
      <w:r w:rsidR="00083DFC" w:rsidRPr="00564DB3">
        <w:rPr>
          <w:szCs w:val="18"/>
        </w:rPr>
        <w:t>Article </w:t>
      </w:r>
      <w:r w:rsidRPr="00564DB3">
        <w:rPr>
          <w:szCs w:val="18"/>
        </w:rPr>
        <w:t>2.1</w:t>
      </w:r>
      <w:r w:rsidR="00AF6540" w:rsidRPr="00564DB3">
        <w:rPr>
          <w:szCs w:val="18"/>
        </w:rPr>
        <w:t xml:space="preserve"> of the TBT </w:t>
      </w:r>
      <w:r w:rsidR="006C5D49" w:rsidRPr="00564DB3">
        <w:rPr>
          <w:szCs w:val="18"/>
        </w:rPr>
        <w:t>Agreement</w:t>
      </w:r>
      <w:r w:rsidRPr="00564DB3">
        <w:rPr>
          <w:szCs w:val="18"/>
        </w:rPr>
        <w:t>.</w:t>
      </w:r>
      <w:r w:rsidR="005B1CE4" w:rsidRPr="00564DB3">
        <w:rPr>
          <w:rStyle w:val="FootnoteReference"/>
          <w:szCs w:val="18"/>
        </w:rPr>
        <w:footnoteReference w:id="302"/>
      </w:r>
      <w:r w:rsidRPr="00564DB3">
        <w:rPr>
          <w:szCs w:val="18"/>
        </w:rPr>
        <w:t xml:space="preserve"> In particular, the </w:t>
      </w:r>
      <w:r w:rsidR="00083DFC" w:rsidRPr="00564DB3">
        <w:rPr>
          <w:szCs w:val="18"/>
        </w:rPr>
        <w:t>United States</w:t>
      </w:r>
      <w:r w:rsidRPr="00564DB3">
        <w:rPr>
          <w:szCs w:val="18"/>
        </w:rPr>
        <w:t xml:space="preserve"> explains that, in the first compliance proceedings, the Appellate Body did not reverse the panel's findings on the basis that the panel had failed to make findings on a fishery-by-fishery basis </w:t>
      </w:r>
      <w:r w:rsidR="00E175AB" w:rsidRPr="00564DB3">
        <w:rPr>
          <w:szCs w:val="18"/>
        </w:rPr>
        <w:t>with respect to</w:t>
      </w:r>
      <w:r w:rsidRPr="00564DB3">
        <w:rPr>
          <w:szCs w:val="18"/>
        </w:rPr>
        <w:t xml:space="preserve"> the eligibility criteria.</w:t>
      </w:r>
      <w:r w:rsidR="005B1CE4" w:rsidRPr="00564DB3">
        <w:rPr>
          <w:rStyle w:val="FootnoteReference"/>
          <w:szCs w:val="18"/>
        </w:rPr>
        <w:footnoteReference w:id="303"/>
      </w:r>
      <w:r w:rsidRPr="00564DB3">
        <w:rPr>
          <w:szCs w:val="18"/>
        </w:rPr>
        <w:t xml:space="preserve"> The </w:t>
      </w:r>
      <w:r w:rsidR="00083DFC" w:rsidRPr="00564DB3">
        <w:rPr>
          <w:szCs w:val="18"/>
        </w:rPr>
        <w:t>United States</w:t>
      </w:r>
      <w:r w:rsidRPr="00564DB3">
        <w:rPr>
          <w:szCs w:val="18"/>
        </w:rPr>
        <w:t xml:space="preserve"> also highlights that Mexico's approach would render the determination provisions redundant.</w:t>
      </w:r>
      <w:r w:rsidR="005B1CE4" w:rsidRPr="00564DB3">
        <w:rPr>
          <w:rStyle w:val="FootnoteReference"/>
          <w:szCs w:val="18"/>
        </w:rPr>
        <w:footnoteReference w:id="304"/>
      </w:r>
      <w:r w:rsidRPr="00564DB3">
        <w:rPr>
          <w:szCs w:val="18"/>
        </w:rPr>
        <w:t xml:space="preserve"> </w:t>
      </w:r>
    </w:p>
    <w:p w:rsidR="00432E5C" w:rsidRPr="00564DB3" w:rsidRDefault="00432E5C" w:rsidP="00F70E38">
      <w:pPr>
        <w:pStyle w:val="BodyText"/>
        <w:rPr>
          <w:szCs w:val="18"/>
        </w:rPr>
      </w:pPr>
      <w:bookmarkStart w:id="176" w:name="_Ref527123611"/>
      <w:r w:rsidRPr="00564DB3">
        <w:rPr>
          <w:szCs w:val="18"/>
        </w:rPr>
        <w:t xml:space="preserve">We note at the outset that what Mexico considers is required of the 2016 Tuna Measure, in order for it to be consistent with </w:t>
      </w:r>
      <w:r w:rsidR="00083DFC" w:rsidRPr="00564DB3">
        <w:rPr>
          <w:szCs w:val="18"/>
        </w:rPr>
        <w:t>Article </w:t>
      </w:r>
      <w:r w:rsidRPr="00564DB3">
        <w:rPr>
          <w:szCs w:val="18"/>
        </w:rPr>
        <w:t xml:space="preserve">2.1 is based at least in part on the Appellate Body's statement that the dolphin-safe labelling regime </w:t>
      </w:r>
      <w:r w:rsidR="00A46487" w:rsidRPr="00564DB3">
        <w:rPr>
          <w:szCs w:val="18"/>
        </w:rPr>
        <w:t>"</w:t>
      </w:r>
      <w:r w:rsidRPr="00564DB3">
        <w:rPr>
          <w:szCs w:val="18"/>
        </w:rPr>
        <w:t xml:space="preserve">will not violate </w:t>
      </w:r>
      <w:r w:rsidR="00083DFC" w:rsidRPr="00564DB3">
        <w:rPr>
          <w:szCs w:val="18"/>
        </w:rPr>
        <w:t>Article </w:t>
      </w:r>
      <w:r w:rsidRPr="00564DB3">
        <w:rPr>
          <w:szCs w:val="18"/>
        </w:rPr>
        <w:t xml:space="preserve">2.1 if it is properly 'calibrated' to the risks to dolphins arising from different fishing methods </w:t>
      </w:r>
      <w:r w:rsidRPr="00564DB3">
        <w:rPr>
          <w:i/>
          <w:szCs w:val="18"/>
        </w:rPr>
        <w:t>in different areas of the oceans</w:t>
      </w:r>
      <w:r w:rsidRPr="00564DB3">
        <w:rPr>
          <w:szCs w:val="18"/>
        </w:rPr>
        <w:t>".</w:t>
      </w:r>
      <w:r w:rsidR="005B1CE4" w:rsidRPr="00564DB3">
        <w:rPr>
          <w:rStyle w:val="FootnoteReference"/>
          <w:szCs w:val="18"/>
        </w:rPr>
        <w:footnoteReference w:id="305"/>
      </w:r>
      <w:r w:rsidRPr="00564DB3">
        <w:rPr>
          <w:szCs w:val="18"/>
        </w:rPr>
        <w:t xml:space="preserve"> The Appellate Body also explained that applying the calibration analysis entails an "identification of whether different tuna fishing methods </w:t>
      </w:r>
      <w:r w:rsidRPr="00564DB3">
        <w:rPr>
          <w:i/>
          <w:szCs w:val="18"/>
        </w:rPr>
        <w:t xml:space="preserve">in different areas of the oceans </w:t>
      </w:r>
      <w:r w:rsidRPr="00564DB3">
        <w:rPr>
          <w:szCs w:val="18"/>
        </w:rPr>
        <w:t xml:space="preserve">pose different risks to </w:t>
      </w:r>
      <w:r w:rsidR="00A46487" w:rsidRPr="00564DB3">
        <w:rPr>
          <w:szCs w:val="18"/>
        </w:rPr>
        <w:t xml:space="preserve">dolphins" and examining whether, in light of these risks, </w:t>
      </w:r>
      <w:r w:rsidRPr="00564DB3">
        <w:rPr>
          <w:szCs w:val="18"/>
        </w:rPr>
        <w:t>"the different treatment created by the relevant re</w:t>
      </w:r>
      <w:r w:rsidR="006C5D49" w:rsidRPr="00564DB3">
        <w:rPr>
          <w:szCs w:val="18"/>
        </w:rPr>
        <w:t>gulatory distinction shows that</w:t>
      </w:r>
      <w:r w:rsidR="00A46487" w:rsidRPr="00564DB3">
        <w:rPr>
          <w:szCs w:val="18"/>
        </w:rPr>
        <w:t xml:space="preserve">, as between different groups, </w:t>
      </w:r>
      <w:r w:rsidRPr="00564DB3">
        <w:rPr>
          <w:szCs w:val="18"/>
        </w:rPr>
        <w:t>the treatment accorded to each group is commensurate with the relevant risks</w:t>
      </w:r>
      <w:r w:rsidR="00AB52B2" w:rsidRPr="00564DB3">
        <w:rPr>
          <w:szCs w:val="18"/>
        </w:rPr>
        <w:t>.</w:t>
      </w:r>
      <w:r w:rsidRPr="00564DB3">
        <w:rPr>
          <w:szCs w:val="18"/>
        </w:rPr>
        <w:t>"</w:t>
      </w:r>
      <w:r w:rsidR="005B1CE4" w:rsidRPr="00564DB3">
        <w:rPr>
          <w:rStyle w:val="FootnoteReference"/>
          <w:szCs w:val="18"/>
        </w:rPr>
        <w:footnoteReference w:id="306"/>
      </w:r>
      <w:r w:rsidRPr="00564DB3">
        <w:rPr>
          <w:szCs w:val="18"/>
        </w:rPr>
        <w:t xml:space="preserve"> </w:t>
      </w:r>
      <w:r w:rsidR="002725E3" w:rsidRPr="00564DB3">
        <w:rPr>
          <w:szCs w:val="18"/>
        </w:rPr>
        <w:t>However, t</w:t>
      </w:r>
      <w:r w:rsidRPr="00564DB3">
        <w:rPr>
          <w:szCs w:val="18"/>
        </w:rPr>
        <w:t>hese statements do not prescribe</w:t>
      </w:r>
      <w:r w:rsidR="002725E3" w:rsidRPr="00564DB3">
        <w:rPr>
          <w:szCs w:val="18"/>
        </w:rPr>
        <w:t xml:space="preserve"> </w:t>
      </w:r>
      <w:r w:rsidRPr="00564DB3">
        <w:rPr>
          <w:szCs w:val="18"/>
        </w:rPr>
        <w:t xml:space="preserve">that the regulatory distinctions under the 2016 Tuna Measure </w:t>
      </w:r>
      <w:r w:rsidR="002725E3" w:rsidRPr="00564DB3">
        <w:rPr>
          <w:szCs w:val="18"/>
        </w:rPr>
        <w:t xml:space="preserve">must </w:t>
      </w:r>
      <w:r w:rsidRPr="00564DB3">
        <w:rPr>
          <w:szCs w:val="18"/>
        </w:rPr>
        <w:t xml:space="preserve">be drawn on the basis of different ocean areas in order for the measure to be consistent with </w:t>
      </w:r>
      <w:r w:rsidR="00083DFC" w:rsidRPr="00564DB3">
        <w:rPr>
          <w:szCs w:val="18"/>
        </w:rPr>
        <w:t>Article </w:t>
      </w:r>
      <w:r w:rsidRPr="00564DB3">
        <w:rPr>
          <w:szCs w:val="18"/>
        </w:rPr>
        <w:t>2.1. Rather, the foregoing guidance by the Appellate Body acknowledges that the risks to dolphins may differ across different ocean areas and that, in conducting an assessment of risks to dolphins for the purpose of assessing whether the regulatory distinctions under the measure are indeed calibrated to different risks to dolphins, it is necessary to assess the risks across all relevant ocean areas in which a particular fishing method is practi</w:t>
      </w:r>
      <w:r w:rsidR="00B73EE5" w:rsidRPr="00564DB3">
        <w:rPr>
          <w:szCs w:val="18"/>
        </w:rPr>
        <w:t>s</w:t>
      </w:r>
      <w:r w:rsidRPr="00564DB3">
        <w:rPr>
          <w:szCs w:val="18"/>
        </w:rPr>
        <w:t>ed</w:t>
      </w:r>
      <w:r w:rsidR="00665596" w:rsidRPr="00564DB3">
        <w:rPr>
          <w:szCs w:val="18"/>
        </w:rPr>
        <w:t xml:space="preserve"> (i.e. </w:t>
      </w:r>
      <w:r w:rsidR="00A46487" w:rsidRPr="00564DB3">
        <w:rPr>
          <w:szCs w:val="18"/>
        </w:rPr>
        <w:t>individual fisheries)</w:t>
      </w:r>
      <w:r w:rsidRPr="00564DB3">
        <w:rPr>
          <w:szCs w:val="18"/>
        </w:rPr>
        <w:t>.</w:t>
      </w:r>
      <w:bookmarkEnd w:id="176"/>
      <w:r w:rsidRPr="00564DB3">
        <w:rPr>
          <w:szCs w:val="18"/>
        </w:rPr>
        <w:t xml:space="preserve"> </w:t>
      </w:r>
    </w:p>
    <w:p w:rsidR="00432E5C" w:rsidRPr="00564DB3" w:rsidRDefault="00432E5C" w:rsidP="00F70E38">
      <w:pPr>
        <w:pStyle w:val="BodyText"/>
        <w:rPr>
          <w:szCs w:val="18"/>
        </w:rPr>
      </w:pPr>
      <w:bookmarkStart w:id="177" w:name="_Ref529186214"/>
      <w:r w:rsidRPr="00564DB3">
        <w:rPr>
          <w:szCs w:val="18"/>
        </w:rPr>
        <w:t xml:space="preserve">The essential question before the Panels was whether the </w:t>
      </w:r>
      <w:r w:rsidR="00CA4490">
        <w:rPr>
          <w:szCs w:val="18"/>
        </w:rPr>
        <w:t xml:space="preserve">relevant </w:t>
      </w:r>
      <w:r w:rsidRPr="00564DB3">
        <w:rPr>
          <w:szCs w:val="18"/>
        </w:rPr>
        <w:t>regulatory distinctions under the measure are calibrated to different risks to dolphins. The nature of this analysis (i.e. how the Panels were required to apply the calibration analysis) is informed by the nature of the regulatory distinctions made under the measure itself. In this respect, we recall that, in determining whether detrimental impact stems exclusively from a legitimate regulatory distinction, "a panel must carefully scrutinize whether the technical regulation at issue is even-handed in its design, architecture, revealing structure, operation, and application in the light of the particular circumstances of the case."</w:t>
      </w:r>
      <w:r w:rsidR="005B1CE4" w:rsidRPr="00564DB3">
        <w:rPr>
          <w:rStyle w:val="FootnoteReference"/>
          <w:szCs w:val="18"/>
        </w:rPr>
        <w:footnoteReference w:id="307"/>
      </w:r>
      <w:r w:rsidRPr="00564DB3">
        <w:rPr>
          <w:szCs w:val="18"/>
        </w:rPr>
        <w:t xml:space="preserve"> It is therefore useful to briefly recall certain features of the measure </w:t>
      </w:r>
      <w:r w:rsidR="00FF1995" w:rsidRPr="00564DB3">
        <w:rPr>
          <w:szCs w:val="18"/>
        </w:rPr>
        <w:t xml:space="preserve">for the purpose of </w:t>
      </w:r>
      <w:r w:rsidRPr="00564DB3">
        <w:rPr>
          <w:szCs w:val="18"/>
        </w:rPr>
        <w:t>assessing Mexico's arguments.</w:t>
      </w:r>
      <w:bookmarkEnd w:id="177"/>
    </w:p>
    <w:p w:rsidR="00432E5C" w:rsidRPr="00564DB3" w:rsidRDefault="00432E5C" w:rsidP="00F70E38">
      <w:pPr>
        <w:pStyle w:val="BodyText"/>
        <w:rPr>
          <w:szCs w:val="18"/>
        </w:rPr>
      </w:pPr>
      <w:bookmarkStart w:id="178" w:name="_Ref529186062"/>
      <w:r w:rsidRPr="00564DB3">
        <w:rPr>
          <w:szCs w:val="18"/>
        </w:rPr>
        <w:t>The 2016 Tuna Measure makes several sets of</w:t>
      </w:r>
      <w:r w:rsidRPr="00564DB3">
        <w:rPr>
          <w:i/>
          <w:szCs w:val="18"/>
        </w:rPr>
        <w:t xml:space="preserve"> </w:t>
      </w:r>
      <w:r w:rsidRPr="00564DB3">
        <w:rPr>
          <w:szCs w:val="18"/>
        </w:rPr>
        <w:t xml:space="preserve">distinctions between different tuna products. In terms </w:t>
      </w:r>
      <w:r w:rsidR="00665859" w:rsidRPr="00564DB3">
        <w:rPr>
          <w:szCs w:val="18"/>
        </w:rPr>
        <w:t xml:space="preserve">of </w:t>
      </w:r>
      <w:r w:rsidR="002725E3" w:rsidRPr="00564DB3">
        <w:rPr>
          <w:szCs w:val="18"/>
        </w:rPr>
        <w:t>the eligibility criteria</w:t>
      </w:r>
      <w:r w:rsidRPr="00564DB3">
        <w:rPr>
          <w:szCs w:val="18"/>
        </w:rPr>
        <w:t>, the mea</w:t>
      </w:r>
      <w:r w:rsidR="00105496" w:rsidRPr="00564DB3">
        <w:rPr>
          <w:szCs w:val="18"/>
        </w:rPr>
        <w:t>sure distinguishes between: (i) </w:t>
      </w:r>
      <w:r w:rsidRPr="00564DB3">
        <w:rPr>
          <w:szCs w:val="18"/>
        </w:rPr>
        <w:t xml:space="preserve">tuna products containing </w:t>
      </w:r>
      <w:r w:rsidRPr="00564DB3">
        <w:rPr>
          <w:szCs w:val="18"/>
        </w:rPr>
        <w:lastRenderedPageBreak/>
        <w:t xml:space="preserve">tuna caught by setting on dolphins </w:t>
      </w:r>
      <w:r w:rsidRPr="00564DB3">
        <w:rPr>
          <w:i/>
          <w:szCs w:val="18"/>
        </w:rPr>
        <w:t xml:space="preserve">or </w:t>
      </w:r>
      <w:r w:rsidRPr="00564DB3">
        <w:rPr>
          <w:szCs w:val="18"/>
        </w:rPr>
        <w:t>caught by driftnet fis</w:t>
      </w:r>
      <w:r w:rsidR="00105496" w:rsidRPr="00564DB3">
        <w:rPr>
          <w:szCs w:val="18"/>
        </w:rPr>
        <w:t>hing on the high seas; and (ii) </w:t>
      </w:r>
      <w:r w:rsidR="00C81CC4">
        <w:rPr>
          <w:szCs w:val="18"/>
        </w:rPr>
        <w:t>tuna </w:t>
      </w:r>
      <w:r w:rsidRPr="00564DB3">
        <w:rPr>
          <w:szCs w:val="18"/>
        </w:rPr>
        <w:t>products containing tuna caught by other fishing methods.</w:t>
      </w:r>
      <w:r w:rsidR="005B1CE4" w:rsidRPr="00564DB3">
        <w:rPr>
          <w:rStyle w:val="FootnoteReference"/>
          <w:szCs w:val="18"/>
        </w:rPr>
        <w:footnoteReference w:id="308"/>
      </w:r>
      <w:r w:rsidRPr="00564DB3">
        <w:rPr>
          <w:szCs w:val="18"/>
        </w:rPr>
        <w:t xml:space="preserve"> While the former are </w:t>
      </w:r>
      <w:r w:rsidR="00665859" w:rsidRPr="00564DB3">
        <w:rPr>
          <w:szCs w:val="18"/>
        </w:rPr>
        <w:t xml:space="preserve">automatically </w:t>
      </w:r>
      <w:r w:rsidRPr="00564DB3">
        <w:rPr>
          <w:szCs w:val="18"/>
        </w:rPr>
        <w:t>ineligible for the dolphin</w:t>
      </w:r>
      <w:r w:rsidR="00665859" w:rsidRPr="00564DB3">
        <w:rPr>
          <w:szCs w:val="18"/>
        </w:rPr>
        <w:noBreakHyphen/>
      </w:r>
      <w:r w:rsidRPr="00564DB3">
        <w:rPr>
          <w:szCs w:val="18"/>
        </w:rPr>
        <w:t>safe label, the latter are eligible for the label subject to certain certification and tracking and verification requirements. Such certification and tracking and verification requir</w:t>
      </w:r>
      <w:r w:rsidR="00105496" w:rsidRPr="00564DB3">
        <w:rPr>
          <w:szCs w:val="18"/>
        </w:rPr>
        <w:t>ements distinguish between: (i) </w:t>
      </w:r>
      <w:r w:rsidRPr="00564DB3">
        <w:rPr>
          <w:szCs w:val="18"/>
        </w:rPr>
        <w:t>tuna products containing tuna caught in the ETP larg</w:t>
      </w:r>
      <w:r w:rsidR="00105496" w:rsidRPr="00564DB3">
        <w:rPr>
          <w:szCs w:val="18"/>
        </w:rPr>
        <w:t>e purse seine fishery; and (ii) </w:t>
      </w:r>
      <w:r w:rsidRPr="00564DB3">
        <w:rPr>
          <w:szCs w:val="18"/>
        </w:rPr>
        <w:t>tuna products containing tuna caught in all other fisheries.</w:t>
      </w:r>
      <w:r w:rsidR="005B1CE4" w:rsidRPr="00564DB3">
        <w:rPr>
          <w:rStyle w:val="FootnoteReference"/>
          <w:szCs w:val="18"/>
        </w:rPr>
        <w:footnoteReference w:id="309"/>
      </w:r>
      <w:r w:rsidRPr="00564DB3">
        <w:rPr>
          <w:szCs w:val="18"/>
        </w:rPr>
        <w:t xml:space="preserve"> Thus, at the level of the eligibility</w:t>
      </w:r>
      <w:r w:rsidRPr="00564DB3">
        <w:rPr>
          <w:i/>
          <w:szCs w:val="18"/>
        </w:rPr>
        <w:t xml:space="preserve"> </w:t>
      </w:r>
      <w:r w:rsidRPr="00564DB3">
        <w:rPr>
          <w:szCs w:val="18"/>
        </w:rPr>
        <w:t xml:space="preserve">criteria, the 2016 Tuna Measure draws a distinction on the basis of </w:t>
      </w:r>
      <w:r w:rsidR="00B656E4" w:rsidRPr="00564DB3">
        <w:rPr>
          <w:i/>
          <w:szCs w:val="18"/>
        </w:rPr>
        <w:t>fishing </w:t>
      </w:r>
      <w:r w:rsidRPr="00564DB3">
        <w:rPr>
          <w:i/>
          <w:szCs w:val="18"/>
        </w:rPr>
        <w:t>methods</w:t>
      </w:r>
      <w:r w:rsidRPr="00564DB3">
        <w:rPr>
          <w:szCs w:val="18"/>
        </w:rPr>
        <w:t xml:space="preserve"> insofar as the ineligibility of tuna caught by setting on dolphins is concerned.</w:t>
      </w:r>
      <w:r w:rsidR="005B1CE4" w:rsidRPr="00564DB3">
        <w:rPr>
          <w:rStyle w:val="FootnoteReference"/>
          <w:szCs w:val="18"/>
        </w:rPr>
        <w:footnoteReference w:id="310"/>
      </w:r>
      <w:r w:rsidRPr="00564DB3">
        <w:rPr>
          <w:szCs w:val="18"/>
        </w:rPr>
        <w:t xml:space="preserve"> Furthermore, at the level of the certification and tracking and veri</w:t>
      </w:r>
      <w:r w:rsidR="00B656E4" w:rsidRPr="00564DB3">
        <w:rPr>
          <w:szCs w:val="18"/>
        </w:rPr>
        <w:t>fication requirements, the 2016 </w:t>
      </w:r>
      <w:r w:rsidRPr="00564DB3">
        <w:rPr>
          <w:szCs w:val="18"/>
        </w:rPr>
        <w:t xml:space="preserve">Tuna Measure makes a distinction on the basis of different </w:t>
      </w:r>
      <w:r w:rsidRPr="00564DB3">
        <w:rPr>
          <w:i/>
          <w:szCs w:val="18"/>
        </w:rPr>
        <w:t xml:space="preserve">fisheries </w:t>
      </w:r>
      <w:r w:rsidRPr="00564DB3">
        <w:rPr>
          <w:szCs w:val="18"/>
        </w:rPr>
        <w:t>(i.e. the use of a particular fishing method in a particular ocean area).</w:t>
      </w:r>
      <w:r w:rsidR="005B1CE4" w:rsidRPr="00564DB3">
        <w:rPr>
          <w:rStyle w:val="FootnoteReference"/>
          <w:szCs w:val="18"/>
        </w:rPr>
        <w:footnoteReference w:id="311"/>
      </w:r>
      <w:r w:rsidRPr="00564DB3">
        <w:rPr>
          <w:szCs w:val="18"/>
        </w:rPr>
        <w:t xml:space="preserve"> Specifically, these requirements distinguish between tuna products containing tuna caught in the ETP</w:t>
      </w:r>
      <w:r w:rsidRPr="00564DB3">
        <w:rPr>
          <w:i/>
          <w:szCs w:val="18"/>
        </w:rPr>
        <w:t xml:space="preserve"> </w:t>
      </w:r>
      <w:r w:rsidRPr="00564DB3">
        <w:rPr>
          <w:szCs w:val="18"/>
        </w:rPr>
        <w:t>large purse seine fishery and tuna products containing tuna caught in all other fisheries.</w:t>
      </w:r>
      <w:r w:rsidR="005B1CE4" w:rsidRPr="00564DB3">
        <w:rPr>
          <w:rStyle w:val="FootnoteReference"/>
          <w:szCs w:val="18"/>
        </w:rPr>
        <w:footnoteReference w:id="312"/>
      </w:r>
      <w:r w:rsidRPr="00564DB3">
        <w:rPr>
          <w:szCs w:val="18"/>
        </w:rPr>
        <w:t xml:space="preserve"> In order for a tuna</w:t>
      </w:r>
      <w:r w:rsidR="00B656E4" w:rsidRPr="00564DB3">
        <w:rPr>
          <w:szCs w:val="18"/>
        </w:rPr>
        <w:t xml:space="preserve"> product to receive the dolphin</w:t>
      </w:r>
      <w:r w:rsidR="00B656E4" w:rsidRPr="00564DB3">
        <w:rPr>
          <w:szCs w:val="18"/>
        </w:rPr>
        <w:noBreakHyphen/>
      </w:r>
      <w:r w:rsidRPr="00564DB3">
        <w:rPr>
          <w:szCs w:val="18"/>
        </w:rPr>
        <w:t xml:space="preserve">safe label, it must satisfy all of these requirements (in other words, the tuna must have been caught using </w:t>
      </w:r>
      <w:r w:rsidR="00B66FEE" w:rsidRPr="00564DB3">
        <w:rPr>
          <w:szCs w:val="18"/>
        </w:rPr>
        <w:t>an</w:t>
      </w:r>
      <w:r w:rsidRPr="00564DB3">
        <w:rPr>
          <w:szCs w:val="18"/>
        </w:rPr>
        <w:t xml:space="preserve"> eligible fishing method, and it must have been certified, as well as tracked and verified, in accordance with the relevant requirements applicable to the fishery in which the tuna was caught).</w:t>
      </w:r>
      <w:bookmarkEnd w:id="178"/>
      <w:r w:rsidRPr="00564DB3">
        <w:rPr>
          <w:szCs w:val="18"/>
        </w:rPr>
        <w:t xml:space="preserve"> </w:t>
      </w:r>
    </w:p>
    <w:p w:rsidR="00432E5C" w:rsidRPr="00564DB3" w:rsidRDefault="00432E5C" w:rsidP="00F70E38">
      <w:pPr>
        <w:pStyle w:val="BodyText"/>
        <w:rPr>
          <w:szCs w:val="18"/>
        </w:rPr>
      </w:pPr>
      <w:r w:rsidRPr="00564DB3">
        <w:rPr>
          <w:szCs w:val="18"/>
        </w:rPr>
        <w:t>Turning to the relevant findings by the Panels, we recall that the parties do not contest on appeal the Panels' finding that the 2016 Tuna Measure has a detrimental impact on Mexican tuna products. In this regard, the Panels highlighted the Appellate Body's finding in the first compliance proceedings that "'most tuna caught by Mexican vessels, being caught in the ETP by setting on dolphins, would not be eligible for inclusion in a dolphin-safe product under the US dolphin-safe labelling provisions', while 'most tuna caught by US vessels is potentially eligible for the label'".</w:t>
      </w:r>
      <w:r w:rsidR="005B1CE4" w:rsidRPr="00564DB3">
        <w:rPr>
          <w:rStyle w:val="FootnoteReference"/>
          <w:szCs w:val="18"/>
        </w:rPr>
        <w:footnoteReference w:id="313"/>
      </w:r>
      <w:r w:rsidRPr="00564DB3">
        <w:rPr>
          <w:szCs w:val="18"/>
        </w:rPr>
        <w:t xml:space="preserve"> The Panels noted that "the 2016 Tuna Measure maintains the overall architecture and structure of the original and 2013 Tuna Measures", including "the regulatory distinction between tuna products derived from tuna caught by setting on dolphins and tuna products derived from tuna caught by other fishing methods"</w:t>
      </w:r>
      <w:r w:rsidR="00AB52B2" w:rsidRPr="00564DB3">
        <w:rPr>
          <w:szCs w:val="18"/>
        </w:rPr>
        <w:t>.</w:t>
      </w:r>
      <w:r w:rsidR="005B1CE4" w:rsidRPr="00564DB3">
        <w:rPr>
          <w:rStyle w:val="FootnoteReference"/>
          <w:szCs w:val="18"/>
        </w:rPr>
        <w:footnoteReference w:id="314"/>
      </w:r>
      <w:r w:rsidRPr="00564DB3">
        <w:rPr>
          <w:szCs w:val="18"/>
        </w:rPr>
        <w:t xml:space="preserve"> The Panels considered that, in light of the unchanged factual situation, "by excluding most Mexican tuna products from access to the dolphin-safe label, while granting conditional access to such label to like products from the </w:t>
      </w:r>
      <w:r w:rsidR="00083DFC" w:rsidRPr="00564DB3">
        <w:rPr>
          <w:szCs w:val="18"/>
        </w:rPr>
        <w:t>United States</w:t>
      </w:r>
      <w:r w:rsidRPr="00564DB3">
        <w:rPr>
          <w:szCs w:val="18"/>
        </w:rPr>
        <w:t xml:space="preserve"> and other countries, the 2016 Tuna Measure, similar to the original and the 2013 Tuna Measure, modifies the conditions of competition to the detriment of Mexican tuna products in the US market."</w:t>
      </w:r>
      <w:r w:rsidR="005B1CE4" w:rsidRPr="00564DB3">
        <w:rPr>
          <w:rStyle w:val="FootnoteReference"/>
          <w:szCs w:val="18"/>
        </w:rPr>
        <w:footnoteReference w:id="315"/>
      </w:r>
      <w:r w:rsidRPr="00564DB3">
        <w:rPr>
          <w:szCs w:val="18"/>
        </w:rPr>
        <w:t xml:space="preserve"> </w:t>
      </w:r>
    </w:p>
    <w:p w:rsidR="00432E5C" w:rsidRPr="00564DB3" w:rsidRDefault="00432E5C" w:rsidP="00F70E38">
      <w:pPr>
        <w:pStyle w:val="BodyText"/>
        <w:rPr>
          <w:szCs w:val="18"/>
        </w:rPr>
      </w:pPr>
      <w:bookmarkStart w:id="179" w:name="_Ref529185959"/>
      <w:r w:rsidRPr="00564DB3">
        <w:rPr>
          <w:szCs w:val="18"/>
        </w:rPr>
        <w:t>The Panels proceeded to examine whether this detrimental impact stems exclusively from a legitimate regulatory distinction. The Panels began by assessing the evidence before them concerning the use of all relevant fishing methods in different areas of the ocean (i.e. fisheries)</w:t>
      </w:r>
      <w:r w:rsidR="005B1CE4" w:rsidRPr="00564DB3">
        <w:rPr>
          <w:rStyle w:val="FootnoteReference"/>
          <w:szCs w:val="18"/>
        </w:rPr>
        <w:footnoteReference w:id="316"/>
      </w:r>
      <w:r w:rsidRPr="00564DB3">
        <w:rPr>
          <w:szCs w:val="18"/>
        </w:rPr>
        <w:t xml:space="preserve"> before arriving at an overall conclusion regarding the risk profile of each fishing method. Following their examination of the relevant risk profiles, the Panels considered it appropriate to examine "whether each of the elements of the measure is calibrated to the risks to dolphins arising from the use of different fishing methods in different areas of the ocean, and then synthesizing [their] intermediate analyses to reach an overall, holistic conclusion about the WTO-consistency of the Measure".</w:t>
      </w:r>
      <w:r w:rsidR="005B1CE4" w:rsidRPr="00564DB3">
        <w:rPr>
          <w:rStyle w:val="FootnoteReference"/>
          <w:szCs w:val="18"/>
        </w:rPr>
        <w:footnoteReference w:id="317"/>
      </w:r>
      <w:r w:rsidRPr="00564DB3">
        <w:rPr>
          <w:szCs w:val="18"/>
        </w:rPr>
        <w:t xml:space="preserve"> </w:t>
      </w:r>
      <w:r w:rsidR="00FF1995" w:rsidRPr="00564DB3">
        <w:rPr>
          <w:szCs w:val="18"/>
        </w:rPr>
        <w:t xml:space="preserve">For the purpose of </w:t>
      </w:r>
      <w:r w:rsidRPr="00564DB3">
        <w:rPr>
          <w:szCs w:val="18"/>
        </w:rPr>
        <w:t>assessing whether the eligibility criteria are properly calibrated, the Panels compared the risk profile of setting on dolphins</w:t>
      </w:r>
      <w:r w:rsidRPr="00564DB3">
        <w:rPr>
          <w:i/>
          <w:szCs w:val="18"/>
        </w:rPr>
        <w:t xml:space="preserve"> </w:t>
      </w:r>
      <w:r w:rsidRPr="00564DB3">
        <w:rPr>
          <w:szCs w:val="18"/>
        </w:rPr>
        <w:t>with the risk profiles of other fishing methods.</w:t>
      </w:r>
      <w:r w:rsidR="005B1CE4" w:rsidRPr="00564DB3">
        <w:rPr>
          <w:rStyle w:val="FootnoteReference"/>
          <w:szCs w:val="18"/>
        </w:rPr>
        <w:footnoteReference w:id="318"/>
      </w:r>
      <w:r w:rsidRPr="00564DB3">
        <w:rPr>
          <w:szCs w:val="18"/>
        </w:rPr>
        <w:t xml:space="preserve"> By contrast, in examining the certification and tracking and verification requirements, the Panels compared the risk profiles of the relevant fisheries (i.e. fishing methods and</w:t>
      </w:r>
      <w:r w:rsidRPr="00564DB3">
        <w:rPr>
          <w:i/>
          <w:szCs w:val="18"/>
        </w:rPr>
        <w:t xml:space="preserve"> </w:t>
      </w:r>
      <w:r w:rsidRPr="00564DB3">
        <w:rPr>
          <w:szCs w:val="18"/>
        </w:rPr>
        <w:t xml:space="preserve">ocean areas) with respect to which the 2016 Tuna Measure draws a distinction, namely, the ETP large purse seine </w:t>
      </w:r>
      <w:r w:rsidRPr="00564DB3">
        <w:rPr>
          <w:szCs w:val="18"/>
        </w:rPr>
        <w:lastRenderedPageBreak/>
        <w:t>fishery and all other fisheries.</w:t>
      </w:r>
      <w:r w:rsidR="005B1CE4" w:rsidRPr="00564DB3">
        <w:rPr>
          <w:rStyle w:val="FootnoteReference"/>
          <w:szCs w:val="18"/>
        </w:rPr>
        <w:footnoteReference w:id="319"/>
      </w:r>
      <w:r w:rsidRPr="00564DB3">
        <w:rPr>
          <w:szCs w:val="18"/>
        </w:rPr>
        <w:t xml:space="preserve"> The Panels explained that, "unlike the eligibility requirements, the certification requirements (and the tracking and verification requirements</w:t>
      </w:r>
      <w:r w:rsidR="00AB52B2" w:rsidRPr="00564DB3">
        <w:rPr>
          <w:szCs w:val="18"/>
        </w:rPr>
        <w:t>)</w:t>
      </w:r>
      <w:r w:rsidR="006C5D49" w:rsidRPr="00564DB3">
        <w:rPr>
          <w:szCs w:val="18"/>
        </w:rPr>
        <w:t xml:space="preserve"> …</w:t>
      </w:r>
      <w:r w:rsidRPr="00564DB3">
        <w:rPr>
          <w:szCs w:val="18"/>
        </w:rPr>
        <w:t xml:space="preserve"> draw distinctions on the basis of different fisheries, rather than different fishing methods."</w:t>
      </w:r>
      <w:r w:rsidR="005B1CE4" w:rsidRPr="00564DB3">
        <w:rPr>
          <w:rStyle w:val="FootnoteReference"/>
          <w:szCs w:val="18"/>
        </w:rPr>
        <w:footnoteReference w:id="320"/>
      </w:r>
      <w:bookmarkEnd w:id="179"/>
      <w:r w:rsidRPr="00564DB3">
        <w:rPr>
          <w:szCs w:val="18"/>
        </w:rPr>
        <w:t xml:space="preserve"> </w:t>
      </w:r>
    </w:p>
    <w:p w:rsidR="00432E5C" w:rsidRPr="00564DB3" w:rsidRDefault="00432E5C" w:rsidP="00F70E38">
      <w:pPr>
        <w:pStyle w:val="BodyText"/>
        <w:rPr>
          <w:szCs w:val="18"/>
        </w:rPr>
      </w:pPr>
      <w:r w:rsidRPr="00564DB3">
        <w:rPr>
          <w:szCs w:val="18"/>
        </w:rPr>
        <w:t xml:space="preserve">As explained above, Mexico contends that the Panels erred by comparing the risk profiles of different fishing methods, and not </w:t>
      </w:r>
      <w:r w:rsidR="00AB52B2" w:rsidRPr="00564DB3">
        <w:rPr>
          <w:szCs w:val="18"/>
        </w:rPr>
        <w:t xml:space="preserve">of </w:t>
      </w:r>
      <w:r w:rsidRPr="00564DB3">
        <w:rPr>
          <w:szCs w:val="18"/>
        </w:rPr>
        <w:t>individual fisheries.</w:t>
      </w:r>
      <w:r w:rsidR="005B1CE4" w:rsidRPr="00564DB3">
        <w:rPr>
          <w:rStyle w:val="FootnoteReference"/>
          <w:szCs w:val="18"/>
        </w:rPr>
        <w:footnoteReference w:id="321"/>
      </w:r>
      <w:r w:rsidRPr="00564DB3">
        <w:rPr>
          <w:szCs w:val="18"/>
        </w:rPr>
        <w:t xml:space="preserve"> As indicated, in the context of assessing the </w:t>
      </w:r>
      <w:r w:rsidRPr="00564DB3">
        <w:rPr>
          <w:i/>
          <w:szCs w:val="18"/>
        </w:rPr>
        <w:t>certification</w:t>
      </w:r>
      <w:r w:rsidRPr="00564DB3">
        <w:rPr>
          <w:szCs w:val="18"/>
        </w:rPr>
        <w:t xml:space="preserve"> and </w:t>
      </w:r>
      <w:r w:rsidRPr="00564DB3">
        <w:rPr>
          <w:i/>
          <w:szCs w:val="18"/>
        </w:rPr>
        <w:t>tracking</w:t>
      </w:r>
      <w:r w:rsidRPr="00564DB3">
        <w:rPr>
          <w:szCs w:val="18"/>
        </w:rPr>
        <w:t xml:space="preserve"> </w:t>
      </w:r>
      <w:r w:rsidRPr="00564DB3">
        <w:rPr>
          <w:i/>
          <w:szCs w:val="18"/>
        </w:rPr>
        <w:t>and</w:t>
      </w:r>
      <w:r w:rsidRPr="00564DB3">
        <w:rPr>
          <w:szCs w:val="18"/>
        </w:rPr>
        <w:t xml:space="preserve"> </w:t>
      </w:r>
      <w:r w:rsidRPr="00564DB3">
        <w:rPr>
          <w:i/>
          <w:szCs w:val="18"/>
        </w:rPr>
        <w:t>verification</w:t>
      </w:r>
      <w:r w:rsidRPr="00564DB3">
        <w:rPr>
          <w:szCs w:val="18"/>
        </w:rPr>
        <w:t xml:space="preserve"> requirements, the Panels compared the risk profiles of different fisheries. Since that approach appears consistent with Mexico's preferred approach, we understand that this aspect of Mexico's arguments pertains specifically to the Panels' assessment of the </w:t>
      </w:r>
      <w:r w:rsidRPr="00564DB3">
        <w:rPr>
          <w:i/>
          <w:szCs w:val="18"/>
        </w:rPr>
        <w:t xml:space="preserve">eligibility </w:t>
      </w:r>
      <w:r w:rsidRPr="00564DB3">
        <w:rPr>
          <w:szCs w:val="18"/>
        </w:rPr>
        <w:t xml:space="preserve">criteria, </w:t>
      </w:r>
      <w:r w:rsidR="00E175AB" w:rsidRPr="00564DB3">
        <w:rPr>
          <w:szCs w:val="18"/>
        </w:rPr>
        <w:t>with respect to</w:t>
      </w:r>
      <w:r w:rsidRPr="00564DB3">
        <w:rPr>
          <w:szCs w:val="18"/>
        </w:rPr>
        <w:t xml:space="preserve"> which the Panels compared the risk profiles of fishing methods, but not </w:t>
      </w:r>
      <w:r w:rsidR="00AB52B2" w:rsidRPr="00564DB3">
        <w:rPr>
          <w:szCs w:val="18"/>
        </w:rPr>
        <w:t xml:space="preserve">of </w:t>
      </w:r>
      <w:r w:rsidRPr="00564DB3">
        <w:rPr>
          <w:szCs w:val="18"/>
        </w:rPr>
        <w:t>individual fisheries.</w:t>
      </w:r>
      <w:r w:rsidR="005B1CE4" w:rsidRPr="00564DB3">
        <w:rPr>
          <w:rStyle w:val="FootnoteReference"/>
          <w:szCs w:val="18"/>
        </w:rPr>
        <w:footnoteReference w:id="322"/>
      </w:r>
      <w:r w:rsidRPr="00564DB3">
        <w:rPr>
          <w:szCs w:val="18"/>
        </w:rPr>
        <w:t xml:space="preserve"> </w:t>
      </w:r>
    </w:p>
    <w:p w:rsidR="00432E5C" w:rsidRPr="00564DB3" w:rsidRDefault="00432E5C" w:rsidP="00F70E38">
      <w:pPr>
        <w:pStyle w:val="BodyText"/>
        <w:rPr>
          <w:szCs w:val="18"/>
        </w:rPr>
      </w:pPr>
      <w:r w:rsidRPr="00564DB3">
        <w:rPr>
          <w:szCs w:val="18"/>
        </w:rPr>
        <w:t xml:space="preserve"> </w:t>
      </w:r>
      <w:bookmarkStart w:id="180" w:name="_Ref529194879"/>
      <w:r w:rsidRPr="00564DB3">
        <w:rPr>
          <w:szCs w:val="18"/>
        </w:rPr>
        <w:t>In this regard, Mexico argues that the Panels' approach is "incorrect" because the eligibility criteria under the measure "clearly distinguish based on method and area".</w:t>
      </w:r>
      <w:r w:rsidR="005B1CE4" w:rsidRPr="00564DB3">
        <w:rPr>
          <w:rStyle w:val="FootnoteReference"/>
          <w:szCs w:val="18"/>
        </w:rPr>
        <w:footnoteReference w:id="323"/>
      </w:r>
      <w:r w:rsidRPr="00564DB3">
        <w:rPr>
          <w:szCs w:val="18"/>
        </w:rPr>
        <w:t xml:space="preserve"> Mexico considers that this is illustrated b</w:t>
      </w:r>
      <w:r w:rsidR="00AB52B2" w:rsidRPr="00564DB3">
        <w:rPr>
          <w:szCs w:val="18"/>
        </w:rPr>
        <w:t xml:space="preserve">y the fact that tuna caught by </w:t>
      </w:r>
      <w:r w:rsidRPr="00564DB3">
        <w:rPr>
          <w:szCs w:val="18"/>
        </w:rPr>
        <w:t>dr</w:t>
      </w:r>
      <w:r w:rsidR="00AB52B2" w:rsidRPr="00564DB3">
        <w:rPr>
          <w:szCs w:val="18"/>
        </w:rPr>
        <w:t xml:space="preserve">iftnet fishing on the high seas </w:t>
      </w:r>
      <w:r w:rsidRPr="00564DB3">
        <w:rPr>
          <w:szCs w:val="18"/>
        </w:rPr>
        <w:t>is also ineligible for the dolphin-safe label.</w:t>
      </w:r>
      <w:r w:rsidR="005B1CE4" w:rsidRPr="00564DB3">
        <w:rPr>
          <w:rStyle w:val="FootnoteReference"/>
          <w:szCs w:val="18"/>
        </w:rPr>
        <w:footnoteReference w:id="324"/>
      </w:r>
      <w:bookmarkEnd w:id="180"/>
      <w:r w:rsidRPr="00564DB3">
        <w:rPr>
          <w:szCs w:val="18"/>
        </w:rPr>
        <w:t xml:space="preserve"> </w:t>
      </w:r>
    </w:p>
    <w:p w:rsidR="00432E5C" w:rsidRPr="00564DB3" w:rsidRDefault="00432E5C" w:rsidP="00F70E38">
      <w:pPr>
        <w:pStyle w:val="BodyText"/>
        <w:rPr>
          <w:szCs w:val="18"/>
        </w:rPr>
      </w:pPr>
      <w:bookmarkStart w:id="181" w:name="_Ref529971373"/>
      <w:r w:rsidRPr="00564DB3">
        <w:rPr>
          <w:szCs w:val="18"/>
        </w:rPr>
        <w:t xml:space="preserve">We note that the distinction under the eligibility criteria between driftnet fishing on the high seas and other fisheries is indeed on the basis of both fishing method </w:t>
      </w:r>
      <w:r w:rsidRPr="00564DB3">
        <w:rPr>
          <w:i/>
          <w:szCs w:val="18"/>
        </w:rPr>
        <w:t>and</w:t>
      </w:r>
      <w:r w:rsidRPr="00564DB3">
        <w:rPr>
          <w:szCs w:val="18"/>
        </w:rPr>
        <w:t xml:space="preserve"> ocean area.</w:t>
      </w:r>
      <w:r w:rsidR="005B1CE4" w:rsidRPr="00564DB3">
        <w:rPr>
          <w:rStyle w:val="FootnoteReference"/>
          <w:szCs w:val="18"/>
        </w:rPr>
        <w:footnoteReference w:id="325"/>
      </w:r>
      <w:r w:rsidRPr="00564DB3">
        <w:rPr>
          <w:szCs w:val="18"/>
        </w:rPr>
        <w:t xml:space="preserve"> However, we recall that the second step of the </w:t>
      </w:r>
      <w:r w:rsidR="00665859" w:rsidRPr="00564DB3">
        <w:rPr>
          <w:szCs w:val="18"/>
        </w:rPr>
        <w:t xml:space="preserve">"less favourable treatment" </w:t>
      </w:r>
      <w:r w:rsidRPr="00564DB3">
        <w:rPr>
          <w:szCs w:val="18"/>
        </w:rPr>
        <w:t xml:space="preserve">analysis under </w:t>
      </w:r>
      <w:r w:rsidR="00083DFC" w:rsidRPr="00564DB3">
        <w:rPr>
          <w:szCs w:val="18"/>
        </w:rPr>
        <w:t>Article </w:t>
      </w:r>
      <w:r w:rsidRPr="00564DB3">
        <w:rPr>
          <w:szCs w:val="18"/>
        </w:rPr>
        <w:t>2.1 "focu</w:t>
      </w:r>
      <w:r w:rsidR="00AB52B2" w:rsidRPr="00564DB3">
        <w:rPr>
          <w:szCs w:val="18"/>
        </w:rPr>
        <w:t>s</w:t>
      </w:r>
      <w:r w:rsidR="00C81CC4">
        <w:rPr>
          <w:szCs w:val="18"/>
        </w:rPr>
        <w:t>ses </w:t>
      </w:r>
      <w:r w:rsidRPr="00564DB3">
        <w:rPr>
          <w:szCs w:val="18"/>
        </w:rPr>
        <w:t>on the regulatory distinction(s) causing the detrimental impact on imported products".</w:t>
      </w:r>
      <w:r w:rsidR="005B1CE4" w:rsidRPr="00564DB3">
        <w:rPr>
          <w:rStyle w:val="FootnoteReference"/>
          <w:szCs w:val="18"/>
        </w:rPr>
        <w:footnoteReference w:id="326"/>
      </w:r>
      <w:r w:rsidRPr="00564DB3">
        <w:rPr>
          <w:szCs w:val="18"/>
        </w:rPr>
        <w:t xml:space="preserve"> Our above review of the Panels' findings and the Appellate Body's findings in the first compliance proceedings indicate</w:t>
      </w:r>
      <w:r w:rsidR="00AB52B2" w:rsidRPr="00564DB3">
        <w:rPr>
          <w:szCs w:val="18"/>
        </w:rPr>
        <w:t>s</w:t>
      </w:r>
      <w:r w:rsidRPr="00564DB3">
        <w:rPr>
          <w:szCs w:val="18"/>
        </w:rPr>
        <w:t xml:space="preserve"> that the relevant regulatory distinctions giving rise to the detrimental impact in this dispute do not concern driftnet fishing on the high seas. Mexico has not demonstrated how the treatment under the measure of driftnet fishing on the high seas is related to the Panels' findings of detrimental impact.</w:t>
      </w:r>
      <w:r w:rsidR="005B1CE4" w:rsidRPr="00564DB3">
        <w:rPr>
          <w:rStyle w:val="FootnoteReference"/>
          <w:szCs w:val="18"/>
        </w:rPr>
        <w:footnoteReference w:id="327"/>
      </w:r>
      <w:r w:rsidRPr="00564DB3">
        <w:rPr>
          <w:szCs w:val="18"/>
        </w:rPr>
        <w:t xml:space="preserve"> Furthermore, </w:t>
      </w:r>
      <w:r w:rsidRPr="00564DB3" w:rsidDel="003D513D">
        <w:rPr>
          <w:szCs w:val="18"/>
        </w:rPr>
        <w:t>one of the regulatory distinctions c</w:t>
      </w:r>
      <w:r w:rsidRPr="00564DB3">
        <w:rPr>
          <w:szCs w:val="18"/>
        </w:rPr>
        <w:t>ausing the detrimental impact on</w:t>
      </w:r>
      <w:r w:rsidRPr="00564DB3" w:rsidDel="003D513D">
        <w:rPr>
          <w:szCs w:val="18"/>
        </w:rPr>
        <w:t xml:space="preserve"> Mexican tuna products is that tuna</w:t>
      </w:r>
      <w:r w:rsidRPr="00564DB3">
        <w:rPr>
          <w:szCs w:val="18"/>
        </w:rPr>
        <w:t xml:space="preserve"> products containing tuna</w:t>
      </w:r>
      <w:r w:rsidRPr="00564DB3" w:rsidDel="003D513D">
        <w:rPr>
          <w:szCs w:val="18"/>
        </w:rPr>
        <w:t xml:space="preserve"> caught by </w:t>
      </w:r>
      <w:r w:rsidRPr="00564DB3" w:rsidDel="003D513D">
        <w:rPr>
          <w:i/>
          <w:szCs w:val="18"/>
        </w:rPr>
        <w:t xml:space="preserve">setting on dolphins </w:t>
      </w:r>
      <w:r w:rsidRPr="00564DB3">
        <w:rPr>
          <w:szCs w:val="18"/>
        </w:rPr>
        <w:t>are</w:t>
      </w:r>
      <w:r w:rsidRPr="00564DB3" w:rsidDel="003D513D">
        <w:rPr>
          <w:szCs w:val="18"/>
        </w:rPr>
        <w:t xml:space="preserve"> ineligible</w:t>
      </w:r>
      <w:r w:rsidRPr="00564DB3" w:rsidDel="003D513D">
        <w:rPr>
          <w:i/>
          <w:szCs w:val="18"/>
        </w:rPr>
        <w:t xml:space="preserve"> </w:t>
      </w:r>
      <w:r w:rsidRPr="00564DB3">
        <w:rPr>
          <w:szCs w:val="18"/>
        </w:rPr>
        <w:t>for the dolphin</w:t>
      </w:r>
      <w:r w:rsidRPr="00564DB3">
        <w:rPr>
          <w:szCs w:val="18"/>
        </w:rPr>
        <w:noBreakHyphen/>
      </w:r>
      <w:r w:rsidRPr="00564DB3" w:rsidDel="003D513D">
        <w:rPr>
          <w:szCs w:val="18"/>
        </w:rPr>
        <w:t xml:space="preserve">safe label, while tuna </w:t>
      </w:r>
      <w:r w:rsidRPr="00564DB3">
        <w:rPr>
          <w:szCs w:val="18"/>
        </w:rPr>
        <w:t xml:space="preserve">products containing tuna </w:t>
      </w:r>
      <w:r w:rsidRPr="00564DB3" w:rsidDel="003D513D">
        <w:rPr>
          <w:szCs w:val="18"/>
        </w:rPr>
        <w:t xml:space="preserve">caught by </w:t>
      </w:r>
      <w:r w:rsidRPr="00564DB3" w:rsidDel="003D513D">
        <w:rPr>
          <w:i/>
          <w:szCs w:val="18"/>
        </w:rPr>
        <w:t>other fishing methods</w:t>
      </w:r>
      <w:r w:rsidRPr="00564DB3" w:rsidDel="003D513D">
        <w:rPr>
          <w:szCs w:val="18"/>
        </w:rPr>
        <w:t xml:space="preserve"> are </w:t>
      </w:r>
      <w:r w:rsidRPr="00564DB3">
        <w:rPr>
          <w:szCs w:val="18"/>
        </w:rPr>
        <w:t>provisionally</w:t>
      </w:r>
      <w:r w:rsidRPr="00564DB3" w:rsidDel="003D513D">
        <w:rPr>
          <w:szCs w:val="18"/>
        </w:rPr>
        <w:t xml:space="preserve"> eligible for the label.</w:t>
      </w:r>
      <w:r w:rsidR="005B1CE4" w:rsidRPr="00564DB3">
        <w:rPr>
          <w:rStyle w:val="FootnoteReference"/>
          <w:szCs w:val="18"/>
        </w:rPr>
        <w:footnoteReference w:id="328"/>
      </w:r>
      <w:r w:rsidRPr="00564DB3" w:rsidDel="003D513D">
        <w:rPr>
          <w:szCs w:val="18"/>
        </w:rPr>
        <w:t xml:space="preserve"> </w:t>
      </w:r>
      <w:r w:rsidRPr="00564DB3">
        <w:rPr>
          <w:szCs w:val="18"/>
        </w:rPr>
        <w:t>As noted above, the distinction underlying the ineligibility of tuna caught by setting on dolphins</w:t>
      </w:r>
      <w:r w:rsidRPr="00564DB3" w:rsidDel="00B532F4">
        <w:rPr>
          <w:szCs w:val="18"/>
        </w:rPr>
        <w:t xml:space="preserve"> </w:t>
      </w:r>
      <w:r w:rsidRPr="00564DB3">
        <w:rPr>
          <w:szCs w:val="18"/>
        </w:rPr>
        <w:t>is made on the basis</w:t>
      </w:r>
      <w:r w:rsidRPr="00564DB3" w:rsidDel="003D513D">
        <w:rPr>
          <w:szCs w:val="18"/>
        </w:rPr>
        <w:t xml:space="preserve"> of fishing method, without reference to any particular ocean area or fishery.</w:t>
      </w:r>
      <w:r w:rsidRPr="00564DB3">
        <w:rPr>
          <w:szCs w:val="18"/>
        </w:rPr>
        <w:t xml:space="preserve"> In our view, therefore, the fact that the measure at issue also disqualifies from the dolphin-safe label tuna products containing tuna caught by driftnet fishing on the high seas does not</w:t>
      </w:r>
      <w:proofErr w:type="gramStart"/>
      <w:r w:rsidRPr="00564DB3">
        <w:rPr>
          <w:szCs w:val="18"/>
        </w:rPr>
        <w:t>, in itself, undermine</w:t>
      </w:r>
      <w:proofErr w:type="gramEnd"/>
      <w:r w:rsidRPr="00564DB3">
        <w:rPr>
          <w:szCs w:val="18"/>
        </w:rPr>
        <w:t xml:space="preserve"> the Panels' approach in assessing, </w:t>
      </w:r>
      <w:r w:rsidR="00105496" w:rsidRPr="00564DB3">
        <w:rPr>
          <w:i/>
          <w:szCs w:val="18"/>
        </w:rPr>
        <w:t>inter </w:t>
      </w:r>
      <w:r w:rsidRPr="00564DB3">
        <w:rPr>
          <w:i/>
          <w:szCs w:val="18"/>
        </w:rPr>
        <w:t>alia</w:t>
      </w:r>
      <w:r w:rsidRPr="00564DB3">
        <w:rPr>
          <w:szCs w:val="18"/>
        </w:rPr>
        <w:t>, whether the distinction between setting on dolphins and other fishing methods is calibrated to different risks to dolphins.</w:t>
      </w:r>
      <w:bookmarkEnd w:id="181"/>
    </w:p>
    <w:p w:rsidR="00432E5C" w:rsidRPr="00564DB3" w:rsidRDefault="00432E5C" w:rsidP="00F70E38">
      <w:pPr>
        <w:pStyle w:val="BodyText"/>
        <w:rPr>
          <w:szCs w:val="18"/>
        </w:rPr>
      </w:pPr>
      <w:r w:rsidRPr="00564DB3">
        <w:rPr>
          <w:szCs w:val="18"/>
        </w:rPr>
        <w:t>Mexico nonetheless argues that, "[e]</w:t>
      </w:r>
      <w:proofErr w:type="spellStart"/>
      <w:r w:rsidRPr="00564DB3">
        <w:rPr>
          <w:szCs w:val="18"/>
        </w:rPr>
        <w:t>ven</w:t>
      </w:r>
      <w:proofErr w:type="spellEnd"/>
      <w:r w:rsidRPr="00564DB3">
        <w:rPr>
          <w:szCs w:val="18"/>
        </w:rPr>
        <w:t xml:space="preserve"> if the measure did not apply the eligibility criteria on an ocean area basis, legally the calibration assessment must be undertaken on a fishing method and ocean area basis and, in certain circumstances, requires that the measure apply the eligibility criteria </w:t>
      </w:r>
      <w:r w:rsidRPr="00564DB3">
        <w:rPr>
          <w:szCs w:val="18"/>
        </w:rPr>
        <w:lastRenderedPageBreak/>
        <w:t xml:space="preserve">on an ocean area basis in order to be in compliance with </w:t>
      </w:r>
      <w:r w:rsidR="00083DFC" w:rsidRPr="00564DB3">
        <w:rPr>
          <w:szCs w:val="18"/>
        </w:rPr>
        <w:t>Article </w:t>
      </w:r>
      <w:r w:rsidRPr="00564DB3">
        <w:rPr>
          <w:szCs w:val="18"/>
        </w:rPr>
        <w:t>2.1</w:t>
      </w:r>
      <w:r w:rsidR="00AB52B2" w:rsidRPr="00564DB3">
        <w:rPr>
          <w:szCs w:val="18"/>
        </w:rPr>
        <w:t>.</w:t>
      </w:r>
      <w:r w:rsidRPr="00564DB3">
        <w:rPr>
          <w:szCs w:val="18"/>
        </w:rPr>
        <w:t>"</w:t>
      </w:r>
      <w:r w:rsidR="005B1CE4" w:rsidRPr="00564DB3">
        <w:rPr>
          <w:rStyle w:val="FootnoteReference"/>
          <w:szCs w:val="18"/>
        </w:rPr>
        <w:footnoteReference w:id="329"/>
      </w:r>
      <w:r w:rsidRPr="00564DB3">
        <w:rPr>
          <w:szCs w:val="18"/>
        </w:rPr>
        <w:t xml:space="preserve"> In Mexico's view, because risks to dolphins depend not only on fishing methods but also on the characteristics of the ocean areas in which those fishing methods are used, eligibility criteria that are based solely on a distinction between different fishing methods (without identifying specific ocean areas in which those methods are used) would undermine the measure's objective of protecting dolphins from the risks of tuna fishing. As Mexico further explained at the hearing, in its view</w:t>
      </w:r>
      <w:r w:rsidR="007010A8" w:rsidRPr="00564DB3">
        <w:rPr>
          <w:szCs w:val="18"/>
        </w:rPr>
        <w:t>,</w:t>
      </w:r>
      <w:r w:rsidRPr="00564DB3">
        <w:rPr>
          <w:szCs w:val="18"/>
        </w:rPr>
        <w:t xml:space="preserve"> the distinction between setting on dolphins and other fishing methods is </w:t>
      </w:r>
      <w:r w:rsidRPr="00564DB3">
        <w:rPr>
          <w:i/>
          <w:szCs w:val="18"/>
        </w:rPr>
        <w:t xml:space="preserve">per se </w:t>
      </w:r>
      <w:r w:rsidRPr="00564DB3">
        <w:rPr>
          <w:szCs w:val="18"/>
        </w:rPr>
        <w:t xml:space="preserve">inconsistent with </w:t>
      </w:r>
      <w:r w:rsidR="00083DFC" w:rsidRPr="00564DB3">
        <w:rPr>
          <w:szCs w:val="18"/>
        </w:rPr>
        <w:t>Article </w:t>
      </w:r>
      <w:r w:rsidRPr="00564DB3">
        <w:rPr>
          <w:szCs w:val="18"/>
        </w:rPr>
        <w:t xml:space="preserve">2.1, in light of the objectives of the measure, the manner in which the Appellate Body has previously articulated the calibration analysis, and the fact that certain fisheries may have a risk profile equivalent to that of setting on dolphins in the ETP. </w:t>
      </w:r>
    </w:p>
    <w:p w:rsidR="00432E5C" w:rsidRPr="00564DB3" w:rsidRDefault="00432E5C" w:rsidP="00F70E38">
      <w:pPr>
        <w:pStyle w:val="BodyText"/>
        <w:rPr>
          <w:szCs w:val="18"/>
        </w:rPr>
      </w:pPr>
      <w:bookmarkStart w:id="182" w:name="_Ref529186191"/>
      <w:r w:rsidRPr="00564DB3">
        <w:rPr>
          <w:szCs w:val="18"/>
        </w:rPr>
        <w:t xml:space="preserve">We recall that, under </w:t>
      </w:r>
      <w:r w:rsidR="003D0393" w:rsidRPr="00564DB3">
        <w:rPr>
          <w:szCs w:val="18"/>
        </w:rPr>
        <w:t>the</w:t>
      </w:r>
      <w:r w:rsidR="000359A6" w:rsidRPr="00564DB3">
        <w:rPr>
          <w:szCs w:val="18"/>
        </w:rPr>
        <w:t xml:space="preserve"> </w:t>
      </w:r>
      <w:r w:rsidR="003D0393" w:rsidRPr="00564DB3">
        <w:rPr>
          <w:szCs w:val="18"/>
        </w:rPr>
        <w:t xml:space="preserve">second step of the </w:t>
      </w:r>
      <w:r w:rsidR="00665859" w:rsidRPr="00564DB3">
        <w:rPr>
          <w:szCs w:val="18"/>
        </w:rPr>
        <w:t xml:space="preserve">"less favourable treatment" </w:t>
      </w:r>
      <w:r w:rsidR="003D0393" w:rsidRPr="00564DB3">
        <w:rPr>
          <w:szCs w:val="18"/>
        </w:rPr>
        <w:t xml:space="preserve">analysis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the relevant question is whether the detrimental impact caused by the </w:t>
      </w:r>
      <w:r w:rsidR="003D0393" w:rsidRPr="00564DB3">
        <w:rPr>
          <w:szCs w:val="18"/>
        </w:rPr>
        <w:t>measure at issue</w:t>
      </w:r>
      <w:r w:rsidRPr="00564DB3">
        <w:rPr>
          <w:szCs w:val="18"/>
        </w:rPr>
        <w:t xml:space="preserve"> stems exclusively from a legitimate regulatory distinction.</w:t>
      </w:r>
      <w:r w:rsidR="005B1CE4" w:rsidRPr="00564DB3">
        <w:rPr>
          <w:rStyle w:val="FootnoteReference"/>
          <w:szCs w:val="18"/>
        </w:rPr>
        <w:footnoteReference w:id="330"/>
      </w:r>
      <w:r w:rsidRPr="00564DB3">
        <w:rPr>
          <w:szCs w:val="18"/>
        </w:rPr>
        <w:t xml:space="preserve"> In our view, </w:t>
      </w:r>
      <w:r w:rsidR="00665859" w:rsidRPr="00564DB3">
        <w:rPr>
          <w:szCs w:val="18"/>
        </w:rPr>
        <w:t>in order to answer this question</w:t>
      </w:r>
      <w:r w:rsidR="00F10F8A" w:rsidRPr="00564DB3">
        <w:rPr>
          <w:szCs w:val="18"/>
        </w:rPr>
        <w:t>,</w:t>
      </w:r>
      <w:r w:rsidR="00665859" w:rsidRPr="00564DB3">
        <w:rPr>
          <w:szCs w:val="18"/>
        </w:rPr>
        <w:t xml:space="preserve"> it is necessary</w:t>
      </w:r>
      <w:r w:rsidRPr="00564DB3">
        <w:rPr>
          <w:szCs w:val="18"/>
        </w:rPr>
        <w:t xml:space="preserve"> to examine the distinction that gives rise to the detrimental impact. As indicated above, the detrimental impact in this dispute results, in part, from the distinction under the eligibility criteria between setting on dolphins and other fishing methods. Consequently, the test of whether the measure is even-handed requires assessing, </w:t>
      </w:r>
      <w:r w:rsidRPr="00564DB3">
        <w:rPr>
          <w:i/>
          <w:szCs w:val="18"/>
        </w:rPr>
        <w:t>inter alia</w:t>
      </w:r>
      <w:r w:rsidR="005B1CE4" w:rsidRPr="00564DB3">
        <w:rPr>
          <w:rStyle w:val="FootnoteReference"/>
          <w:szCs w:val="18"/>
        </w:rPr>
        <w:footnoteReference w:id="331"/>
      </w:r>
      <w:r w:rsidRPr="00564DB3">
        <w:rPr>
          <w:szCs w:val="18"/>
        </w:rPr>
        <w:t xml:space="preserve">, whether </w:t>
      </w:r>
      <w:r w:rsidRPr="00564DB3">
        <w:rPr>
          <w:i/>
          <w:szCs w:val="18"/>
        </w:rPr>
        <w:t>this</w:t>
      </w:r>
      <w:r w:rsidRPr="00564DB3">
        <w:rPr>
          <w:szCs w:val="18"/>
        </w:rPr>
        <w:t xml:space="preserve"> distinction is a legitimate regulatory distinction.</w:t>
      </w:r>
      <w:bookmarkEnd w:id="182"/>
      <w:r w:rsidRPr="00564DB3">
        <w:rPr>
          <w:szCs w:val="18"/>
        </w:rPr>
        <w:t xml:space="preserve"> </w:t>
      </w:r>
    </w:p>
    <w:p w:rsidR="00432E5C" w:rsidRPr="00564DB3" w:rsidRDefault="00432E5C" w:rsidP="00F70E38">
      <w:pPr>
        <w:pStyle w:val="BodyText"/>
        <w:rPr>
          <w:szCs w:val="18"/>
        </w:rPr>
      </w:pPr>
      <w:bookmarkStart w:id="183" w:name="_Ref529186193"/>
      <w:r w:rsidRPr="00564DB3">
        <w:rPr>
          <w:szCs w:val="18"/>
        </w:rPr>
        <w:t xml:space="preserve">Furthermore, in this dispute, the Appellate Body has accepted the premise that the Tuna Measure would not violate </w:t>
      </w:r>
      <w:r w:rsidR="00083DFC" w:rsidRPr="00564DB3">
        <w:rPr>
          <w:szCs w:val="18"/>
        </w:rPr>
        <w:t>Article </w:t>
      </w:r>
      <w:r w:rsidRPr="00564DB3">
        <w:rPr>
          <w:szCs w:val="18"/>
        </w:rPr>
        <w:t>2.1 if the relevant regulatory distinctions leading to detrimental impact are properly "calibrated" to the risks to dolphins arising from different fishing methods in different areas of the oceans.</w:t>
      </w:r>
      <w:bookmarkStart w:id="184" w:name="_Ref530753858"/>
      <w:r w:rsidR="005B1CE4" w:rsidRPr="00564DB3">
        <w:rPr>
          <w:rStyle w:val="FootnoteReference"/>
          <w:szCs w:val="18"/>
        </w:rPr>
        <w:footnoteReference w:id="332"/>
      </w:r>
      <w:bookmarkEnd w:id="184"/>
      <w:r w:rsidRPr="00564DB3">
        <w:rPr>
          <w:szCs w:val="18"/>
        </w:rPr>
        <w:t xml:space="preserve"> Thus, to the extent that Mexico's argument suggests that the distinction between setting on dolphins and other fishing methods is not even-handed simply because it is </w:t>
      </w:r>
      <w:r w:rsidR="00A46487" w:rsidRPr="00564DB3">
        <w:rPr>
          <w:szCs w:val="18"/>
        </w:rPr>
        <w:t>drawn</w:t>
      </w:r>
      <w:r w:rsidR="006C5D49" w:rsidRPr="00564DB3">
        <w:rPr>
          <w:szCs w:val="18"/>
        </w:rPr>
        <w:t xml:space="preserve"> </w:t>
      </w:r>
      <w:r w:rsidRPr="00564DB3">
        <w:rPr>
          <w:szCs w:val="18"/>
        </w:rPr>
        <w:t xml:space="preserve">on the basis of fishing methods, we do not consider Mexico's approach to be consistent with the findings from the original and first compliance proceedings. To the contrary, whether this distinction is legitimate </w:t>
      </w:r>
      <w:proofErr w:type="gramStart"/>
      <w:r w:rsidR="00FF1995" w:rsidRPr="00564DB3">
        <w:rPr>
          <w:szCs w:val="18"/>
        </w:rPr>
        <w:t>for the purpose of</w:t>
      </w:r>
      <w:proofErr w:type="gramEnd"/>
      <w:r w:rsidR="00FF1995" w:rsidRPr="00564DB3">
        <w:rPr>
          <w:szCs w:val="18"/>
        </w:rPr>
        <w:t xml:space="preserve"> </w:t>
      </w:r>
      <w:r w:rsidR="00083DFC" w:rsidRPr="00564DB3">
        <w:rPr>
          <w:szCs w:val="18"/>
        </w:rPr>
        <w:t>Article </w:t>
      </w:r>
      <w:r w:rsidRPr="00564DB3">
        <w:rPr>
          <w:szCs w:val="18"/>
        </w:rPr>
        <w:t>2.1 must be assessed through a comparison of the risk profiles of these different fishing methods.</w:t>
      </w:r>
      <w:bookmarkEnd w:id="183"/>
    </w:p>
    <w:p w:rsidR="00432E5C" w:rsidRPr="00564DB3" w:rsidRDefault="00665859" w:rsidP="00F70E38">
      <w:pPr>
        <w:pStyle w:val="BodyText"/>
        <w:rPr>
          <w:szCs w:val="18"/>
        </w:rPr>
      </w:pPr>
      <w:bookmarkStart w:id="185" w:name="_Ref529197199"/>
      <w:r w:rsidRPr="00564DB3">
        <w:rPr>
          <w:szCs w:val="18"/>
        </w:rPr>
        <w:t>In response to questioning at the hearing, Mexico</w:t>
      </w:r>
      <w:r w:rsidR="00432E5C" w:rsidRPr="00564DB3">
        <w:rPr>
          <w:szCs w:val="18"/>
        </w:rPr>
        <w:t xml:space="preserve"> argu</w:t>
      </w:r>
      <w:r w:rsidRPr="00564DB3">
        <w:rPr>
          <w:szCs w:val="18"/>
        </w:rPr>
        <w:t>ed</w:t>
      </w:r>
      <w:r w:rsidR="00432E5C" w:rsidRPr="00564DB3">
        <w:rPr>
          <w:szCs w:val="18"/>
        </w:rPr>
        <w:t xml:space="preserve"> that a fishing-method-by-fishing-method distinction </w:t>
      </w:r>
      <w:r w:rsidR="00FF1995" w:rsidRPr="00564DB3">
        <w:rPr>
          <w:szCs w:val="18"/>
        </w:rPr>
        <w:t xml:space="preserve">for the purpose of </w:t>
      </w:r>
      <w:r w:rsidR="00432E5C" w:rsidRPr="00564DB3">
        <w:rPr>
          <w:szCs w:val="18"/>
        </w:rPr>
        <w:t>the eligibility criteria would undermine the measure's objective of protecting dolphins from the risks of tuna fishing.</w:t>
      </w:r>
      <w:bookmarkStart w:id="186" w:name="_Ref530747688"/>
      <w:r w:rsidR="005B1CE4" w:rsidRPr="00564DB3">
        <w:rPr>
          <w:rStyle w:val="FootnoteReference"/>
          <w:szCs w:val="18"/>
        </w:rPr>
        <w:footnoteReference w:id="333"/>
      </w:r>
      <w:bookmarkEnd w:id="186"/>
      <w:r w:rsidR="00432E5C" w:rsidRPr="00564DB3">
        <w:rPr>
          <w:szCs w:val="18"/>
        </w:rPr>
        <w:t xml:space="preserve"> We recall, however, that the Appellate Body has accepted that if it is shown that the regulatory distinctions under the measure are </w:t>
      </w:r>
      <w:r w:rsidRPr="00564DB3">
        <w:rPr>
          <w:szCs w:val="18"/>
        </w:rPr>
        <w:t>calibrated to</w:t>
      </w:r>
      <w:r w:rsidR="00432E5C" w:rsidRPr="00564DB3">
        <w:rPr>
          <w:szCs w:val="18"/>
        </w:rPr>
        <w:t xml:space="preserve"> different risks to dolphins, then the detrimental impact under the measure would stem exclusively from a legitimate regulatory distinction.</w:t>
      </w:r>
      <w:r w:rsidRPr="00564DB3">
        <w:rPr>
          <w:rStyle w:val="FootnoteReference"/>
          <w:szCs w:val="18"/>
        </w:rPr>
        <w:footnoteReference w:id="334"/>
      </w:r>
      <w:r w:rsidR="00432E5C" w:rsidRPr="00564DB3">
        <w:rPr>
          <w:szCs w:val="18"/>
        </w:rPr>
        <w:t xml:space="preserve"> This approach by the Appellate Body reflected the understanding that, given the design and structure of the Tuna Measure (including the distinction between setting on dolphins and other fishing methods), if it can be shown that the distinctions are calibrated to different risks to dolphins, this would also indicate that such distinctions are rationally related to, and hence capable of contributing to, the measure's objectives (including the objective of protecting dolphins). Indeed, as discussed in</w:t>
      </w:r>
      <w:r w:rsidR="0025754C">
        <w:rPr>
          <w:szCs w:val="18"/>
        </w:rPr>
        <w:t xml:space="preserve"> section 6.1.3.1.1 </w:t>
      </w:r>
      <w:r w:rsidR="00432E5C" w:rsidRPr="00564DB3">
        <w:rPr>
          <w:szCs w:val="18"/>
        </w:rPr>
        <w:t xml:space="preserve">above, we consider that the calibration analysis as set out by the Appellate Body encompasses considerations of the nexus between the regulatory distinctions under the measure and the measure's objective. However, under Mexico's approach, the 2016 Tuna Measure would be </w:t>
      </w:r>
      <w:r w:rsidR="00432E5C" w:rsidRPr="00564DB3">
        <w:rPr>
          <w:i/>
          <w:szCs w:val="18"/>
        </w:rPr>
        <w:t xml:space="preserve">per se </w:t>
      </w:r>
      <w:r w:rsidR="00432E5C" w:rsidRPr="00564DB3">
        <w:rPr>
          <w:szCs w:val="18"/>
        </w:rPr>
        <w:t xml:space="preserve">inconsistent with </w:t>
      </w:r>
      <w:r w:rsidR="00083DFC" w:rsidRPr="00564DB3">
        <w:rPr>
          <w:szCs w:val="18"/>
        </w:rPr>
        <w:t>Article </w:t>
      </w:r>
      <w:r w:rsidR="00432E5C" w:rsidRPr="00564DB3">
        <w:rPr>
          <w:szCs w:val="18"/>
        </w:rPr>
        <w:t xml:space="preserve">2.1, solely on the basis that such a distinction </w:t>
      </w:r>
      <w:r w:rsidR="00B32FC9" w:rsidRPr="00564DB3">
        <w:rPr>
          <w:szCs w:val="18"/>
        </w:rPr>
        <w:t>would undermine the objective of</w:t>
      </w:r>
      <w:r w:rsidR="00432E5C" w:rsidRPr="00564DB3">
        <w:rPr>
          <w:szCs w:val="18"/>
        </w:rPr>
        <w:t xml:space="preserve"> protecting dolphins. In our view, Mexico has not demonstrated why a distinction </w:t>
      </w:r>
      <w:proofErr w:type="gramStart"/>
      <w:r w:rsidR="00432E5C" w:rsidRPr="00564DB3">
        <w:rPr>
          <w:szCs w:val="18"/>
        </w:rPr>
        <w:t>on the basis of</w:t>
      </w:r>
      <w:proofErr w:type="gramEnd"/>
      <w:r w:rsidR="00432E5C" w:rsidRPr="00564DB3">
        <w:rPr>
          <w:szCs w:val="18"/>
        </w:rPr>
        <w:t xml:space="preserve"> fishing methods </w:t>
      </w:r>
      <w:r w:rsidR="00B32FC9" w:rsidRPr="00564DB3">
        <w:rPr>
          <w:szCs w:val="18"/>
        </w:rPr>
        <w:t xml:space="preserve">would undermine the objective </w:t>
      </w:r>
      <w:r w:rsidR="00432E5C" w:rsidRPr="00564DB3">
        <w:rPr>
          <w:szCs w:val="18"/>
        </w:rPr>
        <w:t>of protecting dolphins.</w:t>
      </w:r>
      <w:bookmarkEnd w:id="185"/>
      <w:r w:rsidR="00432E5C" w:rsidRPr="00564DB3">
        <w:rPr>
          <w:szCs w:val="18"/>
        </w:rPr>
        <w:t xml:space="preserve"> </w:t>
      </w:r>
    </w:p>
    <w:p w:rsidR="00432E5C" w:rsidRPr="00564DB3" w:rsidRDefault="00432E5C" w:rsidP="00F70E38">
      <w:pPr>
        <w:pStyle w:val="BodyText"/>
        <w:rPr>
          <w:szCs w:val="18"/>
        </w:rPr>
      </w:pPr>
      <w:bookmarkStart w:id="187" w:name="_Ref529196869"/>
      <w:r w:rsidRPr="00564DB3">
        <w:rPr>
          <w:szCs w:val="18"/>
        </w:rPr>
        <w:lastRenderedPageBreak/>
        <w:t>We also note Mexico's argument that, because the Panels "disregarded"</w:t>
      </w:r>
      <w:r w:rsidR="00A46487" w:rsidRPr="00564DB3">
        <w:rPr>
          <w:rStyle w:val="FootnoteReference"/>
          <w:szCs w:val="18"/>
        </w:rPr>
        <w:footnoteReference w:id="335"/>
      </w:r>
      <w:r w:rsidRPr="00564DB3">
        <w:rPr>
          <w:szCs w:val="18"/>
        </w:rPr>
        <w:t xml:space="preserve"> the fact that certain fisheries may have risk profiles equivalent to, or higher than, the risk profile of </w:t>
      </w:r>
      <w:r w:rsidRPr="00564DB3">
        <w:rPr>
          <w:i/>
          <w:szCs w:val="18"/>
        </w:rPr>
        <w:t>setting on dolphins</w:t>
      </w:r>
      <w:r w:rsidRPr="00564DB3">
        <w:rPr>
          <w:szCs w:val="18"/>
        </w:rPr>
        <w:t xml:space="preserve"> </w:t>
      </w:r>
      <w:r w:rsidRPr="00564DB3">
        <w:rPr>
          <w:i/>
          <w:szCs w:val="18"/>
        </w:rPr>
        <w:t>in the ETP</w:t>
      </w:r>
      <w:r w:rsidRPr="00564DB3">
        <w:rPr>
          <w:szCs w:val="18"/>
        </w:rPr>
        <w:t>, the Panels also failed to recognize that permitting access to the dolphin-safe label to tuna caught in such ocean areas undermines the measure's objectives.</w:t>
      </w:r>
      <w:r w:rsidR="005B1CE4" w:rsidRPr="00564DB3">
        <w:rPr>
          <w:rStyle w:val="FootnoteReference"/>
          <w:szCs w:val="18"/>
        </w:rPr>
        <w:footnoteReference w:id="336"/>
      </w:r>
      <w:r w:rsidRPr="00564DB3">
        <w:rPr>
          <w:szCs w:val="18"/>
        </w:rPr>
        <w:t xml:space="preserve"> However, from our review of the Panels' find</w:t>
      </w:r>
      <w:r w:rsidR="00331D9A" w:rsidRPr="00564DB3">
        <w:rPr>
          <w:szCs w:val="18"/>
        </w:rPr>
        <w:t>ings, it is clear that the 2016 </w:t>
      </w:r>
      <w:r w:rsidRPr="00564DB3">
        <w:rPr>
          <w:szCs w:val="18"/>
        </w:rPr>
        <w:t>Tuna Measure does not draw a regulatory distinction between the ETP setting-on-dolphins</w:t>
      </w:r>
      <w:r w:rsidR="00331D9A" w:rsidRPr="00564DB3">
        <w:rPr>
          <w:szCs w:val="18"/>
        </w:rPr>
        <w:t>-</w:t>
      </w:r>
      <w:r w:rsidRPr="00564DB3">
        <w:rPr>
          <w:szCs w:val="18"/>
        </w:rPr>
        <w:t xml:space="preserve">fishery and other fisheries. As explained above, the </w:t>
      </w:r>
      <w:r w:rsidR="00B32FC9" w:rsidRPr="00564DB3">
        <w:rPr>
          <w:szCs w:val="18"/>
        </w:rPr>
        <w:t>eligibility criteria</w:t>
      </w:r>
      <w:r w:rsidRPr="00564DB3">
        <w:rPr>
          <w:szCs w:val="18"/>
        </w:rPr>
        <w:t xml:space="preserve"> distinguish between </w:t>
      </w:r>
      <w:r w:rsidRPr="00564DB3">
        <w:rPr>
          <w:i/>
          <w:szCs w:val="18"/>
        </w:rPr>
        <w:t xml:space="preserve">setting on dolphins </w:t>
      </w:r>
      <w:r w:rsidRPr="00564DB3">
        <w:rPr>
          <w:szCs w:val="18"/>
        </w:rPr>
        <w:t xml:space="preserve">and other fishing methods, </w:t>
      </w:r>
      <w:r w:rsidR="00B32FC9" w:rsidRPr="00564DB3">
        <w:rPr>
          <w:szCs w:val="18"/>
        </w:rPr>
        <w:t>while the certification requirement</w:t>
      </w:r>
      <w:r w:rsidR="007A512C" w:rsidRPr="00564DB3">
        <w:rPr>
          <w:szCs w:val="18"/>
        </w:rPr>
        <w:t>s</w:t>
      </w:r>
      <w:r w:rsidR="00B32FC9" w:rsidRPr="00564DB3">
        <w:rPr>
          <w:szCs w:val="18"/>
        </w:rPr>
        <w:t xml:space="preserve"> and tracking and verification requ</w:t>
      </w:r>
      <w:r w:rsidR="007A512C" w:rsidRPr="00564DB3">
        <w:rPr>
          <w:szCs w:val="18"/>
        </w:rPr>
        <w:t>irements</w:t>
      </w:r>
      <w:r w:rsidRPr="00564DB3">
        <w:rPr>
          <w:szCs w:val="18"/>
        </w:rPr>
        <w:t xml:space="preserve"> distinguish between the </w:t>
      </w:r>
      <w:r w:rsidRPr="00564DB3">
        <w:rPr>
          <w:i/>
          <w:szCs w:val="18"/>
        </w:rPr>
        <w:t xml:space="preserve">ETP large purse seine </w:t>
      </w:r>
      <w:r w:rsidRPr="00564DB3">
        <w:rPr>
          <w:szCs w:val="18"/>
        </w:rPr>
        <w:t>fishery (whether by setting on dolphins or by other methods of purse seine fishing) and all other fisheries.</w:t>
      </w:r>
      <w:r w:rsidR="005B1CE4" w:rsidRPr="00564DB3">
        <w:rPr>
          <w:rStyle w:val="FootnoteReference"/>
          <w:szCs w:val="18"/>
        </w:rPr>
        <w:footnoteReference w:id="337"/>
      </w:r>
      <w:r w:rsidRPr="00564DB3">
        <w:rPr>
          <w:szCs w:val="18"/>
        </w:rPr>
        <w:t xml:space="preserve"> It is on the basis of these regulatory distinctions that the Panels were required to compare the risk profiles of different fishing methods (</w:t>
      </w:r>
      <w:r w:rsidR="00E175AB" w:rsidRPr="00564DB3">
        <w:rPr>
          <w:szCs w:val="18"/>
        </w:rPr>
        <w:t>with respect to</w:t>
      </w:r>
      <w:r w:rsidRPr="00564DB3">
        <w:rPr>
          <w:szCs w:val="18"/>
        </w:rPr>
        <w:t xml:space="preserve"> the eligibility criteria) and fisheries (</w:t>
      </w:r>
      <w:r w:rsidR="00E175AB" w:rsidRPr="00564DB3">
        <w:rPr>
          <w:szCs w:val="18"/>
        </w:rPr>
        <w:t>with respect to</w:t>
      </w:r>
      <w:r w:rsidRPr="00564DB3">
        <w:rPr>
          <w:szCs w:val="18"/>
        </w:rPr>
        <w:t xml:space="preserve"> the certification and tracking and verification requirements), having established such risk profiles on the basis of their review of all relevant evidence of the risks to dolphins from different fishing methods as used in different ocean areas.</w:t>
      </w:r>
      <w:bookmarkEnd w:id="187"/>
      <w:r w:rsidRPr="00564DB3">
        <w:rPr>
          <w:szCs w:val="18"/>
        </w:rPr>
        <w:t xml:space="preserve"> </w:t>
      </w:r>
    </w:p>
    <w:p w:rsidR="00432E5C" w:rsidRPr="00564DB3" w:rsidRDefault="00432E5C" w:rsidP="00F70E38">
      <w:pPr>
        <w:pStyle w:val="BodyText"/>
        <w:rPr>
          <w:szCs w:val="18"/>
        </w:rPr>
      </w:pPr>
      <w:r w:rsidRPr="00564DB3">
        <w:rPr>
          <w:szCs w:val="18"/>
        </w:rPr>
        <w:t>In any event, to the extent that Mexico is asserting that the Panels' analysis of risk profiles should have addressed all ocean areas because risks differ across different ocean areas, we have already addressed this argument above.</w:t>
      </w:r>
      <w:r w:rsidR="005B1CE4" w:rsidRPr="00564DB3">
        <w:rPr>
          <w:rStyle w:val="FootnoteReference"/>
          <w:szCs w:val="18"/>
        </w:rPr>
        <w:footnoteReference w:id="338"/>
      </w:r>
      <w:r w:rsidRPr="00564DB3">
        <w:rPr>
          <w:szCs w:val="18"/>
        </w:rPr>
        <w:t xml:space="preserve"> As discussed, we agree that information pertaining to the risks to dolphins in individual fisheries is relevant, and should be taken into account, in assessing and comparing the overall relative risks of different fishing methods.</w:t>
      </w:r>
      <w:r w:rsidR="005B1CE4" w:rsidRPr="00564DB3">
        <w:rPr>
          <w:rStyle w:val="FootnoteReference"/>
          <w:szCs w:val="18"/>
        </w:rPr>
        <w:footnoteReference w:id="339"/>
      </w:r>
      <w:r w:rsidRPr="00564DB3">
        <w:rPr>
          <w:szCs w:val="18"/>
        </w:rPr>
        <w:t xml:space="preserve"> On the basis of the evidence concerning the use of different fishing methods in different ocean areas, the Panels would then be able to compare the relative risks of specific fishing methods in order to examine whether the eligibility criteria are calibrated to such risks. </w:t>
      </w:r>
      <w:r w:rsidR="007A512C" w:rsidRPr="00564DB3">
        <w:rPr>
          <w:szCs w:val="18"/>
        </w:rPr>
        <w:t>T</w:t>
      </w:r>
      <w:r w:rsidRPr="00564DB3">
        <w:rPr>
          <w:szCs w:val="18"/>
        </w:rPr>
        <w:t>o the extent that Mexico is asserting that the Panels failed to assess relevant evidence regarding the use of fishing methods in specific ocean areas, we address this argument in the context of our discussion of the Panels' assessment of risk profiles below.</w:t>
      </w:r>
      <w:r w:rsidR="005B1CE4" w:rsidRPr="00564DB3">
        <w:rPr>
          <w:rStyle w:val="FootnoteReference"/>
          <w:szCs w:val="18"/>
        </w:rPr>
        <w:footnoteReference w:id="340"/>
      </w:r>
      <w:r w:rsidRPr="00564DB3">
        <w:rPr>
          <w:szCs w:val="18"/>
        </w:rPr>
        <w:t xml:space="preserve"> </w:t>
      </w:r>
    </w:p>
    <w:p w:rsidR="00432E5C" w:rsidRPr="00564DB3" w:rsidRDefault="00432E5C" w:rsidP="00F70E38">
      <w:pPr>
        <w:pStyle w:val="BodyText"/>
        <w:rPr>
          <w:szCs w:val="18"/>
        </w:rPr>
      </w:pPr>
      <w:bookmarkStart w:id="188" w:name="_Ref529186160"/>
      <w:r w:rsidRPr="00564DB3">
        <w:rPr>
          <w:szCs w:val="18"/>
        </w:rPr>
        <w:t xml:space="preserve">In sum, given that the </w:t>
      </w:r>
      <w:r w:rsidR="007A512C" w:rsidRPr="00564DB3">
        <w:rPr>
          <w:szCs w:val="18"/>
        </w:rPr>
        <w:t xml:space="preserve">eligibility criteria under the </w:t>
      </w:r>
      <w:r w:rsidRPr="00564DB3">
        <w:rPr>
          <w:szCs w:val="18"/>
        </w:rPr>
        <w:t xml:space="preserve">2016 Tuna Measure </w:t>
      </w:r>
      <w:r w:rsidR="007A512C" w:rsidRPr="00564DB3">
        <w:rPr>
          <w:szCs w:val="18"/>
        </w:rPr>
        <w:t>distinguish</w:t>
      </w:r>
      <w:r w:rsidRPr="00564DB3">
        <w:rPr>
          <w:szCs w:val="18"/>
        </w:rPr>
        <w:t xml:space="preserve"> between setting on dolphins and other fishing methods, </w:t>
      </w:r>
      <w:r w:rsidR="00245A75" w:rsidRPr="00564DB3">
        <w:rPr>
          <w:szCs w:val="18"/>
        </w:rPr>
        <w:t xml:space="preserve">and Mexico has not demonstrated how such a distinction </w:t>
      </w:r>
      <w:r w:rsidR="00C0669C" w:rsidRPr="00564DB3">
        <w:rPr>
          <w:szCs w:val="18"/>
        </w:rPr>
        <w:t>would undermine the objective</w:t>
      </w:r>
      <w:r w:rsidR="00245A75" w:rsidRPr="00564DB3">
        <w:rPr>
          <w:szCs w:val="18"/>
        </w:rPr>
        <w:t xml:space="preserve"> of protecting dolphins, </w:t>
      </w:r>
      <w:r w:rsidR="007A512C" w:rsidRPr="00564DB3">
        <w:rPr>
          <w:szCs w:val="18"/>
        </w:rPr>
        <w:t xml:space="preserve">we consider that </w:t>
      </w:r>
      <w:r w:rsidRPr="00564DB3">
        <w:rPr>
          <w:szCs w:val="18"/>
        </w:rPr>
        <w:t xml:space="preserve">assessing whether this distinction is calibrated to different risks to dolphins required the Panels to compare, </w:t>
      </w:r>
      <w:r w:rsidRPr="00564DB3">
        <w:rPr>
          <w:i/>
          <w:szCs w:val="18"/>
        </w:rPr>
        <w:t>inter alia</w:t>
      </w:r>
      <w:r w:rsidRPr="00564DB3">
        <w:rPr>
          <w:szCs w:val="18"/>
        </w:rPr>
        <w:t xml:space="preserve">, the risk profiles of the relevant fishing methods. Based on the foregoing, we consider that Mexico has not demonstrated that the Panels erred by comparing the risk profiles of different fishing methods in applying the calibration analysis to the eligibility criteria. Specifically, we consider that the Panels were correct to compare, in the context of the eligibility criteria, the risk profiles of different fishing methods, given that the relevant regulatory distinction under the eligibility criteria is indeed </w:t>
      </w:r>
      <w:proofErr w:type="gramStart"/>
      <w:r w:rsidRPr="00564DB3">
        <w:rPr>
          <w:szCs w:val="18"/>
        </w:rPr>
        <w:t>on the basis of</w:t>
      </w:r>
      <w:proofErr w:type="gramEnd"/>
      <w:r w:rsidRPr="00564DB3">
        <w:rPr>
          <w:szCs w:val="18"/>
        </w:rPr>
        <w:t xml:space="preserve"> fishing methods. We also consider that the Panels acted appropriately by comparing the risk profiles of individual fisheries in the context of applying the calibration analysis to the certification and tracking and verification requirements, since those requirements make a distinction </w:t>
      </w:r>
      <w:proofErr w:type="gramStart"/>
      <w:r w:rsidRPr="00564DB3">
        <w:rPr>
          <w:szCs w:val="18"/>
        </w:rPr>
        <w:t>on the basis of</w:t>
      </w:r>
      <w:proofErr w:type="gramEnd"/>
      <w:r w:rsidRPr="00564DB3">
        <w:rPr>
          <w:szCs w:val="18"/>
        </w:rPr>
        <w:t xml:space="preserve"> </w:t>
      </w:r>
      <w:r w:rsidR="007A512C" w:rsidRPr="00564DB3">
        <w:rPr>
          <w:szCs w:val="18"/>
        </w:rPr>
        <w:t xml:space="preserve">fisheries (i.e. </w:t>
      </w:r>
      <w:r w:rsidRPr="00564DB3">
        <w:rPr>
          <w:szCs w:val="18"/>
        </w:rPr>
        <w:t>both fishing method and ocean area</w:t>
      </w:r>
      <w:r w:rsidR="007A512C" w:rsidRPr="00564DB3">
        <w:rPr>
          <w:szCs w:val="18"/>
        </w:rPr>
        <w:t>)</w:t>
      </w:r>
      <w:r w:rsidRPr="00564DB3">
        <w:rPr>
          <w:szCs w:val="18"/>
        </w:rPr>
        <w:t>.</w:t>
      </w:r>
      <w:bookmarkEnd w:id="188"/>
      <w:r w:rsidRPr="00564DB3">
        <w:rPr>
          <w:szCs w:val="18"/>
        </w:rPr>
        <w:t xml:space="preserve"> </w:t>
      </w:r>
    </w:p>
    <w:p w:rsidR="00432E5C" w:rsidRPr="00564DB3" w:rsidRDefault="00432E5C" w:rsidP="00F70E38">
      <w:pPr>
        <w:pStyle w:val="BodyText"/>
        <w:rPr>
          <w:szCs w:val="18"/>
        </w:rPr>
      </w:pPr>
      <w:bookmarkStart w:id="189" w:name="_Ref527985203"/>
      <w:r w:rsidRPr="00564DB3">
        <w:rPr>
          <w:szCs w:val="18"/>
        </w:rPr>
        <w:t>In setting out the foregoing analysis, we are mindful of the need to avoid assessing each element of the measure at issue in isolation. We recall that, in the first compliance proceedings, the Appellate Body recognized that it may be appropriate for a panel "to proceed by assessing different elements of [a] measure in a sequential manner", provided that doing so does not "lead to the isolated consideration of a particular element" where the elements of a measure are closely interrelated.</w:t>
      </w:r>
      <w:r w:rsidR="005B1CE4" w:rsidRPr="00564DB3">
        <w:rPr>
          <w:rStyle w:val="FootnoteReference"/>
          <w:szCs w:val="18"/>
        </w:rPr>
        <w:footnoteReference w:id="341"/>
      </w:r>
      <w:r w:rsidRPr="00564DB3">
        <w:rPr>
          <w:szCs w:val="18"/>
        </w:rPr>
        <w:t xml:space="preserve"> Thus, a segmented approach may raise concerns "when a panel fails to make an overall assessment that synthesizes its reasoning or intermediate conclusions concerning related elements of a measure at issue so as to reach a proper finding of consistency or inconsistency in respect of that measure"</w:t>
      </w:r>
      <w:r w:rsidR="00C0669C" w:rsidRPr="00564DB3">
        <w:rPr>
          <w:szCs w:val="18"/>
        </w:rPr>
        <w:t>.</w:t>
      </w:r>
      <w:r w:rsidR="005B1CE4" w:rsidRPr="00564DB3">
        <w:rPr>
          <w:rStyle w:val="FootnoteReference"/>
          <w:szCs w:val="18"/>
        </w:rPr>
        <w:footnoteReference w:id="342"/>
      </w:r>
      <w:r w:rsidRPr="00564DB3">
        <w:rPr>
          <w:szCs w:val="18"/>
        </w:rPr>
        <w:t xml:space="preserve"> In our view, the Panels' approach as described above</w:t>
      </w:r>
      <w:r w:rsidR="005B1CE4" w:rsidRPr="00564DB3">
        <w:rPr>
          <w:rStyle w:val="FootnoteReference"/>
          <w:szCs w:val="18"/>
        </w:rPr>
        <w:footnoteReference w:id="343"/>
      </w:r>
      <w:r w:rsidRPr="00564DB3">
        <w:rPr>
          <w:szCs w:val="18"/>
        </w:rPr>
        <w:t xml:space="preserve">, whereby they compared the risks of </w:t>
      </w:r>
      <w:r w:rsidRPr="00564DB3">
        <w:rPr>
          <w:i/>
          <w:szCs w:val="18"/>
        </w:rPr>
        <w:t>fishing methods</w:t>
      </w:r>
      <w:r w:rsidRPr="00564DB3">
        <w:rPr>
          <w:szCs w:val="18"/>
        </w:rPr>
        <w:t xml:space="preserve"> in the context of the eligibility criteria, and risks of </w:t>
      </w:r>
      <w:r w:rsidRPr="00564DB3">
        <w:rPr>
          <w:i/>
          <w:szCs w:val="18"/>
        </w:rPr>
        <w:t xml:space="preserve">fishing methods as used in specific ocean areas </w:t>
      </w:r>
      <w:r w:rsidRPr="00564DB3">
        <w:rPr>
          <w:szCs w:val="18"/>
        </w:rPr>
        <w:t xml:space="preserve">in the context of the certification and tracking and verification requirements, </w:t>
      </w:r>
      <w:r w:rsidR="007A512C" w:rsidRPr="00564DB3">
        <w:rPr>
          <w:szCs w:val="18"/>
        </w:rPr>
        <w:t xml:space="preserve">appears to </w:t>
      </w:r>
      <w:r w:rsidRPr="00564DB3">
        <w:rPr>
          <w:szCs w:val="18"/>
        </w:rPr>
        <w:t xml:space="preserve">comport with the Appellate Body's guidance in the original and </w:t>
      </w:r>
      <w:r w:rsidRPr="00564DB3">
        <w:rPr>
          <w:szCs w:val="18"/>
        </w:rPr>
        <w:lastRenderedPageBreak/>
        <w:t>first compliance proceedings.</w:t>
      </w:r>
      <w:r w:rsidR="007A512C" w:rsidRPr="00564DB3">
        <w:rPr>
          <w:rStyle w:val="FootnoteReference"/>
          <w:szCs w:val="18"/>
        </w:rPr>
        <w:footnoteReference w:id="344"/>
      </w:r>
      <w:r w:rsidRPr="00564DB3">
        <w:rPr>
          <w:szCs w:val="18"/>
        </w:rPr>
        <w:t xml:space="preserve"> Such an approach adapted the calibration analyses to reflect the specific distinctions made under the measure and allowed the Panels to evaluate the way in which the different interconnected aspects of the measure work together.</w:t>
      </w:r>
      <w:bookmarkStart w:id="190" w:name="_Ref526158964"/>
      <w:bookmarkStart w:id="191" w:name="_Ref528171909"/>
      <w:bookmarkEnd w:id="189"/>
      <w:r w:rsidRPr="00564DB3">
        <w:rPr>
          <w:szCs w:val="18"/>
        </w:rPr>
        <w:t xml:space="preserve"> We also recall that, having examined sequentially, the eligibility criteria, the certification requirements, the tracking and verification requirements, and the determination provisions, the Panels provided an overall assessment of the consistency of the 2016 Tuna Measure with </w:t>
      </w:r>
      <w:r w:rsidR="00083DFC" w:rsidRPr="00564DB3">
        <w:rPr>
          <w:szCs w:val="18"/>
        </w:rPr>
        <w:t>Article </w:t>
      </w:r>
      <w:r w:rsidRPr="00564DB3">
        <w:rPr>
          <w:szCs w:val="18"/>
        </w:rPr>
        <w:t>2.1.</w:t>
      </w:r>
      <w:r w:rsidR="005B1CE4" w:rsidRPr="00564DB3">
        <w:rPr>
          <w:rStyle w:val="FootnoteReference"/>
          <w:szCs w:val="18"/>
        </w:rPr>
        <w:footnoteReference w:id="345"/>
      </w:r>
    </w:p>
    <w:p w:rsidR="00432E5C" w:rsidRPr="00564DB3" w:rsidRDefault="00432E5C" w:rsidP="00F70E38">
      <w:pPr>
        <w:pStyle w:val="Heading4"/>
        <w:rPr>
          <w:szCs w:val="18"/>
        </w:rPr>
      </w:pPr>
      <w:bookmarkStart w:id="192" w:name="_Toc526162678"/>
      <w:bookmarkStart w:id="193" w:name="_Toc528506760"/>
      <w:bookmarkStart w:id="194" w:name="_Toc528506925"/>
      <w:bookmarkStart w:id="195" w:name="_Toc531967477"/>
      <w:r w:rsidRPr="00564DB3">
        <w:rPr>
          <w:szCs w:val="18"/>
        </w:rPr>
        <w:t>Conclusion</w:t>
      </w:r>
      <w:bookmarkEnd w:id="192"/>
      <w:bookmarkEnd w:id="193"/>
      <w:bookmarkEnd w:id="194"/>
      <w:bookmarkEnd w:id="195"/>
    </w:p>
    <w:p w:rsidR="00432E5C" w:rsidRPr="00564DB3" w:rsidRDefault="00432E5C" w:rsidP="00F70E38">
      <w:pPr>
        <w:pStyle w:val="BodyText"/>
        <w:rPr>
          <w:szCs w:val="18"/>
        </w:rPr>
      </w:pPr>
      <w:bookmarkStart w:id="196" w:name="_Ref529197324"/>
      <w:r w:rsidRPr="00564DB3">
        <w:rPr>
          <w:szCs w:val="18"/>
        </w:rPr>
        <w:t xml:space="preserve">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w:t>
      </w:r>
      <w:proofErr w:type="gramStart"/>
      <w:r w:rsidR="00B84E56" w:rsidRPr="00564DB3">
        <w:rPr>
          <w:szCs w:val="18"/>
        </w:rPr>
        <w:t xml:space="preserve">in order </w:t>
      </w:r>
      <w:r w:rsidRPr="00564DB3">
        <w:rPr>
          <w:szCs w:val="18"/>
        </w:rPr>
        <w:t>to</w:t>
      </w:r>
      <w:proofErr w:type="gramEnd"/>
      <w:r w:rsidRPr="00564DB3">
        <w:rPr>
          <w:szCs w:val="18"/>
        </w:rPr>
        <w:t xml:space="preserve"> determine whether the detrimental impact stems exclusively from a legitimate regulatory distinction, a panel must carefully scrutinize whether the technical regulation at issue is even-handed in light of the particular circumstances of the case. In the present dispute, an examination of whether the </w:t>
      </w:r>
      <w:r w:rsidR="000A3972" w:rsidRPr="00564DB3">
        <w:rPr>
          <w:szCs w:val="18"/>
        </w:rPr>
        <w:t>2016 </w:t>
      </w:r>
      <w:r w:rsidRPr="00564DB3">
        <w:rPr>
          <w:szCs w:val="18"/>
        </w:rPr>
        <w:t xml:space="preserve">Tuna Measure is 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entails an assessment of whether the regulatory distinctions of the measure are calibrated to the risks to dolphins arising from different fishing methods in different areas of the ocean. Such assessment involves:</w:t>
      </w:r>
      <w:r w:rsidRPr="00564DB3">
        <w:rPr>
          <w:szCs w:val="18"/>
          <w:lang w:eastAsia="zh-CN"/>
        </w:rPr>
        <w:t xml:space="preserve"> </w:t>
      </w:r>
      <w:r w:rsidRPr="00564DB3">
        <w:rPr>
          <w:szCs w:val="18"/>
        </w:rPr>
        <w:t>(i) a</w:t>
      </w:r>
      <w:r w:rsidR="009D3582" w:rsidRPr="00564DB3">
        <w:rPr>
          <w:szCs w:val="18"/>
        </w:rPr>
        <w:t>n</w:t>
      </w:r>
      <w:r w:rsidRPr="00564DB3">
        <w:rPr>
          <w:szCs w:val="18"/>
        </w:rPr>
        <w:t xml:space="preserve"> assessment of the overall relative risks of harm to dolphins arising from </w:t>
      </w:r>
      <w:r w:rsidR="00FE4087" w:rsidRPr="00564DB3">
        <w:rPr>
          <w:szCs w:val="18"/>
        </w:rPr>
        <w:t xml:space="preserve">the use of </w:t>
      </w:r>
      <w:r w:rsidRPr="00564DB3">
        <w:rPr>
          <w:szCs w:val="18"/>
        </w:rPr>
        <w:t>different fishing methods in dif</w:t>
      </w:r>
      <w:r w:rsidR="00C81CC4">
        <w:rPr>
          <w:szCs w:val="18"/>
        </w:rPr>
        <w:t>ferent ocean areas; and (ii) an </w:t>
      </w:r>
      <w:r w:rsidRPr="00564DB3">
        <w:rPr>
          <w:szCs w:val="18"/>
        </w:rPr>
        <w:t xml:space="preserve">assessment as to whether the differences in the dolphin-safe labelling conditions under the measure are appropriately tailored to, </w:t>
      </w:r>
      <w:r w:rsidR="009D3582" w:rsidRPr="00564DB3">
        <w:rPr>
          <w:szCs w:val="18"/>
        </w:rPr>
        <w:t>or commensurate</w:t>
      </w:r>
      <w:r w:rsidRPr="00564DB3">
        <w:rPr>
          <w:szCs w:val="18"/>
        </w:rPr>
        <w:t xml:space="preserve"> with, those respective risks. If conducted</w:t>
      </w:r>
      <w:r w:rsidR="009D3582" w:rsidRPr="00564DB3">
        <w:rPr>
          <w:szCs w:val="18"/>
        </w:rPr>
        <w:t xml:space="preserve"> properly</w:t>
      </w:r>
      <w:r w:rsidRPr="00564DB3">
        <w:rPr>
          <w:szCs w:val="18"/>
        </w:rPr>
        <w:t xml:space="preserve">, this calibration analysis </w:t>
      </w:r>
      <w:r w:rsidR="007A68DF" w:rsidRPr="00564DB3">
        <w:rPr>
          <w:szCs w:val="18"/>
        </w:rPr>
        <w:t>would</w:t>
      </w:r>
      <w:r w:rsidRPr="00564DB3">
        <w:rPr>
          <w:szCs w:val="18"/>
        </w:rPr>
        <w:t xml:space="preserve"> encompass consideration of the rational relationship between the regulatory distinctions drawn by the </w:t>
      </w:r>
      <w:r w:rsidR="001771DC" w:rsidRPr="00564DB3">
        <w:rPr>
          <w:szCs w:val="18"/>
        </w:rPr>
        <w:t xml:space="preserve">2016 </w:t>
      </w:r>
      <w:r w:rsidRPr="00564DB3">
        <w:rPr>
          <w:szCs w:val="18"/>
        </w:rPr>
        <w:t>Tuna Measure and its objectives.</w:t>
      </w:r>
      <w:bookmarkEnd w:id="190"/>
      <w:bookmarkEnd w:id="196"/>
      <w:r w:rsidR="00DB6C0E" w:rsidRPr="00564DB3">
        <w:rPr>
          <w:szCs w:val="18"/>
        </w:rPr>
        <w:t xml:space="preserve"> Thus, there is no need to separately assess the rational relationship between the regulatory distinctions drawn by the measure and its objectives.</w:t>
      </w:r>
      <w:r w:rsidR="00F82150" w:rsidRPr="00564DB3">
        <w:rPr>
          <w:szCs w:val="18"/>
        </w:rPr>
        <w:t xml:space="preserve"> Furthermore, while risks of inaccurate labelling are relevant to the calibration analysis, this does not mean that the applicable legal standard requires the Panels to determine whether the 2016 Tuna Measure is calibrated, </w:t>
      </w:r>
      <w:r w:rsidR="00F82150" w:rsidRPr="00564DB3">
        <w:rPr>
          <w:i/>
          <w:szCs w:val="18"/>
        </w:rPr>
        <w:t>inter alia</w:t>
      </w:r>
      <w:r w:rsidR="00F82150" w:rsidRPr="00564DB3">
        <w:rPr>
          <w:szCs w:val="18"/>
        </w:rPr>
        <w:t>, to</w:t>
      </w:r>
      <w:r w:rsidR="00B656E4" w:rsidRPr="00564DB3">
        <w:rPr>
          <w:szCs w:val="18"/>
        </w:rPr>
        <w:t xml:space="preserve"> the risk of inaccurate dolphin</w:t>
      </w:r>
      <w:r w:rsidR="00B656E4" w:rsidRPr="00564DB3">
        <w:rPr>
          <w:szCs w:val="18"/>
        </w:rPr>
        <w:noBreakHyphen/>
      </w:r>
      <w:r w:rsidR="00F82150" w:rsidRPr="00564DB3">
        <w:rPr>
          <w:szCs w:val="18"/>
        </w:rPr>
        <w:t>safe information being passed to consumers.</w:t>
      </w:r>
    </w:p>
    <w:p w:rsidR="00432E5C" w:rsidRPr="00564DB3" w:rsidRDefault="00432E5C" w:rsidP="00F70E38">
      <w:pPr>
        <w:pStyle w:val="BodyText"/>
        <w:rPr>
          <w:szCs w:val="18"/>
        </w:rPr>
      </w:pPr>
      <w:r w:rsidRPr="00564DB3">
        <w:rPr>
          <w:szCs w:val="18"/>
        </w:rPr>
        <w:t>In conducting the calibration analysis, it is necessary to examine the risks to dolphins across all relevant ocean areas in which different fishing methods are practi</w:t>
      </w:r>
      <w:r w:rsidR="00B73EE5" w:rsidRPr="00564DB3">
        <w:rPr>
          <w:szCs w:val="18"/>
        </w:rPr>
        <w:t>s</w:t>
      </w:r>
      <w:r w:rsidRPr="00564DB3">
        <w:rPr>
          <w:szCs w:val="18"/>
        </w:rPr>
        <w:t xml:space="preserve">ed. This does not mean that,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a measure that seeks to protect dolphins must make all relevant regulatory distinctions </w:t>
      </w:r>
      <w:proofErr w:type="gramStart"/>
      <w:r w:rsidRPr="00564DB3">
        <w:rPr>
          <w:szCs w:val="18"/>
        </w:rPr>
        <w:t>on the basis of</w:t>
      </w:r>
      <w:proofErr w:type="gramEnd"/>
      <w:r w:rsidRPr="00564DB3">
        <w:rPr>
          <w:szCs w:val="18"/>
        </w:rPr>
        <w:t xml:space="preserve"> both fishing method and ocean area. Rather, the nature of the calibration analysis to be conducted is informed by the nature of the regulatory distinctions made under the measure itself, and it is the regulatory distinctions causing the detrimental impact on imported products that must be calibrated to different risks to dolphins. The relevant regulatory distinctions that need to be examined </w:t>
      </w:r>
      <w:proofErr w:type="gramStart"/>
      <w:r w:rsidR="00FF1995" w:rsidRPr="00564DB3">
        <w:rPr>
          <w:szCs w:val="18"/>
        </w:rPr>
        <w:t>for the purpose of</w:t>
      </w:r>
      <w:proofErr w:type="gramEnd"/>
      <w:r w:rsidR="00FF1995" w:rsidRPr="00564DB3">
        <w:rPr>
          <w:szCs w:val="18"/>
        </w:rPr>
        <w:t xml:space="preserve"> </w:t>
      </w:r>
      <w:r w:rsidRPr="00564DB3">
        <w:rPr>
          <w:szCs w:val="18"/>
        </w:rPr>
        <w:t xml:space="preserve">calibration in this dispute include the distinction between setting on dolphins and other fishing methods (in the context of the eligibility criteria) and the distinction between the ETP large purse seine fishery and all other fisheries (in the context of the certification and </w:t>
      </w:r>
      <w:r w:rsidR="00D84CD8" w:rsidRPr="00564DB3">
        <w:rPr>
          <w:szCs w:val="18"/>
        </w:rPr>
        <w:t xml:space="preserve">the </w:t>
      </w:r>
      <w:r w:rsidRPr="00564DB3">
        <w:rPr>
          <w:szCs w:val="18"/>
        </w:rPr>
        <w:t xml:space="preserve">tracking and verification requirements). </w:t>
      </w:r>
    </w:p>
    <w:p w:rsidR="00432E5C" w:rsidRPr="00564DB3" w:rsidRDefault="00432E5C" w:rsidP="00F70E38">
      <w:pPr>
        <w:pStyle w:val="BodyText"/>
        <w:rPr>
          <w:szCs w:val="18"/>
        </w:rPr>
      </w:pPr>
      <w:bookmarkStart w:id="197" w:name="_Ref529197116"/>
      <w:r w:rsidRPr="00564DB3">
        <w:rPr>
          <w:szCs w:val="18"/>
        </w:rPr>
        <w:t xml:space="preserve">For these reasons, we do not consider that Mexico </w:t>
      </w:r>
      <w:r w:rsidR="00E268D2" w:rsidRPr="00564DB3">
        <w:rPr>
          <w:szCs w:val="18"/>
        </w:rPr>
        <w:t xml:space="preserve">has </w:t>
      </w:r>
      <w:r w:rsidRPr="00564DB3">
        <w:rPr>
          <w:szCs w:val="18"/>
        </w:rPr>
        <w:t>established that the Panels, in considering that they were required to examine whether the 2016 Tuna Measure was calibrated to the risks to dolphins arising from the use of different fishing methods in different areas of the ocean, failed to include an inquiry into the nexus between the relevant regulatory distinctions and the objectives of the measure. We also disagree with Mexico that the Panels erred by comparing the risk profiles of different fishing methods in applying the calibration analysis to the eligibility criteria. In our view, in the specific context of the 2016 Tuna Measure, in order to assess whether the detrimental impact on Mexican tuna products stems exclusively from a legitimate regulatory distinction, the Panels were required to assess whether the regulatory distinctions causing that detrimental impact are calibrated to different risks to dolphins, in terms of the overall relative risks to dolphins, taking into account the objectives of the measure.</w:t>
      </w:r>
      <w:bookmarkEnd w:id="172"/>
      <w:bookmarkEnd w:id="173"/>
      <w:bookmarkEnd w:id="174"/>
      <w:bookmarkEnd w:id="191"/>
      <w:bookmarkEnd w:id="197"/>
    </w:p>
    <w:p w:rsidR="00432E5C" w:rsidRPr="00564DB3" w:rsidRDefault="00432E5C" w:rsidP="00F70E38">
      <w:pPr>
        <w:pStyle w:val="Heading3"/>
        <w:rPr>
          <w:szCs w:val="18"/>
        </w:rPr>
      </w:pPr>
      <w:bookmarkStart w:id="198" w:name="_Ref529195020"/>
      <w:bookmarkStart w:id="199" w:name="_Ref529195277"/>
      <w:bookmarkStart w:id="200" w:name="_Toc531967478"/>
      <w:r w:rsidRPr="00564DB3">
        <w:rPr>
          <w:szCs w:val="18"/>
        </w:rPr>
        <w:t>The Panels' assessment of risk profiles</w:t>
      </w:r>
      <w:bookmarkEnd w:id="198"/>
      <w:bookmarkEnd w:id="199"/>
      <w:bookmarkEnd w:id="200"/>
    </w:p>
    <w:p w:rsidR="00432E5C" w:rsidRPr="00564DB3" w:rsidRDefault="00432E5C" w:rsidP="00F70E38">
      <w:pPr>
        <w:pStyle w:val="BodyText"/>
        <w:rPr>
          <w:szCs w:val="18"/>
        </w:rPr>
      </w:pPr>
      <w:r w:rsidRPr="00564DB3">
        <w:rPr>
          <w:szCs w:val="18"/>
        </w:rPr>
        <w:t xml:space="preserve">Mexico makes three sets of arguments </w:t>
      </w:r>
      <w:r w:rsidR="00E175AB" w:rsidRPr="00564DB3">
        <w:rPr>
          <w:szCs w:val="18"/>
        </w:rPr>
        <w:t>with respect to</w:t>
      </w:r>
      <w:r w:rsidRPr="00564DB3">
        <w:rPr>
          <w:szCs w:val="18"/>
        </w:rPr>
        <w:t xml:space="preserve"> the Panels' assessment of different risk profiles, alleging that the Panels erred by: (i) failing to adequately evaluate the risk profiles of different fisheries; (ii) using the risk profile of setting on dolphins in the ETP as the benchmark for assessing the risk profiles of other fisheries; and (iii) relying predominantly on "per set" evidence for measuring the level of risks to dolphins, and ignoring other relevant evidence in their evaluation </w:t>
      </w:r>
      <w:r w:rsidRPr="00564DB3">
        <w:rPr>
          <w:szCs w:val="18"/>
        </w:rPr>
        <w:lastRenderedPageBreak/>
        <w:t>of the risk profiles.</w:t>
      </w:r>
      <w:r w:rsidR="005B1CE4" w:rsidRPr="00564DB3">
        <w:rPr>
          <w:rStyle w:val="FootnoteReference"/>
          <w:szCs w:val="18"/>
        </w:rPr>
        <w:footnoteReference w:id="346"/>
      </w:r>
      <w:r w:rsidRPr="00564DB3">
        <w:rPr>
          <w:szCs w:val="18"/>
        </w:rPr>
        <w:t xml:space="preserve"> The </w:t>
      </w:r>
      <w:r w:rsidR="00083DFC" w:rsidRPr="00564DB3">
        <w:rPr>
          <w:szCs w:val="18"/>
        </w:rPr>
        <w:t>United States</w:t>
      </w:r>
      <w:r w:rsidRPr="00564DB3">
        <w:rPr>
          <w:szCs w:val="18"/>
        </w:rPr>
        <w:t xml:space="preserve"> submits that the Panels correctly assessed the risk profiles of different fishing methods, as used in different areas of the ocean.</w:t>
      </w:r>
      <w:r w:rsidR="005B1CE4" w:rsidRPr="00564DB3">
        <w:rPr>
          <w:rStyle w:val="FootnoteReference"/>
          <w:szCs w:val="18"/>
        </w:rPr>
        <w:footnoteReference w:id="347"/>
      </w:r>
      <w:r w:rsidRPr="00564DB3">
        <w:rPr>
          <w:szCs w:val="18"/>
        </w:rPr>
        <w:t xml:space="preserve"> The </w:t>
      </w:r>
      <w:r w:rsidR="00083DFC" w:rsidRPr="00564DB3">
        <w:rPr>
          <w:szCs w:val="18"/>
        </w:rPr>
        <w:t>United States</w:t>
      </w:r>
      <w:r w:rsidRPr="00564DB3">
        <w:rPr>
          <w:szCs w:val="18"/>
        </w:rPr>
        <w:t xml:space="preserve"> argues that certain aspects of Mexico's arguments appear to pertain to the Panels' appreciation of the facts and therefore fall outside the scope of this appeal, since Mexico did not raise any claims of error under </w:t>
      </w:r>
      <w:r w:rsidR="00083DFC" w:rsidRPr="00564DB3">
        <w:rPr>
          <w:szCs w:val="18"/>
        </w:rPr>
        <w:t>Article </w:t>
      </w:r>
      <w:r w:rsidRPr="00564DB3">
        <w:rPr>
          <w:szCs w:val="18"/>
        </w:rPr>
        <w:t>11 of the DSU.</w:t>
      </w:r>
      <w:r w:rsidR="005B1CE4" w:rsidRPr="00564DB3">
        <w:rPr>
          <w:rStyle w:val="FootnoteReference"/>
          <w:szCs w:val="18"/>
        </w:rPr>
        <w:footnoteReference w:id="348"/>
      </w:r>
      <w:r w:rsidRPr="00564DB3">
        <w:rPr>
          <w:szCs w:val="18"/>
        </w:rPr>
        <w:t xml:space="preserve"> Furthermore, in the </w:t>
      </w:r>
      <w:r w:rsidR="00083DFC" w:rsidRPr="00564DB3">
        <w:rPr>
          <w:szCs w:val="18"/>
        </w:rPr>
        <w:t>United States</w:t>
      </w:r>
      <w:r w:rsidRPr="00564DB3">
        <w:rPr>
          <w:szCs w:val="18"/>
        </w:rPr>
        <w:t>' view, the Panels acted correctly in relying primarily on per set evidence, and not relying on evidence that would have been misleading and inapposite for comparing the relative risk profiles of different fishing methods and fisheries.</w:t>
      </w:r>
      <w:r w:rsidR="005B1CE4" w:rsidRPr="00564DB3">
        <w:rPr>
          <w:rStyle w:val="FootnoteReference"/>
          <w:szCs w:val="18"/>
        </w:rPr>
        <w:footnoteReference w:id="349"/>
      </w:r>
      <w:r w:rsidRPr="00564DB3">
        <w:rPr>
          <w:szCs w:val="18"/>
        </w:rPr>
        <w:t xml:space="preserve"> We begin by recalling the Panels' assessment of different risk profiles, before turning to address each of the three sets of arguments put forward by Mexico.</w:t>
      </w:r>
      <w:r w:rsidR="005B1CE4" w:rsidRPr="00564DB3">
        <w:rPr>
          <w:rStyle w:val="FootnoteReference"/>
          <w:szCs w:val="18"/>
        </w:rPr>
        <w:footnoteReference w:id="350"/>
      </w:r>
      <w:r w:rsidRPr="00564DB3">
        <w:rPr>
          <w:szCs w:val="18"/>
        </w:rPr>
        <w:t xml:space="preserve"> </w:t>
      </w:r>
    </w:p>
    <w:p w:rsidR="00432E5C" w:rsidRPr="00564DB3" w:rsidRDefault="006631EE" w:rsidP="00F70E38">
      <w:pPr>
        <w:pStyle w:val="Heading4"/>
        <w:numPr>
          <w:ilvl w:val="3"/>
          <w:numId w:val="18"/>
        </w:numPr>
        <w:rPr>
          <w:szCs w:val="18"/>
        </w:rPr>
      </w:pPr>
      <w:bookmarkStart w:id="201" w:name="_Toc522540644"/>
      <w:bookmarkStart w:id="202" w:name="_Toc526162680"/>
      <w:bookmarkStart w:id="203" w:name="_Toc528506762"/>
      <w:bookmarkStart w:id="204" w:name="_Toc528506927"/>
      <w:bookmarkStart w:id="205" w:name="_Toc531967479"/>
      <w:r w:rsidRPr="00564DB3">
        <w:rPr>
          <w:szCs w:val="18"/>
        </w:rPr>
        <w:t xml:space="preserve">The </w:t>
      </w:r>
      <w:r w:rsidR="00432E5C" w:rsidRPr="00564DB3">
        <w:rPr>
          <w:szCs w:val="18"/>
        </w:rPr>
        <w:t>Panels' findings</w:t>
      </w:r>
      <w:bookmarkEnd w:id="201"/>
      <w:bookmarkEnd w:id="202"/>
      <w:bookmarkEnd w:id="203"/>
      <w:bookmarkEnd w:id="204"/>
      <w:bookmarkEnd w:id="205"/>
    </w:p>
    <w:p w:rsidR="00432E5C" w:rsidRPr="00564DB3" w:rsidRDefault="00432E5C" w:rsidP="00F70E38">
      <w:pPr>
        <w:pStyle w:val="BodyText"/>
        <w:rPr>
          <w:szCs w:val="18"/>
        </w:rPr>
      </w:pPr>
      <w:r w:rsidRPr="00564DB3">
        <w:rPr>
          <w:szCs w:val="18"/>
        </w:rPr>
        <w:t>The Panels recalled that the Appellate Body criticized the first compliance panel for failing to analyse "the overall levels of risks in different fisheries, and how these fisheries compared to each other" despite "considerable evidence" before it in this regard, in particular because it had failed to consider the relative risks arising from observed mortalities and serious injuries to dolphins.</w:t>
      </w:r>
      <w:r w:rsidR="005B1CE4" w:rsidRPr="00564DB3">
        <w:rPr>
          <w:rStyle w:val="FootnoteReference"/>
          <w:szCs w:val="18"/>
        </w:rPr>
        <w:footnoteReference w:id="351"/>
      </w:r>
      <w:r w:rsidRPr="00564DB3">
        <w:rPr>
          <w:szCs w:val="18"/>
        </w:rPr>
        <w:t xml:space="preserve"> The Panels therefore considered that it was necessary "to establish the risk profiles of the relevant fishing methods in different areas of the ocean, taking into account data on both observable and unobservable harms".</w:t>
      </w:r>
      <w:r w:rsidR="005B1CE4" w:rsidRPr="00564DB3">
        <w:rPr>
          <w:rStyle w:val="FootnoteReference"/>
          <w:szCs w:val="18"/>
        </w:rPr>
        <w:footnoteReference w:id="352"/>
      </w:r>
    </w:p>
    <w:p w:rsidR="00432E5C" w:rsidRPr="00564DB3" w:rsidRDefault="00432E5C" w:rsidP="00F70E38">
      <w:pPr>
        <w:pStyle w:val="BodyText"/>
        <w:rPr>
          <w:szCs w:val="18"/>
        </w:rPr>
      </w:pPr>
      <w:bookmarkStart w:id="206" w:name="_Ref522702938"/>
      <w:r w:rsidRPr="00564DB3">
        <w:rPr>
          <w:szCs w:val="18"/>
        </w:rPr>
        <w:t>In establishing the risk profiles of different fishing methods in different areas of the ocean, the Panels considered it appropriate to "rely to the greatest extent possible on a quantitative analysis, and recur to a qualitative assessment in cases where this seem[ed] to be the most reasonable avenue to properly gauge and describe the risks at issue</w:t>
      </w:r>
      <w:r w:rsidR="009E4856" w:rsidRPr="00564DB3">
        <w:rPr>
          <w:szCs w:val="18"/>
        </w:rPr>
        <w:t>.</w:t>
      </w:r>
      <w:r w:rsidRPr="00564DB3">
        <w:rPr>
          <w:szCs w:val="18"/>
        </w:rPr>
        <w:t>"</w:t>
      </w:r>
      <w:r w:rsidR="005B1CE4" w:rsidRPr="00564DB3">
        <w:rPr>
          <w:rStyle w:val="FootnoteReference"/>
          <w:szCs w:val="18"/>
        </w:rPr>
        <w:footnoteReference w:id="353"/>
      </w:r>
      <w:r w:rsidRPr="00564DB3">
        <w:rPr>
          <w:szCs w:val="18"/>
        </w:rPr>
        <w:t xml:space="preserve"> The Panels also highlighted the importance of a "standardized benchmark or metric when determining and comparing the different risk profiles", emphasizing that "[b]</w:t>
      </w:r>
      <w:proofErr w:type="spellStart"/>
      <w:r w:rsidRPr="00564DB3">
        <w:rPr>
          <w:szCs w:val="18"/>
        </w:rPr>
        <w:t>ecause</w:t>
      </w:r>
      <w:proofErr w:type="spellEnd"/>
      <w:r w:rsidRPr="00564DB3">
        <w:rPr>
          <w:szCs w:val="18"/>
        </w:rPr>
        <w:t xml:space="preserve"> the different scientific evidence on the record does not necessarily follow the same methodology or present its results in a homogeneous and consistent manner, there is a need to use a standardized benchmark so that comparisons across studies are meaningful and adequate."</w:t>
      </w:r>
      <w:r w:rsidR="005B1CE4" w:rsidRPr="00564DB3">
        <w:rPr>
          <w:rStyle w:val="FootnoteReference"/>
          <w:szCs w:val="18"/>
        </w:rPr>
        <w:footnoteReference w:id="354"/>
      </w:r>
      <w:r w:rsidRPr="00564DB3">
        <w:rPr>
          <w:szCs w:val="18"/>
        </w:rPr>
        <w:t xml:space="preserve"> The Panels considered several differen</w:t>
      </w:r>
      <w:r w:rsidR="009E4856" w:rsidRPr="00564DB3">
        <w:rPr>
          <w:szCs w:val="18"/>
        </w:rPr>
        <w:t xml:space="preserve">t possible standardized metrics </w:t>
      </w:r>
      <w:r w:rsidRPr="00564DB3">
        <w:rPr>
          <w:szCs w:val="18"/>
        </w:rPr>
        <w:t xml:space="preserve">and ultimately adopted a </w:t>
      </w:r>
      <w:r w:rsidR="006E10DA" w:rsidRPr="00564DB3">
        <w:rPr>
          <w:szCs w:val="18"/>
        </w:rPr>
        <w:t>"</w:t>
      </w:r>
      <w:r w:rsidRPr="00564DB3">
        <w:rPr>
          <w:szCs w:val="18"/>
        </w:rPr>
        <w:t>per set</w:t>
      </w:r>
      <w:r w:rsidR="006E10DA" w:rsidRPr="00564DB3">
        <w:rPr>
          <w:szCs w:val="18"/>
        </w:rPr>
        <w:t>"</w:t>
      </w:r>
      <w:r w:rsidRPr="00564DB3">
        <w:rPr>
          <w:szCs w:val="18"/>
        </w:rPr>
        <w:t xml:space="preserve"> </w:t>
      </w:r>
      <w:r w:rsidR="006631EE" w:rsidRPr="00564DB3">
        <w:rPr>
          <w:szCs w:val="18"/>
        </w:rPr>
        <w:t xml:space="preserve">methodology </w:t>
      </w:r>
      <w:r w:rsidRPr="00564DB3">
        <w:rPr>
          <w:szCs w:val="18"/>
        </w:rPr>
        <w:t xml:space="preserve">that entailed averaging the total number of a particular indicator of adverse effects to dolphins by the number of operations of </w:t>
      </w:r>
      <w:r w:rsidRPr="00564DB3">
        <w:rPr>
          <w:szCs w:val="18"/>
        </w:rPr>
        <w:lastRenderedPageBreak/>
        <w:t>a particular fishing gear used in a particular fishery in a given time period.</w:t>
      </w:r>
      <w:r w:rsidR="005B1CE4" w:rsidRPr="00564DB3">
        <w:rPr>
          <w:rStyle w:val="FootnoteReference"/>
          <w:szCs w:val="18"/>
        </w:rPr>
        <w:footnoteReference w:id="355"/>
      </w:r>
      <w:r w:rsidRPr="00564DB3">
        <w:rPr>
          <w:szCs w:val="18"/>
        </w:rPr>
        <w:t xml:space="preserve"> The Panels found that relevant indicators included observed mortalities, serious injuries, and tuna</w:t>
      </w:r>
      <w:r w:rsidRPr="00564DB3">
        <w:rPr>
          <w:szCs w:val="18"/>
        </w:rPr>
        <w:noBreakHyphen/>
        <w:t>dolphin interactions.</w:t>
      </w:r>
      <w:bookmarkEnd w:id="206"/>
      <w:r w:rsidR="005B1CE4" w:rsidRPr="00564DB3">
        <w:rPr>
          <w:rStyle w:val="FootnoteReference"/>
          <w:szCs w:val="18"/>
        </w:rPr>
        <w:footnoteReference w:id="356"/>
      </w:r>
    </w:p>
    <w:p w:rsidR="00432E5C" w:rsidRPr="00564DB3" w:rsidRDefault="00432E5C" w:rsidP="00F70E38">
      <w:pPr>
        <w:pStyle w:val="BodyText"/>
        <w:rPr>
          <w:szCs w:val="18"/>
        </w:rPr>
      </w:pPr>
      <w:bookmarkStart w:id="207" w:name="_Ref517100250"/>
      <w:r w:rsidRPr="00564DB3">
        <w:rPr>
          <w:szCs w:val="18"/>
        </w:rPr>
        <w:t>The Panels also made several distinctions between different types</w:t>
      </w:r>
      <w:r w:rsidRPr="00564DB3">
        <w:rPr>
          <w:i/>
          <w:szCs w:val="18"/>
        </w:rPr>
        <w:t xml:space="preserve"> </w:t>
      </w:r>
      <w:r w:rsidRPr="00564DB3">
        <w:rPr>
          <w:szCs w:val="18"/>
        </w:rPr>
        <w:t>of harm occurring to dolphins.</w:t>
      </w:r>
      <w:r w:rsidR="005B1CE4" w:rsidRPr="00564DB3">
        <w:rPr>
          <w:rStyle w:val="FootnoteReference"/>
          <w:szCs w:val="18"/>
        </w:rPr>
        <w:footnoteReference w:id="357"/>
      </w:r>
      <w:r w:rsidRPr="00564DB3">
        <w:rPr>
          <w:szCs w:val="18"/>
        </w:rPr>
        <w:t xml:space="preserve"> The Panels first distinguished between </w:t>
      </w:r>
      <w:r w:rsidRPr="00564DB3">
        <w:rPr>
          <w:i/>
          <w:szCs w:val="18"/>
        </w:rPr>
        <w:t xml:space="preserve">observable </w:t>
      </w:r>
      <w:r w:rsidRPr="00564DB3">
        <w:rPr>
          <w:szCs w:val="18"/>
        </w:rPr>
        <w:t xml:space="preserve">harm (i.e. any type of harm that </w:t>
      </w:r>
      <w:r w:rsidRPr="00564DB3">
        <w:rPr>
          <w:i/>
          <w:szCs w:val="18"/>
        </w:rPr>
        <w:t>can</w:t>
      </w:r>
      <w:r w:rsidRPr="00564DB3">
        <w:rPr>
          <w:szCs w:val="18"/>
        </w:rPr>
        <w:t xml:space="preserve"> be detected and reported) and </w:t>
      </w:r>
      <w:r w:rsidRPr="00564DB3">
        <w:rPr>
          <w:i/>
          <w:szCs w:val="18"/>
        </w:rPr>
        <w:t xml:space="preserve">unobservable </w:t>
      </w:r>
      <w:r w:rsidRPr="00564DB3">
        <w:rPr>
          <w:szCs w:val="18"/>
        </w:rPr>
        <w:t xml:space="preserve">harm (i.e. the type of harm that occurs but cannot be detected during the set itself). </w:t>
      </w:r>
      <w:proofErr w:type="gramStart"/>
      <w:r w:rsidRPr="00564DB3">
        <w:rPr>
          <w:szCs w:val="18"/>
        </w:rPr>
        <w:t>As regards</w:t>
      </w:r>
      <w:proofErr w:type="gramEnd"/>
      <w:r w:rsidRPr="00564DB3">
        <w:rPr>
          <w:szCs w:val="18"/>
        </w:rPr>
        <w:t xml:space="preserve"> observable harm, the Panels also distinguished between </w:t>
      </w:r>
      <w:r w:rsidRPr="00564DB3">
        <w:rPr>
          <w:i/>
          <w:szCs w:val="18"/>
        </w:rPr>
        <w:t>observed</w:t>
      </w:r>
      <w:r w:rsidRPr="00564DB3">
        <w:rPr>
          <w:szCs w:val="18"/>
        </w:rPr>
        <w:t xml:space="preserve"> harm (i.e. the harm that is observable and that has, as a matter of fact, been detected and reported during the conduct of a set) and </w:t>
      </w:r>
      <w:r w:rsidRPr="00564DB3">
        <w:rPr>
          <w:i/>
          <w:szCs w:val="18"/>
        </w:rPr>
        <w:t>unobserved</w:t>
      </w:r>
      <w:r w:rsidRPr="00564DB3">
        <w:rPr>
          <w:szCs w:val="18"/>
        </w:rPr>
        <w:t xml:space="preserve"> harm (i.e. the type of harm that is observable but that has </w:t>
      </w:r>
      <w:r w:rsidRPr="00564DB3">
        <w:rPr>
          <w:i/>
          <w:szCs w:val="18"/>
        </w:rPr>
        <w:t>not</w:t>
      </w:r>
      <w:r w:rsidRPr="00564DB3">
        <w:rPr>
          <w:szCs w:val="18"/>
        </w:rPr>
        <w:t xml:space="preserve"> been detected or reported during the conduct of a set). Given that, by definition, there can be no observer-based evidence of such unobserved but observable harm, the Panels looked at the level of association between dolphins and tuna as a proxy in order to determine probable levels of unobserved but observable harm.</w:t>
      </w:r>
      <w:r w:rsidR="005B1CE4" w:rsidRPr="00564DB3">
        <w:rPr>
          <w:rStyle w:val="FootnoteReference"/>
          <w:szCs w:val="18"/>
        </w:rPr>
        <w:footnoteReference w:id="358"/>
      </w:r>
      <w:r w:rsidRPr="00564DB3">
        <w:rPr>
          <w:szCs w:val="18"/>
        </w:rPr>
        <w:t xml:space="preserve"> Finally, the Panels distinguished between </w:t>
      </w:r>
      <w:r w:rsidRPr="00564DB3">
        <w:rPr>
          <w:i/>
          <w:szCs w:val="18"/>
        </w:rPr>
        <w:t xml:space="preserve">direct </w:t>
      </w:r>
      <w:r w:rsidRPr="00564DB3">
        <w:rPr>
          <w:szCs w:val="18"/>
        </w:rPr>
        <w:t xml:space="preserve">harm (caused by direct interaction with fishing gear) and </w:t>
      </w:r>
      <w:r w:rsidRPr="00564DB3">
        <w:rPr>
          <w:i/>
          <w:szCs w:val="18"/>
        </w:rPr>
        <w:t xml:space="preserve">indirect </w:t>
      </w:r>
      <w:r w:rsidRPr="00564DB3">
        <w:rPr>
          <w:szCs w:val="18"/>
        </w:rPr>
        <w:t>harm (consequent upon other harm sustained as a result of direct interaction with fishing gear).</w:t>
      </w:r>
      <w:bookmarkEnd w:id="207"/>
      <w:r w:rsidRPr="00564DB3">
        <w:rPr>
          <w:szCs w:val="18"/>
        </w:rPr>
        <w:t xml:space="preserve"> </w:t>
      </w:r>
    </w:p>
    <w:p w:rsidR="00432E5C" w:rsidRPr="00564DB3" w:rsidRDefault="00432E5C" w:rsidP="00F70E38">
      <w:pPr>
        <w:pStyle w:val="BodyText"/>
        <w:rPr>
          <w:rFonts w:eastAsia="Arial Unicode MS" w:cs="Arial Unicode MS"/>
          <w:color w:val="000000"/>
          <w:szCs w:val="18"/>
          <w:u w:color="000000"/>
          <w:bdr w:val="nil"/>
        </w:rPr>
      </w:pPr>
      <w:bookmarkStart w:id="208" w:name="_Ref529971395"/>
      <w:r w:rsidRPr="00564DB3">
        <w:rPr>
          <w:szCs w:val="18"/>
        </w:rPr>
        <w:t xml:space="preserve">The Panels proceeded to conduct their analysis of risk profiles by distinguishing between </w:t>
      </w:r>
      <w:bookmarkStart w:id="209" w:name="_Ref516144697"/>
      <w:r w:rsidRPr="00564DB3">
        <w:rPr>
          <w:szCs w:val="18"/>
        </w:rPr>
        <w:t xml:space="preserve">seven different fishing methods, namely: purse seine fishing by setting on dolphins; purse seine fishing without setting on dolphins; gillnet fishing; longline fishing; trawl fishing; tuna handlining; and pole and line fishing. </w:t>
      </w:r>
      <w:r w:rsidRPr="00564DB3">
        <w:rPr>
          <w:szCs w:val="18"/>
          <w:u w:color="000000"/>
          <w:bdr w:val="nil"/>
        </w:rPr>
        <w:t xml:space="preserve">The Panels found that purse seine fishing by </w:t>
      </w:r>
      <w:r w:rsidRPr="00564DB3">
        <w:rPr>
          <w:i/>
          <w:szCs w:val="18"/>
          <w:u w:color="000000"/>
          <w:bdr w:val="nil"/>
        </w:rPr>
        <w:t>setting on dolphins</w:t>
      </w:r>
      <w:r w:rsidR="005B1CE4" w:rsidRPr="00564DB3">
        <w:rPr>
          <w:rStyle w:val="FootnoteReference"/>
          <w:szCs w:val="18"/>
          <w:u w:color="000000"/>
          <w:bdr w:val="nil"/>
        </w:rPr>
        <w:footnoteReference w:id="359"/>
      </w:r>
      <w:r w:rsidRPr="00564DB3">
        <w:rPr>
          <w:szCs w:val="18"/>
          <w:u w:color="000000"/>
          <w:bdr w:val="nil"/>
        </w:rPr>
        <w:t xml:space="preserve"> causes serious injuries to dolphins.</w:t>
      </w:r>
      <w:r w:rsidR="005B1CE4" w:rsidRPr="00564DB3">
        <w:rPr>
          <w:rStyle w:val="FootnoteReference"/>
          <w:szCs w:val="18"/>
          <w:u w:color="000000"/>
          <w:bdr w:val="nil"/>
        </w:rPr>
        <w:footnoteReference w:id="360"/>
      </w:r>
      <w:r w:rsidRPr="00564DB3">
        <w:rPr>
          <w:szCs w:val="18"/>
          <w:u w:color="000000"/>
          <w:bdr w:val="nil"/>
        </w:rPr>
        <w:t xml:space="preserve"> In particular, the Panels found that, in the ETP, while the evidence suggested that setting on dolphins does not pose a very high risk of observable serious injury</w:t>
      </w:r>
      <w:r w:rsidR="005B1CE4" w:rsidRPr="00564DB3">
        <w:rPr>
          <w:rStyle w:val="FootnoteReference"/>
          <w:szCs w:val="18"/>
          <w:u w:color="000000"/>
          <w:bdr w:val="nil"/>
        </w:rPr>
        <w:footnoteReference w:id="361"/>
      </w:r>
      <w:r w:rsidRPr="00564DB3">
        <w:rPr>
          <w:szCs w:val="18"/>
          <w:u w:color="000000"/>
          <w:bdr w:val="nil"/>
        </w:rPr>
        <w:t xml:space="preserve">, </w:t>
      </w:r>
      <w:r w:rsidR="006631EE" w:rsidRPr="00564DB3">
        <w:rPr>
          <w:szCs w:val="18"/>
          <w:u w:color="000000"/>
          <w:bdr w:val="nil"/>
        </w:rPr>
        <w:t>such serious injury is less frequent than mortality</w:t>
      </w:r>
      <w:r w:rsidR="006631EE" w:rsidRPr="00564DB3">
        <w:rPr>
          <w:rStyle w:val="FootnoteReference"/>
          <w:szCs w:val="18"/>
          <w:u w:color="000000"/>
          <w:bdr w:val="nil"/>
        </w:rPr>
        <w:footnoteReference w:id="362"/>
      </w:r>
      <w:r w:rsidR="006631EE" w:rsidRPr="00564DB3">
        <w:rPr>
          <w:szCs w:val="18"/>
          <w:u w:color="000000"/>
          <w:bdr w:val="nil"/>
        </w:rPr>
        <w:t xml:space="preserve">, and </w:t>
      </w:r>
      <w:r w:rsidRPr="00564DB3">
        <w:rPr>
          <w:szCs w:val="18"/>
          <w:u w:color="000000"/>
          <w:bdr w:val="nil"/>
        </w:rPr>
        <w:t>the likelihood of unobserved mortality or serious injury is present in every set, as a consequence of the tuna-dolphin association in that ocean area.</w:t>
      </w:r>
      <w:r w:rsidR="005B1CE4" w:rsidRPr="00564DB3">
        <w:rPr>
          <w:rStyle w:val="FootnoteReference"/>
          <w:szCs w:val="18"/>
          <w:u w:color="000000"/>
          <w:bdr w:val="nil"/>
        </w:rPr>
        <w:footnoteReference w:id="363"/>
      </w:r>
      <w:r w:rsidRPr="00564DB3">
        <w:rPr>
          <w:szCs w:val="18"/>
        </w:rPr>
        <w:t xml:space="preserve"> The Panels also found that setting on dolphins causes unobservable harms as a result of the chase and encirclement process itself</w:t>
      </w:r>
      <w:r w:rsidR="005B1CE4" w:rsidRPr="00564DB3">
        <w:rPr>
          <w:rStyle w:val="FootnoteReference"/>
          <w:szCs w:val="18"/>
        </w:rPr>
        <w:footnoteReference w:id="364"/>
      </w:r>
      <w:r w:rsidRPr="00564DB3">
        <w:rPr>
          <w:szCs w:val="18"/>
        </w:rPr>
        <w:t>, including "cow-calf separation; potential muscle injury resulting from the chase; immune and reproductive systems failures; and other adverse health consequences for dolphins, such as continuous acute stress".</w:t>
      </w:r>
      <w:r w:rsidR="005B1CE4" w:rsidRPr="00564DB3">
        <w:rPr>
          <w:rStyle w:val="FootnoteReference"/>
          <w:szCs w:val="18"/>
        </w:rPr>
        <w:footnoteReference w:id="365"/>
      </w:r>
      <w:bookmarkEnd w:id="208"/>
    </w:p>
    <w:p w:rsidR="00432E5C" w:rsidRPr="00564DB3" w:rsidRDefault="00432E5C" w:rsidP="00F70E38">
      <w:pPr>
        <w:pStyle w:val="BodyText"/>
        <w:rPr>
          <w:szCs w:val="18"/>
        </w:rPr>
      </w:pPr>
      <w:bookmarkStart w:id="211" w:name="_Ref514423997"/>
      <w:bookmarkEnd w:id="209"/>
      <w:r w:rsidRPr="00564DB3">
        <w:rPr>
          <w:rFonts w:eastAsia="Arial Unicode MS" w:cs="Arial Unicode MS"/>
          <w:color w:val="000000"/>
          <w:szCs w:val="18"/>
          <w:u w:color="000000"/>
          <w:bdr w:val="nil"/>
        </w:rPr>
        <w:lastRenderedPageBreak/>
        <w:t>Regarding purse seine fishing</w:t>
      </w:r>
      <w:r w:rsidRPr="00564DB3">
        <w:rPr>
          <w:rFonts w:eastAsia="Arial Unicode MS" w:cs="Arial Unicode MS"/>
          <w:i/>
          <w:color w:val="000000"/>
          <w:szCs w:val="18"/>
          <w:u w:color="000000"/>
          <w:bdr w:val="nil"/>
        </w:rPr>
        <w:t xml:space="preserve"> without setting on dolphins</w:t>
      </w:r>
      <w:r w:rsidR="005B1CE4" w:rsidRPr="00564DB3">
        <w:rPr>
          <w:rStyle w:val="FootnoteReference"/>
          <w:rFonts w:eastAsia="Arial Unicode MS" w:cs="Arial Unicode MS"/>
          <w:color w:val="000000"/>
          <w:szCs w:val="18"/>
          <w:u w:color="000000"/>
          <w:bdr w:val="nil"/>
        </w:rPr>
        <w:footnoteReference w:id="366"/>
      </w:r>
      <w:r w:rsidRPr="00564DB3">
        <w:rPr>
          <w:rFonts w:eastAsia="Arial Unicode MS" w:cs="Arial Unicode MS"/>
          <w:color w:val="000000"/>
          <w:szCs w:val="18"/>
          <w:u w:color="000000"/>
          <w:bdr w:val="nil"/>
        </w:rPr>
        <w:t xml:space="preserve">, </w:t>
      </w:r>
      <w:r w:rsidRPr="00564DB3">
        <w:rPr>
          <w:szCs w:val="18"/>
        </w:rPr>
        <w:t>the</w:t>
      </w:r>
      <w:bookmarkEnd w:id="211"/>
      <w:r w:rsidR="00C30DE2" w:rsidRPr="00564DB3">
        <w:rPr>
          <w:szCs w:val="18"/>
        </w:rPr>
        <w:t xml:space="preserve"> Panels looked at evidence of mortalities and serious injuries to dolphins in the ETP, Western </w:t>
      </w:r>
      <w:r w:rsidR="00E55CA3" w:rsidRPr="00564DB3">
        <w:rPr>
          <w:szCs w:val="18"/>
        </w:rPr>
        <w:t xml:space="preserve">and </w:t>
      </w:r>
      <w:r w:rsidR="00C42CEB" w:rsidRPr="00564DB3">
        <w:rPr>
          <w:szCs w:val="18"/>
        </w:rPr>
        <w:t>Central </w:t>
      </w:r>
      <w:r w:rsidR="00C30DE2" w:rsidRPr="00564DB3">
        <w:rPr>
          <w:szCs w:val="18"/>
        </w:rPr>
        <w:t>Pacific Ocean (WCPO), Indian Ocean</w:t>
      </w:r>
      <w:r w:rsidR="00E55CA3" w:rsidRPr="00564DB3">
        <w:rPr>
          <w:szCs w:val="18"/>
        </w:rPr>
        <w:t>,</w:t>
      </w:r>
      <w:r w:rsidR="00C30DE2" w:rsidRPr="00564DB3">
        <w:rPr>
          <w:szCs w:val="18"/>
        </w:rPr>
        <w:t xml:space="preserve"> and Eastern Tropic Atlantic Ocean (ETAO)</w:t>
      </w:r>
      <w:r w:rsidRPr="00564DB3">
        <w:rPr>
          <w:szCs w:val="18"/>
        </w:rPr>
        <w:t>.</w:t>
      </w:r>
      <w:r w:rsidR="005B1CE4" w:rsidRPr="00564DB3">
        <w:rPr>
          <w:rStyle w:val="FootnoteReference"/>
          <w:szCs w:val="18"/>
        </w:rPr>
        <w:footnoteReference w:id="367"/>
      </w:r>
      <w:r w:rsidRPr="00564DB3">
        <w:rPr>
          <w:szCs w:val="18"/>
        </w:rPr>
        <w:t xml:space="preserve"> </w:t>
      </w:r>
      <w:r w:rsidR="00C30DE2" w:rsidRPr="00564DB3">
        <w:rPr>
          <w:szCs w:val="18"/>
        </w:rPr>
        <w:t>The Panels concluded that while purse seine fishing without setting on dolphins has killed and seriously injured dolphins in the past and has the potential of doing so in the future, the risk profile of this fishing method is generally low as it does not require interaction with dolphins in order to spot tuna.</w:t>
      </w:r>
      <w:r w:rsidR="00C30DE2" w:rsidRPr="00564DB3">
        <w:rPr>
          <w:szCs w:val="18"/>
          <w:vertAlign w:val="superscript"/>
        </w:rPr>
        <w:footnoteReference w:id="368"/>
      </w:r>
      <w:r w:rsidR="00C30DE2" w:rsidRPr="00564DB3">
        <w:rPr>
          <w:szCs w:val="18"/>
        </w:rPr>
        <w:t xml:space="preserve"> The Panels considered that this fishing method has a "relatively low risk profile in terms of both observed and unobserved mortality and serious injury"</w:t>
      </w:r>
      <w:r w:rsidR="00E55CA3" w:rsidRPr="00564DB3">
        <w:rPr>
          <w:szCs w:val="18"/>
        </w:rPr>
        <w:t>.</w:t>
      </w:r>
      <w:r w:rsidR="00C30DE2" w:rsidRPr="00564DB3">
        <w:rPr>
          <w:szCs w:val="18"/>
          <w:vertAlign w:val="superscript"/>
        </w:rPr>
        <w:footnoteReference w:id="369"/>
      </w:r>
      <w:r w:rsidR="00C30DE2" w:rsidRPr="00564DB3">
        <w:rPr>
          <w:szCs w:val="18"/>
        </w:rPr>
        <w:t xml:space="preserve"> </w:t>
      </w:r>
      <w:r w:rsidRPr="00564DB3">
        <w:rPr>
          <w:szCs w:val="18"/>
        </w:rPr>
        <w:t xml:space="preserve">The Panels further concluded that the extent of </w:t>
      </w:r>
      <w:r w:rsidRPr="00564DB3">
        <w:rPr>
          <w:i/>
          <w:szCs w:val="18"/>
        </w:rPr>
        <w:t>unobserved harm</w:t>
      </w:r>
      <w:r w:rsidRPr="00564DB3">
        <w:rPr>
          <w:szCs w:val="18"/>
        </w:rPr>
        <w:t xml:space="preserve"> in the ETP </w:t>
      </w:r>
      <w:r w:rsidR="00B62A50" w:rsidRPr="00564DB3">
        <w:rPr>
          <w:szCs w:val="18"/>
        </w:rPr>
        <w:t xml:space="preserve">may be </w:t>
      </w:r>
      <w:r w:rsidRPr="00564DB3">
        <w:rPr>
          <w:szCs w:val="18"/>
        </w:rPr>
        <w:t>low</w:t>
      </w:r>
      <w:r w:rsidR="00B62A50" w:rsidRPr="00564DB3">
        <w:rPr>
          <w:szCs w:val="18"/>
        </w:rPr>
        <w:t>, but that without direct evidence on the record they were unable to base their finding on a precise quantification.</w:t>
      </w:r>
      <w:r w:rsidR="005B1CE4" w:rsidRPr="00564DB3">
        <w:rPr>
          <w:rStyle w:val="FootnoteReference"/>
          <w:szCs w:val="18"/>
        </w:rPr>
        <w:footnoteReference w:id="370"/>
      </w:r>
      <w:r w:rsidRPr="00564DB3">
        <w:rPr>
          <w:szCs w:val="18"/>
        </w:rPr>
        <w:t xml:space="preserve"> </w:t>
      </w:r>
      <w:r w:rsidR="00B62A50" w:rsidRPr="00564DB3">
        <w:rPr>
          <w:szCs w:val="18"/>
        </w:rPr>
        <w:t xml:space="preserve">The Panels also found that </w:t>
      </w:r>
      <w:r w:rsidRPr="00564DB3">
        <w:rPr>
          <w:szCs w:val="18"/>
        </w:rPr>
        <w:t>the likelihood of unobserved harm to dolphins in the WCPO</w:t>
      </w:r>
      <w:r w:rsidR="00B62A50" w:rsidRPr="00564DB3">
        <w:rPr>
          <w:szCs w:val="18"/>
        </w:rPr>
        <w:t>, the Indian Ocean,</w:t>
      </w:r>
      <w:r w:rsidRPr="00564DB3">
        <w:rPr>
          <w:szCs w:val="18"/>
        </w:rPr>
        <w:t xml:space="preserve"> and </w:t>
      </w:r>
      <w:r w:rsidR="002662CE" w:rsidRPr="00564DB3">
        <w:rPr>
          <w:szCs w:val="18"/>
        </w:rPr>
        <w:t xml:space="preserve">the </w:t>
      </w:r>
      <w:r w:rsidRPr="00564DB3">
        <w:rPr>
          <w:szCs w:val="18"/>
        </w:rPr>
        <w:t xml:space="preserve">ETAO is low </w:t>
      </w:r>
      <w:r w:rsidR="00B62A50" w:rsidRPr="00564DB3">
        <w:rPr>
          <w:szCs w:val="18"/>
        </w:rPr>
        <w:t>because</w:t>
      </w:r>
      <w:r w:rsidRPr="00564DB3">
        <w:rPr>
          <w:szCs w:val="18"/>
        </w:rPr>
        <w:t xml:space="preserve"> interactions with dolphins are infrequent.</w:t>
      </w:r>
      <w:r w:rsidR="005B1CE4" w:rsidRPr="00564DB3">
        <w:rPr>
          <w:rStyle w:val="FootnoteReference"/>
          <w:szCs w:val="18"/>
        </w:rPr>
        <w:footnoteReference w:id="371"/>
      </w:r>
      <w:r w:rsidRPr="00564DB3">
        <w:rPr>
          <w:szCs w:val="18"/>
        </w:rPr>
        <w:t xml:space="preserve"> Additionally, the Panels found that </w:t>
      </w:r>
      <w:bookmarkStart w:id="212" w:name="_Ref514423998"/>
      <w:r w:rsidRPr="00564DB3">
        <w:rPr>
          <w:szCs w:val="18"/>
        </w:rPr>
        <w:t xml:space="preserve">purse seine fishing without setting on dolphins in the ETP, </w:t>
      </w:r>
      <w:r w:rsidR="002662CE" w:rsidRPr="00564DB3">
        <w:rPr>
          <w:szCs w:val="18"/>
        </w:rPr>
        <w:t xml:space="preserve">the </w:t>
      </w:r>
      <w:r w:rsidRPr="00564DB3">
        <w:rPr>
          <w:szCs w:val="18"/>
        </w:rPr>
        <w:t xml:space="preserve">WCPO, </w:t>
      </w:r>
      <w:r w:rsidR="002662CE" w:rsidRPr="00564DB3">
        <w:rPr>
          <w:szCs w:val="18"/>
        </w:rPr>
        <w:t xml:space="preserve">the </w:t>
      </w:r>
      <w:r w:rsidRPr="00564DB3">
        <w:rPr>
          <w:szCs w:val="18"/>
        </w:rPr>
        <w:t xml:space="preserve">Indian Ocean, and </w:t>
      </w:r>
      <w:r w:rsidR="002662CE" w:rsidRPr="00564DB3">
        <w:rPr>
          <w:szCs w:val="18"/>
        </w:rPr>
        <w:t xml:space="preserve">the </w:t>
      </w:r>
      <w:r w:rsidRPr="00564DB3">
        <w:rPr>
          <w:szCs w:val="18"/>
        </w:rPr>
        <w:t>ETAO does not cause the kinds of unobservable harms caused by purse seine fishing by setting on dolphins in the ETP, since purse seine fishing without setting on dolphins does not require interaction with dolphins</w:t>
      </w:r>
      <w:bookmarkEnd w:id="212"/>
      <w:r w:rsidRPr="00564DB3">
        <w:rPr>
          <w:szCs w:val="18"/>
        </w:rPr>
        <w:t>.</w:t>
      </w:r>
      <w:r w:rsidR="005B1CE4" w:rsidRPr="00564DB3">
        <w:rPr>
          <w:rStyle w:val="FootnoteReference"/>
          <w:szCs w:val="18"/>
        </w:rPr>
        <w:footnoteReference w:id="372"/>
      </w:r>
    </w:p>
    <w:p w:rsidR="00432E5C" w:rsidRPr="00564DB3" w:rsidRDefault="00E175AB" w:rsidP="00F70E38">
      <w:pPr>
        <w:pStyle w:val="BodyText"/>
        <w:rPr>
          <w:szCs w:val="18"/>
        </w:rPr>
      </w:pPr>
      <w:r w:rsidRPr="00564DB3">
        <w:rPr>
          <w:szCs w:val="18"/>
        </w:rPr>
        <w:t>With respect to</w:t>
      </w:r>
      <w:r w:rsidR="00432E5C" w:rsidRPr="00564DB3">
        <w:rPr>
          <w:szCs w:val="18"/>
        </w:rPr>
        <w:t xml:space="preserve"> </w:t>
      </w:r>
      <w:r w:rsidR="00432E5C" w:rsidRPr="00564DB3">
        <w:rPr>
          <w:i/>
          <w:szCs w:val="18"/>
        </w:rPr>
        <w:t xml:space="preserve">gillnet </w:t>
      </w:r>
      <w:r w:rsidR="00432E5C" w:rsidRPr="00564DB3">
        <w:rPr>
          <w:szCs w:val="18"/>
        </w:rPr>
        <w:t>fishing</w:t>
      </w:r>
      <w:r w:rsidR="005B1CE4" w:rsidRPr="00564DB3">
        <w:rPr>
          <w:rStyle w:val="FootnoteReference"/>
          <w:szCs w:val="18"/>
        </w:rPr>
        <w:footnoteReference w:id="373"/>
      </w:r>
      <w:r w:rsidR="00432E5C" w:rsidRPr="00564DB3">
        <w:rPr>
          <w:szCs w:val="18"/>
        </w:rPr>
        <w:t>, the Panels found that this fishing method poses high levels of observable harm to dolphins in certain areas of the ocean, but does not pose the same level of harm in other areas.</w:t>
      </w:r>
      <w:r w:rsidR="005B1CE4" w:rsidRPr="00564DB3">
        <w:rPr>
          <w:rStyle w:val="FootnoteReference"/>
          <w:szCs w:val="18"/>
        </w:rPr>
        <w:footnoteReference w:id="374"/>
      </w:r>
      <w:r w:rsidR="00432E5C" w:rsidRPr="00564DB3">
        <w:rPr>
          <w:szCs w:val="18"/>
        </w:rPr>
        <w:t xml:space="preserve"> The Panels further noted that the evidence </w:t>
      </w:r>
      <w:r w:rsidR="00AA22DA" w:rsidRPr="00564DB3">
        <w:rPr>
          <w:szCs w:val="18"/>
        </w:rPr>
        <w:t>presented in relation to "ghost </w:t>
      </w:r>
      <w:r w:rsidR="00432E5C" w:rsidRPr="00564DB3">
        <w:rPr>
          <w:szCs w:val="18"/>
        </w:rPr>
        <w:t>fishing"</w:t>
      </w:r>
      <w:bookmarkStart w:id="213" w:name="_Ref529197041"/>
      <w:r w:rsidR="005B1CE4" w:rsidRPr="00564DB3">
        <w:rPr>
          <w:rStyle w:val="FootnoteReference"/>
          <w:szCs w:val="18"/>
        </w:rPr>
        <w:footnoteReference w:id="375"/>
      </w:r>
      <w:bookmarkEnd w:id="213"/>
      <w:r w:rsidR="00432E5C" w:rsidRPr="00564DB3">
        <w:rPr>
          <w:szCs w:val="18"/>
        </w:rPr>
        <w:t xml:space="preserve"> indicated that ghost fishing does give rise to unobserved harms, but that such harms were at least </w:t>
      </w:r>
      <w:r w:rsidR="00432E5C" w:rsidRPr="00564DB3">
        <w:rPr>
          <w:i/>
          <w:szCs w:val="18"/>
        </w:rPr>
        <w:t>observable</w:t>
      </w:r>
      <w:r w:rsidR="00432E5C" w:rsidRPr="00564DB3">
        <w:rPr>
          <w:szCs w:val="18"/>
        </w:rPr>
        <w:t>, and not like the kinds of unobservable harm that are caused by setting on dolphins.</w:t>
      </w:r>
      <w:r w:rsidR="005B1CE4" w:rsidRPr="00564DB3">
        <w:rPr>
          <w:rStyle w:val="FootnoteReference"/>
          <w:szCs w:val="18"/>
        </w:rPr>
        <w:footnoteReference w:id="376"/>
      </w:r>
      <w:r w:rsidR="00432E5C" w:rsidRPr="00564DB3">
        <w:rPr>
          <w:szCs w:val="18"/>
        </w:rPr>
        <w:t xml:space="preserve"> </w:t>
      </w:r>
    </w:p>
    <w:p w:rsidR="00432E5C" w:rsidRPr="00564DB3" w:rsidRDefault="00432E5C" w:rsidP="00F70E38">
      <w:pPr>
        <w:pStyle w:val="BodyText"/>
        <w:rPr>
          <w:szCs w:val="18"/>
        </w:rPr>
      </w:pPr>
      <w:r w:rsidRPr="00564DB3">
        <w:rPr>
          <w:szCs w:val="18"/>
        </w:rPr>
        <w:t xml:space="preserve">As regards </w:t>
      </w:r>
      <w:r w:rsidRPr="00564DB3">
        <w:rPr>
          <w:i/>
          <w:szCs w:val="18"/>
        </w:rPr>
        <w:t>longline</w:t>
      </w:r>
      <w:r w:rsidR="005B1CE4" w:rsidRPr="00564DB3">
        <w:rPr>
          <w:rStyle w:val="FootnoteReference"/>
          <w:szCs w:val="18"/>
        </w:rPr>
        <w:footnoteReference w:id="377"/>
      </w:r>
      <w:r w:rsidRPr="00564DB3">
        <w:rPr>
          <w:i/>
          <w:szCs w:val="18"/>
        </w:rPr>
        <w:t xml:space="preserve"> </w:t>
      </w:r>
      <w:r w:rsidRPr="00564DB3">
        <w:rPr>
          <w:szCs w:val="18"/>
        </w:rPr>
        <w:t>and</w:t>
      </w:r>
      <w:r w:rsidRPr="00564DB3">
        <w:rPr>
          <w:i/>
          <w:szCs w:val="18"/>
        </w:rPr>
        <w:t xml:space="preserve"> handline</w:t>
      </w:r>
      <w:r w:rsidR="005B1CE4" w:rsidRPr="00564DB3">
        <w:rPr>
          <w:rStyle w:val="FootnoteReference"/>
          <w:szCs w:val="18"/>
        </w:rPr>
        <w:footnoteReference w:id="378"/>
      </w:r>
      <w:r w:rsidRPr="00564DB3">
        <w:rPr>
          <w:szCs w:val="18"/>
        </w:rPr>
        <w:t xml:space="preserve"> fishing, the Panels found that the risk profiles of these methods were low in terms of observable harms, and that they do not cause the kinds of unobservable harm caused by setting on dolphins.</w:t>
      </w:r>
      <w:r w:rsidR="005B1CE4" w:rsidRPr="00564DB3">
        <w:rPr>
          <w:rStyle w:val="FootnoteReference"/>
          <w:szCs w:val="18"/>
        </w:rPr>
        <w:footnoteReference w:id="379"/>
      </w:r>
      <w:r w:rsidRPr="00564DB3">
        <w:rPr>
          <w:szCs w:val="18"/>
        </w:rPr>
        <w:t xml:space="preserve"> With regard to </w:t>
      </w:r>
      <w:r w:rsidR="00C42CEB" w:rsidRPr="00564DB3">
        <w:rPr>
          <w:i/>
          <w:szCs w:val="18"/>
        </w:rPr>
        <w:t>trawl </w:t>
      </w:r>
      <w:r w:rsidRPr="00564DB3">
        <w:rPr>
          <w:i/>
          <w:szCs w:val="18"/>
        </w:rPr>
        <w:t>fishing</w:t>
      </w:r>
      <w:r w:rsidR="005B1CE4" w:rsidRPr="00564DB3">
        <w:rPr>
          <w:rStyle w:val="FootnoteReference"/>
          <w:szCs w:val="18"/>
        </w:rPr>
        <w:footnoteReference w:id="380"/>
      </w:r>
      <w:r w:rsidRPr="00564DB3">
        <w:rPr>
          <w:szCs w:val="18"/>
        </w:rPr>
        <w:t>, the Panels found that this method is a low-to-moderate-risk fishing method in terms of observed mortalities and observable harm, as it entails very little, if any, interaction with dolphins.</w:t>
      </w:r>
      <w:r w:rsidR="005B1CE4" w:rsidRPr="00564DB3">
        <w:rPr>
          <w:rStyle w:val="FootnoteReference"/>
          <w:szCs w:val="18"/>
        </w:rPr>
        <w:footnoteReference w:id="381"/>
      </w:r>
      <w:r w:rsidRPr="00564DB3">
        <w:rPr>
          <w:szCs w:val="18"/>
        </w:rPr>
        <w:t xml:space="preserve"> The Panels also found that trawl</w:t>
      </w:r>
      <w:r w:rsidR="006C5D49" w:rsidRPr="00564DB3">
        <w:rPr>
          <w:szCs w:val="18"/>
        </w:rPr>
        <w:t xml:space="preserve"> fish</w:t>
      </w:r>
      <w:r w:rsidRPr="00564DB3">
        <w:rPr>
          <w:szCs w:val="18"/>
        </w:rPr>
        <w:t>ing does not cause the kinds of unobservable harm caused by setting on dolphins.</w:t>
      </w:r>
      <w:r w:rsidR="005B1CE4" w:rsidRPr="00564DB3">
        <w:rPr>
          <w:rStyle w:val="FootnoteReference"/>
          <w:szCs w:val="18"/>
        </w:rPr>
        <w:footnoteReference w:id="382"/>
      </w:r>
      <w:r w:rsidRPr="00564DB3">
        <w:rPr>
          <w:szCs w:val="18"/>
        </w:rPr>
        <w:t xml:space="preserve"> </w:t>
      </w:r>
      <w:bookmarkStart w:id="215" w:name="_Ref516144699"/>
      <w:r w:rsidRPr="00564DB3">
        <w:rPr>
          <w:szCs w:val="18"/>
        </w:rPr>
        <w:t xml:space="preserve">Regarding the </w:t>
      </w:r>
      <w:r w:rsidRPr="00564DB3">
        <w:rPr>
          <w:i/>
          <w:szCs w:val="18"/>
        </w:rPr>
        <w:t>pole and line</w:t>
      </w:r>
      <w:r w:rsidRPr="00564DB3">
        <w:rPr>
          <w:szCs w:val="18"/>
        </w:rPr>
        <w:t xml:space="preserve"> fishing method, the Panels found no reports of any dolphins being killed </w:t>
      </w:r>
      <w:r w:rsidRPr="00564DB3">
        <w:rPr>
          <w:szCs w:val="18"/>
        </w:rPr>
        <w:lastRenderedPageBreak/>
        <w:t>or seriously injured as a result of pole and line fishing, and no evidence that any unobservable harm is caused to dolphins.</w:t>
      </w:r>
      <w:r w:rsidR="005B1CE4" w:rsidRPr="00564DB3">
        <w:rPr>
          <w:rStyle w:val="FootnoteReference"/>
          <w:szCs w:val="18"/>
        </w:rPr>
        <w:footnoteReference w:id="383"/>
      </w:r>
      <w:r w:rsidRPr="00564DB3">
        <w:rPr>
          <w:szCs w:val="18"/>
        </w:rPr>
        <w:t xml:space="preserve"> The Panels concluded that the risk profile is very low.</w:t>
      </w:r>
      <w:r w:rsidR="005B1CE4" w:rsidRPr="00564DB3">
        <w:rPr>
          <w:rStyle w:val="FootnoteReference"/>
          <w:szCs w:val="18"/>
        </w:rPr>
        <w:footnoteReference w:id="384"/>
      </w:r>
      <w:r w:rsidRPr="00564DB3">
        <w:rPr>
          <w:szCs w:val="18"/>
        </w:rPr>
        <w:t xml:space="preserve"> </w:t>
      </w:r>
      <w:bookmarkEnd w:id="215"/>
    </w:p>
    <w:p w:rsidR="00432E5C" w:rsidRPr="00564DB3" w:rsidRDefault="00432E5C" w:rsidP="00F70E38">
      <w:pPr>
        <w:pStyle w:val="BodyText"/>
        <w:rPr>
          <w:szCs w:val="18"/>
        </w:rPr>
      </w:pPr>
      <w:bookmarkStart w:id="216" w:name="_Ref529196849"/>
      <w:r w:rsidRPr="00564DB3">
        <w:rPr>
          <w:szCs w:val="18"/>
        </w:rPr>
        <w:t>Having set forth their analysis of the seven fishing methods, the Panels conducted an overall relative assessment, in which they "provide[d] a comparative assessment of method-specific findings".</w:t>
      </w:r>
      <w:r w:rsidR="005B1CE4" w:rsidRPr="00564DB3">
        <w:rPr>
          <w:rStyle w:val="FootnoteReference"/>
          <w:szCs w:val="18"/>
        </w:rPr>
        <w:footnoteReference w:id="385"/>
      </w:r>
      <w:r w:rsidRPr="00564DB3">
        <w:rPr>
          <w:szCs w:val="18"/>
        </w:rPr>
        <w:t xml:space="preserve"> The Panels concluded that, given the differences between setting on dolphins and each of the other six methods with respect to observable harm to dolphins, and taking into account that none of the other methods causes the kinds of unobservable harms caused by setting on dolphins, "overall, the risk profile of setting on dolphins is much higher tha</w:t>
      </w:r>
      <w:r w:rsidR="00B656E4" w:rsidRPr="00564DB3">
        <w:rPr>
          <w:szCs w:val="18"/>
        </w:rPr>
        <w:t>n that of each of the other six </w:t>
      </w:r>
      <w:r w:rsidRPr="00564DB3">
        <w:rPr>
          <w:szCs w:val="18"/>
        </w:rPr>
        <w:t>fishing methods used to catch tuna."</w:t>
      </w:r>
      <w:r w:rsidR="005B1CE4" w:rsidRPr="00564DB3">
        <w:rPr>
          <w:rStyle w:val="FootnoteReference"/>
          <w:szCs w:val="18"/>
        </w:rPr>
        <w:footnoteReference w:id="386"/>
      </w:r>
      <w:bookmarkEnd w:id="216"/>
    </w:p>
    <w:p w:rsidR="00432E5C" w:rsidRPr="00564DB3" w:rsidRDefault="00432E5C" w:rsidP="00F70E38">
      <w:pPr>
        <w:pStyle w:val="Heading4"/>
        <w:rPr>
          <w:szCs w:val="18"/>
        </w:rPr>
      </w:pPr>
      <w:bookmarkStart w:id="217" w:name="_Toc522540645"/>
      <w:bookmarkStart w:id="218" w:name="_Toc526162681"/>
      <w:bookmarkStart w:id="219" w:name="_Ref527124453"/>
      <w:bookmarkStart w:id="220" w:name="_Ref527624908"/>
      <w:bookmarkStart w:id="221" w:name="_Toc528506763"/>
      <w:bookmarkStart w:id="222" w:name="_Toc528506928"/>
      <w:bookmarkStart w:id="223" w:name="_Ref529186077"/>
      <w:bookmarkStart w:id="224" w:name="_Ref530389505"/>
      <w:bookmarkStart w:id="225" w:name="_Toc531967480"/>
      <w:r w:rsidRPr="00564DB3">
        <w:rPr>
          <w:szCs w:val="18"/>
        </w:rPr>
        <w:t>Whether the Panels erred by failing to assess the risk profiles of individual fisheries</w:t>
      </w:r>
      <w:bookmarkEnd w:id="217"/>
      <w:bookmarkEnd w:id="218"/>
      <w:bookmarkEnd w:id="219"/>
      <w:bookmarkEnd w:id="220"/>
      <w:bookmarkEnd w:id="221"/>
      <w:bookmarkEnd w:id="222"/>
      <w:bookmarkEnd w:id="223"/>
      <w:bookmarkEnd w:id="224"/>
      <w:bookmarkEnd w:id="225"/>
    </w:p>
    <w:p w:rsidR="00432E5C" w:rsidRPr="00564DB3" w:rsidRDefault="00432E5C" w:rsidP="00F70E38">
      <w:pPr>
        <w:pStyle w:val="BodyText"/>
        <w:rPr>
          <w:szCs w:val="18"/>
        </w:rPr>
      </w:pPr>
      <w:bookmarkStart w:id="226" w:name="_Ref527625482"/>
      <w:bookmarkStart w:id="227" w:name="_Ref530389520"/>
      <w:r w:rsidRPr="00564DB3">
        <w:rPr>
          <w:szCs w:val="18"/>
        </w:rPr>
        <w:t>We first turn to Mexico's argument that the Panels did not properly determine the risk profiles of different fishing methods as used in different areas of the oceans, but erroneously limited their assessment of risk profiles to the seven tuna</w:t>
      </w:r>
      <w:r w:rsidR="00832630" w:rsidRPr="00564DB3">
        <w:rPr>
          <w:szCs w:val="18"/>
        </w:rPr>
        <w:t>-</w:t>
      </w:r>
      <w:r w:rsidRPr="00564DB3">
        <w:rPr>
          <w:szCs w:val="18"/>
        </w:rPr>
        <w:t>fishing methods, without assessing the risk profiles for individual ocean areas.</w:t>
      </w:r>
      <w:r w:rsidR="005B1CE4" w:rsidRPr="00564DB3">
        <w:rPr>
          <w:rStyle w:val="FootnoteReference"/>
          <w:szCs w:val="18"/>
        </w:rPr>
        <w:footnoteReference w:id="387"/>
      </w:r>
      <w:r w:rsidRPr="00564DB3">
        <w:rPr>
          <w:szCs w:val="18"/>
        </w:rPr>
        <w:t xml:space="preserve"> Mexico acknowledges that the Panels did address evidence </w:t>
      </w:r>
      <w:r w:rsidR="00E175AB" w:rsidRPr="00564DB3">
        <w:rPr>
          <w:szCs w:val="18"/>
        </w:rPr>
        <w:t>with respect to</w:t>
      </w:r>
      <w:r w:rsidRPr="00564DB3">
        <w:rPr>
          <w:szCs w:val="18"/>
        </w:rPr>
        <w:t xml:space="preserve"> ocean areas for </w:t>
      </w:r>
      <w:r w:rsidR="00FB2E15" w:rsidRPr="00564DB3">
        <w:rPr>
          <w:szCs w:val="18"/>
        </w:rPr>
        <w:t>certain of the</w:t>
      </w:r>
      <w:r w:rsidRPr="00564DB3">
        <w:rPr>
          <w:szCs w:val="18"/>
        </w:rPr>
        <w:t xml:space="preserve"> fishing methods they assessed</w:t>
      </w:r>
      <w:r w:rsidR="005B1CE4" w:rsidRPr="00564DB3">
        <w:rPr>
          <w:rStyle w:val="FootnoteReference"/>
          <w:szCs w:val="18"/>
        </w:rPr>
        <w:footnoteReference w:id="388"/>
      </w:r>
      <w:r w:rsidRPr="00564DB3">
        <w:rPr>
          <w:szCs w:val="18"/>
        </w:rPr>
        <w:t>, but argues that the Panels erred by forming conclusions on the fishing methods as a whole, and thereby "effectively averaged or sampled the overall relative risks or levels of harm over all of the fisherie</w:t>
      </w:r>
      <w:r w:rsidR="0015487C" w:rsidRPr="00564DB3">
        <w:rPr>
          <w:szCs w:val="18"/>
        </w:rPr>
        <w:t>s that use the method</w:t>
      </w:r>
      <w:r w:rsidRPr="00564DB3">
        <w:rPr>
          <w:szCs w:val="18"/>
        </w:rPr>
        <w:t>"</w:t>
      </w:r>
      <w:r w:rsidR="0015487C" w:rsidRPr="00564DB3">
        <w:rPr>
          <w:szCs w:val="18"/>
        </w:rPr>
        <w:t>.</w:t>
      </w:r>
      <w:r w:rsidR="005B1CE4" w:rsidRPr="00564DB3">
        <w:rPr>
          <w:rStyle w:val="FootnoteReference"/>
          <w:szCs w:val="18"/>
        </w:rPr>
        <w:footnoteReference w:id="389"/>
      </w:r>
      <w:r w:rsidRPr="00564DB3">
        <w:rPr>
          <w:szCs w:val="18"/>
        </w:rPr>
        <w:t xml:space="preserve"> In particular, Mexico submits that the Panels effectively "disregarded that there are very high risks to dolphins" from gillnet fishing, longline fishing, and trawl</w:t>
      </w:r>
      <w:r w:rsidR="006C5D49" w:rsidRPr="00564DB3">
        <w:rPr>
          <w:szCs w:val="18"/>
        </w:rPr>
        <w:t xml:space="preserve"> fish</w:t>
      </w:r>
      <w:r w:rsidRPr="00564DB3">
        <w:rPr>
          <w:szCs w:val="18"/>
        </w:rPr>
        <w:t>ing, in certain ocean areas.</w:t>
      </w:r>
      <w:r w:rsidR="005B1CE4" w:rsidRPr="00564DB3">
        <w:rPr>
          <w:rStyle w:val="FootnoteReference"/>
          <w:szCs w:val="18"/>
        </w:rPr>
        <w:footnoteReference w:id="390"/>
      </w:r>
      <w:r w:rsidRPr="00564DB3">
        <w:rPr>
          <w:szCs w:val="18"/>
        </w:rPr>
        <w:t xml:space="preserve"> Mexico also argues that the Panels erred by failing to address the risk profile of purse seine fishing by setting on dolphins in ocean areas other than</w:t>
      </w:r>
      <w:r w:rsidRPr="00564DB3">
        <w:rPr>
          <w:i/>
          <w:szCs w:val="18"/>
        </w:rPr>
        <w:t xml:space="preserve"> </w:t>
      </w:r>
      <w:r w:rsidRPr="00564DB3">
        <w:rPr>
          <w:szCs w:val="18"/>
        </w:rPr>
        <w:t>the ETP.</w:t>
      </w:r>
      <w:bookmarkEnd w:id="226"/>
      <w:r w:rsidR="005B1CE4" w:rsidRPr="00564DB3">
        <w:rPr>
          <w:rStyle w:val="FootnoteReference"/>
          <w:szCs w:val="18"/>
        </w:rPr>
        <w:footnoteReference w:id="391"/>
      </w:r>
      <w:bookmarkEnd w:id="227"/>
      <w:r w:rsidRPr="00564DB3">
        <w:rPr>
          <w:szCs w:val="18"/>
        </w:rPr>
        <w:t xml:space="preserve"> </w:t>
      </w:r>
    </w:p>
    <w:p w:rsidR="00432E5C" w:rsidRPr="00564DB3" w:rsidRDefault="00432E5C" w:rsidP="00F70E38">
      <w:pPr>
        <w:pStyle w:val="BodyText"/>
        <w:rPr>
          <w:szCs w:val="18"/>
        </w:rPr>
      </w:pPr>
      <w:bookmarkStart w:id="228" w:name="_Ref521337971"/>
      <w:r w:rsidRPr="00564DB3">
        <w:rPr>
          <w:szCs w:val="18"/>
        </w:rPr>
        <w:t xml:space="preserve">The </w:t>
      </w:r>
      <w:r w:rsidR="00083DFC" w:rsidRPr="00564DB3">
        <w:rPr>
          <w:szCs w:val="18"/>
        </w:rPr>
        <w:t>United States</w:t>
      </w:r>
      <w:r w:rsidRPr="00564DB3">
        <w:rPr>
          <w:szCs w:val="18"/>
        </w:rPr>
        <w:t xml:space="preserve"> submits that </w:t>
      </w:r>
      <w:bookmarkStart w:id="229" w:name="_Ref513222672"/>
      <w:r w:rsidRPr="00564DB3">
        <w:rPr>
          <w:szCs w:val="18"/>
        </w:rPr>
        <w:t>the Panels did assess the risks to dolphins in individual fisheries.</w:t>
      </w:r>
      <w:r w:rsidR="005B1CE4" w:rsidRPr="00564DB3">
        <w:rPr>
          <w:rStyle w:val="FootnoteReference"/>
          <w:szCs w:val="18"/>
        </w:rPr>
        <w:footnoteReference w:id="392"/>
      </w:r>
      <w:r w:rsidRPr="00564DB3">
        <w:rPr>
          <w:szCs w:val="18"/>
        </w:rPr>
        <w:t xml:space="preserve"> The </w:t>
      </w:r>
      <w:r w:rsidR="00083DFC" w:rsidRPr="00564DB3">
        <w:rPr>
          <w:szCs w:val="18"/>
        </w:rPr>
        <w:t>United States</w:t>
      </w:r>
      <w:r w:rsidRPr="00564DB3">
        <w:rPr>
          <w:szCs w:val="18"/>
        </w:rPr>
        <w:t xml:space="preserve"> indicates that, </w:t>
      </w:r>
      <w:r w:rsidR="00E175AB" w:rsidRPr="00564DB3">
        <w:rPr>
          <w:szCs w:val="18"/>
        </w:rPr>
        <w:t>with respect to</w:t>
      </w:r>
      <w:r w:rsidRPr="00564DB3">
        <w:rPr>
          <w:szCs w:val="18"/>
        </w:rPr>
        <w:t xml:space="preserve"> </w:t>
      </w:r>
      <w:r w:rsidRPr="00564DB3">
        <w:rPr>
          <w:i/>
          <w:szCs w:val="18"/>
        </w:rPr>
        <w:t xml:space="preserve">observable </w:t>
      </w:r>
      <w:r w:rsidRPr="00564DB3">
        <w:rPr>
          <w:szCs w:val="18"/>
        </w:rPr>
        <w:t>harms, the Panels assessed "each fishery for which there was probative evidence on the record"</w:t>
      </w:r>
      <w:r w:rsidR="00FB2E15" w:rsidRPr="00564DB3">
        <w:rPr>
          <w:szCs w:val="18"/>
        </w:rPr>
        <w:t>, and</w:t>
      </w:r>
      <w:r w:rsidR="0015487C" w:rsidRPr="00564DB3">
        <w:rPr>
          <w:szCs w:val="18"/>
        </w:rPr>
        <w:t>,</w:t>
      </w:r>
      <w:r w:rsidR="00FB2E15" w:rsidRPr="00564DB3">
        <w:rPr>
          <w:szCs w:val="18"/>
        </w:rPr>
        <w:t xml:space="preserve"> on th</w:t>
      </w:r>
      <w:r w:rsidR="00EE336E" w:rsidRPr="00564DB3">
        <w:rPr>
          <w:szCs w:val="18"/>
        </w:rPr>
        <w:t>is</w:t>
      </w:r>
      <w:r w:rsidR="00FB2E15" w:rsidRPr="00564DB3">
        <w:rPr>
          <w:szCs w:val="18"/>
        </w:rPr>
        <w:t xml:space="preserve"> basis</w:t>
      </w:r>
      <w:r w:rsidR="0015487C" w:rsidRPr="00564DB3">
        <w:rPr>
          <w:szCs w:val="18"/>
        </w:rPr>
        <w:t>,</w:t>
      </w:r>
      <w:r w:rsidR="00FB2E15" w:rsidRPr="00564DB3">
        <w:rPr>
          <w:szCs w:val="18"/>
        </w:rPr>
        <w:t xml:space="preserve"> "drew conclusions about the risk of observable harms posed by the different fishing methods"</w:t>
      </w:r>
      <w:r w:rsidRPr="00564DB3">
        <w:rPr>
          <w:szCs w:val="18"/>
        </w:rPr>
        <w:t>.</w:t>
      </w:r>
      <w:r w:rsidR="005B1CE4" w:rsidRPr="00564DB3">
        <w:rPr>
          <w:rStyle w:val="FootnoteReference"/>
          <w:szCs w:val="18"/>
        </w:rPr>
        <w:footnoteReference w:id="393"/>
      </w:r>
      <w:r w:rsidRPr="00564DB3">
        <w:rPr>
          <w:szCs w:val="18"/>
        </w:rPr>
        <w:t xml:space="preserve"> </w:t>
      </w:r>
      <w:r w:rsidR="00E175AB" w:rsidRPr="00564DB3">
        <w:rPr>
          <w:szCs w:val="18"/>
        </w:rPr>
        <w:t>With respect to</w:t>
      </w:r>
      <w:r w:rsidRPr="00564DB3">
        <w:rPr>
          <w:szCs w:val="18"/>
        </w:rPr>
        <w:t xml:space="preserve"> </w:t>
      </w:r>
      <w:r w:rsidRPr="00564DB3">
        <w:rPr>
          <w:i/>
          <w:szCs w:val="18"/>
        </w:rPr>
        <w:t xml:space="preserve">unobservable </w:t>
      </w:r>
      <w:r w:rsidRPr="00564DB3">
        <w:rPr>
          <w:szCs w:val="18"/>
        </w:rPr>
        <w:t xml:space="preserve">harms, the </w:t>
      </w:r>
      <w:r w:rsidR="00083DFC" w:rsidRPr="00564DB3">
        <w:rPr>
          <w:szCs w:val="18"/>
        </w:rPr>
        <w:t>United States</w:t>
      </w:r>
      <w:r w:rsidRPr="00564DB3">
        <w:rPr>
          <w:szCs w:val="18"/>
        </w:rPr>
        <w:t xml:space="preserve"> asserts that the Panels concluded that "none of the other fishing methods is capable of causing the sort of unobservable harms caused by dolphin sets", and that this conclusion is applicable "to each and all of the fisheries where these fishing methods are employed".</w:t>
      </w:r>
      <w:r w:rsidR="005B1CE4" w:rsidRPr="00564DB3">
        <w:rPr>
          <w:rStyle w:val="FootnoteReference"/>
          <w:szCs w:val="18"/>
        </w:rPr>
        <w:footnoteReference w:id="394"/>
      </w:r>
      <w:r w:rsidRPr="00564DB3">
        <w:rPr>
          <w:szCs w:val="18"/>
        </w:rPr>
        <w:t xml:space="preserve"> The </w:t>
      </w:r>
      <w:r w:rsidR="00083DFC" w:rsidRPr="00564DB3">
        <w:rPr>
          <w:szCs w:val="18"/>
        </w:rPr>
        <w:t>United States</w:t>
      </w:r>
      <w:r w:rsidRPr="00564DB3">
        <w:rPr>
          <w:szCs w:val="18"/>
        </w:rPr>
        <w:t xml:space="preserve"> indicates that it was on the basis of these findings that the Panels "drew conclusions about the risk profile of each tuna fishing method 'as used in </w:t>
      </w:r>
      <w:r w:rsidRPr="00564DB3">
        <w:rPr>
          <w:szCs w:val="18"/>
        </w:rPr>
        <w:lastRenderedPageBreak/>
        <w:t>different areas of the ocean'".</w:t>
      </w:r>
      <w:r w:rsidR="005B1CE4" w:rsidRPr="00564DB3">
        <w:rPr>
          <w:rStyle w:val="FootnoteReference"/>
          <w:szCs w:val="18"/>
        </w:rPr>
        <w:footnoteReference w:id="395"/>
      </w:r>
      <w:r w:rsidRPr="00564DB3">
        <w:rPr>
          <w:szCs w:val="18"/>
        </w:rPr>
        <w:t xml:space="preserve"> </w:t>
      </w:r>
      <w:bookmarkStart w:id="230" w:name="_Ref515007462"/>
      <w:r w:rsidRPr="00564DB3">
        <w:rPr>
          <w:szCs w:val="18"/>
        </w:rPr>
        <w:t xml:space="preserve">The </w:t>
      </w:r>
      <w:r w:rsidR="00083DFC" w:rsidRPr="00564DB3">
        <w:rPr>
          <w:szCs w:val="18"/>
        </w:rPr>
        <w:t>United States</w:t>
      </w:r>
      <w:r w:rsidRPr="00564DB3">
        <w:rPr>
          <w:szCs w:val="18"/>
        </w:rPr>
        <w:t xml:space="preserve"> further argues that Mexico's assertion that certain fisheries are "high risk" is based on Mexico's own definitions of "high risk", as well as certain misstatements of the Panels' analysis of the evidence, and reflects arguments that the Panels rejected.</w:t>
      </w:r>
      <w:bookmarkEnd w:id="228"/>
      <w:bookmarkEnd w:id="229"/>
      <w:bookmarkEnd w:id="230"/>
      <w:r w:rsidR="005B1CE4" w:rsidRPr="00564DB3">
        <w:rPr>
          <w:rStyle w:val="FootnoteReference"/>
          <w:szCs w:val="18"/>
        </w:rPr>
        <w:footnoteReference w:id="396"/>
      </w:r>
    </w:p>
    <w:p w:rsidR="00432E5C" w:rsidRPr="00564DB3" w:rsidRDefault="00432E5C" w:rsidP="00F70E38">
      <w:pPr>
        <w:pStyle w:val="BodyText"/>
        <w:rPr>
          <w:szCs w:val="18"/>
        </w:rPr>
      </w:pPr>
      <w:r w:rsidRPr="00564DB3">
        <w:rPr>
          <w:szCs w:val="18"/>
        </w:rPr>
        <w:t>We recall that</w:t>
      </w:r>
      <w:r w:rsidR="00331D9A" w:rsidRPr="00564DB3">
        <w:rPr>
          <w:szCs w:val="18"/>
        </w:rPr>
        <w:t>,</w:t>
      </w:r>
      <w:r w:rsidRPr="00564DB3">
        <w:rPr>
          <w:szCs w:val="18"/>
        </w:rPr>
        <w:t xml:space="preserve"> </w:t>
      </w:r>
      <w:proofErr w:type="gramStart"/>
      <w:r w:rsidRPr="00564DB3">
        <w:rPr>
          <w:szCs w:val="18"/>
        </w:rPr>
        <w:t>in order to</w:t>
      </w:r>
      <w:proofErr w:type="gramEnd"/>
      <w:r w:rsidRPr="00564DB3">
        <w:rPr>
          <w:szCs w:val="18"/>
        </w:rPr>
        <w:t xml:space="preserve"> properly assess whether the relevant regulatory distinctions under the 2016 Tuna Measure are properly calibrated to the risks to dolphins, the Panels were, </w:t>
      </w:r>
      <w:r w:rsidRPr="00564DB3">
        <w:rPr>
          <w:i/>
          <w:szCs w:val="18"/>
        </w:rPr>
        <w:t>inter alia</w:t>
      </w:r>
      <w:r w:rsidRPr="00564DB3">
        <w:rPr>
          <w:szCs w:val="18"/>
        </w:rPr>
        <w:t>,</w:t>
      </w:r>
      <w:r w:rsidRPr="00564DB3">
        <w:rPr>
          <w:i/>
          <w:szCs w:val="18"/>
        </w:rPr>
        <w:t xml:space="preserve"> </w:t>
      </w:r>
      <w:r w:rsidRPr="00564DB3">
        <w:rPr>
          <w:szCs w:val="18"/>
        </w:rPr>
        <w:t xml:space="preserve">required to compare the risk profile of "setting on dolphins" with the risk profiles of other individual fishing methods. </w:t>
      </w:r>
      <w:proofErr w:type="gramStart"/>
      <w:r w:rsidRPr="00564DB3">
        <w:rPr>
          <w:szCs w:val="18"/>
        </w:rPr>
        <w:t>In order to</w:t>
      </w:r>
      <w:proofErr w:type="gramEnd"/>
      <w:r w:rsidRPr="00564DB3">
        <w:rPr>
          <w:szCs w:val="18"/>
        </w:rPr>
        <w:t xml:space="preserve"> make such a comparison, the Panels were necessarily required</w:t>
      </w:r>
      <w:r w:rsidRPr="00564DB3">
        <w:rPr>
          <w:i/>
          <w:szCs w:val="18"/>
        </w:rPr>
        <w:t xml:space="preserve"> </w:t>
      </w:r>
      <w:r w:rsidRPr="00564DB3">
        <w:rPr>
          <w:szCs w:val="18"/>
        </w:rPr>
        <w:t xml:space="preserve">to establish the risk profiles of different fishing methods. We therefore consider it appropriate for the Panels to have formed a conclusion for each individual fishing method, for the purposes of conducting the calibration analysis. </w:t>
      </w:r>
    </w:p>
    <w:p w:rsidR="00432E5C" w:rsidRPr="00564DB3" w:rsidRDefault="00432E5C" w:rsidP="00F70E38">
      <w:pPr>
        <w:pStyle w:val="BodyText"/>
        <w:rPr>
          <w:szCs w:val="18"/>
        </w:rPr>
      </w:pPr>
      <w:r w:rsidRPr="00564DB3">
        <w:rPr>
          <w:szCs w:val="18"/>
        </w:rPr>
        <w:t>We note, however, that</w:t>
      </w:r>
      <w:r w:rsidR="00331D9A" w:rsidRPr="00564DB3">
        <w:rPr>
          <w:szCs w:val="18"/>
        </w:rPr>
        <w:t>,</w:t>
      </w:r>
      <w:r w:rsidRPr="00564DB3">
        <w:rPr>
          <w:szCs w:val="18"/>
        </w:rPr>
        <w:t xml:space="preserve"> in forming a conclusion on each fishing method, the Panels were required to </w:t>
      </w:r>
      <w:proofErr w:type="gramStart"/>
      <w:r w:rsidRPr="00564DB3">
        <w:rPr>
          <w:szCs w:val="18"/>
        </w:rPr>
        <w:t>take into account</w:t>
      </w:r>
      <w:proofErr w:type="gramEnd"/>
      <w:r w:rsidRPr="00564DB3">
        <w:rPr>
          <w:szCs w:val="18"/>
        </w:rPr>
        <w:t xml:space="preserve"> all evidence provided to the</w:t>
      </w:r>
      <w:r w:rsidR="0015487C" w:rsidRPr="00564DB3">
        <w:rPr>
          <w:szCs w:val="18"/>
        </w:rPr>
        <w:t>m</w:t>
      </w:r>
      <w:r w:rsidRPr="00564DB3">
        <w:rPr>
          <w:szCs w:val="18"/>
        </w:rPr>
        <w:t xml:space="preserve"> </w:t>
      </w:r>
      <w:r w:rsidR="00E175AB" w:rsidRPr="00564DB3">
        <w:rPr>
          <w:szCs w:val="18"/>
        </w:rPr>
        <w:t>with respect to</w:t>
      </w:r>
      <w:r w:rsidRPr="00564DB3">
        <w:rPr>
          <w:szCs w:val="18"/>
        </w:rPr>
        <w:t xml:space="preserve"> each ocean area in which each fishing method is used. Furthermore, it is uncontested that, in the context of assessing whether the certification and tracking and verification requirements are calibrated to the risks to dolphins, the Panels were required to compare the risk profiles of the ETP large purse seine fishery and other individual fisheries.</w:t>
      </w:r>
      <w:r w:rsidR="005B1CE4" w:rsidRPr="00564DB3">
        <w:rPr>
          <w:rStyle w:val="FootnoteReference"/>
          <w:szCs w:val="18"/>
        </w:rPr>
        <w:footnoteReference w:id="397"/>
      </w:r>
      <w:r w:rsidRPr="00564DB3">
        <w:rPr>
          <w:szCs w:val="18"/>
        </w:rPr>
        <w:t xml:space="preserve"> It was therefore incumbent on the Panels to not </w:t>
      </w:r>
      <w:r w:rsidRPr="00564DB3">
        <w:rPr>
          <w:i/>
          <w:szCs w:val="18"/>
        </w:rPr>
        <w:t>only</w:t>
      </w:r>
      <w:r w:rsidRPr="00564DB3">
        <w:rPr>
          <w:szCs w:val="18"/>
        </w:rPr>
        <w:t xml:space="preserve"> draw conclusions on each fishing method as a whole, but also examine the risks to dolphins in each individual fishery. </w:t>
      </w:r>
    </w:p>
    <w:p w:rsidR="00432E5C" w:rsidRPr="00564DB3" w:rsidRDefault="00432E5C" w:rsidP="00F70E38">
      <w:pPr>
        <w:pStyle w:val="BodyText"/>
        <w:rPr>
          <w:szCs w:val="18"/>
        </w:rPr>
      </w:pPr>
      <w:bookmarkStart w:id="231" w:name="_Ref527130035"/>
      <w:r w:rsidRPr="00564DB3">
        <w:rPr>
          <w:szCs w:val="18"/>
        </w:rPr>
        <w:t xml:space="preserve">In this respect, Mexico has not raised any claims under </w:t>
      </w:r>
      <w:r w:rsidR="00083DFC" w:rsidRPr="00564DB3">
        <w:rPr>
          <w:szCs w:val="18"/>
        </w:rPr>
        <w:t>Article </w:t>
      </w:r>
      <w:r w:rsidRPr="00564DB3">
        <w:rPr>
          <w:szCs w:val="18"/>
        </w:rPr>
        <w:t xml:space="preserve">11 of the DSU alleging that the Panels failed to assess any individual fishery for which evidence was placed before them. We also note that the Panels explicitly referred to evidence regarding individual fisheries </w:t>
      </w:r>
      <w:r w:rsidR="00FF1995" w:rsidRPr="00564DB3">
        <w:rPr>
          <w:szCs w:val="18"/>
        </w:rPr>
        <w:t xml:space="preserve">for the purpose of </w:t>
      </w:r>
      <w:r w:rsidRPr="00564DB3">
        <w:rPr>
          <w:szCs w:val="18"/>
        </w:rPr>
        <w:t>examining the relevant fishing methods.</w:t>
      </w:r>
      <w:r w:rsidR="005B1CE4" w:rsidRPr="00564DB3">
        <w:rPr>
          <w:rStyle w:val="FootnoteReference"/>
          <w:szCs w:val="18"/>
        </w:rPr>
        <w:footnoteReference w:id="398"/>
      </w:r>
      <w:r w:rsidRPr="00564DB3">
        <w:rPr>
          <w:szCs w:val="18"/>
        </w:rPr>
        <w:t xml:space="preserve"> Furthermore, certain of the evidence provided to the Panels was of a general nature, such that it pertained to </w:t>
      </w:r>
      <w:r w:rsidRPr="00564DB3">
        <w:rPr>
          <w:i/>
          <w:szCs w:val="18"/>
        </w:rPr>
        <w:t>every</w:t>
      </w:r>
      <w:r w:rsidRPr="00564DB3">
        <w:rPr>
          <w:szCs w:val="18"/>
        </w:rPr>
        <w:t xml:space="preserve"> fishery in which that fishing method was practi</w:t>
      </w:r>
      <w:r w:rsidR="00B73EE5" w:rsidRPr="00564DB3">
        <w:rPr>
          <w:szCs w:val="18"/>
        </w:rPr>
        <w:t>s</w:t>
      </w:r>
      <w:r w:rsidRPr="00564DB3">
        <w:rPr>
          <w:szCs w:val="18"/>
        </w:rPr>
        <w:t>ed.</w:t>
      </w:r>
      <w:r w:rsidR="005B1CE4" w:rsidRPr="00564DB3">
        <w:rPr>
          <w:rStyle w:val="FootnoteReference"/>
          <w:szCs w:val="18"/>
        </w:rPr>
        <w:footnoteReference w:id="399"/>
      </w:r>
      <w:r w:rsidRPr="00564DB3">
        <w:rPr>
          <w:szCs w:val="18"/>
        </w:rPr>
        <w:t xml:space="preserve"> We therefore consider that Mexico has not demonstrated that the Panels failed to examine each individual fishery for which evidence was provided.</w:t>
      </w:r>
      <w:bookmarkEnd w:id="231"/>
      <w:r w:rsidRPr="00564DB3">
        <w:rPr>
          <w:szCs w:val="18"/>
        </w:rPr>
        <w:t xml:space="preserve"> </w:t>
      </w:r>
    </w:p>
    <w:p w:rsidR="00432E5C" w:rsidRPr="00564DB3" w:rsidRDefault="00432E5C" w:rsidP="00F70E38">
      <w:pPr>
        <w:pStyle w:val="BodyText"/>
        <w:rPr>
          <w:szCs w:val="18"/>
        </w:rPr>
      </w:pPr>
      <w:r w:rsidRPr="00564DB3">
        <w:rPr>
          <w:szCs w:val="18"/>
        </w:rPr>
        <w:t>Mexico additionally argues that, in drawing an overall conclusion on the risk profile for each fishing method examined, the Panels effectively averaged or sampled the overall relative risks or levels of harm over all of the fisheries that use that method, and, in doing so, disregarded that there are very high risks to dolphins in certain ocean areas.</w:t>
      </w:r>
      <w:r w:rsidR="005B1CE4" w:rsidRPr="00564DB3">
        <w:rPr>
          <w:rStyle w:val="FootnoteReference"/>
          <w:szCs w:val="18"/>
        </w:rPr>
        <w:footnoteReference w:id="400"/>
      </w:r>
      <w:r w:rsidR="00C42CEB" w:rsidRPr="00564DB3">
        <w:rPr>
          <w:szCs w:val="18"/>
        </w:rPr>
        <w:t xml:space="preserve"> For </w:t>
      </w:r>
      <w:r w:rsidRPr="00564DB3">
        <w:rPr>
          <w:szCs w:val="18"/>
        </w:rPr>
        <w:t xml:space="preserve">example, Mexico contrasts the Panels' finding that "gillnet fisheries, and driftnet fisheries in particular, have caused, in some circumstances and in certain regions, levels of observable harms greater than those caused by setting on dolphins in the ETP" with the Panels' conclusion that "while gillnet fishing may be harmful to dolphins, it does not </w:t>
      </w:r>
      <w:r w:rsidRPr="00564DB3">
        <w:rPr>
          <w:i/>
          <w:szCs w:val="18"/>
        </w:rPr>
        <w:t>necessarily</w:t>
      </w:r>
      <w:r w:rsidRPr="00564DB3">
        <w:rPr>
          <w:szCs w:val="18"/>
        </w:rPr>
        <w:t xml:space="preserve"> cause such harms in every area of the ocean".</w:t>
      </w:r>
      <w:r w:rsidR="005B1CE4" w:rsidRPr="00564DB3">
        <w:rPr>
          <w:rStyle w:val="FootnoteReference"/>
          <w:szCs w:val="18"/>
        </w:rPr>
        <w:footnoteReference w:id="401"/>
      </w:r>
      <w:r w:rsidRPr="00564DB3">
        <w:rPr>
          <w:szCs w:val="18"/>
        </w:rPr>
        <w:t xml:space="preserve"> </w:t>
      </w:r>
    </w:p>
    <w:p w:rsidR="00432E5C" w:rsidRPr="00564DB3" w:rsidRDefault="00432E5C" w:rsidP="00F70E38">
      <w:pPr>
        <w:pStyle w:val="BodyText"/>
        <w:rPr>
          <w:szCs w:val="18"/>
        </w:rPr>
      </w:pPr>
      <w:bookmarkStart w:id="232" w:name="_Ref528172821"/>
      <w:r w:rsidRPr="00564DB3">
        <w:rPr>
          <w:szCs w:val="18"/>
        </w:rPr>
        <w:t xml:space="preserve">We do not see a contradiction between a finding that a </w:t>
      </w:r>
      <w:proofErr w:type="gramStart"/>
      <w:r w:rsidRPr="00564DB3">
        <w:rPr>
          <w:szCs w:val="18"/>
        </w:rPr>
        <w:t>particular fishing</w:t>
      </w:r>
      <w:proofErr w:type="gramEnd"/>
      <w:r w:rsidRPr="00564DB3">
        <w:rPr>
          <w:szCs w:val="18"/>
        </w:rPr>
        <w:t xml:space="preserve"> method poses high risks in </w:t>
      </w:r>
      <w:r w:rsidRPr="00564DB3">
        <w:rPr>
          <w:i/>
          <w:szCs w:val="18"/>
        </w:rPr>
        <w:t>some</w:t>
      </w:r>
      <w:r w:rsidRPr="00564DB3">
        <w:rPr>
          <w:szCs w:val="18"/>
        </w:rPr>
        <w:t xml:space="preserve"> fisheries</w:t>
      </w:r>
      <w:r w:rsidR="000326AC" w:rsidRPr="00564DB3">
        <w:rPr>
          <w:szCs w:val="18"/>
        </w:rPr>
        <w:t>,</w:t>
      </w:r>
      <w:r w:rsidRPr="00564DB3">
        <w:rPr>
          <w:szCs w:val="18"/>
        </w:rPr>
        <w:t xml:space="preserve"> but not others, and a conclusion that the fishing method as a whole has a lower risk profile than the method of setting on dolphins. We recall that, according to the Panels, setting on dolphins poses a high risk to dolphins in </w:t>
      </w:r>
      <w:r w:rsidRPr="00564DB3">
        <w:rPr>
          <w:i/>
          <w:szCs w:val="18"/>
        </w:rPr>
        <w:t xml:space="preserve">all </w:t>
      </w:r>
      <w:r w:rsidRPr="00564DB3">
        <w:rPr>
          <w:szCs w:val="18"/>
        </w:rPr>
        <w:t>fisheries for which evidence was provided to the Panels</w:t>
      </w:r>
      <w:r w:rsidR="00FB2E15" w:rsidRPr="00564DB3">
        <w:rPr>
          <w:rStyle w:val="FootnoteReference"/>
          <w:szCs w:val="18"/>
        </w:rPr>
        <w:footnoteReference w:id="402"/>
      </w:r>
      <w:r w:rsidRPr="00564DB3">
        <w:rPr>
          <w:szCs w:val="18"/>
        </w:rPr>
        <w:t>, whereas</w:t>
      </w:r>
      <w:r w:rsidR="00331D9A" w:rsidRPr="00564DB3">
        <w:rPr>
          <w:szCs w:val="18"/>
        </w:rPr>
        <w:t>,</w:t>
      </w:r>
      <w:r w:rsidRPr="00564DB3">
        <w:rPr>
          <w:szCs w:val="18"/>
        </w:rPr>
        <w:t xml:space="preserve"> for gillnet fishing, the Panels found that "gillnet fishing causes considerable </w:t>
      </w:r>
      <w:r w:rsidRPr="00564DB3">
        <w:rPr>
          <w:szCs w:val="18"/>
        </w:rPr>
        <w:lastRenderedPageBreak/>
        <w:t>observable harms to dolphins in different areas of the ocean"</w:t>
      </w:r>
      <w:r w:rsidR="00FA4F80" w:rsidRPr="00564DB3">
        <w:rPr>
          <w:rStyle w:val="FootnoteReference"/>
          <w:szCs w:val="18"/>
        </w:rPr>
        <w:footnoteReference w:id="403"/>
      </w:r>
      <w:r w:rsidRPr="00564DB3">
        <w:rPr>
          <w:szCs w:val="18"/>
        </w:rPr>
        <w:t xml:space="preserve"> but also that "there are other areas where this particular method does not cause such harms</w:t>
      </w:r>
      <w:r w:rsidR="000326AC" w:rsidRPr="00564DB3">
        <w:rPr>
          <w:szCs w:val="18"/>
        </w:rPr>
        <w:t>.</w:t>
      </w:r>
      <w:r w:rsidRPr="00564DB3">
        <w:rPr>
          <w:szCs w:val="18"/>
        </w:rPr>
        <w:t>"</w:t>
      </w:r>
      <w:r w:rsidR="005B1CE4" w:rsidRPr="00564DB3">
        <w:rPr>
          <w:rStyle w:val="FootnoteReference"/>
          <w:szCs w:val="18"/>
        </w:rPr>
        <w:footnoteReference w:id="404"/>
      </w:r>
      <w:r w:rsidRPr="00564DB3">
        <w:rPr>
          <w:szCs w:val="18"/>
        </w:rPr>
        <w:t xml:space="preserve"> Furthermore, we do not consider that</w:t>
      </w:r>
      <w:r w:rsidR="00F9353C" w:rsidRPr="00564DB3">
        <w:rPr>
          <w:szCs w:val="18"/>
        </w:rPr>
        <w:t>,</w:t>
      </w:r>
      <w:r w:rsidRPr="00564DB3">
        <w:rPr>
          <w:szCs w:val="18"/>
        </w:rPr>
        <w:t xml:space="preserve"> merely by forming conclusions on each fishing method as a whole</w:t>
      </w:r>
      <w:r w:rsidR="00331D9A" w:rsidRPr="00564DB3">
        <w:rPr>
          <w:szCs w:val="18"/>
        </w:rPr>
        <w:t>,</w:t>
      </w:r>
      <w:r w:rsidRPr="00564DB3">
        <w:rPr>
          <w:szCs w:val="18"/>
        </w:rPr>
        <w:t xml:space="preserve"> the Panels necessarily conflated the risk profiles of individual fishing </w:t>
      </w:r>
      <w:r w:rsidRPr="00564DB3">
        <w:rPr>
          <w:i/>
          <w:szCs w:val="18"/>
        </w:rPr>
        <w:t xml:space="preserve">methods </w:t>
      </w:r>
      <w:r w:rsidRPr="00564DB3">
        <w:rPr>
          <w:szCs w:val="18"/>
        </w:rPr>
        <w:t xml:space="preserve">with the risk profiles of individual </w:t>
      </w:r>
      <w:r w:rsidRPr="00564DB3">
        <w:rPr>
          <w:i/>
          <w:szCs w:val="18"/>
        </w:rPr>
        <w:t>fisheries</w:t>
      </w:r>
      <w:r w:rsidRPr="00564DB3">
        <w:rPr>
          <w:szCs w:val="18"/>
        </w:rPr>
        <w:t xml:space="preserve">. </w:t>
      </w:r>
      <w:proofErr w:type="gramStart"/>
      <w:r w:rsidRPr="00564DB3">
        <w:rPr>
          <w:szCs w:val="18"/>
        </w:rPr>
        <w:t>In light of</w:t>
      </w:r>
      <w:proofErr w:type="gramEnd"/>
      <w:r w:rsidRPr="00564DB3">
        <w:rPr>
          <w:szCs w:val="18"/>
        </w:rPr>
        <w:t xml:space="preserve"> the different sets of distinctions drawn under the measure, the Panels were required to compare the risk profiles of fishing methods in the context of assessing the eligibility criteria, and to compare the risk profiles of individual fisheries when assessing the certification and tracking and verification requirements. The Panels were therefore obliged to form conclusions on the risk profiles of different fishing methods, in the process of which the Panels were also required to look at the evidence of risks to dolphins in individual ocean areas. In our view, the fact that the Panels made conclusions on fishing methods in assessing the eligibility criteria does not indicate that they inappropriately applied the calibration analysis to the certification and tracking and verification requirements.</w:t>
      </w:r>
      <w:bookmarkEnd w:id="232"/>
      <w:r w:rsidRPr="00564DB3">
        <w:rPr>
          <w:szCs w:val="18"/>
        </w:rPr>
        <w:t xml:space="preserve"> </w:t>
      </w:r>
    </w:p>
    <w:p w:rsidR="00432E5C" w:rsidRPr="00564DB3" w:rsidRDefault="00432E5C" w:rsidP="00F70E38">
      <w:pPr>
        <w:pStyle w:val="BodyText"/>
        <w:rPr>
          <w:szCs w:val="18"/>
        </w:rPr>
      </w:pPr>
      <w:r w:rsidRPr="00564DB3">
        <w:rPr>
          <w:szCs w:val="18"/>
        </w:rPr>
        <w:t xml:space="preserve">In any event, to the extent that Mexico considers that the </w:t>
      </w:r>
      <w:r w:rsidR="000326AC" w:rsidRPr="00564DB3">
        <w:rPr>
          <w:szCs w:val="18"/>
        </w:rPr>
        <w:t xml:space="preserve">Panels' </w:t>
      </w:r>
      <w:r w:rsidRPr="00564DB3">
        <w:rPr>
          <w:szCs w:val="18"/>
        </w:rPr>
        <w:t xml:space="preserve">conclusions on each individual fishing method were flawed, because the Panels incorrectly weighed and balanced the risk profiles of each individual </w:t>
      </w:r>
      <w:r w:rsidRPr="00564DB3">
        <w:rPr>
          <w:i/>
          <w:szCs w:val="18"/>
        </w:rPr>
        <w:t>fishery</w:t>
      </w:r>
      <w:r w:rsidRPr="00564DB3">
        <w:rPr>
          <w:szCs w:val="18"/>
        </w:rPr>
        <w:t xml:space="preserve"> in drawing generalized conclusions on each </w:t>
      </w:r>
      <w:r w:rsidRPr="00564DB3">
        <w:rPr>
          <w:i/>
          <w:szCs w:val="18"/>
        </w:rPr>
        <w:t>fishing method</w:t>
      </w:r>
      <w:r w:rsidRPr="00564DB3">
        <w:rPr>
          <w:szCs w:val="18"/>
        </w:rPr>
        <w:t xml:space="preserve"> as a whole, we consider that such a question relates to the Panels' appreciation of the evidence and the facts, rather than the Panels' application of the legal standard under </w:t>
      </w:r>
      <w:r w:rsidR="00083DFC" w:rsidRPr="00564DB3">
        <w:rPr>
          <w:szCs w:val="18"/>
        </w:rPr>
        <w:t>Article </w:t>
      </w:r>
      <w:r w:rsidRPr="00564DB3">
        <w:rPr>
          <w:szCs w:val="18"/>
        </w:rPr>
        <w:t>2.1</w:t>
      </w:r>
      <w:r w:rsidR="00377F77" w:rsidRPr="00564DB3">
        <w:rPr>
          <w:szCs w:val="18"/>
        </w:rPr>
        <w:t xml:space="preserve"> of the TBT </w:t>
      </w:r>
      <w:r w:rsidR="006C5D49" w:rsidRPr="00564DB3">
        <w:rPr>
          <w:szCs w:val="18"/>
        </w:rPr>
        <w:t>Agreement</w:t>
      </w:r>
      <w:r w:rsidRPr="00564DB3">
        <w:rPr>
          <w:szCs w:val="18"/>
        </w:rPr>
        <w:t xml:space="preserve">. However, Mexico has not challenged the Panels' appreciation of the evidence under </w:t>
      </w:r>
      <w:r w:rsidR="00083DFC" w:rsidRPr="00564DB3">
        <w:rPr>
          <w:szCs w:val="18"/>
        </w:rPr>
        <w:t>Article </w:t>
      </w:r>
      <w:r w:rsidRPr="00564DB3">
        <w:rPr>
          <w:szCs w:val="18"/>
        </w:rPr>
        <w:t xml:space="preserve">11 of the DSU. Consequently, we do not consider it necessary or appropriate to review whether the Panels' conclusions on each fishing method were justified </w:t>
      </w:r>
      <w:proofErr w:type="gramStart"/>
      <w:r w:rsidRPr="00564DB3">
        <w:rPr>
          <w:szCs w:val="18"/>
        </w:rPr>
        <w:t>on the basis of</w:t>
      </w:r>
      <w:proofErr w:type="gramEnd"/>
      <w:r w:rsidRPr="00564DB3">
        <w:rPr>
          <w:szCs w:val="18"/>
        </w:rPr>
        <w:t xml:space="preserve"> the evidence placed before them.</w:t>
      </w:r>
      <w:bookmarkStart w:id="233" w:name="_Ref530668269"/>
      <w:r w:rsidR="005B1CE4" w:rsidRPr="00564DB3">
        <w:rPr>
          <w:rStyle w:val="FootnoteReference"/>
          <w:szCs w:val="18"/>
        </w:rPr>
        <w:footnoteReference w:id="405"/>
      </w:r>
      <w:bookmarkEnd w:id="233"/>
      <w:r w:rsidRPr="00564DB3">
        <w:rPr>
          <w:szCs w:val="18"/>
        </w:rPr>
        <w:t xml:space="preserve"> </w:t>
      </w:r>
    </w:p>
    <w:p w:rsidR="00432E5C" w:rsidRPr="00564DB3" w:rsidRDefault="00432E5C" w:rsidP="00F70E38">
      <w:pPr>
        <w:pStyle w:val="BodyText"/>
        <w:rPr>
          <w:szCs w:val="18"/>
        </w:rPr>
      </w:pPr>
      <w:bookmarkStart w:id="234" w:name="_Ref528172489"/>
      <w:r w:rsidRPr="00564DB3">
        <w:rPr>
          <w:szCs w:val="18"/>
        </w:rPr>
        <w:t>It therefore suffices for our purposes to note that the Panels assessed each individual fishery for which evidence was given to them, and, on the basis of th</w:t>
      </w:r>
      <w:r w:rsidR="006C5D49" w:rsidRPr="00564DB3">
        <w:rPr>
          <w:szCs w:val="18"/>
        </w:rPr>
        <w:t>ese</w:t>
      </w:r>
      <w:r w:rsidRPr="00564DB3">
        <w:rPr>
          <w:szCs w:val="18"/>
        </w:rPr>
        <w:t xml:space="preserve"> assessment</w:t>
      </w:r>
      <w:r w:rsidR="006C5D49" w:rsidRPr="00564DB3">
        <w:rPr>
          <w:szCs w:val="18"/>
        </w:rPr>
        <w:t>s</w:t>
      </w:r>
      <w:r w:rsidRPr="00564DB3">
        <w:rPr>
          <w:szCs w:val="18"/>
        </w:rPr>
        <w:t>, drew conclusions on the risk profile of different fishing methods.</w:t>
      </w:r>
      <w:bookmarkStart w:id="235" w:name="_Ref529196921"/>
      <w:r w:rsidR="005B1CE4" w:rsidRPr="00564DB3">
        <w:rPr>
          <w:rStyle w:val="FootnoteReference"/>
          <w:szCs w:val="18"/>
        </w:rPr>
        <w:footnoteReference w:id="406"/>
      </w:r>
      <w:bookmarkEnd w:id="235"/>
      <w:r w:rsidRPr="00564DB3">
        <w:rPr>
          <w:szCs w:val="18"/>
        </w:rPr>
        <w:t xml:space="preserve"> We therefore do not consider that Mexico has demonstrated that the Panels failed to assess the risk profiles of individual fisheries or that the Panels erred in drawing conclusions on the risk profile of each fishing method on the basis of their examination of the evidence before them (including evidence pertaining to each individual fishery).</w:t>
      </w:r>
      <w:bookmarkEnd w:id="234"/>
      <w:r w:rsidRPr="00564DB3">
        <w:rPr>
          <w:szCs w:val="18"/>
        </w:rPr>
        <w:t xml:space="preserve"> </w:t>
      </w:r>
    </w:p>
    <w:p w:rsidR="00432E5C" w:rsidRPr="00564DB3" w:rsidRDefault="00432E5C" w:rsidP="00F70E38">
      <w:pPr>
        <w:pStyle w:val="Heading4"/>
        <w:rPr>
          <w:szCs w:val="18"/>
        </w:rPr>
      </w:pPr>
      <w:bookmarkStart w:id="236" w:name="_Toc522540646"/>
      <w:bookmarkStart w:id="237" w:name="_Toc526162682"/>
      <w:bookmarkStart w:id="238" w:name="_Toc528506764"/>
      <w:bookmarkStart w:id="239" w:name="_Toc528506929"/>
      <w:bookmarkStart w:id="240" w:name="_Ref529185864"/>
      <w:bookmarkStart w:id="241" w:name="_Toc531967481"/>
      <w:r w:rsidRPr="00564DB3">
        <w:rPr>
          <w:szCs w:val="18"/>
        </w:rPr>
        <w:t>Whether the Panels erred by using the risk profile of setting on dolphins in the ETP as a benchmark</w:t>
      </w:r>
      <w:bookmarkEnd w:id="236"/>
      <w:bookmarkEnd w:id="237"/>
      <w:bookmarkEnd w:id="238"/>
      <w:bookmarkEnd w:id="239"/>
      <w:bookmarkEnd w:id="240"/>
      <w:bookmarkEnd w:id="241"/>
    </w:p>
    <w:p w:rsidR="00432E5C" w:rsidRPr="00564DB3" w:rsidRDefault="00432E5C" w:rsidP="00F70E38">
      <w:pPr>
        <w:pStyle w:val="BodyText"/>
        <w:rPr>
          <w:szCs w:val="18"/>
        </w:rPr>
      </w:pPr>
      <w:bookmarkStart w:id="242" w:name="_Ref529185833"/>
      <w:r w:rsidRPr="00564DB3">
        <w:rPr>
          <w:szCs w:val="18"/>
        </w:rPr>
        <w:t>We turn now to Mexico's argument that the Panels erred by using the risk profile of setting on dolphins in the ETP as a benchmark – re</w:t>
      </w:r>
      <w:r w:rsidR="00C42CEB" w:rsidRPr="00564DB3">
        <w:rPr>
          <w:szCs w:val="18"/>
        </w:rPr>
        <w:t>ferred to by Mexico as the "ETP </w:t>
      </w:r>
      <w:r w:rsidRPr="00564DB3">
        <w:rPr>
          <w:szCs w:val="18"/>
        </w:rPr>
        <w:t>benchmark"</w:t>
      </w:r>
      <w:r w:rsidR="005B1CE4" w:rsidRPr="00564DB3">
        <w:rPr>
          <w:rStyle w:val="FootnoteReference"/>
          <w:szCs w:val="18"/>
        </w:rPr>
        <w:footnoteReference w:id="407"/>
      </w:r>
      <w:r w:rsidRPr="00564DB3">
        <w:rPr>
          <w:szCs w:val="18"/>
        </w:rPr>
        <w:t xml:space="preserve"> – for assessing the risk profiles of other fisheries. Mexico asserts that a "benchmark cannot be used to objectively assess the circumstances that constitute the benchmark itself".</w:t>
      </w:r>
      <w:r w:rsidR="005B1CE4" w:rsidRPr="00564DB3">
        <w:rPr>
          <w:rStyle w:val="FootnoteReference"/>
          <w:szCs w:val="18"/>
        </w:rPr>
        <w:footnoteReference w:id="408"/>
      </w:r>
      <w:r w:rsidRPr="00564DB3">
        <w:rPr>
          <w:szCs w:val="18"/>
        </w:rPr>
        <w:t xml:space="preserve"> Rather, Mexico asserts that the Panels should have relied on an "independent and objective standard or point of reference against which the overall relative risks or levels of harm arising from each" fishery could be assessed.</w:t>
      </w:r>
      <w:r w:rsidR="005B1CE4" w:rsidRPr="00564DB3">
        <w:rPr>
          <w:rStyle w:val="FootnoteReference"/>
          <w:szCs w:val="18"/>
        </w:rPr>
        <w:footnoteReference w:id="409"/>
      </w:r>
      <w:r w:rsidRPr="00564DB3">
        <w:rPr>
          <w:szCs w:val="18"/>
        </w:rPr>
        <w:t xml:space="preserve"> Mexico also argues that the Panels erred by distinguishing setting on dolphins in the ETP from other fisheries, because the "mere fact that the risk profiles of other [fisheries] </w:t>
      </w:r>
      <w:r w:rsidR="000326AC" w:rsidRPr="00564DB3">
        <w:rPr>
          <w:szCs w:val="18"/>
        </w:rPr>
        <w:t xml:space="preserve">… </w:t>
      </w:r>
      <w:r w:rsidRPr="00564DB3">
        <w:rPr>
          <w:szCs w:val="18"/>
        </w:rPr>
        <w:t>may be different from or comparatively lower than the risk profile of [setting on dolphins] in the ETP does not mean that the regulatory distinctions are 'calibrated' to the different overall relative risks or levels of harm arising from different [fisheries]".</w:t>
      </w:r>
      <w:r w:rsidR="005B1CE4" w:rsidRPr="00564DB3">
        <w:rPr>
          <w:rStyle w:val="FootnoteReference"/>
          <w:szCs w:val="18"/>
        </w:rPr>
        <w:footnoteReference w:id="410"/>
      </w:r>
      <w:r w:rsidRPr="00564DB3">
        <w:rPr>
          <w:szCs w:val="18"/>
        </w:rPr>
        <w:t xml:space="preserve"> Mexico further submits that the Panels' reliance on the "ETP benchmark" for comparing the risk profiles of other fisheries resulted in the Panels focusing their analysis on "qualitative attributes that are unique" to the ETP setting</w:t>
      </w:r>
      <w:r w:rsidR="00832630" w:rsidRPr="00564DB3">
        <w:rPr>
          <w:szCs w:val="18"/>
        </w:rPr>
        <w:t>-</w:t>
      </w:r>
      <w:r w:rsidRPr="00564DB3">
        <w:rPr>
          <w:szCs w:val="18"/>
        </w:rPr>
        <w:t>on</w:t>
      </w:r>
      <w:r w:rsidR="00832630" w:rsidRPr="00564DB3">
        <w:rPr>
          <w:szCs w:val="18"/>
        </w:rPr>
        <w:t>-</w:t>
      </w:r>
      <w:r w:rsidRPr="00564DB3">
        <w:rPr>
          <w:szCs w:val="18"/>
        </w:rPr>
        <w:t>dolphins fishery.</w:t>
      </w:r>
      <w:r w:rsidR="005B1CE4" w:rsidRPr="00564DB3">
        <w:rPr>
          <w:rStyle w:val="FootnoteReference"/>
          <w:szCs w:val="18"/>
        </w:rPr>
        <w:footnoteReference w:id="411"/>
      </w:r>
      <w:r w:rsidRPr="00564DB3">
        <w:rPr>
          <w:szCs w:val="18"/>
        </w:rPr>
        <w:t xml:space="preserve"> Mexico refers to the Panels' findings on unobservable harms </w:t>
      </w:r>
      <w:r w:rsidR="00E175AB" w:rsidRPr="00564DB3">
        <w:rPr>
          <w:szCs w:val="18"/>
        </w:rPr>
        <w:t>with respect to</w:t>
      </w:r>
      <w:r w:rsidRPr="00564DB3">
        <w:rPr>
          <w:szCs w:val="18"/>
        </w:rPr>
        <w:t xml:space="preserve"> "alleged stress effects on dolphins in the ETP"</w:t>
      </w:r>
      <w:r w:rsidR="00302093" w:rsidRPr="00564DB3">
        <w:rPr>
          <w:rStyle w:val="FootnoteReference"/>
          <w:szCs w:val="18"/>
        </w:rPr>
        <w:footnoteReference w:id="412"/>
      </w:r>
      <w:r w:rsidR="00DC1704" w:rsidRPr="00564DB3">
        <w:rPr>
          <w:szCs w:val="18"/>
        </w:rPr>
        <w:t xml:space="preserve">, </w:t>
      </w:r>
      <w:r w:rsidRPr="00564DB3">
        <w:rPr>
          <w:szCs w:val="18"/>
        </w:rPr>
        <w:t xml:space="preserve">and considers that the Panels' emphasis on this kind of </w:t>
      </w:r>
      <w:r w:rsidRPr="00564DB3">
        <w:rPr>
          <w:szCs w:val="18"/>
        </w:rPr>
        <w:lastRenderedPageBreak/>
        <w:t>unobservable harm caused the Panels "to disregard the Appellate Body's direction to take into account the overall effects of each fishing method".</w:t>
      </w:r>
      <w:r w:rsidR="005B1CE4" w:rsidRPr="00564DB3">
        <w:rPr>
          <w:rStyle w:val="FootnoteReference"/>
          <w:szCs w:val="18"/>
        </w:rPr>
        <w:footnoteReference w:id="413"/>
      </w:r>
      <w:bookmarkEnd w:id="242"/>
    </w:p>
    <w:p w:rsidR="00432E5C" w:rsidRPr="00564DB3" w:rsidRDefault="00432E5C" w:rsidP="00F70E38">
      <w:pPr>
        <w:pStyle w:val="BodyText"/>
        <w:rPr>
          <w:szCs w:val="18"/>
        </w:rPr>
      </w:pPr>
      <w:r w:rsidRPr="00564DB3">
        <w:rPr>
          <w:szCs w:val="18"/>
        </w:rPr>
        <w:t xml:space="preserve">The </w:t>
      </w:r>
      <w:r w:rsidR="00083DFC" w:rsidRPr="00564DB3">
        <w:rPr>
          <w:szCs w:val="18"/>
        </w:rPr>
        <w:t>United States</w:t>
      </w:r>
      <w:r w:rsidRPr="00564DB3">
        <w:rPr>
          <w:szCs w:val="18"/>
        </w:rPr>
        <w:t xml:space="preserve"> argues that the Panels' approach was fully in line with the calibration analysis as set forth by the Appellate Body in previous proceedings.</w:t>
      </w:r>
      <w:r w:rsidR="005B1CE4" w:rsidRPr="00564DB3">
        <w:rPr>
          <w:rStyle w:val="FootnoteReference"/>
          <w:szCs w:val="18"/>
        </w:rPr>
        <w:footnoteReference w:id="414"/>
      </w:r>
      <w:r w:rsidRPr="00564DB3">
        <w:rPr>
          <w:szCs w:val="18"/>
        </w:rPr>
        <w:t xml:space="preserve"> The </w:t>
      </w:r>
      <w:r w:rsidR="00083DFC" w:rsidRPr="00564DB3">
        <w:rPr>
          <w:szCs w:val="18"/>
        </w:rPr>
        <w:t>United States</w:t>
      </w:r>
      <w:r w:rsidRPr="00564DB3">
        <w:rPr>
          <w:szCs w:val="18"/>
        </w:rPr>
        <w:t xml:space="preserve"> notes that Mexico itself has consistently argued that "the ETP large purse </w:t>
      </w:r>
      <w:r w:rsidR="0060024D" w:rsidRPr="00564DB3">
        <w:rPr>
          <w:szCs w:val="18"/>
        </w:rPr>
        <w:t xml:space="preserve">[seine] </w:t>
      </w:r>
      <w:r w:rsidRPr="00564DB3">
        <w:rPr>
          <w:szCs w:val="18"/>
        </w:rPr>
        <w:t>fishery is a proper comparator to determine whether the regulatory distinctions are even</w:t>
      </w:r>
      <w:r w:rsidRPr="00564DB3">
        <w:rPr>
          <w:szCs w:val="18"/>
        </w:rPr>
        <w:noBreakHyphen/>
        <w:t>handed, both in the previous compliance proceeding and before the Panels."</w:t>
      </w:r>
      <w:r w:rsidR="005B1CE4" w:rsidRPr="00564DB3">
        <w:rPr>
          <w:rStyle w:val="FootnoteReference"/>
          <w:szCs w:val="18"/>
        </w:rPr>
        <w:footnoteReference w:id="415"/>
      </w:r>
      <w:r w:rsidRPr="00564DB3">
        <w:rPr>
          <w:szCs w:val="18"/>
        </w:rPr>
        <w:t xml:space="preserve"> As </w:t>
      </w:r>
      <w:r w:rsidR="00331D9A" w:rsidRPr="00564DB3">
        <w:rPr>
          <w:szCs w:val="18"/>
        </w:rPr>
        <w:t>for</w:t>
      </w:r>
      <w:r w:rsidRPr="00564DB3">
        <w:rPr>
          <w:szCs w:val="18"/>
        </w:rPr>
        <w:t xml:space="preserve"> Mexico's arguments regarding different types of harm, the </w:t>
      </w:r>
      <w:r w:rsidR="00083DFC" w:rsidRPr="00564DB3">
        <w:rPr>
          <w:szCs w:val="18"/>
        </w:rPr>
        <w:t>United States</w:t>
      </w:r>
      <w:r w:rsidRPr="00564DB3">
        <w:rPr>
          <w:szCs w:val="18"/>
        </w:rPr>
        <w:t xml:space="preserve"> considers that the Panels did take into account all evidence related to any kinds of unobservable harms, including those identified by Mexico.</w:t>
      </w:r>
      <w:r w:rsidR="005B1CE4" w:rsidRPr="00564DB3">
        <w:rPr>
          <w:rStyle w:val="FootnoteReference"/>
          <w:szCs w:val="18"/>
        </w:rPr>
        <w:footnoteReference w:id="416"/>
      </w:r>
      <w:r w:rsidRPr="00564DB3">
        <w:rPr>
          <w:szCs w:val="18"/>
        </w:rPr>
        <w:t xml:space="preserve"> According to the </w:t>
      </w:r>
      <w:r w:rsidR="00083DFC" w:rsidRPr="00564DB3">
        <w:rPr>
          <w:szCs w:val="18"/>
        </w:rPr>
        <w:t>United States</w:t>
      </w:r>
      <w:r w:rsidRPr="00564DB3">
        <w:rPr>
          <w:szCs w:val="18"/>
        </w:rPr>
        <w:t>, "the Panels found that, while some evidence suggested that 'ghost fishing linked to gillnets poses some risks to dolphins, … its extent is unclear' … [and] 'the absolute numbers of marine mammals involved are relatively small'</w:t>
      </w:r>
      <w:r w:rsidR="0060024D" w:rsidRPr="00564DB3">
        <w:rPr>
          <w:szCs w:val="18"/>
        </w:rPr>
        <w:t>.</w:t>
      </w:r>
      <w:r w:rsidRPr="00564DB3">
        <w:rPr>
          <w:szCs w:val="18"/>
        </w:rPr>
        <w:t>"</w:t>
      </w:r>
      <w:r w:rsidR="005B1CE4" w:rsidRPr="00564DB3">
        <w:rPr>
          <w:rStyle w:val="FootnoteReference"/>
          <w:szCs w:val="18"/>
        </w:rPr>
        <w:footnoteReference w:id="417"/>
      </w:r>
    </w:p>
    <w:p w:rsidR="00432E5C" w:rsidRPr="00564DB3" w:rsidRDefault="00432E5C" w:rsidP="00F70E38">
      <w:pPr>
        <w:pStyle w:val="BodyText"/>
        <w:rPr>
          <w:szCs w:val="18"/>
        </w:rPr>
      </w:pPr>
      <w:r w:rsidRPr="00564DB3">
        <w:rPr>
          <w:szCs w:val="18"/>
        </w:rPr>
        <w:t xml:space="preserve">As </w:t>
      </w:r>
      <w:r w:rsidRPr="00E378F4">
        <w:rPr>
          <w:szCs w:val="18"/>
        </w:rPr>
        <w:t>discussed in paragraphs</w:t>
      </w:r>
      <w:r w:rsidR="00E378F4" w:rsidRPr="00E378F4">
        <w:rPr>
          <w:szCs w:val="18"/>
        </w:rPr>
        <w:t xml:space="preserve"> 6.72-6.73</w:t>
      </w:r>
      <w:r w:rsidR="00361570" w:rsidRPr="00E378F4">
        <w:rPr>
          <w:szCs w:val="18"/>
        </w:rPr>
        <w:t xml:space="preserve"> </w:t>
      </w:r>
      <w:r w:rsidRPr="00E378F4">
        <w:rPr>
          <w:szCs w:val="18"/>
        </w:rPr>
        <w:t>above</w:t>
      </w:r>
      <w:r w:rsidRPr="00564DB3">
        <w:rPr>
          <w:szCs w:val="18"/>
        </w:rPr>
        <w:t xml:space="preserve">, </w:t>
      </w:r>
      <w:proofErr w:type="gramStart"/>
      <w:r w:rsidRPr="00564DB3">
        <w:rPr>
          <w:szCs w:val="18"/>
        </w:rPr>
        <w:t>in order to</w:t>
      </w:r>
      <w:proofErr w:type="gramEnd"/>
      <w:r w:rsidRPr="00564DB3">
        <w:rPr>
          <w:szCs w:val="18"/>
        </w:rPr>
        <w:t xml:space="preserve"> be consistent with </w:t>
      </w:r>
      <w:r w:rsidR="00083DFC" w:rsidRPr="00564DB3">
        <w:rPr>
          <w:szCs w:val="18"/>
        </w:rPr>
        <w:t>Article </w:t>
      </w:r>
      <w:r w:rsidRPr="00564DB3">
        <w:rPr>
          <w:szCs w:val="18"/>
        </w:rPr>
        <w:t>2.1</w:t>
      </w:r>
      <w:r w:rsidR="00331D9A" w:rsidRPr="00564DB3">
        <w:rPr>
          <w:szCs w:val="18"/>
        </w:rPr>
        <w:t xml:space="preserve"> of the TBT Agreement</w:t>
      </w:r>
      <w:r w:rsidRPr="00564DB3">
        <w:rPr>
          <w:szCs w:val="18"/>
        </w:rPr>
        <w:t>, it is the regulatory distinctions causing the de</w:t>
      </w:r>
      <w:r w:rsidR="00AA22DA" w:rsidRPr="00564DB3">
        <w:rPr>
          <w:szCs w:val="18"/>
        </w:rPr>
        <w:t>trimental impact under the 2016 </w:t>
      </w:r>
      <w:r w:rsidRPr="00564DB3">
        <w:rPr>
          <w:szCs w:val="18"/>
        </w:rPr>
        <w:t>Tuna Measure that must be calibrated to different risks to dolphins. Thus, a proper calibration analysis in this dispute does not mean that the Panels were requi</w:t>
      </w:r>
      <w:r w:rsidR="00377F77" w:rsidRPr="00564DB3">
        <w:rPr>
          <w:szCs w:val="18"/>
        </w:rPr>
        <w:t>red to examine whether the 2016 </w:t>
      </w:r>
      <w:r w:rsidRPr="00564DB3">
        <w:rPr>
          <w:szCs w:val="18"/>
        </w:rPr>
        <w:t>Tuna Measure makes all relevant regulatory distinctions on a fishery-by-fishery basis.</w:t>
      </w:r>
      <w:r w:rsidR="005B1CE4" w:rsidRPr="00564DB3">
        <w:rPr>
          <w:rStyle w:val="FootnoteReference"/>
          <w:szCs w:val="18"/>
        </w:rPr>
        <w:footnoteReference w:id="418"/>
      </w:r>
      <w:r w:rsidRPr="00564DB3">
        <w:rPr>
          <w:szCs w:val="18"/>
        </w:rPr>
        <w:t xml:space="preserve"> We have also noted that, in light of the relevant distinctions made under the measure at issue, the Panels </w:t>
      </w:r>
      <w:r w:rsidR="00F9353C" w:rsidRPr="00564DB3">
        <w:rPr>
          <w:szCs w:val="18"/>
        </w:rPr>
        <w:t xml:space="preserve">were correct </w:t>
      </w:r>
      <w:r w:rsidRPr="00564DB3">
        <w:rPr>
          <w:szCs w:val="18"/>
        </w:rPr>
        <w:t xml:space="preserve">to have compared the risk profile of purse seine fishing by setting on dolphins with the risk profiles of other fishing methods </w:t>
      </w:r>
      <w:r w:rsidR="00FF1995" w:rsidRPr="00564DB3">
        <w:rPr>
          <w:szCs w:val="18"/>
        </w:rPr>
        <w:t xml:space="preserve">for the purpose of </w:t>
      </w:r>
      <w:r w:rsidRPr="00564DB3">
        <w:rPr>
          <w:szCs w:val="18"/>
        </w:rPr>
        <w:t xml:space="preserve">examining the eligibility criteria, and </w:t>
      </w:r>
      <w:r w:rsidR="0060024D" w:rsidRPr="00564DB3">
        <w:rPr>
          <w:szCs w:val="18"/>
        </w:rPr>
        <w:t xml:space="preserve">to have </w:t>
      </w:r>
      <w:r w:rsidRPr="00564DB3">
        <w:rPr>
          <w:szCs w:val="18"/>
        </w:rPr>
        <w:t xml:space="preserve">compared the risk profile of the ETP large purse seine fishery with the risk profiles of all other fisheries </w:t>
      </w:r>
      <w:r w:rsidR="00FF1995" w:rsidRPr="00564DB3">
        <w:rPr>
          <w:szCs w:val="18"/>
        </w:rPr>
        <w:t xml:space="preserve">for the purpose of </w:t>
      </w:r>
      <w:r w:rsidRPr="00564DB3">
        <w:rPr>
          <w:szCs w:val="18"/>
        </w:rPr>
        <w:t>examining the certification and tracking and verification requirements.</w:t>
      </w:r>
      <w:r w:rsidR="00F9353C" w:rsidRPr="00564DB3">
        <w:rPr>
          <w:rStyle w:val="FootnoteReference"/>
          <w:szCs w:val="18"/>
        </w:rPr>
        <w:footnoteReference w:id="419"/>
      </w:r>
      <w:r w:rsidRPr="00564DB3">
        <w:rPr>
          <w:szCs w:val="18"/>
        </w:rPr>
        <w:t xml:space="preserve"> </w:t>
      </w:r>
    </w:p>
    <w:p w:rsidR="00432E5C" w:rsidRPr="00564DB3" w:rsidRDefault="00432E5C" w:rsidP="00F70E38">
      <w:pPr>
        <w:pStyle w:val="BodyText"/>
        <w:rPr>
          <w:szCs w:val="18"/>
        </w:rPr>
      </w:pPr>
      <w:bookmarkStart w:id="243" w:name="_Ref527560686"/>
      <w:r w:rsidRPr="00564DB3">
        <w:rPr>
          <w:szCs w:val="18"/>
        </w:rPr>
        <w:t>We further note that the Panels di</w:t>
      </w:r>
      <w:r w:rsidR="007F146A" w:rsidRPr="00564DB3">
        <w:rPr>
          <w:szCs w:val="18"/>
        </w:rPr>
        <w:t xml:space="preserve">d not, as Mexico contends, use </w:t>
      </w:r>
      <w:r w:rsidRPr="00564DB3">
        <w:rPr>
          <w:szCs w:val="18"/>
        </w:rPr>
        <w:t xml:space="preserve">setting on dolphins in the ETP as a "benchmark". Indeed, </w:t>
      </w:r>
      <w:bookmarkStart w:id="244" w:name="_Ref513561418"/>
      <w:r w:rsidRPr="00564DB3">
        <w:rPr>
          <w:szCs w:val="18"/>
        </w:rPr>
        <w:t xml:space="preserve">the Panels did not use the expression "ETP benchmark" in their analysis of risk profiles. Rather, the Panels referred to this expression solely in the context of describing the </w:t>
      </w:r>
      <w:r w:rsidR="00083DFC" w:rsidRPr="00564DB3">
        <w:rPr>
          <w:szCs w:val="18"/>
        </w:rPr>
        <w:t>United States</w:t>
      </w:r>
      <w:r w:rsidRPr="00564DB3">
        <w:rPr>
          <w:szCs w:val="18"/>
        </w:rPr>
        <w:t>' explanation regarding the determin</w:t>
      </w:r>
      <w:r w:rsidR="00377F77" w:rsidRPr="00564DB3">
        <w:rPr>
          <w:szCs w:val="18"/>
        </w:rPr>
        <w:t>ation provisions under the 2016 </w:t>
      </w:r>
      <w:r w:rsidRPr="00564DB3">
        <w:rPr>
          <w:szCs w:val="18"/>
        </w:rPr>
        <w:t>Tuna Measure.</w:t>
      </w:r>
      <w:r w:rsidR="005B1CE4" w:rsidRPr="00564DB3">
        <w:rPr>
          <w:rStyle w:val="FootnoteReference"/>
          <w:szCs w:val="18"/>
        </w:rPr>
        <w:footnoteReference w:id="420"/>
      </w:r>
      <w:r w:rsidRPr="00564DB3">
        <w:rPr>
          <w:szCs w:val="18"/>
        </w:rPr>
        <w:t xml:space="preserve"> </w:t>
      </w:r>
      <w:bookmarkStart w:id="245" w:name="_Ref517094609"/>
      <w:bookmarkEnd w:id="244"/>
      <w:r w:rsidRPr="00564DB3">
        <w:rPr>
          <w:szCs w:val="18"/>
        </w:rPr>
        <w:t>In contrast, in their analysis of risk profiles, the Panels used the word "benchmark" to describe a "standardized benchmark or metric" when assessing and comparing different risk profiles.</w:t>
      </w:r>
      <w:r w:rsidR="005B1CE4" w:rsidRPr="00564DB3">
        <w:rPr>
          <w:rStyle w:val="FootnoteReference"/>
          <w:szCs w:val="18"/>
        </w:rPr>
        <w:footnoteReference w:id="421"/>
      </w:r>
      <w:r w:rsidRPr="00564DB3">
        <w:rPr>
          <w:szCs w:val="18"/>
        </w:rPr>
        <w:t xml:space="preserve"> In this respect, the Panels were referring to the use of an appropriate metric, or methodology, for comparing </w:t>
      </w:r>
      <w:r w:rsidR="00497C63" w:rsidRPr="00564DB3">
        <w:rPr>
          <w:szCs w:val="18"/>
        </w:rPr>
        <w:t xml:space="preserve">the risks to dolphins in </w:t>
      </w:r>
      <w:r w:rsidRPr="00564DB3">
        <w:rPr>
          <w:szCs w:val="18"/>
        </w:rPr>
        <w:t xml:space="preserve">different fisheries. As explained above, the Panels relied primarily on data reflecting the numbers of </w:t>
      </w:r>
      <w:r w:rsidR="00497C63" w:rsidRPr="00564DB3">
        <w:rPr>
          <w:szCs w:val="18"/>
        </w:rPr>
        <w:t>observed mortalities, serious injuries, and tuna-dolphin interaction</w:t>
      </w:r>
      <w:r w:rsidR="000A791C" w:rsidRPr="00564DB3">
        <w:rPr>
          <w:szCs w:val="18"/>
        </w:rPr>
        <w:t>s</w:t>
      </w:r>
      <w:r w:rsidR="00497C63" w:rsidRPr="00564DB3">
        <w:rPr>
          <w:szCs w:val="18"/>
        </w:rPr>
        <w:t xml:space="preserve"> on a </w:t>
      </w:r>
      <w:r w:rsidRPr="00564DB3">
        <w:rPr>
          <w:szCs w:val="18"/>
        </w:rPr>
        <w:t>per set</w:t>
      </w:r>
      <w:r w:rsidR="00497C63" w:rsidRPr="00564DB3">
        <w:rPr>
          <w:szCs w:val="18"/>
        </w:rPr>
        <w:t xml:space="preserve"> basis</w:t>
      </w:r>
      <w:r w:rsidRPr="00564DB3">
        <w:rPr>
          <w:szCs w:val="18"/>
        </w:rPr>
        <w:t>, in different fisheries, to compare the risks to dolphins from different fishing methods and in different fisheries.</w:t>
      </w:r>
      <w:r w:rsidR="005B1CE4" w:rsidRPr="00564DB3">
        <w:rPr>
          <w:rStyle w:val="FootnoteReference"/>
          <w:szCs w:val="18"/>
        </w:rPr>
        <w:footnoteReference w:id="422"/>
      </w:r>
      <w:r w:rsidRPr="00564DB3">
        <w:rPr>
          <w:szCs w:val="18"/>
        </w:rPr>
        <w:t xml:space="preserve"> </w:t>
      </w:r>
      <w:bookmarkStart w:id="246" w:name="_Ref513561419"/>
      <w:r w:rsidRPr="00564DB3">
        <w:rPr>
          <w:szCs w:val="18"/>
        </w:rPr>
        <w:t xml:space="preserve">Where such data were unavailable, the </w:t>
      </w:r>
      <w:r w:rsidRPr="00564DB3">
        <w:rPr>
          <w:szCs w:val="18"/>
        </w:rPr>
        <w:lastRenderedPageBreak/>
        <w:t xml:space="preserve">Panels relied on other sources of information, including </w:t>
      </w:r>
      <w:bookmarkEnd w:id="245"/>
      <w:bookmarkEnd w:id="246"/>
      <w:r w:rsidRPr="00564DB3">
        <w:rPr>
          <w:szCs w:val="18"/>
        </w:rPr>
        <w:t>general information that relates to all fisheries in which a particular fishing method is practi</w:t>
      </w:r>
      <w:r w:rsidR="00B73EE5" w:rsidRPr="00564DB3">
        <w:rPr>
          <w:szCs w:val="18"/>
        </w:rPr>
        <w:t>s</w:t>
      </w:r>
      <w:r w:rsidRPr="00564DB3">
        <w:rPr>
          <w:szCs w:val="18"/>
        </w:rPr>
        <w:t>ed.</w:t>
      </w:r>
      <w:bookmarkEnd w:id="243"/>
      <w:r w:rsidR="005B1CE4" w:rsidRPr="00564DB3">
        <w:rPr>
          <w:rStyle w:val="FootnoteReference"/>
          <w:szCs w:val="18"/>
        </w:rPr>
        <w:footnoteReference w:id="423"/>
      </w:r>
      <w:r w:rsidRPr="00564DB3">
        <w:rPr>
          <w:szCs w:val="18"/>
        </w:rPr>
        <w:t xml:space="preserve"> </w:t>
      </w:r>
    </w:p>
    <w:p w:rsidR="00A359DE" w:rsidRPr="00564DB3" w:rsidRDefault="00A359DE" w:rsidP="00F70E38">
      <w:pPr>
        <w:pStyle w:val="BodyText"/>
        <w:rPr>
          <w:szCs w:val="18"/>
        </w:rPr>
      </w:pPr>
      <w:r w:rsidRPr="00564DB3">
        <w:rPr>
          <w:szCs w:val="18"/>
        </w:rPr>
        <w:t>Once the Panels had assessed the risk profiles of different fishing methods and fisheries on the basis of per set data and other relevant evidence, the Panels did compare the risk profile of setting on dolphins with the risk profile</w:t>
      </w:r>
      <w:r w:rsidR="008B35FB" w:rsidRPr="00564DB3">
        <w:rPr>
          <w:szCs w:val="18"/>
        </w:rPr>
        <w:t>s</w:t>
      </w:r>
      <w:r w:rsidRPr="00564DB3">
        <w:rPr>
          <w:szCs w:val="18"/>
        </w:rPr>
        <w:t xml:space="preserve"> of other fishing methods in the context of both their assessment of risk profiles and their examination of whether the eligibility criteria are calibrated to different risks to dolphins.</w:t>
      </w:r>
      <w:r w:rsidRPr="00564DB3">
        <w:rPr>
          <w:rStyle w:val="FootnoteReference"/>
          <w:szCs w:val="18"/>
        </w:rPr>
        <w:footnoteReference w:id="424"/>
      </w:r>
      <w:r w:rsidRPr="00564DB3">
        <w:rPr>
          <w:szCs w:val="18"/>
        </w:rPr>
        <w:t xml:space="preserve"> As we have discussed above, such a comparison of fishing methods was, </w:t>
      </w:r>
      <w:r w:rsidRPr="00564DB3">
        <w:rPr>
          <w:i/>
          <w:szCs w:val="18"/>
        </w:rPr>
        <w:t>inter alia</w:t>
      </w:r>
      <w:r w:rsidRPr="00564DB3">
        <w:rPr>
          <w:szCs w:val="18"/>
        </w:rPr>
        <w:t>, required in light of the applicable legal standard and the circumstances of this dispute.</w:t>
      </w:r>
      <w:r w:rsidRPr="00564DB3">
        <w:rPr>
          <w:rStyle w:val="FootnoteReference"/>
          <w:szCs w:val="18"/>
        </w:rPr>
        <w:footnoteReference w:id="425"/>
      </w:r>
      <w:r w:rsidRPr="00564DB3">
        <w:rPr>
          <w:szCs w:val="18"/>
        </w:rPr>
        <w:t xml:space="preserve"> As to Mexico's contention that the Panels' assessment of the eligibility criteria was based on a comparison of the risk profile of setting on dolphins </w:t>
      </w:r>
      <w:r w:rsidRPr="00564DB3">
        <w:rPr>
          <w:i/>
          <w:szCs w:val="18"/>
        </w:rPr>
        <w:t xml:space="preserve">in the ETP </w:t>
      </w:r>
      <w:r w:rsidRPr="00564DB3">
        <w:rPr>
          <w:szCs w:val="18"/>
        </w:rPr>
        <w:t>with the risk profiles of other fishing methods</w:t>
      </w:r>
      <w:r w:rsidRPr="00564DB3">
        <w:rPr>
          <w:rStyle w:val="FootnoteReference"/>
          <w:szCs w:val="18"/>
        </w:rPr>
        <w:footnoteReference w:id="426"/>
      </w:r>
      <w:r w:rsidRPr="00564DB3">
        <w:rPr>
          <w:szCs w:val="18"/>
        </w:rPr>
        <w:t>, we note that certain aspects of the Panels' assessment of the risk profile of</w:t>
      </w:r>
      <w:r w:rsidR="006E1106">
        <w:rPr>
          <w:szCs w:val="18"/>
        </w:rPr>
        <w:t xml:space="preserve"> </w:t>
      </w:r>
      <w:r w:rsidRPr="00564DB3">
        <w:rPr>
          <w:szCs w:val="18"/>
        </w:rPr>
        <w:t>setting on dolphins were indeed limited to the use of this fishing method in the ETP.</w:t>
      </w:r>
      <w:r w:rsidRPr="00564DB3">
        <w:rPr>
          <w:rStyle w:val="FootnoteReference"/>
          <w:szCs w:val="18"/>
        </w:rPr>
        <w:footnoteReference w:id="427"/>
      </w:r>
      <w:r w:rsidRPr="00564DB3">
        <w:rPr>
          <w:szCs w:val="18"/>
        </w:rPr>
        <w:t xml:space="preserve"> This, however, was due to the fact that the only fishery-specific evidence provided to the Panels concerning the use of setting on dolphins pertained to the use of this method in the ETP.</w:t>
      </w:r>
      <w:r w:rsidRPr="00564DB3">
        <w:rPr>
          <w:rStyle w:val="FootnoteReference"/>
          <w:szCs w:val="18"/>
        </w:rPr>
        <w:footnoteReference w:id="428"/>
      </w:r>
      <w:r w:rsidRPr="00564DB3">
        <w:rPr>
          <w:b/>
          <w:szCs w:val="18"/>
        </w:rPr>
        <w:t xml:space="preserve"> </w:t>
      </w:r>
      <w:r w:rsidRPr="00564DB3">
        <w:rPr>
          <w:szCs w:val="18"/>
        </w:rPr>
        <w:t xml:space="preserve">Furthermore, other aspects of the Panels' examination of the risks associated with setting on dolphins were </w:t>
      </w:r>
      <w:r w:rsidRPr="00564DB3">
        <w:rPr>
          <w:i/>
          <w:szCs w:val="18"/>
        </w:rPr>
        <w:t xml:space="preserve">not </w:t>
      </w:r>
      <w:r w:rsidRPr="00564DB3">
        <w:rPr>
          <w:szCs w:val="18"/>
        </w:rPr>
        <w:t>limited to the ETP, but more broadly pertained to setting on dolphins anywhere in the world.</w:t>
      </w:r>
      <w:r w:rsidRPr="00564DB3">
        <w:rPr>
          <w:rStyle w:val="FootnoteReference"/>
          <w:szCs w:val="18"/>
        </w:rPr>
        <w:footnoteReference w:id="429"/>
      </w:r>
    </w:p>
    <w:p w:rsidR="00432E5C" w:rsidRPr="00564DB3" w:rsidRDefault="00432E5C" w:rsidP="00F70E38">
      <w:pPr>
        <w:pStyle w:val="BodyText"/>
        <w:rPr>
          <w:szCs w:val="18"/>
        </w:rPr>
      </w:pPr>
      <w:r w:rsidRPr="00564DB3">
        <w:rPr>
          <w:szCs w:val="18"/>
        </w:rPr>
        <w:t xml:space="preserve">We note Mexico's argument that, by "distinguishing Mexico's fishing method </w:t>
      </w:r>
      <w:r w:rsidR="00C42CEB" w:rsidRPr="00564DB3">
        <w:rPr>
          <w:szCs w:val="18"/>
        </w:rPr>
        <w:t>[i.e. </w:t>
      </w:r>
      <w:r w:rsidR="002C7DA0" w:rsidRPr="00564DB3">
        <w:rPr>
          <w:szCs w:val="18"/>
        </w:rPr>
        <w:t xml:space="preserve">setting on dolphins] </w:t>
      </w:r>
      <w:r w:rsidRPr="00564DB3">
        <w:rPr>
          <w:szCs w:val="18"/>
        </w:rPr>
        <w:t>in the ETP from all other fishing methods in all other areas of the ocean</w:t>
      </w:r>
      <w:r w:rsidR="007F146A" w:rsidRPr="00564DB3">
        <w:rPr>
          <w:szCs w:val="18"/>
        </w:rPr>
        <w:t>s</w:t>
      </w:r>
      <w:r w:rsidRPr="00564DB3">
        <w:rPr>
          <w:szCs w:val="18"/>
        </w:rPr>
        <w:t xml:space="preserve"> … the Panels did not assess whether tuna caught by other fishing methods in other ocean areas should also be excluded from access to the label".</w:t>
      </w:r>
      <w:r w:rsidR="005B1CE4" w:rsidRPr="00564DB3">
        <w:rPr>
          <w:rStyle w:val="FootnoteReference"/>
          <w:szCs w:val="18"/>
        </w:rPr>
        <w:footnoteReference w:id="430"/>
      </w:r>
      <w:r w:rsidRPr="00564DB3">
        <w:rPr>
          <w:szCs w:val="18"/>
        </w:rPr>
        <w:t xml:space="preserve"> In Mexico's view, the "mere fact that the risk profiles of other fishing methods in other ocean areas may be different from or comparatively lower than the risk profile of [setting on dolphins] in the ETP does not mean that the regulatory distinctions are 'calibrated' to the different overall relative risks or levels of harm arising from different fishing methods in different ocean areas".</w:t>
      </w:r>
      <w:r w:rsidR="005B1CE4" w:rsidRPr="00564DB3">
        <w:rPr>
          <w:rStyle w:val="FootnoteReference"/>
          <w:szCs w:val="18"/>
        </w:rPr>
        <w:footnoteReference w:id="431"/>
      </w:r>
      <w:r w:rsidRPr="00564DB3">
        <w:rPr>
          <w:szCs w:val="18"/>
        </w:rPr>
        <w:t xml:space="preserve"> Mexico refers to the Appel</w:t>
      </w:r>
      <w:r w:rsidR="003B1889" w:rsidRPr="00564DB3">
        <w:rPr>
          <w:szCs w:val="18"/>
        </w:rPr>
        <w:t>late Body's statement that even</w:t>
      </w:r>
      <w:r w:rsidR="003B1889" w:rsidRPr="00564DB3">
        <w:rPr>
          <w:szCs w:val="18"/>
        </w:rPr>
        <w:noBreakHyphen/>
      </w:r>
      <w:r w:rsidRPr="00564DB3">
        <w:rPr>
          <w:szCs w:val="18"/>
        </w:rPr>
        <w:t>handedness depends not only on the level of risk associated with the fishing method suffering from a denial of access, but "also on whether the risks associated with other fishing methods in other fisheries are addressed, commensurately with their respective risk profiles, in the labelling conditions that apply in respect of tuna caught in such other fisheries".</w:t>
      </w:r>
      <w:r w:rsidR="005B1CE4" w:rsidRPr="00564DB3">
        <w:rPr>
          <w:rStyle w:val="FootnoteReference"/>
          <w:szCs w:val="18"/>
        </w:rPr>
        <w:footnoteReference w:id="432"/>
      </w:r>
      <w:r w:rsidRPr="00564DB3">
        <w:rPr>
          <w:szCs w:val="18"/>
        </w:rPr>
        <w:t xml:space="preserve"> In Mexico's view, the Panels did not assess "whether the risks or levels of harm associated with other fishing methods in other fisheries are addressed, commensurately with their respective risk profiles, in the labelling conditions that apply in respect of tuna caught in such other fisheries"</w:t>
      </w:r>
      <w:r w:rsidR="007F146A" w:rsidRPr="00564DB3">
        <w:rPr>
          <w:szCs w:val="18"/>
        </w:rPr>
        <w:t>.</w:t>
      </w:r>
      <w:r w:rsidR="005B1CE4" w:rsidRPr="00564DB3">
        <w:rPr>
          <w:rStyle w:val="FootnoteReference"/>
          <w:szCs w:val="18"/>
        </w:rPr>
        <w:footnoteReference w:id="433"/>
      </w:r>
    </w:p>
    <w:p w:rsidR="00432E5C" w:rsidRPr="00564DB3" w:rsidRDefault="00432E5C" w:rsidP="00F70E38">
      <w:pPr>
        <w:pStyle w:val="BodyText"/>
        <w:rPr>
          <w:szCs w:val="18"/>
        </w:rPr>
      </w:pPr>
      <w:r w:rsidRPr="00564DB3">
        <w:rPr>
          <w:szCs w:val="18"/>
        </w:rPr>
        <w:t xml:space="preserve">In the </w:t>
      </w:r>
      <w:r w:rsidR="00083DFC" w:rsidRPr="00564DB3">
        <w:rPr>
          <w:szCs w:val="18"/>
        </w:rPr>
        <w:t>United States</w:t>
      </w:r>
      <w:r w:rsidRPr="00564DB3">
        <w:rPr>
          <w:szCs w:val="18"/>
        </w:rPr>
        <w:t>' view, Mexico's approach "directly conflicts not only with the design, architecture, and revealing structure of the [Tuna Measure], but also with the Appellate Body's analysis in the first compliance proceeding"</w:t>
      </w:r>
      <w:r w:rsidR="007F146A" w:rsidRPr="00564DB3">
        <w:rPr>
          <w:szCs w:val="18"/>
        </w:rPr>
        <w:t>.</w:t>
      </w:r>
      <w:r w:rsidR="005B1CE4" w:rsidRPr="00564DB3">
        <w:rPr>
          <w:rStyle w:val="FootnoteReference"/>
          <w:szCs w:val="18"/>
        </w:rPr>
        <w:footnoteReference w:id="434"/>
      </w:r>
      <w:r w:rsidRPr="00564DB3">
        <w:rPr>
          <w:szCs w:val="18"/>
        </w:rPr>
        <w:t xml:space="preserve"> The </w:t>
      </w:r>
      <w:r w:rsidR="00083DFC" w:rsidRPr="00564DB3">
        <w:rPr>
          <w:szCs w:val="18"/>
        </w:rPr>
        <w:t>United States</w:t>
      </w:r>
      <w:r w:rsidRPr="00564DB3">
        <w:rPr>
          <w:szCs w:val="18"/>
        </w:rPr>
        <w:t xml:space="preserve"> argues that the relevant question under </w:t>
      </w:r>
      <w:r w:rsidR="00083DFC" w:rsidRPr="00564DB3">
        <w:rPr>
          <w:szCs w:val="18"/>
        </w:rPr>
        <w:t>Article </w:t>
      </w:r>
      <w:r w:rsidRPr="00564DB3">
        <w:rPr>
          <w:szCs w:val="18"/>
        </w:rPr>
        <w:t xml:space="preserve">2.1 is whether the differences arising under the relevant regulatory distinctions are commensurate with different risks to dolphins. According to the </w:t>
      </w:r>
      <w:r w:rsidR="00083DFC" w:rsidRPr="00564DB3">
        <w:rPr>
          <w:szCs w:val="18"/>
        </w:rPr>
        <w:t>United States</w:t>
      </w:r>
      <w:r w:rsidR="000A30BD" w:rsidRPr="00564DB3">
        <w:rPr>
          <w:szCs w:val="18"/>
        </w:rPr>
        <w:t xml:space="preserve">, </w:t>
      </w:r>
      <w:r w:rsidRPr="00564DB3">
        <w:rPr>
          <w:szCs w:val="18"/>
        </w:rPr>
        <w:t xml:space="preserve">perfection is not an </w:t>
      </w:r>
      <w:r w:rsidRPr="00564DB3">
        <w:rPr>
          <w:szCs w:val="18"/>
        </w:rPr>
        <w:lastRenderedPageBreak/>
        <w:t xml:space="preserve">appropriate benchmark under the covered agreements. Furthermore, in the </w:t>
      </w:r>
      <w:r w:rsidR="00083DFC" w:rsidRPr="00564DB3">
        <w:rPr>
          <w:szCs w:val="18"/>
        </w:rPr>
        <w:t>United States</w:t>
      </w:r>
      <w:r w:rsidRPr="00564DB3">
        <w:rPr>
          <w:szCs w:val="18"/>
        </w:rPr>
        <w:t xml:space="preserve">' view, the question whether there is a measure that would better contribute to a </w:t>
      </w:r>
      <w:proofErr w:type="gramStart"/>
      <w:r w:rsidRPr="00564DB3">
        <w:rPr>
          <w:szCs w:val="18"/>
        </w:rPr>
        <w:t>particular objective</w:t>
      </w:r>
      <w:proofErr w:type="gramEnd"/>
      <w:r w:rsidRPr="00564DB3">
        <w:rPr>
          <w:szCs w:val="18"/>
        </w:rPr>
        <w:t xml:space="preserve"> is more pertinent to an analysis under </w:t>
      </w:r>
      <w:r w:rsidR="00083DFC" w:rsidRPr="00564DB3">
        <w:rPr>
          <w:szCs w:val="18"/>
        </w:rPr>
        <w:t>Article </w:t>
      </w:r>
      <w:r w:rsidRPr="00564DB3">
        <w:rPr>
          <w:szCs w:val="18"/>
        </w:rPr>
        <w:t xml:space="preserve">2.2 of the </w:t>
      </w:r>
      <w:r w:rsidR="00083DFC" w:rsidRPr="00564DB3">
        <w:rPr>
          <w:szCs w:val="18"/>
        </w:rPr>
        <w:t>TBT Agreement</w:t>
      </w:r>
      <w:r w:rsidRPr="00564DB3">
        <w:rPr>
          <w:szCs w:val="18"/>
        </w:rPr>
        <w:t xml:space="preserve">, rather than </w:t>
      </w:r>
      <w:r w:rsidR="007F146A" w:rsidRPr="00564DB3">
        <w:rPr>
          <w:szCs w:val="18"/>
        </w:rPr>
        <w:t xml:space="preserve">under </w:t>
      </w:r>
      <w:r w:rsidR="00083DFC" w:rsidRPr="00564DB3">
        <w:rPr>
          <w:szCs w:val="18"/>
        </w:rPr>
        <w:t>Article </w:t>
      </w:r>
      <w:r w:rsidRPr="00564DB3">
        <w:rPr>
          <w:szCs w:val="18"/>
        </w:rPr>
        <w:t>2.1.</w:t>
      </w:r>
      <w:r w:rsidR="005B1CE4" w:rsidRPr="00564DB3">
        <w:rPr>
          <w:rStyle w:val="FootnoteReference"/>
          <w:szCs w:val="18"/>
        </w:rPr>
        <w:footnoteReference w:id="435"/>
      </w:r>
      <w:r w:rsidRPr="00564DB3">
        <w:rPr>
          <w:szCs w:val="18"/>
        </w:rPr>
        <w:t xml:space="preserve"> </w:t>
      </w:r>
    </w:p>
    <w:p w:rsidR="00432E5C" w:rsidRPr="00564DB3" w:rsidRDefault="00432E5C" w:rsidP="00F70E38">
      <w:pPr>
        <w:pStyle w:val="BodyText"/>
        <w:rPr>
          <w:szCs w:val="18"/>
        </w:rPr>
      </w:pPr>
      <w:r w:rsidRPr="00564DB3">
        <w:rPr>
          <w:szCs w:val="18"/>
        </w:rPr>
        <w:t>We highlight that Mexico raises this argument in support of its view that the Panels erred in their evaluation of risk profiles, by relying on "setting on dolphins in the ETP" as a "benchmark" by which to compare the risk profiles of different fisheries. However, as explained above, the Panels did not refer to the "ETP benchmark" in their analysis.</w:t>
      </w:r>
      <w:r w:rsidR="005B1CE4" w:rsidRPr="00564DB3">
        <w:rPr>
          <w:rStyle w:val="FootnoteReference"/>
          <w:szCs w:val="18"/>
        </w:rPr>
        <w:footnoteReference w:id="436"/>
      </w:r>
      <w:r w:rsidRPr="00564DB3">
        <w:rPr>
          <w:szCs w:val="18"/>
        </w:rPr>
        <w:t xml:space="preserve"> Furthermore, based on our review of the Panels' findings, the Panels did not compare, or "distinguish", the risk profile of "setting on dolphins in the ETP" with the risk profiles of all other individual fisheries. To the contrary, the Panels compared the risk profile of </w:t>
      </w:r>
      <w:r w:rsidRPr="00564DB3">
        <w:rPr>
          <w:i/>
          <w:szCs w:val="18"/>
        </w:rPr>
        <w:t xml:space="preserve">setting on dolphins </w:t>
      </w:r>
      <w:r w:rsidRPr="00564DB3">
        <w:rPr>
          <w:szCs w:val="18"/>
        </w:rPr>
        <w:t>as a fishing method (used anywhere in the world) with the risk profiles of other fishing methods (also used anywhere in the world), in the context of examining the eligibility criteria</w:t>
      </w:r>
      <w:r w:rsidR="005B1CE4" w:rsidRPr="00564DB3">
        <w:rPr>
          <w:rStyle w:val="FootnoteReference"/>
          <w:szCs w:val="18"/>
        </w:rPr>
        <w:footnoteReference w:id="437"/>
      </w:r>
      <w:r w:rsidRPr="00564DB3">
        <w:rPr>
          <w:szCs w:val="18"/>
        </w:rPr>
        <w:t xml:space="preserve">, and compared the risk profile of the </w:t>
      </w:r>
      <w:r w:rsidRPr="00564DB3">
        <w:rPr>
          <w:i/>
          <w:szCs w:val="18"/>
        </w:rPr>
        <w:t xml:space="preserve">ETP large purse seine </w:t>
      </w:r>
      <w:r w:rsidRPr="00564DB3">
        <w:rPr>
          <w:szCs w:val="18"/>
        </w:rPr>
        <w:t>fishery with other individual fisheries in the context of examining the certification and tracking and verification requirements.</w:t>
      </w:r>
      <w:r w:rsidR="005B1CE4" w:rsidRPr="00564DB3">
        <w:rPr>
          <w:rStyle w:val="FootnoteReference"/>
          <w:szCs w:val="18"/>
        </w:rPr>
        <w:footnoteReference w:id="438"/>
      </w:r>
      <w:r w:rsidRPr="00564DB3">
        <w:rPr>
          <w:szCs w:val="18"/>
        </w:rPr>
        <w:t xml:space="preserve"> Thus, the Panels did not compare the risk profile of the </w:t>
      </w:r>
      <w:r w:rsidRPr="00564DB3">
        <w:rPr>
          <w:i/>
          <w:szCs w:val="18"/>
        </w:rPr>
        <w:t xml:space="preserve">ETP setting-on-dolphins </w:t>
      </w:r>
      <w:r w:rsidRPr="00564DB3">
        <w:rPr>
          <w:szCs w:val="18"/>
        </w:rPr>
        <w:t xml:space="preserve">fishery with the risk profile of other fisheries. Since Mexico's argument is incorrectly premised on the assertion that the Panels compared "setting on dolphins in the ETP" with other fisheries, we consider Mexico's argument </w:t>
      </w:r>
      <w:r w:rsidR="000A30BD" w:rsidRPr="00564DB3">
        <w:rPr>
          <w:szCs w:val="18"/>
        </w:rPr>
        <w:t>to be</w:t>
      </w:r>
      <w:r w:rsidRPr="00564DB3">
        <w:rPr>
          <w:szCs w:val="18"/>
        </w:rPr>
        <w:t xml:space="preserve"> moot. </w:t>
      </w:r>
    </w:p>
    <w:p w:rsidR="00432E5C" w:rsidRPr="00564DB3" w:rsidRDefault="00432E5C" w:rsidP="00F70E38">
      <w:pPr>
        <w:pStyle w:val="BodyText"/>
        <w:rPr>
          <w:szCs w:val="18"/>
        </w:rPr>
      </w:pPr>
      <w:r w:rsidRPr="00564DB3">
        <w:rPr>
          <w:szCs w:val="18"/>
        </w:rPr>
        <w:t xml:space="preserve">In any event, we also note that Mexico's argument suggests that the Panels erred by failing to assess whether certain individual </w:t>
      </w:r>
      <w:r w:rsidRPr="00564DB3">
        <w:rPr>
          <w:i/>
          <w:szCs w:val="18"/>
        </w:rPr>
        <w:t xml:space="preserve">fisheries </w:t>
      </w:r>
      <w:r w:rsidRPr="00564DB3">
        <w:rPr>
          <w:szCs w:val="18"/>
        </w:rPr>
        <w:t>should be ineligible for the dolphin</w:t>
      </w:r>
      <w:r w:rsidRPr="00564DB3">
        <w:rPr>
          <w:szCs w:val="18"/>
        </w:rPr>
        <w:noBreakHyphen/>
        <w:t xml:space="preserve">safe label. This argument appears to rely on Mexico's understanding that, </w:t>
      </w:r>
      <w:proofErr w:type="gramStart"/>
      <w:r w:rsidRPr="00564DB3">
        <w:rPr>
          <w:szCs w:val="18"/>
        </w:rPr>
        <w:t>in order to</w:t>
      </w:r>
      <w:proofErr w:type="gramEnd"/>
      <w:r w:rsidRPr="00564DB3">
        <w:rPr>
          <w:szCs w:val="18"/>
        </w:rPr>
        <w:t xml:space="preserve"> be properly calibrated, the eligibility criteria under the 2016 Tuna Measure must make distinctions on a fishery-by-fishery basis. We have addressed, and rejected, this argument above.</w:t>
      </w:r>
      <w:r w:rsidR="005B1CE4" w:rsidRPr="00564DB3">
        <w:rPr>
          <w:rStyle w:val="FootnoteReference"/>
          <w:szCs w:val="18"/>
        </w:rPr>
        <w:footnoteReference w:id="439"/>
      </w:r>
      <w:r w:rsidRPr="00564DB3">
        <w:rPr>
          <w:szCs w:val="18"/>
        </w:rPr>
        <w:t xml:space="preserve"> As explained, the nature of the calibration analysis is defined by the nature of the regulatory distinctions under the measure itself.</w:t>
      </w:r>
      <w:r w:rsidR="005B1CE4" w:rsidRPr="00564DB3">
        <w:rPr>
          <w:rStyle w:val="FootnoteReference"/>
          <w:szCs w:val="18"/>
        </w:rPr>
        <w:footnoteReference w:id="440"/>
      </w:r>
      <w:r w:rsidRPr="00564DB3">
        <w:rPr>
          <w:szCs w:val="18"/>
        </w:rPr>
        <w:t xml:space="preserve"> Since the eligibility criteria distinguish between different fishing methods, it would have been inappropriate for the Panels to compare the risk profiles of individual </w:t>
      </w:r>
      <w:r w:rsidRPr="00564DB3">
        <w:rPr>
          <w:i/>
          <w:szCs w:val="18"/>
        </w:rPr>
        <w:t>fisheries</w:t>
      </w:r>
      <w:r w:rsidRPr="00564DB3">
        <w:rPr>
          <w:szCs w:val="18"/>
        </w:rPr>
        <w:t xml:space="preserve"> </w:t>
      </w:r>
      <w:r w:rsidR="00FF1995" w:rsidRPr="00564DB3">
        <w:rPr>
          <w:szCs w:val="18"/>
        </w:rPr>
        <w:t xml:space="preserve">for the purpose of </w:t>
      </w:r>
      <w:r w:rsidRPr="00564DB3">
        <w:rPr>
          <w:szCs w:val="18"/>
        </w:rPr>
        <w:t xml:space="preserve">assessing whether the eligibility criteria under the measure are properly calibrated. We therefore do not consider that this aspect of Mexico's arguments demonstrates that the Panels erred by comparing the risk profile of setting on dolphins with the risk profiles of other fishing </w:t>
      </w:r>
      <w:r w:rsidRPr="00564DB3">
        <w:rPr>
          <w:i/>
          <w:szCs w:val="18"/>
        </w:rPr>
        <w:t xml:space="preserve">methods </w:t>
      </w:r>
      <w:r w:rsidRPr="00564DB3">
        <w:rPr>
          <w:szCs w:val="18"/>
        </w:rPr>
        <w:t>in the context of examining the eligibility criteria. We also reiterate that, in examining whether the certification and tracking and verification requirements are properly calibrated, the Panels were indeed required to compare the risk profiles of different fisheries.</w:t>
      </w:r>
      <w:r w:rsidR="005B1CE4" w:rsidRPr="00564DB3">
        <w:rPr>
          <w:rStyle w:val="FootnoteReference"/>
          <w:szCs w:val="18"/>
        </w:rPr>
        <w:footnoteReference w:id="441"/>
      </w:r>
      <w:r w:rsidRPr="00564DB3">
        <w:rPr>
          <w:szCs w:val="18"/>
        </w:rPr>
        <w:t xml:space="preserve"> We examine whether the Panels properly conducted this analysis in</w:t>
      </w:r>
      <w:r w:rsidR="00D51BD0">
        <w:rPr>
          <w:szCs w:val="18"/>
        </w:rPr>
        <w:t xml:space="preserve"> section 6.1.5 </w:t>
      </w:r>
      <w:r w:rsidRPr="00564DB3">
        <w:rPr>
          <w:szCs w:val="18"/>
        </w:rPr>
        <w:t>below.</w:t>
      </w:r>
    </w:p>
    <w:p w:rsidR="00432E5C" w:rsidRPr="00564DB3" w:rsidRDefault="00432E5C" w:rsidP="00F70E38">
      <w:pPr>
        <w:pStyle w:val="BodyText"/>
        <w:rPr>
          <w:szCs w:val="18"/>
        </w:rPr>
      </w:pPr>
      <w:r w:rsidRPr="00564DB3">
        <w:rPr>
          <w:szCs w:val="18"/>
        </w:rPr>
        <w:t>Turning to Mexico's argument that the Panels erred by focusing their analysis on qualitative attributes that are unique to setting</w:t>
      </w:r>
      <w:r w:rsidR="009463FC" w:rsidRPr="00564DB3">
        <w:rPr>
          <w:szCs w:val="18"/>
        </w:rPr>
        <w:t xml:space="preserve"> </w:t>
      </w:r>
      <w:r w:rsidRPr="00564DB3">
        <w:rPr>
          <w:szCs w:val="18"/>
        </w:rPr>
        <w:t>on</w:t>
      </w:r>
      <w:r w:rsidR="009463FC" w:rsidRPr="00564DB3">
        <w:rPr>
          <w:szCs w:val="18"/>
        </w:rPr>
        <w:t xml:space="preserve"> </w:t>
      </w:r>
      <w:r w:rsidRPr="00564DB3">
        <w:rPr>
          <w:szCs w:val="18"/>
        </w:rPr>
        <w:t xml:space="preserve">dolphins </w:t>
      </w:r>
      <w:r w:rsidR="009463FC" w:rsidRPr="00564DB3">
        <w:rPr>
          <w:szCs w:val="18"/>
        </w:rPr>
        <w:t>in the ETP</w:t>
      </w:r>
      <w:r w:rsidRPr="00564DB3">
        <w:rPr>
          <w:szCs w:val="18"/>
        </w:rPr>
        <w:t xml:space="preserve">, thereby "further ingraining" their mistake in adopting the single "ETP benchmark" </w:t>
      </w:r>
      <w:r w:rsidR="00FF1995" w:rsidRPr="00564DB3">
        <w:rPr>
          <w:szCs w:val="18"/>
        </w:rPr>
        <w:t xml:space="preserve">for the purpose of </w:t>
      </w:r>
      <w:r w:rsidRPr="00564DB3">
        <w:rPr>
          <w:szCs w:val="18"/>
        </w:rPr>
        <w:t>the calibration analysis</w:t>
      </w:r>
      <w:r w:rsidR="005B1CE4" w:rsidRPr="00564DB3">
        <w:rPr>
          <w:rStyle w:val="FootnoteReference"/>
          <w:szCs w:val="18"/>
        </w:rPr>
        <w:footnoteReference w:id="442"/>
      </w:r>
      <w:r w:rsidRPr="00564DB3">
        <w:rPr>
          <w:szCs w:val="18"/>
        </w:rPr>
        <w:t xml:space="preserve">, we note that this argument relates to the Panels' findings on unobservable harms </w:t>
      </w:r>
      <w:r w:rsidR="00E175AB" w:rsidRPr="00564DB3">
        <w:rPr>
          <w:szCs w:val="18"/>
        </w:rPr>
        <w:t>with respect to</w:t>
      </w:r>
      <w:r w:rsidRPr="00564DB3">
        <w:rPr>
          <w:szCs w:val="18"/>
        </w:rPr>
        <w:t xml:space="preserve"> "alleged stress effects on dolphins in the ETP".</w:t>
      </w:r>
      <w:r w:rsidR="005B1CE4" w:rsidRPr="00564DB3">
        <w:rPr>
          <w:rStyle w:val="FootnoteReference"/>
          <w:szCs w:val="18"/>
        </w:rPr>
        <w:footnoteReference w:id="443"/>
      </w:r>
      <w:r w:rsidRPr="00564DB3">
        <w:rPr>
          <w:szCs w:val="18"/>
        </w:rPr>
        <w:t xml:space="preserve"> Specifically, Mexico considers that the Panels emphasized different "kinds" of unobservable harms, which "caused them to disregard the Appellate Body's direction to take into account the overall effects of each fishing method".</w:t>
      </w:r>
      <w:r w:rsidR="005B1CE4" w:rsidRPr="00564DB3">
        <w:rPr>
          <w:rStyle w:val="FootnoteReference"/>
          <w:szCs w:val="18"/>
        </w:rPr>
        <w:footnoteReference w:id="444"/>
      </w:r>
      <w:r w:rsidRPr="00564DB3">
        <w:rPr>
          <w:szCs w:val="18"/>
        </w:rPr>
        <w:t xml:space="preserve"> Mexico highlights that, although the Panels referred to the harms caused by "ghost fishing" (whereby lost or discarded gillnets continue </w:t>
      </w:r>
      <w:r w:rsidRPr="00564DB3">
        <w:rPr>
          <w:szCs w:val="18"/>
        </w:rPr>
        <w:lastRenderedPageBreak/>
        <w:t>to cause harm to marine life, including dolphins</w:t>
      </w:r>
      <w:r w:rsidR="005B1CE4" w:rsidRPr="00564DB3">
        <w:rPr>
          <w:rStyle w:val="FootnoteReference"/>
          <w:szCs w:val="18"/>
        </w:rPr>
        <w:footnoteReference w:id="445"/>
      </w:r>
      <w:r w:rsidRPr="00564DB3">
        <w:rPr>
          <w:szCs w:val="18"/>
        </w:rPr>
        <w:t xml:space="preserve">), the Panels concluded that such harms "are not the </w:t>
      </w:r>
      <w:r w:rsidRPr="00564DB3">
        <w:rPr>
          <w:i/>
          <w:szCs w:val="18"/>
        </w:rPr>
        <w:t xml:space="preserve">kind </w:t>
      </w:r>
      <w:r w:rsidRPr="00564DB3">
        <w:rPr>
          <w:szCs w:val="18"/>
        </w:rPr>
        <w:t>of unobservable harms caused by setting on dolphins".</w:t>
      </w:r>
      <w:r w:rsidR="005B1CE4" w:rsidRPr="00564DB3">
        <w:rPr>
          <w:rStyle w:val="FootnoteReference"/>
          <w:szCs w:val="18"/>
        </w:rPr>
        <w:footnoteReference w:id="446"/>
      </w:r>
      <w:r w:rsidRPr="00564DB3">
        <w:rPr>
          <w:szCs w:val="18"/>
        </w:rPr>
        <w:t xml:space="preserve"> </w:t>
      </w:r>
    </w:p>
    <w:p w:rsidR="00432E5C" w:rsidRPr="00564DB3" w:rsidRDefault="00432E5C" w:rsidP="00F70E38">
      <w:pPr>
        <w:pStyle w:val="BodyText"/>
        <w:rPr>
          <w:szCs w:val="18"/>
        </w:rPr>
      </w:pPr>
      <w:bookmarkStart w:id="247" w:name="_Hlk528071336"/>
      <w:r w:rsidRPr="00564DB3">
        <w:rPr>
          <w:szCs w:val="18"/>
        </w:rPr>
        <w:t xml:space="preserve">As explained above, in conducting their assessment of risk profiles </w:t>
      </w:r>
      <w:r w:rsidR="00FF1995" w:rsidRPr="00564DB3">
        <w:rPr>
          <w:szCs w:val="18"/>
        </w:rPr>
        <w:t xml:space="preserve">for the purpose of </w:t>
      </w:r>
      <w:r w:rsidRPr="00564DB3">
        <w:rPr>
          <w:szCs w:val="18"/>
        </w:rPr>
        <w:t xml:space="preserve">the calibration analysis, the Panels distinguished between, </w:t>
      </w:r>
      <w:r w:rsidR="00C42CEB" w:rsidRPr="00564DB3">
        <w:rPr>
          <w:i/>
          <w:szCs w:val="18"/>
        </w:rPr>
        <w:t>inter </w:t>
      </w:r>
      <w:r w:rsidRPr="00564DB3">
        <w:rPr>
          <w:i/>
          <w:szCs w:val="18"/>
        </w:rPr>
        <w:t>alia</w:t>
      </w:r>
      <w:r w:rsidRPr="00564DB3">
        <w:rPr>
          <w:szCs w:val="18"/>
        </w:rPr>
        <w:t xml:space="preserve">, </w:t>
      </w:r>
      <w:r w:rsidRPr="00564DB3">
        <w:rPr>
          <w:i/>
          <w:szCs w:val="18"/>
        </w:rPr>
        <w:t xml:space="preserve">observable </w:t>
      </w:r>
      <w:r w:rsidRPr="00564DB3">
        <w:rPr>
          <w:szCs w:val="18"/>
        </w:rPr>
        <w:t xml:space="preserve">harm (any type of harm that can be detected and reported) and </w:t>
      </w:r>
      <w:r w:rsidRPr="00564DB3">
        <w:rPr>
          <w:i/>
          <w:szCs w:val="18"/>
        </w:rPr>
        <w:t xml:space="preserve">unobservable </w:t>
      </w:r>
      <w:r w:rsidRPr="00564DB3">
        <w:rPr>
          <w:szCs w:val="18"/>
        </w:rPr>
        <w:t xml:space="preserve">harm (the type of harm </w:t>
      </w:r>
      <w:r w:rsidR="00E175AB" w:rsidRPr="00564DB3">
        <w:rPr>
          <w:szCs w:val="18"/>
        </w:rPr>
        <w:t>with respect to</w:t>
      </w:r>
      <w:r w:rsidRPr="00564DB3">
        <w:rPr>
          <w:szCs w:val="18"/>
        </w:rPr>
        <w:t xml:space="preserve"> which no evidence of its occurrence is produced during the set).</w:t>
      </w:r>
      <w:r w:rsidR="005B1CE4" w:rsidRPr="00564DB3">
        <w:rPr>
          <w:rStyle w:val="FootnoteReference"/>
          <w:szCs w:val="18"/>
        </w:rPr>
        <w:footnoteReference w:id="447"/>
      </w:r>
      <w:r w:rsidRPr="00564DB3">
        <w:rPr>
          <w:szCs w:val="18"/>
        </w:rPr>
        <w:t xml:space="preserve"> In our view, drawing distinctions between different types of harm is not </w:t>
      </w:r>
      <w:r w:rsidRPr="00564DB3">
        <w:rPr>
          <w:i/>
          <w:szCs w:val="18"/>
        </w:rPr>
        <w:t>per se</w:t>
      </w:r>
      <w:r w:rsidRPr="00564DB3">
        <w:rPr>
          <w:szCs w:val="18"/>
        </w:rPr>
        <w:t xml:space="preserve"> inconsistent with an assessment of overall relative harm to dolphins </w:t>
      </w:r>
      <w:r w:rsidR="00FF1995" w:rsidRPr="00564DB3">
        <w:rPr>
          <w:szCs w:val="18"/>
        </w:rPr>
        <w:t xml:space="preserve">for the purpose of </w:t>
      </w:r>
      <w:r w:rsidRPr="00564DB3">
        <w:rPr>
          <w:szCs w:val="18"/>
        </w:rPr>
        <w:t>the calibration analysis. Indeed, the Appellate Body in the first compliance proceedi</w:t>
      </w:r>
      <w:r w:rsidR="00716F63" w:rsidRPr="00564DB3">
        <w:rPr>
          <w:szCs w:val="18"/>
        </w:rPr>
        <w:t xml:space="preserve">ngs also distinguished between </w:t>
      </w:r>
      <w:r w:rsidRPr="00564DB3">
        <w:rPr>
          <w:szCs w:val="18"/>
        </w:rPr>
        <w:t>observed harms and unobserved harms (the Panels referred to the latter as "unobservable" harms</w:t>
      </w:r>
      <w:r w:rsidR="002C7DA0" w:rsidRPr="00564DB3">
        <w:rPr>
          <w:rStyle w:val="FootnoteReference"/>
          <w:szCs w:val="18"/>
        </w:rPr>
        <w:footnoteReference w:id="448"/>
      </w:r>
      <w:r w:rsidRPr="00564DB3">
        <w:rPr>
          <w:szCs w:val="18"/>
        </w:rPr>
        <w:t>) in setting forth the parties' disagreement over the risks associated with different fishing practices.</w:t>
      </w:r>
      <w:r w:rsidR="005B1CE4" w:rsidRPr="00564DB3">
        <w:rPr>
          <w:rStyle w:val="FootnoteReference"/>
          <w:szCs w:val="18"/>
        </w:rPr>
        <w:footnoteReference w:id="449"/>
      </w:r>
      <w:r w:rsidRPr="00564DB3">
        <w:rPr>
          <w:szCs w:val="18"/>
        </w:rPr>
        <w:t xml:space="preserve"> </w:t>
      </w:r>
    </w:p>
    <w:p w:rsidR="00432E5C" w:rsidRPr="00564DB3" w:rsidRDefault="00432E5C" w:rsidP="00F70E38">
      <w:pPr>
        <w:pStyle w:val="BodyText"/>
        <w:rPr>
          <w:szCs w:val="18"/>
        </w:rPr>
      </w:pPr>
      <w:r w:rsidRPr="00564DB3">
        <w:rPr>
          <w:szCs w:val="18"/>
        </w:rPr>
        <w:t>Furthermore, the evidence examined by the Panels differed</w:t>
      </w:r>
      <w:r w:rsidRPr="00564DB3">
        <w:rPr>
          <w:i/>
          <w:szCs w:val="18"/>
        </w:rPr>
        <w:t xml:space="preserve"> </w:t>
      </w:r>
      <w:r w:rsidRPr="00564DB3">
        <w:rPr>
          <w:szCs w:val="18"/>
        </w:rPr>
        <w:t xml:space="preserve">depending on the specific type of harm being examined. </w:t>
      </w:r>
      <w:r w:rsidR="00E175AB" w:rsidRPr="00564DB3">
        <w:rPr>
          <w:szCs w:val="18"/>
        </w:rPr>
        <w:t>With respect to</w:t>
      </w:r>
      <w:r w:rsidRPr="00564DB3">
        <w:rPr>
          <w:szCs w:val="18"/>
        </w:rPr>
        <w:t xml:space="preserve"> "observed" mortalities and significant injuries, the Panels tended to look at quantitative evidence, primarily in the form of per set data, but also relying on other data when per set data w</w:t>
      </w:r>
      <w:r w:rsidR="007F146A" w:rsidRPr="00564DB3">
        <w:rPr>
          <w:szCs w:val="18"/>
        </w:rPr>
        <w:t>ere</w:t>
      </w:r>
      <w:r w:rsidRPr="00564DB3">
        <w:rPr>
          <w:szCs w:val="18"/>
        </w:rPr>
        <w:t xml:space="preserve"> lacking.</w:t>
      </w:r>
      <w:r w:rsidR="005B1CE4" w:rsidRPr="00564DB3">
        <w:rPr>
          <w:rStyle w:val="FootnoteReference"/>
          <w:szCs w:val="18"/>
        </w:rPr>
        <w:footnoteReference w:id="450"/>
      </w:r>
      <w:r w:rsidRPr="00564DB3">
        <w:rPr>
          <w:szCs w:val="18"/>
        </w:rPr>
        <w:t xml:space="preserve"> This included quantitative data in the form of absolute levels of mortalities </w:t>
      </w:r>
      <w:r w:rsidR="00274875" w:rsidRPr="00564DB3">
        <w:rPr>
          <w:szCs w:val="18"/>
        </w:rPr>
        <w:t xml:space="preserve">and serious injuries </w:t>
      </w:r>
      <w:r w:rsidRPr="00564DB3">
        <w:rPr>
          <w:szCs w:val="18"/>
        </w:rPr>
        <w:t xml:space="preserve">as well as qualitative evidence where no quantitative information was </w:t>
      </w:r>
      <w:r w:rsidR="00274875" w:rsidRPr="00564DB3">
        <w:rPr>
          <w:szCs w:val="18"/>
        </w:rPr>
        <w:t>available</w:t>
      </w:r>
      <w:r w:rsidRPr="00564DB3">
        <w:rPr>
          <w:szCs w:val="18"/>
        </w:rPr>
        <w:t>.</w:t>
      </w:r>
      <w:r w:rsidR="005B1CE4" w:rsidRPr="00564DB3">
        <w:rPr>
          <w:rStyle w:val="FootnoteReference"/>
          <w:szCs w:val="18"/>
        </w:rPr>
        <w:footnoteReference w:id="451"/>
      </w:r>
      <w:r w:rsidRPr="00564DB3">
        <w:rPr>
          <w:szCs w:val="18"/>
        </w:rPr>
        <w:t xml:space="preserve"> By contrast, as indicated above, in assessing "unobserved but observable" harm (in other words, harm that </w:t>
      </w:r>
      <w:r w:rsidRPr="00564DB3">
        <w:rPr>
          <w:i/>
          <w:szCs w:val="18"/>
        </w:rPr>
        <w:t>could</w:t>
      </w:r>
      <w:r w:rsidRPr="00564DB3">
        <w:rPr>
          <w:szCs w:val="18"/>
        </w:rPr>
        <w:t xml:space="preserve"> be detected during a fishing set, but was</w:t>
      </w:r>
      <w:r w:rsidR="0049607B" w:rsidRPr="00564DB3">
        <w:rPr>
          <w:szCs w:val="18"/>
        </w:rPr>
        <w:t xml:space="preserve"> not</w:t>
      </w:r>
      <w:r w:rsidRPr="00564DB3">
        <w:rPr>
          <w:szCs w:val="18"/>
        </w:rPr>
        <w:t xml:space="preserve"> detected), the Panels focused on the level of association between dolphins and tuna as a proxy for evidence of such unobserved harm.</w:t>
      </w:r>
      <w:r w:rsidR="005B1CE4" w:rsidRPr="00564DB3">
        <w:rPr>
          <w:rStyle w:val="FootnoteReference"/>
          <w:szCs w:val="18"/>
        </w:rPr>
        <w:footnoteReference w:id="452"/>
      </w:r>
      <w:r w:rsidRPr="00564DB3">
        <w:rPr>
          <w:szCs w:val="18"/>
        </w:rPr>
        <w:t xml:space="preserve"> Finally, in assessing "unobservable" harms, the Panels looked at evidence revealing the extent to which dolphins are harmed during a particular fishing operation even though no evidence of that harm is actually produced </w:t>
      </w:r>
      <w:r w:rsidRPr="00564DB3">
        <w:rPr>
          <w:i/>
          <w:szCs w:val="18"/>
        </w:rPr>
        <w:t xml:space="preserve">during </w:t>
      </w:r>
      <w:r w:rsidRPr="00564DB3">
        <w:rPr>
          <w:szCs w:val="18"/>
        </w:rPr>
        <w:t>the fishing operation itself.</w:t>
      </w:r>
      <w:r w:rsidR="005B1CE4" w:rsidRPr="00564DB3">
        <w:rPr>
          <w:rStyle w:val="FootnoteReference"/>
          <w:szCs w:val="18"/>
        </w:rPr>
        <w:footnoteReference w:id="453"/>
      </w:r>
      <w:r w:rsidRPr="00564DB3">
        <w:rPr>
          <w:szCs w:val="18"/>
        </w:rPr>
        <w:t xml:space="preserve"> </w:t>
      </w:r>
    </w:p>
    <w:bookmarkEnd w:id="247"/>
    <w:p w:rsidR="00432E5C" w:rsidRPr="00564DB3" w:rsidRDefault="00432E5C" w:rsidP="00F70E38">
      <w:pPr>
        <w:pStyle w:val="BodyText"/>
        <w:rPr>
          <w:szCs w:val="18"/>
        </w:rPr>
      </w:pPr>
      <w:r w:rsidRPr="00564DB3">
        <w:rPr>
          <w:szCs w:val="18"/>
        </w:rPr>
        <w:t xml:space="preserve">Given that the Panels were examining different types of evidence for each "type" of harm that they examined, we do not consider that the Panels erred merely by drawing distinctions between different types of harm to dolphins. At the same time, we recall that the Appellate Body in the first compliance proceedings faulted the first compliance panel, and found itself unable to complete the analysis, because the first compliance panel had focused its analysis exclusively on differences in </w:t>
      </w:r>
      <w:r w:rsidRPr="00564DB3">
        <w:rPr>
          <w:i/>
          <w:szCs w:val="18"/>
        </w:rPr>
        <w:t xml:space="preserve">unobserved </w:t>
      </w:r>
      <w:r w:rsidRPr="00564DB3">
        <w:rPr>
          <w:szCs w:val="18"/>
        </w:rPr>
        <w:t xml:space="preserve">harms, without comparing the </w:t>
      </w:r>
      <w:r w:rsidRPr="00564DB3">
        <w:rPr>
          <w:i/>
          <w:szCs w:val="18"/>
        </w:rPr>
        <w:t>overall</w:t>
      </w:r>
      <w:r w:rsidRPr="00564DB3">
        <w:rPr>
          <w:szCs w:val="18"/>
        </w:rPr>
        <w:t xml:space="preserve"> relative harms.</w:t>
      </w:r>
      <w:r w:rsidR="005B1CE4" w:rsidRPr="00564DB3">
        <w:rPr>
          <w:rStyle w:val="FootnoteReference"/>
          <w:szCs w:val="18"/>
        </w:rPr>
        <w:footnoteReference w:id="454"/>
      </w:r>
      <w:r w:rsidRPr="00564DB3">
        <w:rPr>
          <w:szCs w:val="18"/>
        </w:rPr>
        <w:t xml:space="preserve"> Thus, in the present proceedings, if the Panels had focused exclusively on a particular "kind" of harm in assessing the overall relative harms of different fishing methods and fisheries, such an approach would not have comported with the nature of the required calibration analysis as articulated by the Appellate Body. In this respect, we note that Mexico highlights the evidence reviewed by the Panels regarding harms caused by "ghost fishing" in the context of gillnet and longline </w:t>
      </w:r>
      <w:proofErr w:type="gramStart"/>
      <w:r w:rsidRPr="00564DB3">
        <w:rPr>
          <w:szCs w:val="18"/>
        </w:rPr>
        <w:t>fishing, and</w:t>
      </w:r>
      <w:proofErr w:type="gramEnd"/>
      <w:r w:rsidRPr="00564DB3">
        <w:rPr>
          <w:szCs w:val="18"/>
        </w:rPr>
        <w:t xml:space="preserve"> contends that the Panels "omit[</w:t>
      </w:r>
      <w:r w:rsidR="004F4A03" w:rsidRPr="00564DB3">
        <w:rPr>
          <w:szCs w:val="18"/>
        </w:rPr>
        <w:t>t</w:t>
      </w:r>
      <w:r w:rsidRPr="00564DB3">
        <w:rPr>
          <w:szCs w:val="18"/>
        </w:rPr>
        <w:t>ed] a comparative assessment" of such harms because the Panels considered that such harms are not the "kinds" of unobservable harms caused by setting on dolphins.</w:t>
      </w:r>
      <w:r w:rsidR="005B1CE4" w:rsidRPr="00564DB3">
        <w:rPr>
          <w:rStyle w:val="FootnoteReference"/>
          <w:szCs w:val="18"/>
        </w:rPr>
        <w:footnoteReference w:id="455"/>
      </w:r>
      <w:r w:rsidRPr="00564DB3">
        <w:rPr>
          <w:szCs w:val="18"/>
        </w:rPr>
        <w:t xml:space="preserve"> </w:t>
      </w:r>
    </w:p>
    <w:p w:rsidR="00432E5C" w:rsidRPr="00564DB3" w:rsidRDefault="00432E5C" w:rsidP="00F70E38">
      <w:pPr>
        <w:pStyle w:val="BodyText"/>
        <w:rPr>
          <w:szCs w:val="18"/>
        </w:rPr>
      </w:pPr>
      <w:r w:rsidRPr="00564DB3">
        <w:rPr>
          <w:szCs w:val="18"/>
        </w:rPr>
        <w:t>In addressing this issue, we recall that the Panels found that "setting on dolphins" causes unobservable harms such as cow-calf separation, potential muscle injury resulting from the chase, immu</w:t>
      </w:r>
      <w:r w:rsidR="00716F63" w:rsidRPr="00564DB3">
        <w:rPr>
          <w:szCs w:val="18"/>
        </w:rPr>
        <w:t>ne and reproductive system</w:t>
      </w:r>
      <w:r w:rsidRPr="00564DB3">
        <w:rPr>
          <w:szCs w:val="18"/>
        </w:rPr>
        <w:t xml:space="preserve"> failures, and other adverse health consequences for dolphins, such as continuous acute stress.</w:t>
      </w:r>
      <w:r w:rsidR="005B1CE4" w:rsidRPr="00564DB3">
        <w:rPr>
          <w:rStyle w:val="FootnoteReference"/>
          <w:szCs w:val="18"/>
        </w:rPr>
        <w:footnoteReference w:id="456"/>
      </w:r>
      <w:r w:rsidRPr="00564DB3">
        <w:rPr>
          <w:szCs w:val="18"/>
        </w:rPr>
        <w:t xml:space="preserve"> The Panels found that no other fishing method poses similar unobservable harms.</w:t>
      </w:r>
      <w:r w:rsidR="005B1CE4" w:rsidRPr="00564DB3">
        <w:rPr>
          <w:rStyle w:val="FootnoteReference"/>
          <w:szCs w:val="18"/>
        </w:rPr>
        <w:footnoteReference w:id="457"/>
      </w:r>
      <w:r w:rsidRPr="00564DB3">
        <w:rPr>
          <w:szCs w:val="18"/>
        </w:rPr>
        <w:t xml:space="preserve"> We further note that the Panels discussed the impact of ghost fishing specifically.</w:t>
      </w:r>
      <w:r w:rsidR="005B1CE4" w:rsidRPr="00564DB3">
        <w:rPr>
          <w:rStyle w:val="FootnoteReference"/>
          <w:szCs w:val="18"/>
        </w:rPr>
        <w:footnoteReference w:id="458"/>
      </w:r>
      <w:r w:rsidRPr="00564DB3">
        <w:rPr>
          <w:szCs w:val="18"/>
        </w:rPr>
        <w:t xml:space="preserve"> The Panels ultimately considered that the harms posed to dolphins by ghost fishing were indeed relevant to their assessment of the risk profile of gillnet fishing, but that such harms were observable in nature in that they result from interaction with the fishing gear. The Panels explained that, although the harms from ghost fishing may not be observed, this "does not change </w:t>
      </w:r>
      <w:r w:rsidRPr="00564DB3">
        <w:rPr>
          <w:szCs w:val="18"/>
        </w:rPr>
        <w:lastRenderedPageBreak/>
        <w:t xml:space="preserve">the observable nature of such harms", and that harms posed by ghost fishing "are not the </w:t>
      </w:r>
      <w:r w:rsidRPr="00564DB3">
        <w:rPr>
          <w:i/>
          <w:szCs w:val="18"/>
        </w:rPr>
        <w:t>kind</w:t>
      </w:r>
      <w:r w:rsidRPr="00564DB3">
        <w:rPr>
          <w:szCs w:val="18"/>
        </w:rPr>
        <w:t xml:space="preserve"> of unobservable harms caused by setting on dolphins", because the latter "'may be inflicted even in cases where no dolphin is caught in the net, or where any caught dolphin is released without apparent injury'".</w:t>
      </w:r>
      <w:r w:rsidR="005B1CE4" w:rsidRPr="00564DB3">
        <w:rPr>
          <w:rStyle w:val="FootnoteReference"/>
          <w:szCs w:val="18"/>
        </w:rPr>
        <w:footnoteReference w:id="459"/>
      </w:r>
      <w:r w:rsidRPr="00564DB3">
        <w:rPr>
          <w:szCs w:val="18"/>
        </w:rPr>
        <w:t xml:space="preserve"> The Panels nevertheless considered, </w:t>
      </w:r>
      <w:r w:rsidR="00E175AB" w:rsidRPr="00564DB3">
        <w:rPr>
          <w:szCs w:val="18"/>
        </w:rPr>
        <w:t>with respect to</w:t>
      </w:r>
      <w:r w:rsidRPr="00564DB3">
        <w:rPr>
          <w:szCs w:val="18"/>
        </w:rPr>
        <w:t xml:space="preserve"> "observable harms to dolphins", that "gillnet fishing poses high levels</w:t>
      </w:r>
      <w:r w:rsidRPr="00564DB3">
        <w:rPr>
          <w:i/>
          <w:szCs w:val="18"/>
        </w:rPr>
        <w:t xml:space="preserve"> </w:t>
      </w:r>
      <w:r w:rsidRPr="00564DB3">
        <w:rPr>
          <w:szCs w:val="18"/>
        </w:rPr>
        <w:t>of observable harms to dolphins in certain areas of the ocean, but does not pose the same harms in other areas."</w:t>
      </w:r>
      <w:r w:rsidR="005B1CE4" w:rsidRPr="00564DB3">
        <w:rPr>
          <w:rStyle w:val="FootnoteReference"/>
          <w:szCs w:val="18"/>
        </w:rPr>
        <w:footnoteReference w:id="460"/>
      </w:r>
      <w:r w:rsidRPr="00564DB3">
        <w:rPr>
          <w:szCs w:val="18"/>
        </w:rPr>
        <w:t xml:space="preserve"> The Panels considered that the same considerations applied </w:t>
      </w:r>
      <w:r w:rsidR="00E175AB" w:rsidRPr="00564DB3">
        <w:rPr>
          <w:szCs w:val="18"/>
        </w:rPr>
        <w:t>with respect to</w:t>
      </w:r>
      <w:r w:rsidRPr="00564DB3">
        <w:rPr>
          <w:szCs w:val="18"/>
        </w:rPr>
        <w:t xml:space="preserve"> ghost fishing in the context of longline fishing</w:t>
      </w:r>
      <w:r w:rsidR="005B1CE4" w:rsidRPr="00564DB3">
        <w:rPr>
          <w:rStyle w:val="FootnoteReference"/>
          <w:szCs w:val="18"/>
        </w:rPr>
        <w:footnoteReference w:id="461"/>
      </w:r>
      <w:r w:rsidRPr="00564DB3">
        <w:rPr>
          <w:szCs w:val="18"/>
        </w:rPr>
        <w:t xml:space="preserve">, and concluded, </w:t>
      </w:r>
      <w:r w:rsidR="00E175AB" w:rsidRPr="00564DB3">
        <w:rPr>
          <w:szCs w:val="18"/>
        </w:rPr>
        <w:t>with respect to</w:t>
      </w:r>
      <w:r w:rsidRPr="00564DB3">
        <w:rPr>
          <w:szCs w:val="18"/>
        </w:rPr>
        <w:t xml:space="preserve"> observable harms caused by longline fishing, that "dolphins may suffer some observable mortality and serious injury as a result of [longline fishing] in some fisheries."</w:t>
      </w:r>
      <w:r w:rsidR="005B1CE4" w:rsidRPr="00564DB3">
        <w:rPr>
          <w:rStyle w:val="FootnoteReference"/>
          <w:szCs w:val="18"/>
        </w:rPr>
        <w:footnoteReference w:id="462"/>
      </w:r>
      <w:r w:rsidRPr="00564DB3">
        <w:rPr>
          <w:szCs w:val="18"/>
        </w:rPr>
        <w:t xml:space="preserve"> Subsequently, when assessing whether the regulatory distinctions under the 2016 Tuna Measure are calibrated to different risks to dolphins, the Panels took into account all relevant types of harm in assessing and comparing different risk profiles.</w:t>
      </w:r>
    </w:p>
    <w:p w:rsidR="00432E5C" w:rsidRPr="00564DB3" w:rsidRDefault="00432E5C" w:rsidP="00F70E38">
      <w:pPr>
        <w:pStyle w:val="BodyText"/>
        <w:rPr>
          <w:szCs w:val="18"/>
        </w:rPr>
      </w:pPr>
      <w:r w:rsidRPr="00564DB3">
        <w:rPr>
          <w:szCs w:val="18"/>
        </w:rPr>
        <w:t xml:space="preserve">In our view, the Panels' analysis is consistent with the requirement that they assess the "overall relative risks" to dolphins from different fishing methods as used in different ocean areas. Specifically, the Panels took into account ghost fishing in the context of gillnet and longline </w:t>
      </w:r>
      <w:proofErr w:type="gramStart"/>
      <w:r w:rsidRPr="00564DB3">
        <w:rPr>
          <w:szCs w:val="18"/>
        </w:rPr>
        <w:t>fishing, and</w:t>
      </w:r>
      <w:proofErr w:type="gramEnd"/>
      <w:r w:rsidRPr="00564DB3">
        <w:rPr>
          <w:szCs w:val="18"/>
        </w:rPr>
        <w:t xml:space="preserve"> highlighted that certain gillnet fisheries pose a particularly high risk to dolphins, and that certain longline fisheries do cause observable mortalities and serious injuries to dolphins. The Panels also looked at similar observable harm to dolphins caused by setting on dolphins, as well as unobservable harms. The Panels relied on all such information when comparing the risk profiles of setting on dolphins with other fishing methods. We therefore consider that the Panels </w:t>
      </w:r>
      <w:proofErr w:type="gramStart"/>
      <w:r w:rsidRPr="00564DB3">
        <w:rPr>
          <w:szCs w:val="18"/>
        </w:rPr>
        <w:t>took into account</w:t>
      </w:r>
      <w:proofErr w:type="gramEnd"/>
      <w:r w:rsidRPr="00564DB3">
        <w:rPr>
          <w:szCs w:val="18"/>
        </w:rPr>
        <w:t xml:space="preserve"> all relevant types of harm in conducting an assessment of the overall relative risks from different fishing methods, as used in different fisheries, before reaching an overall conclusion regarding the risk profile of each fishing method. </w:t>
      </w:r>
    </w:p>
    <w:p w:rsidR="00432E5C" w:rsidRPr="00564DB3" w:rsidRDefault="00432E5C" w:rsidP="00F70E38">
      <w:pPr>
        <w:pStyle w:val="BodyText"/>
        <w:rPr>
          <w:szCs w:val="18"/>
        </w:rPr>
      </w:pPr>
      <w:bookmarkStart w:id="248" w:name="_Hlk526158127"/>
      <w:r w:rsidRPr="00564DB3">
        <w:rPr>
          <w:szCs w:val="18"/>
        </w:rPr>
        <w:t xml:space="preserve">We briefly note that aspects of Mexico's arguments relate </w:t>
      </w:r>
      <w:r w:rsidR="00457AF0" w:rsidRPr="00564DB3">
        <w:rPr>
          <w:szCs w:val="18"/>
        </w:rPr>
        <w:t xml:space="preserve">solely </w:t>
      </w:r>
      <w:r w:rsidRPr="00564DB3">
        <w:rPr>
          <w:szCs w:val="18"/>
        </w:rPr>
        <w:t xml:space="preserve">to the Panels' appreciation of the evidence in their role as factfinder. Specifically, to the extent </w:t>
      </w:r>
      <w:r w:rsidR="00C81CC4">
        <w:rPr>
          <w:szCs w:val="18"/>
        </w:rPr>
        <w:t>that Mexico considers that "the </w:t>
      </w:r>
      <w:r w:rsidRPr="00564DB3">
        <w:rPr>
          <w:szCs w:val="18"/>
        </w:rPr>
        <w:t>Panels relied [on] speculative hypotheses" and that "there is no conclusive evidence that dolphin sets … cause a material level of stress to dolphins"</w:t>
      </w:r>
      <w:r w:rsidR="005B1CE4" w:rsidRPr="00564DB3">
        <w:rPr>
          <w:rStyle w:val="FootnoteReference"/>
          <w:szCs w:val="18"/>
        </w:rPr>
        <w:footnoteReference w:id="463"/>
      </w:r>
      <w:r w:rsidRPr="00564DB3">
        <w:rPr>
          <w:szCs w:val="18"/>
        </w:rPr>
        <w:t>, we consider that these aspects of Mexico's arguments pertain to the Panels' appreciation of the evidence.</w:t>
      </w:r>
      <w:r w:rsidR="005B1CE4" w:rsidRPr="00564DB3">
        <w:rPr>
          <w:rStyle w:val="FootnoteReference"/>
          <w:szCs w:val="18"/>
        </w:rPr>
        <w:footnoteReference w:id="464"/>
      </w:r>
      <w:r w:rsidRPr="00564DB3">
        <w:rPr>
          <w:szCs w:val="18"/>
        </w:rPr>
        <w:t xml:space="preserve"> In the absence of any claim under </w:t>
      </w:r>
      <w:r w:rsidR="00083DFC" w:rsidRPr="00564DB3">
        <w:rPr>
          <w:szCs w:val="18"/>
        </w:rPr>
        <w:t>Article </w:t>
      </w:r>
      <w:r w:rsidRPr="00564DB3">
        <w:rPr>
          <w:szCs w:val="18"/>
        </w:rPr>
        <w:t>11 of the DSU, we consider that such arguments pertain to issues outside the scope of this appeal.</w:t>
      </w:r>
    </w:p>
    <w:bookmarkEnd w:id="248"/>
    <w:p w:rsidR="00432E5C" w:rsidRPr="00564DB3" w:rsidRDefault="00432E5C" w:rsidP="00F70E38">
      <w:pPr>
        <w:pStyle w:val="BodyText"/>
        <w:rPr>
          <w:szCs w:val="18"/>
        </w:rPr>
      </w:pPr>
      <w:proofErr w:type="gramStart"/>
      <w:r w:rsidRPr="00564DB3">
        <w:rPr>
          <w:szCs w:val="18"/>
        </w:rPr>
        <w:t>On the basis of</w:t>
      </w:r>
      <w:proofErr w:type="gramEnd"/>
      <w:r w:rsidRPr="00564DB3">
        <w:rPr>
          <w:szCs w:val="18"/>
        </w:rPr>
        <w:t xml:space="preserve"> the foregoing, we do not consider that Mexico has demonstrated that the Panels relied on the risk profile of setting on dolphins in the ETP as a benchmark by which to assess different fishing methods. Additionally, we do not consider that Mexico has demonstrated that the Panels erred by distinguishing between different types of harm to dolphins. </w:t>
      </w:r>
    </w:p>
    <w:p w:rsidR="00432E5C" w:rsidRPr="00564DB3" w:rsidRDefault="00432E5C" w:rsidP="00F70E38">
      <w:pPr>
        <w:pStyle w:val="Heading4"/>
        <w:rPr>
          <w:szCs w:val="18"/>
        </w:rPr>
      </w:pPr>
      <w:bookmarkStart w:id="249" w:name="_Toc522540647"/>
      <w:bookmarkStart w:id="250" w:name="_Ref522705764"/>
      <w:bookmarkStart w:id="251" w:name="_Toc526162683"/>
      <w:bookmarkStart w:id="252" w:name="_Ref526180799"/>
      <w:bookmarkStart w:id="253" w:name="_Toc528506765"/>
      <w:bookmarkStart w:id="254" w:name="_Toc528506930"/>
      <w:bookmarkStart w:id="255" w:name="_Ref529196745"/>
      <w:bookmarkStart w:id="256" w:name="_Toc531967482"/>
      <w:r w:rsidRPr="00564DB3">
        <w:rPr>
          <w:szCs w:val="18"/>
        </w:rPr>
        <w:t>Whether the Panels erred by relying primarily on per set data and excluding other relevant factors</w:t>
      </w:r>
      <w:bookmarkEnd w:id="249"/>
      <w:bookmarkEnd w:id="250"/>
      <w:bookmarkEnd w:id="251"/>
      <w:bookmarkEnd w:id="252"/>
      <w:bookmarkEnd w:id="253"/>
      <w:bookmarkEnd w:id="254"/>
      <w:bookmarkEnd w:id="255"/>
      <w:bookmarkEnd w:id="256"/>
    </w:p>
    <w:p w:rsidR="00432E5C" w:rsidRPr="00564DB3" w:rsidRDefault="00432E5C" w:rsidP="00F70E38">
      <w:pPr>
        <w:pStyle w:val="BodyText"/>
        <w:rPr>
          <w:szCs w:val="18"/>
        </w:rPr>
      </w:pPr>
      <w:bookmarkStart w:id="257" w:name="_Ref524944058"/>
      <w:r w:rsidRPr="00564DB3">
        <w:rPr>
          <w:szCs w:val="18"/>
        </w:rPr>
        <w:t>We now turn to Mexico's arguments regarding the factors or methodology on which the Panels relied in assessing the risks of harm to dolphins.</w:t>
      </w:r>
      <w:bookmarkEnd w:id="257"/>
      <w:r w:rsidRPr="00564DB3">
        <w:rPr>
          <w:szCs w:val="18"/>
        </w:rPr>
        <w:t xml:space="preserve"> Mexico argues that, although the Panels were correct to rely on per set data to assess the overall relative risks to dolphins, the Panel</w:t>
      </w:r>
      <w:r w:rsidR="00C81CC4">
        <w:rPr>
          <w:szCs w:val="18"/>
        </w:rPr>
        <w:t>s' </w:t>
      </w:r>
      <w:r w:rsidRPr="00564DB3">
        <w:rPr>
          <w:szCs w:val="18"/>
        </w:rPr>
        <w:t>analysis was incomplete.</w:t>
      </w:r>
      <w:r w:rsidR="005B1CE4" w:rsidRPr="00564DB3">
        <w:rPr>
          <w:rStyle w:val="FootnoteReference"/>
          <w:szCs w:val="18"/>
        </w:rPr>
        <w:footnoteReference w:id="465"/>
      </w:r>
      <w:r w:rsidRPr="00564DB3">
        <w:rPr>
          <w:szCs w:val="18"/>
        </w:rPr>
        <w:t xml:space="preserve"> In Mexico's view, "[a]</w:t>
      </w:r>
      <w:proofErr w:type="spellStart"/>
      <w:r w:rsidRPr="00564DB3">
        <w:rPr>
          <w:szCs w:val="18"/>
        </w:rPr>
        <w:t>ll</w:t>
      </w:r>
      <w:proofErr w:type="spellEnd"/>
      <w:r w:rsidRPr="00564DB3">
        <w:rPr>
          <w:szCs w:val="18"/>
        </w:rPr>
        <w:t xml:space="preserve"> factors that have a bearing on the measure achieving its objectives must be included" in order to properly measure the risks to dolphins</w:t>
      </w:r>
      <w:r w:rsidR="007F146A" w:rsidRPr="00564DB3">
        <w:rPr>
          <w:szCs w:val="18"/>
        </w:rPr>
        <w:t>.</w:t>
      </w:r>
      <w:r w:rsidR="00457AF0" w:rsidRPr="00564DB3">
        <w:rPr>
          <w:rStyle w:val="FootnoteReference"/>
          <w:szCs w:val="18"/>
        </w:rPr>
        <w:footnoteReference w:id="466"/>
      </w:r>
      <w:r w:rsidR="007F146A" w:rsidRPr="00564DB3">
        <w:rPr>
          <w:szCs w:val="18"/>
        </w:rPr>
        <w:t xml:space="preserve"> Mexico</w:t>
      </w:r>
      <w:r w:rsidRPr="00564DB3">
        <w:rPr>
          <w:szCs w:val="18"/>
        </w:rPr>
        <w:t xml:space="preserve"> asserts that the Panels incorrectly omitted from their assessment: (i) the impact of tuna</w:t>
      </w:r>
      <w:r w:rsidR="003B1889" w:rsidRPr="00564DB3">
        <w:rPr>
          <w:szCs w:val="18"/>
        </w:rPr>
        <w:noBreakHyphen/>
      </w:r>
      <w:r w:rsidRPr="00564DB3">
        <w:rPr>
          <w:szCs w:val="18"/>
        </w:rPr>
        <w:t xml:space="preserve">fishing methods on the sustainability of dolphin stocks through Potential Biological Removal (PBR) data; (ii) data </w:t>
      </w:r>
      <w:r w:rsidR="00E175AB" w:rsidRPr="00564DB3">
        <w:rPr>
          <w:szCs w:val="18"/>
        </w:rPr>
        <w:t>with respect to</w:t>
      </w:r>
      <w:r w:rsidRPr="00564DB3">
        <w:rPr>
          <w:szCs w:val="18"/>
        </w:rPr>
        <w:t xml:space="preserve"> absolute dolphin mortalities and serious injuries in ocean areas; and (iii) data concerning the risks created in certain ocean areas through insufficient regulatory overs</w:t>
      </w:r>
      <w:r w:rsidR="00331D9A" w:rsidRPr="00564DB3">
        <w:rPr>
          <w:szCs w:val="18"/>
        </w:rPr>
        <w:t>ight, unreliable reporting, IUU </w:t>
      </w:r>
      <w:r w:rsidRPr="00564DB3">
        <w:rPr>
          <w:szCs w:val="18"/>
        </w:rPr>
        <w:t xml:space="preserve">fishing, and/or </w:t>
      </w:r>
      <w:r w:rsidR="00CB07A0" w:rsidRPr="00564DB3">
        <w:rPr>
          <w:szCs w:val="18"/>
        </w:rPr>
        <w:t>trans-</w:t>
      </w:r>
      <w:r w:rsidRPr="00564DB3">
        <w:rPr>
          <w:szCs w:val="18"/>
        </w:rPr>
        <w:t>shipment at sea.</w:t>
      </w:r>
      <w:r w:rsidR="005B1CE4" w:rsidRPr="00564DB3">
        <w:rPr>
          <w:rStyle w:val="FootnoteReference"/>
          <w:szCs w:val="18"/>
        </w:rPr>
        <w:footnoteReference w:id="467"/>
      </w:r>
    </w:p>
    <w:p w:rsidR="00432E5C" w:rsidRPr="00564DB3" w:rsidRDefault="00432E5C" w:rsidP="00F70E38">
      <w:pPr>
        <w:pStyle w:val="BodyText"/>
        <w:rPr>
          <w:szCs w:val="18"/>
        </w:rPr>
      </w:pPr>
      <w:r w:rsidRPr="00564DB3">
        <w:rPr>
          <w:szCs w:val="18"/>
        </w:rPr>
        <w:lastRenderedPageBreak/>
        <w:t xml:space="preserve">The </w:t>
      </w:r>
      <w:r w:rsidR="00083DFC" w:rsidRPr="00564DB3">
        <w:rPr>
          <w:szCs w:val="18"/>
        </w:rPr>
        <w:t>United States</w:t>
      </w:r>
      <w:r w:rsidRPr="00564DB3">
        <w:rPr>
          <w:szCs w:val="18"/>
        </w:rPr>
        <w:t xml:space="preserve"> argues that the Panels were correct not to rely on the data to which Mexico refers.</w:t>
      </w:r>
      <w:r w:rsidR="005B1CE4" w:rsidRPr="00564DB3">
        <w:rPr>
          <w:rStyle w:val="FootnoteReference"/>
          <w:szCs w:val="18"/>
        </w:rPr>
        <w:footnoteReference w:id="468"/>
      </w:r>
      <w:r w:rsidRPr="00564DB3">
        <w:rPr>
          <w:szCs w:val="18"/>
        </w:rPr>
        <w:t xml:space="preserve"> In the </w:t>
      </w:r>
      <w:r w:rsidR="00083DFC" w:rsidRPr="00564DB3">
        <w:rPr>
          <w:szCs w:val="18"/>
        </w:rPr>
        <w:t>United States</w:t>
      </w:r>
      <w:r w:rsidRPr="00564DB3">
        <w:rPr>
          <w:szCs w:val="18"/>
        </w:rPr>
        <w:t xml:space="preserve">' view, Mexico's arguments concerning per set data are unsupported by any evidence and, in any event, relate to the Panels' appreciation of the evidence and are therefore outside the scope of this appeal in the absence of a claim under </w:t>
      </w:r>
      <w:r w:rsidR="00083DFC" w:rsidRPr="00564DB3">
        <w:rPr>
          <w:szCs w:val="18"/>
        </w:rPr>
        <w:t>Article </w:t>
      </w:r>
      <w:r w:rsidRPr="00564DB3">
        <w:rPr>
          <w:szCs w:val="18"/>
        </w:rPr>
        <w:t>11 of the DSU.</w:t>
      </w:r>
      <w:r w:rsidR="005B1CE4" w:rsidRPr="00564DB3">
        <w:rPr>
          <w:rStyle w:val="FootnoteReference"/>
          <w:szCs w:val="18"/>
        </w:rPr>
        <w:footnoteReference w:id="469"/>
      </w:r>
      <w:r w:rsidRPr="00564DB3">
        <w:rPr>
          <w:szCs w:val="18"/>
        </w:rPr>
        <w:t xml:space="preserve"> The </w:t>
      </w:r>
      <w:r w:rsidR="00083DFC" w:rsidRPr="00564DB3">
        <w:rPr>
          <w:szCs w:val="18"/>
        </w:rPr>
        <w:t>United States</w:t>
      </w:r>
      <w:r w:rsidRPr="00564DB3">
        <w:rPr>
          <w:szCs w:val="18"/>
        </w:rPr>
        <w:t xml:space="preserve"> also submits that the Panels' approach to PBR </w:t>
      </w:r>
      <w:r w:rsidR="00457AF0" w:rsidRPr="00564DB3">
        <w:rPr>
          <w:szCs w:val="18"/>
        </w:rPr>
        <w:t>evidence</w:t>
      </w:r>
      <w:r w:rsidRPr="00564DB3">
        <w:rPr>
          <w:szCs w:val="18"/>
        </w:rPr>
        <w:t xml:space="preserve">, as well as </w:t>
      </w:r>
      <w:r w:rsidR="007F146A" w:rsidRPr="00564DB3">
        <w:rPr>
          <w:szCs w:val="18"/>
        </w:rPr>
        <w:t xml:space="preserve">to </w:t>
      </w:r>
      <w:r w:rsidRPr="00564DB3">
        <w:rPr>
          <w:szCs w:val="18"/>
        </w:rPr>
        <w:t>absolute levels of mortalities and serious injuries, was in accordance with the approach taken by the Appellate Body in prior proceedings in this dispute.</w:t>
      </w:r>
      <w:r w:rsidR="005B1CE4" w:rsidRPr="00564DB3">
        <w:rPr>
          <w:rStyle w:val="FootnoteReference"/>
          <w:szCs w:val="18"/>
        </w:rPr>
        <w:footnoteReference w:id="470"/>
      </w:r>
      <w:r w:rsidRPr="00564DB3">
        <w:rPr>
          <w:szCs w:val="18"/>
        </w:rPr>
        <w:t xml:space="preserve"> The </w:t>
      </w:r>
      <w:r w:rsidR="00083DFC" w:rsidRPr="00564DB3">
        <w:rPr>
          <w:szCs w:val="18"/>
        </w:rPr>
        <w:t>United States</w:t>
      </w:r>
      <w:r w:rsidRPr="00564DB3">
        <w:rPr>
          <w:szCs w:val="18"/>
        </w:rPr>
        <w:t xml:space="preserve"> also considers that Mexico has not demonstrated that the Panels erred by failing to take into account a lack of regulatory oversight, or the risks of inaccurate certification or tracking, in assessing the risks to dolphins.</w:t>
      </w:r>
      <w:r w:rsidR="005B1CE4" w:rsidRPr="00564DB3">
        <w:rPr>
          <w:rStyle w:val="FootnoteReference"/>
          <w:szCs w:val="18"/>
        </w:rPr>
        <w:footnoteReference w:id="471"/>
      </w:r>
    </w:p>
    <w:p w:rsidR="00432E5C" w:rsidRPr="00564DB3" w:rsidRDefault="00432E5C" w:rsidP="00F70E38">
      <w:pPr>
        <w:pStyle w:val="BodyText"/>
        <w:rPr>
          <w:szCs w:val="18"/>
        </w:rPr>
      </w:pPr>
      <w:r w:rsidRPr="00564DB3">
        <w:rPr>
          <w:szCs w:val="18"/>
        </w:rPr>
        <w:t>As an initial matter, we note that Mexico's arguments concern</w:t>
      </w:r>
      <w:r w:rsidR="00B23AD2">
        <w:rPr>
          <w:szCs w:val="18"/>
        </w:rPr>
        <w:t>ing the Panels' reliance on per </w:t>
      </w:r>
      <w:r w:rsidRPr="00564DB3">
        <w:rPr>
          <w:szCs w:val="18"/>
        </w:rPr>
        <w:t>set data have evolved during these appellate proceedings. In its appellant's submission, Mexico argued that the Panels' reliance on per set data was inconsistent, because the Panels disregarded such data for gillnet fisheries and trawl fishing, and relied on a "very small sample as the basis for [their] analysis of the risk profile of gillnet fishing".</w:t>
      </w:r>
      <w:r w:rsidR="005B1CE4" w:rsidRPr="00564DB3">
        <w:rPr>
          <w:rStyle w:val="FootnoteReference"/>
          <w:szCs w:val="18"/>
        </w:rPr>
        <w:footnoteReference w:id="472"/>
      </w:r>
      <w:r w:rsidRPr="00564DB3">
        <w:rPr>
          <w:szCs w:val="18"/>
        </w:rPr>
        <w:t xml:space="preserve"> Mexico also stated that "[s]</w:t>
      </w:r>
      <w:proofErr w:type="spellStart"/>
      <w:r w:rsidRPr="00564DB3">
        <w:rPr>
          <w:szCs w:val="18"/>
        </w:rPr>
        <w:t>imilarly</w:t>
      </w:r>
      <w:proofErr w:type="spellEnd"/>
      <w:r w:rsidRPr="00564DB3">
        <w:rPr>
          <w:szCs w:val="18"/>
        </w:rPr>
        <w:t>, although acknowledging that trawl fishing has resulted in significant dolphin mortalities, and the Panels identified a trawl fishery with a much higher per 1,000 set number than the ETP, they relied on anecdotal information to conclude that trawl fishing has a 'low-to-medium' risk profile."</w:t>
      </w:r>
      <w:r w:rsidR="005B1CE4" w:rsidRPr="00564DB3">
        <w:rPr>
          <w:rStyle w:val="FootnoteReference"/>
          <w:szCs w:val="18"/>
        </w:rPr>
        <w:footnoteReference w:id="473"/>
      </w:r>
      <w:r w:rsidRPr="00564DB3">
        <w:rPr>
          <w:szCs w:val="18"/>
        </w:rPr>
        <w:t xml:space="preserve"> At the hearing, Mexico clarified that, in its view, the Panels did not err by including per set data in their assessment and did examine all evidence relating to per set data. Rather, Mexico argued, the Panels erred in </w:t>
      </w:r>
      <w:r w:rsidRPr="00564DB3">
        <w:rPr>
          <w:i/>
          <w:szCs w:val="18"/>
        </w:rPr>
        <w:t xml:space="preserve">excluding </w:t>
      </w:r>
      <w:r w:rsidRPr="00564DB3">
        <w:rPr>
          <w:szCs w:val="18"/>
        </w:rPr>
        <w:t>other relevant factors, and that</w:t>
      </w:r>
      <w:r w:rsidR="00687B23" w:rsidRPr="00564DB3">
        <w:rPr>
          <w:szCs w:val="18"/>
        </w:rPr>
        <w:t>,</w:t>
      </w:r>
      <w:r w:rsidRPr="00564DB3">
        <w:rPr>
          <w:szCs w:val="18"/>
        </w:rPr>
        <w:t xml:space="preserve"> </w:t>
      </w:r>
      <w:proofErr w:type="gramStart"/>
      <w:r w:rsidRPr="00564DB3">
        <w:rPr>
          <w:szCs w:val="18"/>
        </w:rPr>
        <w:t>in order to</w:t>
      </w:r>
      <w:proofErr w:type="gramEnd"/>
      <w:r w:rsidRPr="00564DB3">
        <w:rPr>
          <w:szCs w:val="18"/>
        </w:rPr>
        <w:t xml:space="preserve"> properly apply the calibration analysis, an assessment of risks to dolphins should take into account all relevant factors, in order to capture all aspects of </w:t>
      </w:r>
      <w:r w:rsidR="00457AF0" w:rsidRPr="00564DB3">
        <w:rPr>
          <w:szCs w:val="18"/>
        </w:rPr>
        <w:t>adverse effects</w:t>
      </w:r>
      <w:r w:rsidRPr="00564DB3">
        <w:rPr>
          <w:szCs w:val="18"/>
        </w:rPr>
        <w:t xml:space="preserve"> on dolphins.</w:t>
      </w:r>
      <w:r w:rsidR="005B1CE4" w:rsidRPr="00564DB3">
        <w:rPr>
          <w:rStyle w:val="FootnoteReference"/>
          <w:szCs w:val="18"/>
        </w:rPr>
        <w:footnoteReference w:id="474"/>
      </w:r>
    </w:p>
    <w:p w:rsidR="00432E5C" w:rsidRPr="00564DB3" w:rsidRDefault="00432E5C" w:rsidP="00F70E38">
      <w:pPr>
        <w:pStyle w:val="BodyText"/>
        <w:rPr>
          <w:szCs w:val="18"/>
        </w:rPr>
      </w:pPr>
      <w:r w:rsidRPr="00564DB3">
        <w:rPr>
          <w:szCs w:val="18"/>
        </w:rPr>
        <w:t>In our view, Mexico's clarifications at the hearing indicate that it</w:t>
      </w:r>
      <w:r w:rsidR="00C81CC4">
        <w:rPr>
          <w:szCs w:val="18"/>
        </w:rPr>
        <w:t xml:space="preserve"> is not challenging the Panels' </w:t>
      </w:r>
      <w:r w:rsidRPr="00564DB3">
        <w:rPr>
          <w:szCs w:val="18"/>
        </w:rPr>
        <w:t xml:space="preserve">reliance on per set evidence </w:t>
      </w:r>
      <w:r w:rsidRPr="00564DB3">
        <w:rPr>
          <w:i/>
          <w:szCs w:val="18"/>
        </w:rPr>
        <w:t>per se</w:t>
      </w:r>
      <w:r w:rsidRPr="00564DB3">
        <w:rPr>
          <w:szCs w:val="18"/>
        </w:rPr>
        <w:t xml:space="preserve">. We therefore do not consider it necessary to address Mexico's arguments concerning alleged errors in the Panels' reliance on per set evidence. In any event, to the extent </w:t>
      </w:r>
      <w:r w:rsidR="007F146A" w:rsidRPr="00564DB3">
        <w:rPr>
          <w:szCs w:val="18"/>
        </w:rPr>
        <w:t xml:space="preserve">that </w:t>
      </w:r>
      <w:r w:rsidRPr="00564DB3">
        <w:rPr>
          <w:szCs w:val="18"/>
        </w:rPr>
        <w:t xml:space="preserve">Mexico continues to assert that the Panels "disregarded" certain evidence, or that the Panels' "sample size" was too small </w:t>
      </w:r>
      <w:r w:rsidR="00E175AB" w:rsidRPr="00564DB3">
        <w:rPr>
          <w:szCs w:val="18"/>
        </w:rPr>
        <w:t>with respect to</w:t>
      </w:r>
      <w:r w:rsidRPr="00564DB3">
        <w:rPr>
          <w:szCs w:val="18"/>
        </w:rPr>
        <w:t xml:space="preserve"> one </w:t>
      </w:r>
      <w:proofErr w:type="gramStart"/>
      <w:r w:rsidRPr="00564DB3">
        <w:rPr>
          <w:szCs w:val="18"/>
        </w:rPr>
        <w:t>particular fishing</w:t>
      </w:r>
      <w:proofErr w:type="gramEnd"/>
      <w:r w:rsidRPr="00564DB3">
        <w:rPr>
          <w:szCs w:val="18"/>
        </w:rPr>
        <w:t xml:space="preserve"> method, we consider that such arguments concern the Panels' appreciation of the evidence. Mexico has not claimed that the Panels' evaluation of per set data was inconsistent with their obligation under </w:t>
      </w:r>
      <w:r w:rsidR="00083DFC" w:rsidRPr="00564DB3">
        <w:rPr>
          <w:szCs w:val="18"/>
        </w:rPr>
        <w:t>Article </w:t>
      </w:r>
      <w:r w:rsidRPr="00564DB3">
        <w:rPr>
          <w:szCs w:val="18"/>
        </w:rPr>
        <w:t>11 of the DSU to make an objective assessment of the matter before them. Consequently, we consider that arguments relating to such a claim fall outside the scope of this appeal.</w:t>
      </w:r>
    </w:p>
    <w:p w:rsidR="00432E5C" w:rsidRPr="00564DB3" w:rsidRDefault="00432E5C" w:rsidP="00F70E38">
      <w:pPr>
        <w:pStyle w:val="BodyText"/>
        <w:rPr>
          <w:szCs w:val="18"/>
        </w:rPr>
      </w:pPr>
      <w:bookmarkStart w:id="258" w:name="_Hlk525911129"/>
      <w:r w:rsidRPr="00564DB3">
        <w:rPr>
          <w:szCs w:val="18"/>
        </w:rPr>
        <w:t xml:space="preserve">We therefore address, in turn, Mexico's arguments that, </w:t>
      </w:r>
      <w:r w:rsidRPr="00564DB3">
        <w:rPr>
          <w:i/>
          <w:szCs w:val="18"/>
        </w:rPr>
        <w:t>in addition to</w:t>
      </w:r>
      <w:r w:rsidRPr="00564DB3">
        <w:rPr>
          <w:szCs w:val="18"/>
        </w:rPr>
        <w:t xml:space="preserve"> looking at per set evidence, the Panels also</w:t>
      </w:r>
      <w:r w:rsidRPr="00564DB3">
        <w:rPr>
          <w:i/>
          <w:szCs w:val="18"/>
        </w:rPr>
        <w:t xml:space="preserve"> </w:t>
      </w:r>
      <w:r w:rsidRPr="00564DB3">
        <w:rPr>
          <w:szCs w:val="18"/>
        </w:rPr>
        <w:t>should have taken into account: (i) evidence pertaining to the risks to dolphin populations in certain ocean areas; (ii) evidence of absolute levels of harm to dolphins in certain ocean areas; and (iii) evidence concerning lack of sufficient regulatory oversight in certain ocean areas.</w:t>
      </w:r>
      <w:r w:rsidR="005B1CE4" w:rsidRPr="00564DB3">
        <w:rPr>
          <w:rStyle w:val="FootnoteReference"/>
          <w:szCs w:val="18"/>
        </w:rPr>
        <w:footnoteReference w:id="475"/>
      </w:r>
      <w:r w:rsidRPr="00564DB3">
        <w:rPr>
          <w:szCs w:val="18"/>
        </w:rPr>
        <w:t xml:space="preserve"> We note in this regard that Mexico does not argue on appeal that the Panels acted inconsistently with </w:t>
      </w:r>
      <w:r w:rsidR="00083DFC" w:rsidRPr="00564DB3">
        <w:rPr>
          <w:szCs w:val="18"/>
        </w:rPr>
        <w:t>Article </w:t>
      </w:r>
      <w:r w:rsidRPr="00564DB3">
        <w:rPr>
          <w:szCs w:val="18"/>
        </w:rPr>
        <w:t>11 of the DSU in making their assessment of different risk profiles.</w:t>
      </w:r>
      <w:r w:rsidR="005B1CE4" w:rsidRPr="00564DB3">
        <w:rPr>
          <w:rStyle w:val="FootnoteReference"/>
          <w:szCs w:val="18"/>
        </w:rPr>
        <w:footnoteReference w:id="476"/>
      </w:r>
      <w:r w:rsidRPr="00564DB3">
        <w:rPr>
          <w:szCs w:val="18"/>
        </w:rPr>
        <w:t xml:space="preserve"> In the absence of such a claim, we limit our analysis below to the question whether Mexico has demonstrated that the Panels erred in applying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in making their assessment of different risk profiles.</w:t>
      </w:r>
    </w:p>
    <w:p w:rsidR="00432E5C" w:rsidRPr="00564DB3" w:rsidRDefault="00432E5C" w:rsidP="00F70E38">
      <w:pPr>
        <w:pStyle w:val="Heading5"/>
        <w:numPr>
          <w:ilvl w:val="4"/>
          <w:numId w:val="19"/>
        </w:numPr>
        <w:rPr>
          <w:szCs w:val="18"/>
        </w:rPr>
      </w:pPr>
      <w:bookmarkStart w:id="259" w:name="_Toc531967483"/>
      <w:r w:rsidRPr="00564DB3">
        <w:rPr>
          <w:szCs w:val="18"/>
        </w:rPr>
        <w:lastRenderedPageBreak/>
        <w:t>Risks to dolphin populations</w:t>
      </w:r>
      <w:bookmarkEnd w:id="259"/>
      <w:r w:rsidRPr="00564DB3">
        <w:rPr>
          <w:szCs w:val="18"/>
        </w:rPr>
        <w:t xml:space="preserve"> </w:t>
      </w:r>
    </w:p>
    <w:p w:rsidR="00432E5C" w:rsidRPr="00564DB3" w:rsidRDefault="00432E5C" w:rsidP="00F70E38">
      <w:pPr>
        <w:pStyle w:val="BodyText"/>
        <w:rPr>
          <w:szCs w:val="18"/>
        </w:rPr>
      </w:pPr>
      <w:bookmarkStart w:id="260" w:name="_Ref529972512"/>
      <w:r w:rsidRPr="00564DB3">
        <w:rPr>
          <w:szCs w:val="18"/>
        </w:rPr>
        <w:t>Mexico argues that, in addition to looking at per set evidence, the Panels also</w:t>
      </w:r>
      <w:r w:rsidRPr="00564DB3">
        <w:rPr>
          <w:i/>
          <w:szCs w:val="18"/>
        </w:rPr>
        <w:t xml:space="preserve"> </w:t>
      </w:r>
      <w:r w:rsidRPr="00564DB3">
        <w:rPr>
          <w:szCs w:val="18"/>
        </w:rPr>
        <w:t xml:space="preserve">should have </w:t>
      </w:r>
      <w:proofErr w:type="gramStart"/>
      <w:r w:rsidRPr="00564DB3">
        <w:rPr>
          <w:szCs w:val="18"/>
        </w:rPr>
        <w:t>taken into account</w:t>
      </w:r>
      <w:proofErr w:type="gramEnd"/>
      <w:r w:rsidRPr="00564DB3">
        <w:rPr>
          <w:szCs w:val="18"/>
        </w:rPr>
        <w:t xml:space="preserve"> evidence pertaining to dolphin sustainability in certain ocean areas, specifically evidence reflecting PBR levels. Mexico notes that PBR levels indicate the "maximum number of animals, not including natural mortalities, that may be removed from an animal stock (such as dolphins) while allowing that stock to reach or maintain its optimum sustainable population".</w:t>
      </w:r>
      <w:r w:rsidR="005B1CE4" w:rsidRPr="00564DB3">
        <w:rPr>
          <w:rStyle w:val="FootnoteReference"/>
          <w:szCs w:val="18"/>
        </w:rPr>
        <w:footnoteReference w:id="477"/>
      </w:r>
      <w:r w:rsidRPr="00564DB3">
        <w:rPr>
          <w:szCs w:val="18"/>
        </w:rPr>
        <w:t xml:space="preserve"> In Mexico's view, the Panels erred by failing to take into account PBR evidence that shows high risks to dolphin populations in certain ocean areas, because, in Mexico's view, such risks to dolphin populations are relevant to an assessment of the overall relative risk profiles of certain fisheries.</w:t>
      </w:r>
      <w:r w:rsidR="005B1CE4" w:rsidRPr="00564DB3">
        <w:rPr>
          <w:rStyle w:val="FootnoteReference"/>
          <w:szCs w:val="18"/>
        </w:rPr>
        <w:footnoteReference w:id="478"/>
      </w:r>
      <w:r w:rsidRPr="00564DB3">
        <w:rPr>
          <w:szCs w:val="18"/>
        </w:rPr>
        <w:t xml:space="preserve"> Mexico considers that this view is supported by the findings of the original panel concerning adverse effects to dolphins</w:t>
      </w:r>
      <w:r w:rsidR="005B1CE4" w:rsidRPr="00564DB3">
        <w:rPr>
          <w:rStyle w:val="FootnoteReference"/>
          <w:szCs w:val="18"/>
        </w:rPr>
        <w:footnoteReference w:id="479"/>
      </w:r>
      <w:r w:rsidRPr="00564DB3">
        <w:rPr>
          <w:szCs w:val="18"/>
        </w:rPr>
        <w:t>, findings by the first compliance panel concerning the objective of the measure</w:t>
      </w:r>
      <w:r w:rsidR="005B1CE4" w:rsidRPr="00564DB3">
        <w:rPr>
          <w:rStyle w:val="FootnoteReference"/>
          <w:szCs w:val="18"/>
        </w:rPr>
        <w:footnoteReference w:id="480"/>
      </w:r>
      <w:r w:rsidRPr="00564DB3">
        <w:rPr>
          <w:szCs w:val="18"/>
        </w:rPr>
        <w:t>, and the design and structure of the 2016 Tuna Measure.</w:t>
      </w:r>
      <w:r w:rsidR="005B1CE4" w:rsidRPr="00564DB3">
        <w:rPr>
          <w:rStyle w:val="FootnoteReference"/>
          <w:szCs w:val="18"/>
        </w:rPr>
        <w:footnoteReference w:id="481"/>
      </w:r>
      <w:bookmarkEnd w:id="260"/>
      <w:r w:rsidRPr="00564DB3">
        <w:rPr>
          <w:szCs w:val="18"/>
        </w:rPr>
        <w:t xml:space="preserve"> </w:t>
      </w:r>
    </w:p>
    <w:p w:rsidR="00432E5C" w:rsidRPr="00564DB3" w:rsidRDefault="00432E5C" w:rsidP="00F70E38">
      <w:pPr>
        <w:pStyle w:val="BodyText"/>
        <w:rPr>
          <w:szCs w:val="18"/>
        </w:rPr>
      </w:pPr>
      <w:r w:rsidRPr="00564DB3">
        <w:rPr>
          <w:szCs w:val="18"/>
        </w:rPr>
        <w:t xml:space="preserve"> In the </w:t>
      </w:r>
      <w:r w:rsidR="00083DFC" w:rsidRPr="00564DB3">
        <w:rPr>
          <w:szCs w:val="18"/>
        </w:rPr>
        <w:t>United States</w:t>
      </w:r>
      <w:r w:rsidRPr="00564DB3">
        <w:rPr>
          <w:szCs w:val="18"/>
        </w:rPr>
        <w:t>' view, the Panels' decision to disregard PBR evidence was in accordance with both the design and structure of the measure, as well as relevant prior findings by previous panels and the Appellate Body in this dispute.</w:t>
      </w:r>
      <w:r w:rsidR="005B1CE4" w:rsidRPr="00564DB3">
        <w:rPr>
          <w:rStyle w:val="FootnoteReference"/>
          <w:szCs w:val="18"/>
        </w:rPr>
        <w:footnoteReference w:id="482"/>
      </w:r>
      <w:r w:rsidRPr="00564DB3">
        <w:rPr>
          <w:szCs w:val="18"/>
        </w:rPr>
        <w:t xml:space="preserve"> The </w:t>
      </w:r>
      <w:r w:rsidR="00083DFC" w:rsidRPr="00564DB3">
        <w:rPr>
          <w:szCs w:val="18"/>
        </w:rPr>
        <w:t>United States</w:t>
      </w:r>
      <w:r w:rsidRPr="00564DB3">
        <w:rPr>
          <w:szCs w:val="18"/>
        </w:rPr>
        <w:t xml:space="preserve"> highlights, and agrees with, the Panels' finding that the objective of the measure is primarily to protect individual dolphins, and that a PBR methodology is focused on the effect that dolphin mortalities have on </w:t>
      </w:r>
      <w:r w:rsidR="00457AF0" w:rsidRPr="00564DB3">
        <w:rPr>
          <w:szCs w:val="18"/>
        </w:rPr>
        <w:t xml:space="preserve">a dolphin </w:t>
      </w:r>
      <w:r w:rsidRPr="00564DB3">
        <w:rPr>
          <w:szCs w:val="18"/>
        </w:rPr>
        <w:t>stock, rather than the actual likelihood of dolphins being adversely affected.</w:t>
      </w:r>
      <w:r w:rsidR="005B1CE4" w:rsidRPr="00564DB3">
        <w:rPr>
          <w:rStyle w:val="FootnoteReference"/>
          <w:szCs w:val="18"/>
        </w:rPr>
        <w:footnoteReference w:id="483"/>
      </w:r>
      <w:r w:rsidRPr="00564DB3">
        <w:rPr>
          <w:szCs w:val="18"/>
        </w:rPr>
        <w:t xml:space="preserve"> To the extent that dolphin sustainability may be an objective of the measure, the </w:t>
      </w:r>
      <w:r w:rsidR="00083DFC" w:rsidRPr="00564DB3">
        <w:rPr>
          <w:szCs w:val="18"/>
        </w:rPr>
        <w:t>United States</w:t>
      </w:r>
      <w:r w:rsidRPr="00564DB3">
        <w:rPr>
          <w:szCs w:val="18"/>
        </w:rPr>
        <w:t xml:space="preserve"> main</w:t>
      </w:r>
      <w:r w:rsidR="00B23AD2">
        <w:rPr>
          <w:szCs w:val="18"/>
        </w:rPr>
        <w:t>tains that it is indirect (i.e. </w:t>
      </w:r>
      <w:r w:rsidRPr="00564DB3">
        <w:rPr>
          <w:szCs w:val="18"/>
        </w:rPr>
        <w:t>"due to a relationship between reducing 'adverse effects' on individual dolphins and conserving dolphin populations").</w:t>
      </w:r>
      <w:r w:rsidR="005B1CE4" w:rsidRPr="00564DB3">
        <w:rPr>
          <w:rStyle w:val="FootnoteReference"/>
          <w:szCs w:val="18"/>
        </w:rPr>
        <w:footnoteReference w:id="484"/>
      </w:r>
      <w:r w:rsidRPr="00564DB3">
        <w:rPr>
          <w:szCs w:val="18"/>
        </w:rPr>
        <w:t xml:space="preserve"> The </w:t>
      </w:r>
      <w:r w:rsidR="00083DFC" w:rsidRPr="00564DB3">
        <w:rPr>
          <w:szCs w:val="18"/>
        </w:rPr>
        <w:t>United States</w:t>
      </w:r>
      <w:r w:rsidRPr="00564DB3">
        <w:rPr>
          <w:szCs w:val="18"/>
        </w:rPr>
        <w:t xml:space="preserve"> submits that the Panels fully explained their decision not to rely on a PBR methodology</w:t>
      </w:r>
      <w:r w:rsidR="005B1CE4" w:rsidRPr="00564DB3">
        <w:rPr>
          <w:rStyle w:val="FootnoteReference"/>
          <w:szCs w:val="18"/>
        </w:rPr>
        <w:footnoteReference w:id="485"/>
      </w:r>
      <w:r w:rsidRPr="00564DB3">
        <w:rPr>
          <w:szCs w:val="18"/>
        </w:rPr>
        <w:t xml:space="preserve">, and argues that Mexico has not challenged under </w:t>
      </w:r>
      <w:r w:rsidR="00083DFC" w:rsidRPr="00564DB3">
        <w:rPr>
          <w:szCs w:val="18"/>
        </w:rPr>
        <w:t>Article </w:t>
      </w:r>
      <w:r w:rsidRPr="00564DB3">
        <w:rPr>
          <w:szCs w:val="18"/>
        </w:rPr>
        <w:t>11 of the DSU the Panels' factual finding that the measure</w:t>
      </w:r>
      <w:r w:rsidR="00457AF0" w:rsidRPr="00564DB3">
        <w:rPr>
          <w:szCs w:val="18"/>
        </w:rPr>
        <w:t xml:space="preserve"> at issue</w:t>
      </w:r>
      <w:r w:rsidRPr="00564DB3">
        <w:rPr>
          <w:szCs w:val="18"/>
        </w:rPr>
        <w:t xml:space="preserve"> is concerned more with the risks to individual dolphins than the risks to dolphin populations.</w:t>
      </w:r>
      <w:r w:rsidR="005B1CE4" w:rsidRPr="00564DB3">
        <w:rPr>
          <w:rStyle w:val="FootnoteReference"/>
          <w:szCs w:val="18"/>
        </w:rPr>
        <w:footnoteReference w:id="486"/>
      </w:r>
    </w:p>
    <w:p w:rsidR="00432E5C" w:rsidRPr="00564DB3" w:rsidRDefault="00432E5C" w:rsidP="00F70E38">
      <w:pPr>
        <w:pStyle w:val="BodyText"/>
        <w:rPr>
          <w:szCs w:val="18"/>
        </w:rPr>
      </w:pPr>
      <w:r w:rsidRPr="00564DB3">
        <w:rPr>
          <w:szCs w:val="18"/>
        </w:rPr>
        <w:t xml:space="preserve">The Panels found that PBR </w:t>
      </w:r>
      <w:r w:rsidR="00457AF0" w:rsidRPr="00564DB3">
        <w:rPr>
          <w:szCs w:val="18"/>
        </w:rPr>
        <w:t xml:space="preserve">evidence </w:t>
      </w:r>
      <w:r w:rsidRPr="00564DB3">
        <w:rPr>
          <w:szCs w:val="18"/>
        </w:rPr>
        <w:t>reveals "the maximum possible number of animals, in this case dolphins, which can be removed from an animal stock without affecting the population or its sustainability".</w:t>
      </w:r>
      <w:r w:rsidR="005B1CE4" w:rsidRPr="00564DB3">
        <w:rPr>
          <w:rStyle w:val="FootnoteReference"/>
          <w:szCs w:val="18"/>
        </w:rPr>
        <w:footnoteReference w:id="487"/>
      </w:r>
      <w:r w:rsidRPr="00564DB3">
        <w:rPr>
          <w:szCs w:val="18"/>
        </w:rPr>
        <w:t xml:space="preserve"> The Panels considered that a PBR</w:t>
      </w:r>
      <w:r w:rsidR="00687B23" w:rsidRPr="00564DB3">
        <w:rPr>
          <w:szCs w:val="18"/>
        </w:rPr>
        <w:t> </w:t>
      </w:r>
      <w:r w:rsidRPr="00564DB3">
        <w:rPr>
          <w:szCs w:val="18"/>
        </w:rPr>
        <w:t xml:space="preserve">methodology is "suitable in the context of policies that concern </w:t>
      </w:r>
      <w:r w:rsidRPr="00564DB3">
        <w:rPr>
          <w:szCs w:val="18"/>
          <w:lang w:eastAsia="es-MX"/>
        </w:rPr>
        <w:t>the sustainability of marine mammal stocks and where a certain level of mortalities</w:t>
      </w:r>
      <w:r w:rsidRPr="00564DB3">
        <w:rPr>
          <w:szCs w:val="18"/>
        </w:rPr>
        <w:t xml:space="preserve"> or serious injury is tolerated".</w:t>
      </w:r>
      <w:r w:rsidR="005B1CE4" w:rsidRPr="00564DB3">
        <w:rPr>
          <w:rStyle w:val="FootnoteReference"/>
          <w:szCs w:val="18"/>
        </w:rPr>
        <w:footnoteReference w:id="488"/>
      </w:r>
      <w:r w:rsidRPr="00564DB3">
        <w:rPr>
          <w:szCs w:val="18"/>
        </w:rPr>
        <w:t xml:space="preserve"> The Panels considered that "there is no part</w:t>
      </w:r>
      <w:r w:rsidR="00ED4F77" w:rsidRPr="00564DB3">
        <w:rPr>
          <w:szCs w:val="18"/>
        </w:rPr>
        <w:t>icular indication that the Tuna </w:t>
      </w:r>
      <w:r w:rsidRPr="00564DB3">
        <w:rPr>
          <w:szCs w:val="18"/>
        </w:rPr>
        <w:t>Measure is directly concerned with the protection of the population levels of dolphins" and that, while "mortality or serious injury suffered by individual dolphins may also have population-level consequences[,] … [t]hat, however, is not directly relevant to the findings that [they would] make about the overall levels of relative risks posed to dolphins by different fishing methods in different areas of the ocean."</w:t>
      </w:r>
      <w:r w:rsidR="005B1CE4" w:rsidRPr="00564DB3">
        <w:rPr>
          <w:rStyle w:val="FootnoteReference"/>
          <w:szCs w:val="18"/>
        </w:rPr>
        <w:footnoteReference w:id="489"/>
      </w:r>
      <w:r w:rsidRPr="00564DB3">
        <w:rPr>
          <w:szCs w:val="18"/>
        </w:rPr>
        <w:t xml:space="preserve"> The Panels highlighted that</w:t>
      </w:r>
      <w:r w:rsidR="00687B23" w:rsidRPr="00564DB3">
        <w:rPr>
          <w:szCs w:val="18"/>
        </w:rPr>
        <w:t>,</w:t>
      </w:r>
      <w:r w:rsidRPr="00564DB3">
        <w:rPr>
          <w:szCs w:val="18"/>
        </w:rPr>
        <w:t xml:space="preserve"> "[b]y allowing the existence of some dolphin mortalities and focusing primarily on the population levels, the PBR methodology prioritizes the sustainability of the population rather than the well-being of individual dolphins", which would be "difficult to reconcile with the objectives of the Tuna Measure".</w:t>
      </w:r>
      <w:r w:rsidR="005B1CE4" w:rsidRPr="00564DB3">
        <w:rPr>
          <w:rStyle w:val="FootnoteReference"/>
          <w:szCs w:val="18"/>
        </w:rPr>
        <w:footnoteReference w:id="490"/>
      </w:r>
      <w:r w:rsidRPr="00564DB3">
        <w:rPr>
          <w:szCs w:val="18"/>
        </w:rPr>
        <w:t xml:space="preserve"> The Panels also noted that "the architecture of the measure … by its own terms is concerned with the mortality and serious injury of individual dolphins, on a per set basis, rather than with the overall sustainability of dolphin stocks</w:t>
      </w:r>
      <w:r w:rsidR="007F146A" w:rsidRPr="00564DB3">
        <w:rPr>
          <w:szCs w:val="18"/>
        </w:rPr>
        <w:t>.</w:t>
      </w:r>
      <w:r w:rsidRPr="00564DB3">
        <w:rPr>
          <w:szCs w:val="18"/>
        </w:rPr>
        <w:t>"</w:t>
      </w:r>
      <w:r w:rsidR="005B1CE4" w:rsidRPr="00564DB3">
        <w:rPr>
          <w:rStyle w:val="FootnoteReference"/>
          <w:szCs w:val="18"/>
        </w:rPr>
        <w:footnoteReference w:id="491"/>
      </w:r>
    </w:p>
    <w:p w:rsidR="00432E5C" w:rsidRPr="00564DB3" w:rsidRDefault="00432E5C" w:rsidP="00F70E38">
      <w:pPr>
        <w:pStyle w:val="BodyText"/>
        <w:rPr>
          <w:szCs w:val="18"/>
        </w:rPr>
      </w:pPr>
      <w:r w:rsidRPr="00564DB3">
        <w:rPr>
          <w:szCs w:val="18"/>
        </w:rPr>
        <w:t xml:space="preserve">We observe that Mexico has not made any claims under </w:t>
      </w:r>
      <w:r w:rsidR="00083DFC" w:rsidRPr="00564DB3">
        <w:rPr>
          <w:szCs w:val="18"/>
        </w:rPr>
        <w:t>Article </w:t>
      </w:r>
      <w:r w:rsidRPr="00564DB3">
        <w:rPr>
          <w:szCs w:val="18"/>
        </w:rPr>
        <w:t xml:space="preserve">11 of the DSU regarding the Panels' appreciation of the facts, and that Mexico has clarified that its argument </w:t>
      </w:r>
      <w:r w:rsidR="00E175AB" w:rsidRPr="00564DB3">
        <w:rPr>
          <w:szCs w:val="18"/>
        </w:rPr>
        <w:t>with respect to</w:t>
      </w:r>
      <w:r w:rsidR="00B23AD2">
        <w:rPr>
          <w:szCs w:val="18"/>
        </w:rPr>
        <w:t xml:space="preserve"> PBR </w:t>
      </w:r>
      <w:r w:rsidRPr="00564DB3">
        <w:rPr>
          <w:szCs w:val="18"/>
        </w:rPr>
        <w:t>evidence relates to the Panels' omission of a relevant "factor"</w:t>
      </w:r>
      <w:r w:rsidR="005B1CE4" w:rsidRPr="00564DB3">
        <w:rPr>
          <w:rStyle w:val="FootnoteReference"/>
          <w:szCs w:val="18"/>
        </w:rPr>
        <w:footnoteReference w:id="492"/>
      </w:r>
      <w:r w:rsidRPr="00564DB3">
        <w:rPr>
          <w:szCs w:val="18"/>
        </w:rPr>
        <w:t xml:space="preserve"> or "methodology"</w:t>
      </w:r>
      <w:r w:rsidR="005B1CE4" w:rsidRPr="00564DB3">
        <w:rPr>
          <w:rStyle w:val="FootnoteReference"/>
          <w:szCs w:val="18"/>
        </w:rPr>
        <w:footnoteReference w:id="493"/>
      </w:r>
      <w:r w:rsidRPr="00564DB3">
        <w:rPr>
          <w:szCs w:val="18"/>
        </w:rPr>
        <w:t xml:space="preserve"> in their assessment of risk profiles. The legal issue before us is therefore whether the Panels erred in their application of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by declining to </w:t>
      </w:r>
      <w:proofErr w:type="gramStart"/>
      <w:r w:rsidRPr="00564DB3">
        <w:rPr>
          <w:szCs w:val="18"/>
        </w:rPr>
        <w:t>take into account</w:t>
      </w:r>
      <w:proofErr w:type="gramEnd"/>
      <w:r w:rsidRPr="00564DB3">
        <w:rPr>
          <w:szCs w:val="18"/>
        </w:rPr>
        <w:t xml:space="preserve"> PBR evidence in assessing and comparing the risk profiles of different fishing methods and fisheries </w:t>
      </w:r>
      <w:r w:rsidR="00FF1995" w:rsidRPr="00564DB3">
        <w:rPr>
          <w:szCs w:val="18"/>
        </w:rPr>
        <w:t xml:space="preserve">for the purpose of </w:t>
      </w:r>
      <w:r w:rsidRPr="00564DB3">
        <w:rPr>
          <w:szCs w:val="18"/>
        </w:rPr>
        <w:t xml:space="preserve">the calibration analysis. </w:t>
      </w:r>
    </w:p>
    <w:p w:rsidR="00432E5C" w:rsidRPr="00564DB3" w:rsidRDefault="00432E5C" w:rsidP="00F70E38">
      <w:pPr>
        <w:pStyle w:val="BodyText"/>
        <w:rPr>
          <w:szCs w:val="18"/>
        </w:rPr>
      </w:pPr>
      <w:bookmarkStart w:id="261" w:name="_Ref522270457"/>
      <w:r w:rsidRPr="00564DB3">
        <w:rPr>
          <w:szCs w:val="18"/>
        </w:rPr>
        <w:t xml:space="preserve">We recall that, </w:t>
      </w:r>
      <w:proofErr w:type="gramStart"/>
      <w:r w:rsidRPr="00564DB3">
        <w:rPr>
          <w:szCs w:val="18"/>
        </w:rPr>
        <w:t>in order to</w:t>
      </w:r>
      <w:proofErr w:type="gramEnd"/>
      <w:r w:rsidRPr="00564DB3">
        <w:rPr>
          <w:szCs w:val="18"/>
        </w:rPr>
        <w:t xml:space="preserve"> properly conduct the calibration analysis, the Panels were required to assess the overall relative risks of different fishing methods and fisheries.</w:t>
      </w:r>
      <w:r w:rsidR="005B1CE4" w:rsidRPr="00564DB3">
        <w:rPr>
          <w:rStyle w:val="FootnoteReference"/>
          <w:szCs w:val="18"/>
        </w:rPr>
        <w:footnoteReference w:id="494"/>
      </w:r>
      <w:r w:rsidRPr="00564DB3">
        <w:rPr>
          <w:szCs w:val="18"/>
        </w:rPr>
        <w:t xml:space="preserve"> Furthermore, the purpose</w:t>
      </w:r>
      <w:r w:rsidRPr="00564DB3">
        <w:rPr>
          <w:i/>
          <w:szCs w:val="18"/>
        </w:rPr>
        <w:t xml:space="preserve"> </w:t>
      </w:r>
      <w:r w:rsidRPr="00564DB3">
        <w:rPr>
          <w:szCs w:val="18"/>
        </w:rPr>
        <w:t xml:space="preserve">of this analysis was to assess whether the detrimental impact from the 2016 Tuna Measure stems exclusively from a legitimate regulatory distinction. As our analysis above reveals, the nature of the </w:t>
      </w:r>
      <w:r w:rsidR="00457AF0" w:rsidRPr="00564DB3">
        <w:rPr>
          <w:szCs w:val="18"/>
        </w:rPr>
        <w:t xml:space="preserve">calibration analysis, including the </w:t>
      </w:r>
      <w:r w:rsidR="00CC7F99" w:rsidRPr="00564DB3">
        <w:rPr>
          <w:szCs w:val="18"/>
        </w:rPr>
        <w:t xml:space="preserve">relevant </w:t>
      </w:r>
      <w:r w:rsidRPr="00564DB3">
        <w:rPr>
          <w:szCs w:val="18"/>
        </w:rPr>
        <w:t>risks to be assessed</w:t>
      </w:r>
      <w:r w:rsidR="00457AF0" w:rsidRPr="00564DB3">
        <w:rPr>
          <w:szCs w:val="18"/>
        </w:rPr>
        <w:t>,</w:t>
      </w:r>
      <w:r w:rsidRPr="00564DB3">
        <w:rPr>
          <w:szCs w:val="18"/>
        </w:rPr>
        <w:t xml:space="preserve"> is </w:t>
      </w:r>
      <w:r w:rsidR="009E4F61" w:rsidRPr="00564DB3">
        <w:rPr>
          <w:szCs w:val="18"/>
        </w:rPr>
        <w:t>informed by</w:t>
      </w:r>
      <w:r w:rsidRPr="00564DB3">
        <w:rPr>
          <w:szCs w:val="18"/>
        </w:rPr>
        <w:t xml:space="preserve"> the nature of the relevant regulatory distinctions causing the detrimental impact.</w:t>
      </w:r>
      <w:bookmarkEnd w:id="261"/>
      <w:r w:rsidR="005B1CE4" w:rsidRPr="00564DB3">
        <w:rPr>
          <w:rStyle w:val="FootnoteReference"/>
          <w:szCs w:val="18"/>
        </w:rPr>
        <w:footnoteReference w:id="495"/>
      </w:r>
      <w:r w:rsidRPr="00564DB3">
        <w:rPr>
          <w:szCs w:val="18"/>
        </w:rPr>
        <w:t xml:space="preserve"> </w:t>
      </w:r>
    </w:p>
    <w:p w:rsidR="00432E5C" w:rsidRPr="00564DB3" w:rsidRDefault="00432E5C" w:rsidP="00F70E38">
      <w:pPr>
        <w:pStyle w:val="BodyText"/>
        <w:rPr>
          <w:szCs w:val="18"/>
        </w:rPr>
      </w:pPr>
      <w:bookmarkStart w:id="262" w:name="_Ref522268713"/>
      <w:r w:rsidRPr="00564DB3">
        <w:rPr>
          <w:szCs w:val="18"/>
        </w:rPr>
        <w:t>Under the 2016 Tuna Measure, a tuna product is ineligible for the label if it contains tuna "caught in a set or gear deployment in which dolphins were killed or seriously injured".</w:t>
      </w:r>
      <w:r w:rsidR="005B1CE4" w:rsidRPr="00564DB3">
        <w:rPr>
          <w:rStyle w:val="FootnoteReference"/>
          <w:szCs w:val="18"/>
        </w:rPr>
        <w:footnoteReference w:id="496"/>
      </w:r>
      <w:r w:rsidRPr="00564DB3">
        <w:rPr>
          <w:szCs w:val="18"/>
        </w:rPr>
        <w:t xml:space="preserve"> Furthermore, the 2016 Tuna Measure "is generally applied on a per gear deployment basis in respect of how often captains have to make non-dolphin safe certifications</w:t>
      </w:r>
      <w:r w:rsidR="001B4DCA">
        <w:rPr>
          <w:szCs w:val="18"/>
        </w:rPr>
        <w:t>, or how frequently non</w:t>
      </w:r>
      <w:r w:rsidR="001B4DCA">
        <w:rPr>
          <w:szCs w:val="18"/>
        </w:rPr>
        <w:noBreakHyphen/>
        <w:t>dolphin </w:t>
      </w:r>
      <w:r w:rsidRPr="00564DB3">
        <w:rPr>
          <w:szCs w:val="18"/>
        </w:rPr>
        <w:t>safe tuna must be segregated from dolphin</w:t>
      </w:r>
      <w:r w:rsidRPr="00564DB3">
        <w:rPr>
          <w:szCs w:val="18"/>
        </w:rPr>
        <w:noBreakHyphen/>
        <w:t>safe tuna</w:t>
      </w:r>
      <w:r w:rsidR="007403A4" w:rsidRPr="00564DB3">
        <w:rPr>
          <w:szCs w:val="18"/>
        </w:rPr>
        <w:t>.</w:t>
      </w:r>
      <w:r w:rsidRPr="00564DB3">
        <w:rPr>
          <w:szCs w:val="18"/>
        </w:rPr>
        <w:t>"</w:t>
      </w:r>
      <w:r w:rsidR="005B1CE4" w:rsidRPr="00564DB3">
        <w:rPr>
          <w:rStyle w:val="FootnoteReference"/>
          <w:szCs w:val="18"/>
        </w:rPr>
        <w:footnoteReference w:id="497"/>
      </w:r>
      <w:r w:rsidRPr="00564DB3">
        <w:rPr>
          <w:szCs w:val="18"/>
        </w:rPr>
        <w:t xml:space="preserve"> Thus, the relevant regulatory distinctions made by the measure itself apply on a per set basis.</w:t>
      </w:r>
      <w:bookmarkEnd w:id="262"/>
      <w:r w:rsidRPr="00564DB3">
        <w:rPr>
          <w:szCs w:val="18"/>
        </w:rPr>
        <w:t xml:space="preserve"> Based on the design and structure of the measure, we agree with the Panels that the dolphin-safe label is concerned</w:t>
      </w:r>
      <w:r w:rsidR="00083DFC" w:rsidRPr="00564DB3">
        <w:rPr>
          <w:szCs w:val="18"/>
        </w:rPr>
        <w:t xml:space="preserve"> </w:t>
      </w:r>
      <w:r w:rsidR="001B4DCA">
        <w:rPr>
          <w:szCs w:val="18"/>
        </w:rPr>
        <w:t>with the well</w:t>
      </w:r>
      <w:r w:rsidR="001B4DCA">
        <w:rPr>
          <w:szCs w:val="18"/>
        </w:rPr>
        <w:noBreakHyphen/>
      </w:r>
      <w:r w:rsidRPr="00564DB3">
        <w:rPr>
          <w:szCs w:val="18"/>
        </w:rPr>
        <w:t xml:space="preserve">being of individual dolphins, and </w:t>
      </w:r>
      <w:bookmarkStart w:id="263" w:name="_Ref522721030"/>
      <w:r w:rsidRPr="00564DB3">
        <w:rPr>
          <w:szCs w:val="18"/>
        </w:rPr>
        <w:t xml:space="preserve">that the design and structure of the relevant regulatory distinctions reveal that the relevant risks to dolphins, </w:t>
      </w:r>
      <w:r w:rsidR="00FF1995" w:rsidRPr="00564DB3">
        <w:rPr>
          <w:szCs w:val="18"/>
        </w:rPr>
        <w:t xml:space="preserve">for the purpose of </w:t>
      </w:r>
      <w:r w:rsidRPr="00564DB3">
        <w:rPr>
          <w:szCs w:val="18"/>
        </w:rPr>
        <w:t>the calibration analysis, are the risks of individual dolphins being killed or seriously injured in the fishing process.</w:t>
      </w:r>
      <w:r w:rsidR="005B1CE4" w:rsidRPr="00564DB3">
        <w:rPr>
          <w:rStyle w:val="FootnoteReference"/>
          <w:szCs w:val="18"/>
        </w:rPr>
        <w:footnoteReference w:id="498"/>
      </w:r>
      <w:r w:rsidRPr="00564DB3">
        <w:rPr>
          <w:szCs w:val="18"/>
        </w:rPr>
        <w:t xml:space="preserve"> </w:t>
      </w:r>
      <w:bookmarkEnd w:id="263"/>
    </w:p>
    <w:p w:rsidR="00432E5C" w:rsidRPr="00564DB3" w:rsidRDefault="00432E5C" w:rsidP="00F70E38">
      <w:pPr>
        <w:pStyle w:val="BodyText"/>
        <w:rPr>
          <w:szCs w:val="18"/>
        </w:rPr>
      </w:pPr>
      <w:bookmarkStart w:id="264" w:name="_Ref529196772"/>
      <w:r w:rsidRPr="00564DB3">
        <w:rPr>
          <w:szCs w:val="18"/>
        </w:rPr>
        <w:t xml:space="preserve">We note Mexico's argument that the Panels' characterization of the </w:t>
      </w:r>
      <w:r w:rsidR="007F146A" w:rsidRPr="00564DB3">
        <w:rPr>
          <w:szCs w:val="18"/>
        </w:rPr>
        <w:t>Tuna M</w:t>
      </w:r>
      <w:r w:rsidRPr="00564DB3">
        <w:rPr>
          <w:szCs w:val="18"/>
        </w:rPr>
        <w:t>easure as "'mainly concerned with the risks facing dolphins at an individual level, rather than at a population level', is flatly contradicted by the measure itself".</w:t>
      </w:r>
      <w:r w:rsidR="005B1CE4" w:rsidRPr="00564DB3">
        <w:rPr>
          <w:rStyle w:val="FootnoteReference"/>
          <w:szCs w:val="18"/>
        </w:rPr>
        <w:footnoteReference w:id="499"/>
      </w:r>
      <w:r w:rsidRPr="00564DB3">
        <w:rPr>
          <w:szCs w:val="18"/>
        </w:rPr>
        <w:t xml:space="preserve"> In Mexico's view, this is because the 2016 Tuna Measure expressly contemplated that the prohibition on the use of the dolphin-safe label for tuna derived from setting on dolphins could be removed following "an evaluation of the potential impact of dolphin sets on the populations of the dolphin stocks in the ETP".</w:t>
      </w:r>
      <w:r w:rsidR="005B1CE4" w:rsidRPr="00564DB3">
        <w:rPr>
          <w:rStyle w:val="FootnoteReference"/>
          <w:szCs w:val="18"/>
        </w:rPr>
        <w:footnoteReference w:id="500"/>
      </w:r>
      <w:r w:rsidRPr="00564DB3">
        <w:rPr>
          <w:szCs w:val="18"/>
        </w:rPr>
        <w:t xml:space="preserve"> In</w:t>
      </w:r>
      <w:r w:rsidR="001B4DCA">
        <w:rPr>
          <w:szCs w:val="18"/>
        </w:rPr>
        <w:t xml:space="preserve"> our view, however, the Panels' </w:t>
      </w:r>
      <w:r w:rsidRPr="00564DB3">
        <w:rPr>
          <w:szCs w:val="18"/>
        </w:rPr>
        <w:t>understanding of the measure as "mainly concerned with the risks facing dolphins at an individual level"</w:t>
      </w:r>
      <w:r w:rsidR="007F146A" w:rsidRPr="00564DB3">
        <w:rPr>
          <w:rStyle w:val="FootnoteReference"/>
          <w:szCs w:val="18"/>
        </w:rPr>
        <w:footnoteReference w:id="501"/>
      </w:r>
      <w:r w:rsidRPr="00564DB3">
        <w:rPr>
          <w:szCs w:val="18"/>
        </w:rPr>
        <w:t xml:space="preserve"> does not suggest that the risks to dolphin populations are irrelevant, or that the 2016 Tuna Measure is not at least indirectly concerned with protecting dolphin populations. We see no reason to disagree with the Panels' finding that "mortality or serious injury suffered by individual dolphins may also have population-level consequences</w:t>
      </w:r>
      <w:r w:rsidR="007F146A" w:rsidRPr="00564DB3">
        <w:rPr>
          <w:szCs w:val="18"/>
        </w:rPr>
        <w:t>.</w:t>
      </w:r>
      <w:r w:rsidRPr="00564DB3">
        <w:rPr>
          <w:szCs w:val="18"/>
        </w:rPr>
        <w:t>"</w:t>
      </w:r>
      <w:r w:rsidR="005B1CE4" w:rsidRPr="00564DB3">
        <w:rPr>
          <w:rStyle w:val="FootnoteReference"/>
          <w:szCs w:val="18"/>
        </w:rPr>
        <w:footnoteReference w:id="502"/>
      </w:r>
      <w:r w:rsidRPr="00564DB3">
        <w:rPr>
          <w:szCs w:val="18"/>
        </w:rPr>
        <w:t xml:space="preserve"> We recall the original panel's findings that "the adverse effects on dolphins targeted by the US dolphin</w:t>
      </w:r>
      <w:r w:rsidRPr="00564DB3">
        <w:rPr>
          <w:szCs w:val="18"/>
        </w:rPr>
        <w:noBreakHyphen/>
        <w:t xml:space="preserve">safe provisions, as described by the </w:t>
      </w:r>
      <w:r w:rsidR="00083DFC" w:rsidRPr="00564DB3">
        <w:rPr>
          <w:szCs w:val="18"/>
        </w:rPr>
        <w:t>United States</w:t>
      </w:r>
      <w:r w:rsidRPr="00564DB3">
        <w:rPr>
          <w:szCs w:val="18"/>
        </w:rPr>
        <w:t>, relate to observed and unobserved mortalities and serious injuries to individual dolphins in the course of tuna fishing operations" and that "the US objectives also incorporate, at least indirectly, considerations regarding the conservation of dolphin stocks</w:t>
      </w:r>
      <w:r w:rsidR="00B25703" w:rsidRPr="00564DB3">
        <w:rPr>
          <w:szCs w:val="18"/>
        </w:rPr>
        <w:t>.</w:t>
      </w:r>
      <w:r w:rsidRPr="00564DB3">
        <w:rPr>
          <w:szCs w:val="18"/>
        </w:rPr>
        <w:t>"</w:t>
      </w:r>
      <w:r w:rsidR="005B1CE4" w:rsidRPr="00564DB3">
        <w:rPr>
          <w:rStyle w:val="FootnoteReference"/>
          <w:szCs w:val="18"/>
        </w:rPr>
        <w:footnoteReference w:id="503"/>
      </w:r>
      <w:r w:rsidRPr="00564DB3">
        <w:rPr>
          <w:szCs w:val="18"/>
        </w:rPr>
        <w:t xml:space="preserve"> On this basis, we also disagree with Mexico's argument that, because the dolphin-safe labels are granted under conditions that primarily take into account the risks to individual dolphins, consumers are misled and deceived about whether or not the tuna that they are purchasing was caught in a manner that threatens or endangers dolphin populations.</w:t>
      </w:r>
      <w:r w:rsidR="005B1CE4" w:rsidRPr="00564DB3">
        <w:rPr>
          <w:rStyle w:val="FootnoteReference"/>
          <w:szCs w:val="18"/>
        </w:rPr>
        <w:footnoteReference w:id="504"/>
      </w:r>
      <w:bookmarkEnd w:id="264"/>
      <w:r w:rsidRPr="00564DB3">
        <w:rPr>
          <w:szCs w:val="18"/>
        </w:rPr>
        <w:t xml:space="preserve"> </w:t>
      </w:r>
    </w:p>
    <w:p w:rsidR="00432E5C" w:rsidRPr="00564DB3" w:rsidRDefault="00432E5C" w:rsidP="00F70E38">
      <w:pPr>
        <w:pStyle w:val="BodyText"/>
        <w:rPr>
          <w:szCs w:val="18"/>
        </w:rPr>
      </w:pPr>
      <w:r w:rsidRPr="00564DB3">
        <w:rPr>
          <w:szCs w:val="18"/>
        </w:rPr>
        <w:t>We recall Mexico's argument that, if the measure is truly concerned with the protection of individual dolphins, any "fishing method that is capable of harming a dolphin should be ineligible" for the dolphin-safe label.</w:t>
      </w:r>
      <w:r w:rsidR="005B1CE4" w:rsidRPr="00564DB3">
        <w:rPr>
          <w:rStyle w:val="FootnoteReference"/>
          <w:szCs w:val="18"/>
        </w:rPr>
        <w:footnoteReference w:id="505"/>
      </w:r>
      <w:r w:rsidRPr="00564DB3">
        <w:rPr>
          <w:szCs w:val="18"/>
        </w:rPr>
        <w:t xml:space="preserve"> As explained above, we consider that the 2016 Tuna Measure will not violate </w:t>
      </w:r>
      <w:r w:rsidR="00083DFC" w:rsidRPr="00564DB3">
        <w:rPr>
          <w:szCs w:val="18"/>
        </w:rPr>
        <w:t>Article </w:t>
      </w:r>
      <w:r w:rsidRPr="00564DB3">
        <w:rPr>
          <w:szCs w:val="18"/>
        </w:rPr>
        <w:t>2.1 if the relevant regulatory distinctions leading to detrimental impact are properly "calibrated" to the risks to dolphins arising from different fishing methods in different areas of the oceans.</w:t>
      </w:r>
      <w:r w:rsidR="005B1CE4" w:rsidRPr="00564DB3">
        <w:rPr>
          <w:rStyle w:val="FootnoteReference"/>
          <w:szCs w:val="18"/>
        </w:rPr>
        <w:footnoteReference w:id="506"/>
      </w:r>
      <w:r w:rsidRPr="00564DB3">
        <w:rPr>
          <w:szCs w:val="18"/>
        </w:rPr>
        <w:t xml:space="preserve"> Furthermore, if it can be shown that the distinctions are calibrated to different risks to dolphins, this would also indicate that such distinctions are rationally related to, and hence capable of contributing to, the measure's objectives.</w:t>
      </w:r>
      <w:r w:rsidR="005B1CE4" w:rsidRPr="00564DB3">
        <w:rPr>
          <w:rStyle w:val="FootnoteReference"/>
          <w:szCs w:val="18"/>
        </w:rPr>
        <w:footnoteReference w:id="507"/>
      </w:r>
      <w:r w:rsidRPr="00564DB3">
        <w:rPr>
          <w:szCs w:val="18"/>
        </w:rPr>
        <w:t xml:space="preserve"> In our view, the fact that the 2016 Tuna Measure grants</w:t>
      </w:r>
      <w:r w:rsidRPr="00564DB3">
        <w:rPr>
          <w:i/>
          <w:szCs w:val="18"/>
        </w:rPr>
        <w:t xml:space="preserve"> </w:t>
      </w:r>
      <w:r w:rsidRPr="00564DB3">
        <w:rPr>
          <w:szCs w:val="18"/>
        </w:rPr>
        <w:t xml:space="preserve">a dolphin-safe label to certain fishing methods that may be capable of harming a dolphin does not imply that the 2016 Tuna Measure is not concerned with informing consumers of the risks to individual dolphins. </w:t>
      </w:r>
    </w:p>
    <w:p w:rsidR="00432E5C" w:rsidRPr="00564DB3" w:rsidRDefault="00432E5C" w:rsidP="00F70E38">
      <w:pPr>
        <w:pStyle w:val="BodyText"/>
        <w:rPr>
          <w:szCs w:val="18"/>
        </w:rPr>
      </w:pPr>
      <w:bookmarkStart w:id="265" w:name="_Ref530584190"/>
      <w:r w:rsidRPr="00564DB3">
        <w:rPr>
          <w:szCs w:val="18"/>
        </w:rPr>
        <w:t xml:space="preserve">Thus, we agree with the Panels that the essential question </w:t>
      </w:r>
      <w:r w:rsidR="00FF1995" w:rsidRPr="00564DB3">
        <w:rPr>
          <w:szCs w:val="18"/>
        </w:rPr>
        <w:t xml:space="preserve">for the purpose of </w:t>
      </w:r>
      <w:r w:rsidRPr="00564DB3">
        <w:rPr>
          <w:szCs w:val="18"/>
        </w:rPr>
        <w:t xml:space="preserve">assessing the calibration of the 2016 Tuna Measure is whether the relevant regulatory distinctions are calibrated to different risks that dolphins will be killed </w:t>
      </w:r>
      <w:r w:rsidR="00B25703" w:rsidRPr="00564DB3">
        <w:rPr>
          <w:szCs w:val="18"/>
        </w:rPr>
        <w:t xml:space="preserve">or seriously injured </w:t>
      </w:r>
      <w:r w:rsidRPr="00564DB3">
        <w:rPr>
          <w:szCs w:val="18"/>
        </w:rPr>
        <w:t>in the process of harvesting tuna.</w:t>
      </w:r>
      <w:r w:rsidR="005B1CE4" w:rsidRPr="00564DB3">
        <w:rPr>
          <w:rStyle w:val="FootnoteReference"/>
          <w:szCs w:val="18"/>
        </w:rPr>
        <w:footnoteReference w:id="508"/>
      </w:r>
      <w:r w:rsidRPr="00564DB3">
        <w:rPr>
          <w:szCs w:val="18"/>
        </w:rPr>
        <w:t xml:space="preserve"> It is uncontested that PBR evidence does </w:t>
      </w:r>
      <w:r w:rsidRPr="00564DB3">
        <w:rPr>
          <w:i/>
          <w:szCs w:val="18"/>
        </w:rPr>
        <w:t xml:space="preserve">not </w:t>
      </w:r>
      <w:r w:rsidRPr="00564DB3">
        <w:rPr>
          <w:szCs w:val="18"/>
        </w:rPr>
        <w:t xml:space="preserve">reveal the likelihood of dolphins being killed </w:t>
      </w:r>
      <w:r w:rsidR="00B25703" w:rsidRPr="00564DB3">
        <w:rPr>
          <w:szCs w:val="18"/>
        </w:rPr>
        <w:t xml:space="preserve">or seriously injured </w:t>
      </w:r>
      <w:r w:rsidRPr="00564DB3">
        <w:rPr>
          <w:szCs w:val="18"/>
        </w:rPr>
        <w:t>in a particular fishing operation.</w:t>
      </w:r>
      <w:r w:rsidR="005B1CE4" w:rsidRPr="00564DB3">
        <w:rPr>
          <w:rStyle w:val="FootnoteReference"/>
          <w:szCs w:val="18"/>
        </w:rPr>
        <w:footnoteReference w:id="509"/>
      </w:r>
      <w:r w:rsidRPr="00564DB3">
        <w:rPr>
          <w:szCs w:val="18"/>
        </w:rPr>
        <w:t xml:space="preserve"> Rather, it indicates the number of dolphins</w:t>
      </w:r>
      <w:r w:rsidRPr="00564DB3">
        <w:rPr>
          <w:i/>
          <w:szCs w:val="18"/>
        </w:rPr>
        <w:t xml:space="preserve"> </w:t>
      </w:r>
      <w:r w:rsidRPr="00564DB3">
        <w:rPr>
          <w:szCs w:val="18"/>
        </w:rPr>
        <w:t>that can be safely removed without jeopardizing the sustainability of the dolphin population as a whole.</w:t>
      </w:r>
      <w:bookmarkEnd w:id="265"/>
      <w:r w:rsidRPr="00564DB3">
        <w:rPr>
          <w:szCs w:val="18"/>
        </w:rPr>
        <w:t xml:space="preserve"> </w:t>
      </w:r>
    </w:p>
    <w:p w:rsidR="00432E5C" w:rsidRPr="00564DB3" w:rsidRDefault="00432E5C" w:rsidP="00F70E38">
      <w:pPr>
        <w:pStyle w:val="BodyText"/>
        <w:rPr>
          <w:szCs w:val="18"/>
        </w:rPr>
      </w:pPr>
      <w:bookmarkStart w:id="266" w:name="_Ref530584192"/>
      <w:r w:rsidRPr="00564DB3">
        <w:rPr>
          <w:szCs w:val="18"/>
        </w:rPr>
        <w:t xml:space="preserve">We recall that, before the Panels, Mexico contended that the Panels should have adopted the PBR methodology, </w:t>
      </w:r>
      <w:r w:rsidRPr="00564DB3">
        <w:rPr>
          <w:i/>
          <w:szCs w:val="18"/>
        </w:rPr>
        <w:t>rather than</w:t>
      </w:r>
      <w:r w:rsidRPr="00564DB3">
        <w:rPr>
          <w:szCs w:val="18"/>
        </w:rPr>
        <w:t xml:space="preserve"> the per set methodology, in assessing the risks to dolphins.</w:t>
      </w:r>
      <w:r w:rsidR="005B1CE4" w:rsidRPr="00564DB3">
        <w:rPr>
          <w:rStyle w:val="FootnoteReference"/>
          <w:szCs w:val="18"/>
        </w:rPr>
        <w:footnoteReference w:id="510"/>
      </w:r>
      <w:r w:rsidRPr="00564DB3">
        <w:rPr>
          <w:szCs w:val="18"/>
        </w:rPr>
        <w:t xml:space="preserve"> On appeal, Mexico acknowledges the utility of per set evidence where dolphin mortalities per set are high, but challenges the Panels' reliance on per set evidence</w:t>
      </w:r>
      <w:r w:rsidRPr="00564DB3">
        <w:rPr>
          <w:i/>
          <w:szCs w:val="18"/>
        </w:rPr>
        <w:t xml:space="preserve"> </w:t>
      </w:r>
      <w:r w:rsidRPr="00564DB3">
        <w:rPr>
          <w:szCs w:val="18"/>
        </w:rPr>
        <w:t xml:space="preserve">in circumstances in which PBR </w:t>
      </w:r>
      <w:r w:rsidR="00457AF0" w:rsidRPr="00564DB3">
        <w:rPr>
          <w:szCs w:val="18"/>
        </w:rPr>
        <w:t xml:space="preserve">evidence </w:t>
      </w:r>
      <w:r w:rsidRPr="00564DB3">
        <w:rPr>
          <w:szCs w:val="18"/>
        </w:rPr>
        <w:t>indicates that even a low level of mortalities per set would endanger the dolphin population of a fishery.</w:t>
      </w:r>
      <w:r w:rsidR="005B1CE4" w:rsidRPr="00564DB3">
        <w:rPr>
          <w:rStyle w:val="FootnoteReference"/>
          <w:szCs w:val="18"/>
        </w:rPr>
        <w:footnoteReference w:id="511"/>
      </w:r>
      <w:r w:rsidRPr="00564DB3">
        <w:rPr>
          <w:szCs w:val="18"/>
        </w:rPr>
        <w:t xml:space="preserve"> However, Mexico has not explained how reliance on PBR </w:t>
      </w:r>
      <w:r w:rsidR="00457AF0" w:rsidRPr="00564DB3">
        <w:rPr>
          <w:szCs w:val="18"/>
        </w:rPr>
        <w:t>evidence</w:t>
      </w:r>
      <w:r w:rsidRPr="00564DB3">
        <w:rPr>
          <w:szCs w:val="18"/>
        </w:rPr>
        <w:t xml:space="preserve"> in these circumstances relates to, or reveal</w:t>
      </w:r>
      <w:r w:rsidR="00457AF0" w:rsidRPr="00564DB3">
        <w:rPr>
          <w:szCs w:val="18"/>
        </w:rPr>
        <w:t>s</w:t>
      </w:r>
      <w:r w:rsidRPr="00564DB3">
        <w:rPr>
          <w:szCs w:val="18"/>
        </w:rPr>
        <w:t>, the actual</w:t>
      </w:r>
      <w:r w:rsidRPr="00564DB3">
        <w:rPr>
          <w:i/>
          <w:szCs w:val="18"/>
        </w:rPr>
        <w:t xml:space="preserve"> </w:t>
      </w:r>
      <w:r w:rsidRPr="00564DB3">
        <w:rPr>
          <w:szCs w:val="18"/>
        </w:rPr>
        <w:t xml:space="preserve">risks that dolphins were killed or seriously injured in the fishing process. Thus, as noted by the Panels, relying on PBR evidence would have resulted in an assessment of a </w:t>
      </w:r>
      <w:r w:rsidRPr="00564DB3">
        <w:rPr>
          <w:i/>
          <w:szCs w:val="18"/>
        </w:rPr>
        <w:t>different</w:t>
      </w:r>
      <w:r w:rsidRPr="00564DB3">
        <w:rPr>
          <w:szCs w:val="18"/>
        </w:rPr>
        <w:t xml:space="preserve"> kind of risk to dolphins than the risks of which the measure seeks to inform consumers.</w:t>
      </w:r>
      <w:r w:rsidR="005B1CE4" w:rsidRPr="00564DB3">
        <w:rPr>
          <w:rStyle w:val="FootnoteReference"/>
          <w:szCs w:val="18"/>
        </w:rPr>
        <w:footnoteReference w:id="512"/>
      </w:r>
      <w:r w:rsidRPr="00564DB3">
        <w:rPr>
          <w:szCs w:val="18"/>
        </w:rPr>
        <w:t xml:space="preserve"> We therefore agree with the Panels' assessment that the PBR methodology prioritizes the sustainability of the population in a way that would have prevented the Panels from adequately assessing whether the measure is calibrated to different risks that a dolphin was harmed or killed in the fishing process, and that "the PBR methodology … sits uncomfortably with the design and structure of the 2016 Tuna Measure</w:t>
      </w:r>
      <w:r w:rsidR="00760C81" w:rsidRPr="00564DB3">
        <w:rPr>
          <w:szCs w:val="18"/>
        </w:rPr>
        <w:t>.</w:t>
      </w:r>
      <w:r w:rsidRPr="00564DB3">
        <w:rPr>
          <w:szCs w:val="18"/>
        </w:rPr>
        <w:t>"</w:t>
      </w:r>
      <w:r w:rsidR="005B1CE4" w:rsidRPr="00564DB3">
        <w:rPr>
          <w:rStyle w:val="FootnoteReference"/>
          <w:szCs w:val="18"/>
        </w:rPr>
        <w:footnoteReference w:id="513"/>
      </w:r>
      <w:bookmarkEnd w:id="266"/>
      <w:r w:rsidRPr="00564DB3">
        <w:rPr>
          <w:szCs w:val="18"/>
        </w:rPr>
        <w:t xml:space="preserve"> </w:t>
      </w:r>
    </w:p>
    <w:p w:rsidR="00432E5C" w:rsidRPr="00564DB3" w:rsidRDefault="00432E5C" w:rsidP="00F70E38">
      <w:pPr>
        <w:pStyle w:val="BodyText"/>
        <w:rPr>
          <w:szCs w:val="18"/>
        </w:rPr>
      </w:pPr>
      <w:bookmarkStart w:id="267" w:name="_Ref518472227"/>
      <w:r w:rsidRPr="00564DB3">
        <w:rPr>
          <w:szCs w:val="18"/>
        </w:rPr>
        <w:t>Mexico further maintains that its position comports with the Appellate</w:t>
      </w:r>
      <w:r w:rsidR="00025CB6" w:rsidRPr="00564DB3">
        <w:rPr>
          <w:szCs w:val="18"/>
        </w:rPr>
        <w:t> Body</w:t>
      </w:r>
      <w:r w:rsidRPr="00564DB3">
        <w:rPr>
          <w:szCs w:val="18"/>
        </w:rPr>
        <w:t xml:space="preserve">'s statement in the first compliance proceedings that it did "not exclude that reference to … objective indicators [such as PBR </w:t>
      </w:r>
      <w:r w:rsidR="00457AF0" w:rsidRPr="00564DB3">
        <w:rPr>
          <w:szCs w:val="18"/>
        </w:rPr>
        <w:t>evidence</w:t>
      </w:r>
      <w:r w:rsidRPr="00564DB3">
        <w:rPr>
          <w:szCs w:val="18"/>
        </w:rPr>
        <w:t>] might assist in an assessment of whether regulatory differences in the treatment of different fisheries can be explained on the basis that such treatment is calibrated to, or commensurate with, the relative risks to dolphins arising from different fishing methods in different areas of the oceans"</w:t>
      </w:r>
      <w:r w:rsidR="00760C81" w:rsidRPr="00564DB3">
        <w:rPr>
          <w:szCs w:val="18"/>
        </w:rPr>
        <w:t>.</w:t>
      </w:r>
      <w:r w:rsidR="005B1CE4" w:rsidRPr="00564DB3">
        <w:rPr>
          <w:rStyle w:val="FootnoteReference"/>
          <w:szCs w:val="18"/>
        </w:rPr>
        <w:footnoteReference w:id="514"/>
      </w:r>
      <w:r w:rsidRPr="00564DB3">
        <w:rPr>
          <w:szCs w:val="18"/>
        </w:rPr>
        <w:t xml:space="preserve"> This statement by the Appellate</w:t>
      </w:r>
      <w:r w:rsidR="00025CB6" w:rsidRPr="00564DB3">
        <w:rPr>
          <w:szCs w:val="18"/>
        </w:rPr>
        <w:t> Body</w:t>
      </w:r>
      <w:r w:rsidRPr="00564DB3">
        <w:rPr>
          <w:szCs w:val="18"/>
        </w:rPr>
        <w:t xml:space="preserve"> acknowledging the possible relevance of PBR evidence does not state that a panel is necessarily required to rely on such evidence as an objective indicator or means of assessing whether the measure is properly calibrated. To the contrary, the Appellate</w:t>
      </w:r>
      <w:r w:rsidR="00025CB6" w:rsidRPr="00564DB3">
        <w:rPr>
          <w:szCs w:val="18"/>
        </w:rPr>
        <w:t> Body</w:t>
      </w:r>
      <w:r w:rsidRPr="00564DB3">
        <w:rPr>
          <w:szCs w:val="18"/>
        </w:rPr>
        <w:t xml:space="preserve"> avoided taking a position on that issue and explained that a panel should rely on evidence reflecting appropriate objective indicators in assessing the risks to dolphins. In our view, the Panels adequately explained their decision to rely primarily on per set evidence, and not PBR evidence, in accordance with the Appellate Body's guidance to rely on objective indicators. </w:t>
      </w:r>
      <w:bookmarkEnd w:id="267"/>
    </w:p>
    <w:p w:rsidR="00432E5C" w:rsidRPr="00564DB3" w:rsidRDefault="00432E5C" w:rsidP="00F70E38">
      <w:pPr>
        <w:pStyle w:val="BodyText"/>
        <w:rPr>
          <w:szCs w:val="18"/>
        </w:rPr>
      </w:pPr>
      <w:r w:rsidRPr="00564DB3">
        <w:rPr>
          <w:szCs w:val="18"/>
        </w:rPr>
        <w:t>Additionally, we recall Mexico's assertion that the Panels arbitrarily included, within their analysis, "unobservable harms 'whose realization cannot be definitely established'" and excluded "measured and realized harms that threaten the sustainability of entire dolphin populations in areas of the oceans".</w:t>
      </w:r>
      <w:r w:rsidR="005B1CE4" w:rsidRPr="00564DB3">
        <w:rPr>
          <w:rStyle w:val="FootnoteReference"/>
          <w:szCs w:val="18"/>
        </w:rPr>
        <w:footnoteReference w:id="515"/>
      </w:r>
      <w:r w:rsidRPr="00564DB3">
        <w:rPr>
          <w:szCs w:val="18"/>
        </w:rPr>
        <w:t xml:space="preserve"> We consider that the appropriate "measured and realized harms" that the Panels were obliged to take into account were the risks of harm to individual dolphins (e.g. mortality and serious injury)</w:t>
      </w:r>
      <w:r w:rsidR="00687B23" w:rsidRPr="00564DB3">
        <w:rPr>
          <w:szCs w:val="18"/>
        </w:rPr>
        <w:t xml:space="preserve">, which </w:t>
      </w:r>
      <w:r w:rsidRPr="00564DB3">
        <w:rPr>
          <w:szCs w:val="18"/>
        </w:rPr>
        <w:t>the Panels did</w:t>
      </w:r>
      <w:r w:rsidRPr="00564DB3">
        <w:rPr>
          <w:i/>
          <w:szCs w:val="18"/>
        </w:rPr>
        <w:t xml:space="preserve"> </w:t>
      </w:r>
      <w:r w:rsidRPr="00564DB3">
        <w:rPr>
          <w:szCs w:val="18"/>
        </w:rPr>
        <w:t>take into account in their reliance on per set evidence.</w:t>
      </w:r>
      <w:r w:rsidR="005B1CE4" w:rsidRPr="00564DB3">
        <w:rPr>
          <w:rStyle w:val="FootnoteReference"/>
          <w:szCs w:val="18"/>
        </w:rPr>
        <w:footnoteReference w:id="516"/>
      </w:r>
      <w:r w:rsidRPr="00564DB3">
        <w:rPr>
          <w:szCs w:val="18"/>
        </w:rPr>
        <w:t xml:space="preserve"> In the same vein, we also disagree with Mexico's assertion that the Panels did not explain how the use of a fishing method that causes or threatens dolphin population collapse could not be considered as "adversely affecting dolphins".</w:t>
      </w:r>
      <w:r w:rsidR="005B1CE4" w:rsidRPr="00564DB3">
        <w:rPr>
          <w:rStyle w:val="FootnoteReference"/>
          <w:szCs w:val="18"/>
        </w:rPr>
        <w:footnoteReference w:id="517"/>
      </w:r>
      <w:r w:rsidRPr="00564DB3">
        <w:rPr>
          <w:szCs w:val="18"/>
        </w:rPr>
        <w:t xml:space="preserve"> Rather, the Panels explicitly recognized "that mortality or serious injury suffered by individual dolphins may also have population-level consequences</w:t>
      </w:r>
      <w:r w:rsidR="008F3863" w:rsidRPr="00564DB3">
        <w:rPr>
          <w:szCs w:val="18"/>
        </w:rPr>
        <w:t>.</w:t>
      </w:r>
      <w:r w:rsidRPr="00564DB3">
        <w:rPr>
          <w:szCs w:val="18"/>
        </w:rPr>
        <w:t>"</w:t>
      </w:r>
      <w:r w:rsidR="005B1CE4" w:rsidRPr="00564DB3">
        <w:rPr>
          <w:rStyle w:val="FootnoteReference"/>
          <w:szCs w:val="18"/>
        </w:rPr>
        <w:footnoteReference w:id="518"/>
      </w:r>
      <w:r w:rsidRPr="00564DB3">
        <w:rPr>
          <w:szCs w:val="18"/>
        </w:rPr>
        <w:t xml:space="preserve"> Furthermore, as indicated above, we agree with the Panels that the protection of individual dolphins can indeed contribute to the conservation of dolphin populations. </w:t>
      </w:r>
    </w:p>
    <w:p w:rsidR="00432E5C" w:rsidRPr="00564DB3" w:rsidRDefault="00432E5C" w:rsidP="00F70E38">
      <w:pPr>
        <w:pStyle w:val="BodyText"/>
        <w:rPr>
          <w:szCs w:val="18"/>
        </w:rPr>
      </w:pPr>
      <w:r w:rsidRPr="00564DB3">
        <w:rPr>
          <w:szCs w:val="18"/>
        </w:rPr>
        <w:t xml:space="preserve">For these reasons, we consider that Mexico has not demonstrated that the Panels erred in applying </w:t>
      </w:r>
      <w:r w:rsidR="00083DFC" w:rsidRPr="00564DB3">
        <w:rPr>
          <w:szCs w:val="18"/>
        </w:rPr>
        <w:t>Article </w:t>
      </w:r>
      <w:r w:rsidRPr="00564DB3">
        <w:rPr>
          <w:szCs w:val="18"/>
        </w:rPr>
        <w:t xml:space="preserve">2.1 by not </w:t>
      </w:r>
      <w:proofErr w:type="gramStart"/>
      <w:r w:rsidRPr="00564DB3">
        <w:rPr>
          <w:szCs w:val="18"/>
        </w:rPr>
        <w:t>taking into account</w:t>
      </w:r>
      <w:proofErr w:type="gramEnd"/>
      <w:r w:rsidRPr="00564DB3">
        <w:rPr>
          <w:szCs w:val="18"/>
        </w:rPr>
        <w:t xml:space="preserve"> PBR evidence when assessing the overall relative risks to dolphins of different fishing methods in different ocean areas. This is not meant to</w:t>
      </w:r>
      <w:r w:rsidRPr="00564DB3">
        <w:rPr>
          <w:i/>
          <w:szCs w:val="18"/>
        </w:rPr>
        <w:t xml:space="preserve"> </w:t>
      </w:r>
      <w:r w:rsidRPr="00564DB3">
        <w:rPr>
          <w:szCs w:val="18"/>
        </w:rPr>
        <w:t>imply that the Panels failed to take into consideration risks to dolphin populations. Rather, we understand the Panels to have considered that the 2016 Tuna Measure seeks to protect dolphin populations by protecting individual dolphins and</w:t>
      </w:r>
      <w:r w:rsidR="003962BF" w:rsidRPr="00564DB3">
        <w:rPr>
          <w:szCs w:val="18"/>
        </w:rPr>
        <w:t>,</w:t>
      </w:r>
      <w:r w:rsidRPr="00564DB3">
        <w:rPr>
          <w:szCs w:val="18"/>
        </w:rPr>
        <w:t xml:space="preserve"> consequently</w:t>
      </w:r>
      <w:r w:rsidR="003962BF" w:rsidRPr="00564DB3">
        <w:rPr>
          <w:szCs w:val="18"/>
        </w:rPr>
        <w:t>,</w:t>
      </w:r>
      <w:r w:rsidRPr="00564DB3">
        <w:rPr>
          <w:szCs w:val="18"/>
        </w:rPr>
        <w:t xml:space="preserve"> their analysis focused on evidence revealing the risks that individual dolphins are harmed or killed in the fishing process. In our view, this approach is consistent with the nature of the calibration analysis the</w:t>
      </w:r>
      <w:r w:rsidR="002D7646" w:rsidRPr="00564DB3">
        <w:rPr>
          <w:szCs w:val="18"/>
        </w:rPr>
        <w:t xml:space="preserve"> Panels</w:t>
      </w:r>
      <w:r w:rsidRPr="00564DB3">
        <w:rPr>
          <w:szCs w:val="18"/>
        </w:rPr>
        <w:t xml:space="preserve"> were required to undertake. </w:t>
      </w:r>
    </w:p>
    <w:p w:rsidR="00432E5C" w:rsidRPr="00564DB3" w:rsidRDefault="00432E5C" w:rsidP="00F70E38">
      <w:pPr>
        <w:pStyle w:val="Heading5"/>
        <w:rPr>
          <w:szCs w:val="18"/>
        </w:rPr>
      </w:pPr>
      <w:bookmarkStart w:id="268" w:name="_Toc531967484"/>
      <w:bookmarkEnd w:id="258"/>
      <w:r w:rsidRPr="00564DB3">
        <w:rPr>
          <w:szCs w:val="18"/>
        </w:rPr>
        <w:t>Absolute levels of adverse effects</w:t>
      </w:r>
      <w:bookmarkEnd w:id="268"/>
    </w:p>
    <w:p w:rsidR="00432E5C" w:rsidRPr="00564DB3" w:rsidRDefault="00432E5C" w:rsidP="00F70E38">
      <w:pPr>
        <w:pStyle w:val="BodyText"/>
        <w:rPr>
          <w:szCs w:val="18"/>
        </w:rPr>
      </w:pPr>
      <w:r w:rsidRPr="00564DB3">
        <w:rPr>
          <w:szCs w:val="18"/>
        </w:rPr>
        <w:t>Mexico argues that the Panels erred by failing to compare the absolute levels of mortalities and serious injuries to dolphins in different fisheries. Mexico explains that, in fisheries with many sets, the "overall" adverse effects will be "masked" by the per set data, such that "tuna caught in an ocean area where tuna fishing is causing tens of thousands of deaths per year could be found eligible for the dolphin-safe label</w:t>
      </w:r>
      <w:r w:rsidR="003962BF" w:rsidRPr="00564DB3">
        <w:rPr>
          <w:szCs w:val="18"/>
        </w:rPr>
        <w:t>.</w:t>
      </w:r>
      <w:r w:rsidRPr="00564DB3">
        <w:rPr>
          <w:szCs w:val="18"/>
        </w:rPr>
        <w:t>"</w:t>
      </w:r>
      <w:r w:rsidR="005B1CE4" w:rsidRPr="00564DB3">
        <w:rPr>
          <w:rStyle w:val="FootnoteReference"/>
          <w:szCs w:val="18"/>
        </w:rPr>
        <w:footnoteReference w:id="519"/>
      </w:r>
      <w:r w:rsidR="00A93707" w:rsidRPr="00564DB3">
        <w:rPr>
          <w:szCs w:val="18"/>
        </w:rPr>
        <w:t xml:space="preserve"> To </w:t>
      </w:r>
      <w:r w:rsidRPr="00564DB3">
        <w:rPr>
          <w:szCs w:val="18"/>
        </w:rPr>
        <w:t>Mexico, these absolute levels of adverse effects constitute "'overall adverse effects on dolphins' for the fishing method/area".</w:t>
      </w:r>
      <w:r w:rsidR="005B1CE4" w:rsidRPr="00564DB3">
        <w:rPr>
          <w:rStyle w:val="FootnoteReference"/>
          <w:szCs w:val="18"/>
        </w:rPr>
        <w:footnoteReference w:id="520"/>
      </w:r>
      <w:r w:rsidRPr="00564DB3">
        <w:rPr>
          <w:szCs w:val="18"/>
        </w:rPr>
        <w:t xml:space="preserve"> Mexico argues that "fishing practices in such ocean areas should be discouraged"</w:t>
      </w:r>
      <w:r w:rsidR="002D39A9" w:rsidRPr="00564DB3">
        <w:rPr>
          <w:rStyle w:val="FootnoteReference"/>
          <w:szCs w:val="18"/>
        </w:rPr>
        <w:footnoteReference w:id="521"/>
      </w:r>
      <w:r w:rsidRPr="00564DB3">
        <w:rPr>
          <w:szCs w:val="18"/>
        </w:rPr>
        <w:t>, and that "the omission of these overall adverse effects contradicts the two objectives of the measure</w:t>
      </w:r>
      <w:r w:rsidR="003962BF" w:rsidRPr="00564DB3">
        <w:rPr>
          <w:szCs w:val="18"/>
        </w:rPr>
        <w:t>.</w:t>
      </w:r>
      <w:r w:rsidRPr="00564DB3">
        <w:rPr>
          <w:szCs w:val="18"/>
        </w:rPr>
        <w:t>"</w:t>
      </w:r>
      <w:r w:rsidR="005B1CE4" w:rsidRPr="00564DB3">
        <w:rPr>
          <w:rStyle w:val="FootnoteReference"/>
          <w:szCs w:val="18"/>
        </w:rPr>
        <w:footnoteReference w:id="522"/>
      </w:r>
      <w:r w:rsidRPr="00564DB3">
        <w:rPr>
          <w:szCs w:val="18"/>
        </w:rPr>
        <w:t xml:space="preserve"> </w:t>
      </w:r>
    </w:p>
    <w:p w:rsidR="00432E5C" w:rsidRPr="00564DB3" w:rsidRDefault="00432E5C" w:rsidP="00F70E38">
      <w:pPr>
        <w:pStyle w:val="BodyText"/>
        <w:rPr>
          <w:szCs w:val="18"/>
        </w:rPr>
      </w:pPr>
      <w:r w:rsidRPr="00564DB3">
        <w:rPr>
          <w:szCs w:val="18"/>
        </w:rPr>
        <w:t xml:space="preserve">In the </w:t>
      </w:r>
      <w:r w:rsidR="00083DFC" w:rsidRPr="00564DB3">
        <w:rPr>
          <w:szCs w:val="18"/>
        </w:rPr>
        <w:t>United States</w:t>
      </w:r>
      <w:r w:rsidRPr="00564DB3">
        <w:rPr>
          <w:szCs w:val="18"/>
        </w:rPr>
        <w:t>' view, a comparison of absolute levels of adverse effects fails to take into account unobservable harms, and does not "'contextualize' the adverse effects on dolphins in different fisheries", given the different sizes and effort levels of fisheries.</w:t>
      </w:r>
      <w:r w:rsidR="005B1CE4" w:rsidRPr="00564DB3">
        <w:rPr>
          <w:rStyle w:val="FootnoteReference"/>
          <w:szCs w:val="18"/>
        </w:rPr>
        <w:footnoteReference w:id="523"/>
      </w:r>
      <w:r w:rsidRPr="00564DB3">
        <w:rPr>
          <w:szCs w:val="18"/>
        </w:rPr>
        <w:t xml:space="preserve"> The </w:t>
      </w:r>
      <w:r w:rsidR="00083DFC" w:rsidRPr="00564DB3">
        <w:rPr>
          <w:szCs w:val="18"/>
        </w:rPr>
        <w:t>United States</w:t>
      </w:r>
      <w:r w:rsidRPr="00564DB3">
        <w:rPr>
          <w:szCs w:val="18"/>
        </w:rPr>
        <w:t xml:space="preserve"> explains that "a fishery with a few vessels would be compared directly with a fishery comprising thousands of vessels" and the "'absolute' numbers of dolphin mortalities might be greater in the second fishery, even if dolphins were hardly ever killed or even seen in the fishery, simply due to its far greater size."</w:t>
      </w:r>
      <w:r w:rsidR="005B1CE4" w:rsidRPr="00564DB3">
        <w:rPr>
          <w:rStyle w:val="FootnoteReference"/>
          <w:szCs w:val="18"/>
        </w:rPr>
        <w:footnoteReference w:id="524"/>
      </w:r>
      <w:r w:rsidRPr="00564DB3">
        <w:rPr>
          <w:szCs w:val="18"/>
        </w:rPr>
        <w:t xml:space="preserve"> The </w:t>
      </w:r>
      <w:r w:rsidR="00083DFC" w:rsidRPr="00564DB3">
        <w:rPr>
          <w:szCs w:val="18"/>
        </w:rPr>
        <w:t>United States</w:t>
      </w:r>
      <w:r w:rsidRPr="00564DB3">
        <w:rPr>
          <w:szCs w:val="18"/>
        </w:rPr>
        <w:t xml:space="preserve"> also points out that Mexico has "never defined or explained the 'ocean regions' or 'fisheries' that should be assessed", but has </w:t>
      </w:r>
      <w:r w:rsidR="002D7646" w:rsidRPr="00564DB3">
        <w:rPr>
          <w:szCs w:val="18"/>
        </w:rPr>
        <w:t>"</w:t>
      </w:r>
      <w:r w:rsidRPr="00564DB3">
        <w:rPr>
          <w:szCs w:val="18"/>
        </w:rPr>
        <w:t>consistently compared the dolphin mortalities caused by the 80-90 vessels setting on dolphins with those caused by thousands of other vessels around the world", which "perversely" distorts the comparison, since setting on dolphins "has been banned almost everywhere in the world".</w:t>
      </w:r>
      <w:r w:rsidR="005B1CE4" w:rsidRPr="00564DB3">
        <w:rPr>
          <w:rStyle w:val="FootnoteReference"/>
          <w:szCs w:val="18"/>
        </w:rPr>
        <w:footnoteReference w:id="525"/>
      </w:r>
    </w:p>
    <w:p w:rsidR="00432E5C" w:rsidRPr="00564DB3" w:rsidRDefault="00432E5C" w:rsidP="00F70E38">
      <w:pPr>
        <w:pStyle w:val="BodyText"/>
        <w:rPr>
          <w:szCs w:val="18"/>
        </w:rPr>
      </w:pPr>
      <w:bookmarkStart w:id="269" w:name="_Ref530666089"/>
      <w:r w:rsidRPr="00564DB3">
        <w:rPr>
          <w:szCs w:val="18"/>
        </w:rPr>
        <w:t>We note as an initial matter that the Panels did not completely exclude evidence of absolute levels of dolphin mortalities and serious injuries. Rather, the Panels opted to rely on such evidence in assessing certain fishing methods and fisheries where they considered that the available per set evidence was lacking.</w:t>
      </w:r>
      <w:r w:rsidR="005B1CE4" w:rsidRPr="00564DB3">
        <w:rPr>
          <w:rStyle w:val="FootnoteReference"/>
          <w:szCs w:val="18"/>
        </w:rPr>
        <w:footnoteReference w:id="526"/>
      </w:r>
      <w:r w:rsidRPr="00564DB3">
        <w:rPr>
          <w:szCs w:val="18"/>
        </w:rPr>
        <w:t xml:space="preserve"> Furthermore, Mexico has not identified any specific evidence of absolute levels of mortalities or serious injuries that the Panels disregarded. We also note that calculating levels of harm on a per set basis necessarily takes into account absolute levels of harm as part of the calculation.</w:t>
      </w:r>
      <w:r w:rsidR="005B1CE4" w:rsidRPr="00564DB3">
        <w:rPr>
          <w:rStyle w:val="FootnoteReference"/>
          <w:szCs w:val="18"/>
        </w:rPr>
        <w:footnoteReference w:id="527"/>
      </w:r>
      <w:r w:rsidR="00A93707" w:rsidRPr="00564DB3">
        <w:rPr>
          <w:szCs w:val="18"/>
        </w:rPr>
        <w:t xml:space="preserve"> We </w:t>
      </w:r>
      <w:r w:rsidRPr="00564DB3">
        <w:rPr>
          <w:szCs w:val="18"/>
        </w:rPr>
        <w:t>therefore understand that Mexico's argument pertains not to the Panels' "rejection" of such "absolute" evidence, but to the Panels' decision to rely on per set evidence, rather than absolute evidence, as their primary methodology</w:t>
      </w:r>
      <w:r w:rsidRPr="00564DB3">
        <w:rPr>
          <w:i/>
          <w:szCs w:val="18"/>
        </w:rPr>
        <w:t xml:space="preserve"> </w:t>
      </w:r>
      <w:r w:rsidRPr="00564DB3">
        <w:rPr>
          <w:szCs w:val="18"/>
        </w:rPr>
        <w:t>by which to assess and compare the risks to dolphins.</w:t>
      </w:r>
      <w:bookmarkStart w:id="270" w:name="_Ref530666249"/>
      <w:r w:rsidR="005B1CE4" w:rsidRPr="00564DB3">
        <w:rPr>
          <w:rStyle w:val="FootnoteReference"/>
          <w:szCs w:val="18"/>
        </w:rPr>
        <w:footnoteReference w:id="528"/>
      </w:r>
      <w:bookmarkEnd w:id="269"/>
      <w:bookmarkEnd w:id="270"/>
      <w:r w:rsidRPr="00564DB3">
        <w:rPr>
          <w:szCs w:val="18"/>
        </w:rPr>
        <w:t xml:space="preserve"> </w:t>
      </w:r>
    </w:p>
    <w:p w:rsidR="00432E5C" w:rsidRPr="00564DB3" w:rsidRDefault="00432E5C" w:rsidP="00F70E38">
      <w:pPr>
        <w:pStyle w:val="BodyText"/>
        <w:rPr>
          <w:szCs w:val="18"/>
        </w:rPr>
      </w:pPr>
      <w:r w:rsidRPr="00564DB3">
        <w:rPr>
          <w:szCs w:val="18"/>
        </w:rPr>
        <w:t>The Panels opted not to rely primarily on evidence of absolute levels of dolphin mortalities and significant injuries, on the basis that:</w:t>
      </w:r>
    </w:p>
    <w:p w:rsidR="00432E5C" w:rsidRPr="00564DB3" w:rsidRDefault="00432E5C" w:rsidP="00F70E38">
      <w:pPr>
        <w:pStyle w:val="Quotation"/>
      </w:pPr>
      <w:r w:rsidRPr="00564DB3">
        <w:t>[S]</w:t>
      </w:r>
      <w:proofErr w:type="spellStart"/>
      <w:r w:rsidRPr="00564DB3">
        <w:t>uch</w:t>
      </w:r>
      <w:proofErr w:type="spellEnd"/>
      <w:r w:rsidRPr="00564DB3">
        <w:t xml:space="preserve"> a methodology would not necessarily deal with the issue of how to compare the levels of adverse effects on dolphins arising from different fishing methods in different areas of the ocean, or contextualize them in the light of the relative extent and </w:t>
      </w:r>
      <w:r w:rsidR="00B23AD2">
        <w:br/>
      </w:r>
      <w:r w:rsidRPr="00564DB3">
        <w:t>intensity to which different fishing methods are use</w:t>
      </w:r>
      <w:r w:rsidR="001B4DCA">
        <w:t>d, in such a way as to allow an </w:t>
      </w:r>
      <w:r w:rsidRPr="00564DB3">
        <w:rPr>
          <w:i/>
        </w:rPr>
        <w:t>apples</w:t>
      </w:r>
      <w:r w:rsidR="00B23AD2">
        <w:rPr>
          <w:i/>
        </w:rPr>
        <w:noBreakHyphen/>
      </w:r>
      <w:r w:rsidRPr="00564DB3">
        <w:rPr>
          <w:i/>
        </w:rPr>
        <w:t>to</w:t>
      </w:r>
      <w:r w:rsidR="00B23AD2">
        <w:rPr>
          <w:i/>
        </w:rPr>
        <w:noBreakHyphen/>
      </w:r>
      <w:r w:rsidRPr="00564DB3">
        <w:rPr>
          <w:i/>
        </w:rPr>
        <w:t>apples</w:t>
      </w:r>
      <w:r w:rsidRPr="00564DB3">
        <w:t xml:space="preserve"> assessment of the relative harmfulness of different fishing methods as used in different areas of the oceans.</w:t>
      </w:r>
      <w:r w:rsidR="005B1CE4" w:rsidRPr="00564DB3">
        <w:rPr>
          <w:rStyle w:val="FootnoteReference"/>
        </w:rPr>
        <w:footnoteReference w:id="529"/>
      </w:r>
    </w:p>
    <w:p w:rsidR="00432E5C" w:rsidRPr="00564DB3" w:rsidRDefault="00432E5C" w:rsidP="00F70E38">
      <w:pPr>
        <w:pStyle w:val="BodyText"/>
        <w:rPr>
          <w:szCs w:val="18"/>
        </w:rPr>
      </w:pPr>
      <w:r w:rsidRPr="00564DB3">
        <w:rPr>
          <w:szCs w:val="18"/>
        </w:rPr>
        <w:t>As explained above</w:t>
      </w:r>
      <w:r w:rsidR="005B1CE4" w:rsidRPr="00564DB3">
        <w:rPr>
          <w:rStyle w:val="FootnoteReference"/>
          <w:szCs w:val="18"/>
        </w:rPr>
        <w:footnoteReference w:id="530"/>
      </w:r>
      <w:r w:rsidRPr="00564DB3">
        <w:rPr>
          <w:szCs w:val="18"/>
        </w:rPr>
        <w:t xml:space="preserve">, an assessment as to whether the 2016 Tuna Measure is 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calls for a</w:t>
      </w:r>
      <w:r w:rsidR="000B7B5A" w:rsidRPr="00564DB3">
        <w:rPr>
          <w:szCs w:val="18"/>
        </w:rPr>
        <w:t>n</w:t>
      </w:r>
      <w:r w:rsidRPr="00564DB3">
        <w:rPr>
          <w:szCs w:val="18"/>
        </w:rPr>
        <w:t xml:space="preserve"> analysis of the overall </w:t>
      </w:r>
      <w:r w:rsidRPr="00564DB3">
        <w:rPr>
          <w:i/>
          <w:szCs w:val="18"/>
        </w:rPr>
        <w:t xml:space="preserve">relative </w:t>
      </w:r>
      <w:r w:rsidRPr="00564DB3">
        <w:rPr>
          <w:szCs w:val="18"/>
        </w:rPr>
        <w:t>risks to dolphins.</w:t>
      </w:r>
      <w:r w:rsidR="005B1CE4" w:rsidRPr="00564DB3">
        <w:rPr>
          <w:rStyle w:val="FootnoteReference"/>
          <w:szCs w:val="18"/>
        </w:rPr>
        <w:footnoteReference w:id="531"/>
      </w:r>
      <w:r w:rsidRPr="00564DB3">
        <w:rPr>
          <w:szCs w:val="18"/>
        </w:rPr>
        <w:t xml:space="preserve"> The Panels were therefore required to use a metric, or methodology, that allowed for a proper comparison of risks to dolphins across fisheries. </w:t>
      </w:r>
      <w:bookmarkStart w:id="271" w:name="_Ref525310513"/>
      <w:bookmarkStart w:id="272" w:name="_Ref522721162"/>
      <w:r w:rsidRPr="00564DB3">
        <w:rPr>
          <w:szCs w:val="18"/>
        </w:rPr>
        <w:t xml:space="preserve">In light of the </w:t>
      </w:r>
      <w:r w:rsidRPr="00564DB3">
        <w:rPr>
          <w:i/>
          <w:szCs w:val="18"/>
        </w:rPr>
        <w:t>relative</w:t>
      </w:r>
      <w:r w:rsidRPr="00564DB3">
        <w:rPr>
          <w:szCs w:val="18"/>
        </w:rPr>
        <w:t xml:space="preserve"> nature of the comparison to be undertaken, we agree with the Panels that any comparison of risks to dolphins in different tuna fisheries should, in principle, be an "apples-to-apples" comparison, such that relevant differences between the fisheries are appropriately taken into account.</w:t>
      </w:r>
      <w:r w:rsidR="005B1CE4" w:rsidRPr="00564DB3">
        <w:rPr>
          <w:rStyle w:val="FootnoteReference"/>
          <w:szCs w:val="18"/>
        </w:rPr>
        <w:footnoteReference w:id="532"/>
      </w:r>
      <w:r w:rsidRPr="00564DB3">
        <w:rPr>
          <w:szCs w:val="18"/>
        </w:rPr>
        <w:t xml:space="preserve"> We also note the Panels' findings that the "extent and intensity to which different fishing methods are used" varies from fishery to fishery.</w:t>
      </w:r>
      <w:bookmarkEnd w:id="271"/>
      <w:r w:rsidR="005B1CE4" w:rsidRPr="00564DB3">
        <w:rPr>
          <w:rStyle w:val="FootnoteReference"/>
          <w:szCs w:val="18"/>
        </w:rPr>
        <w:footnoteReference w:id="533"/>
      </w:r>
      <w:r w:rsidRPr="00564DB3">
        <w:rPr>
          <w:szCs w:val="18"/>
        </w:rPr>
        <w:t xml:space="preserve"> </w:t>
      </w:r>
    </w:p>
    <w:p w:rsidR="00432E5C" w:rsidRPr="00564DB3" w:rsidRDefault="00432E5C" w:rsidP="00F70E38">
      <w:pPr>
        <w:pStyle w:val="BodyText"/>
        <w:rPr>
          <w:szCs w:val="18"/>
        </w:rPr>
      </w:pPr>
      <w:r w:rsidRPr="00564DB3">
        <w:rPr>
          <w:szCs w:val="18"/>
        </w:rPr>
        <w:t xml:space="preserve">The Panels considered that data reflecting the number of absolute dolphin mortalities or serious injuries in a </w:t>
      </w:r>
      <w:proofErr w:type="gramStart"/>
      <w:r w:rsidRPr="00564DB3">
        <w:rPr>
          <w:szCs w:val="18"/>
        </w:rPr>
        <w:t>particular fishery</w:t>
      </w:r>
      <w:proofErr w:type="gramEnd"/>
      <w:r w:rsidRPr="00564DB3">
        <w:rPr>
          <w:szCs w:val="18"/>
        </w:rPr>
        <w:t xml:space="preserve"> do not account for such differences. </w:t>
      </w:r>
      <w:r w:rsidR="002D7646" w:rsidRPr="00564DB3">
        <w:rPr>
          <w:szCs w:val="18"/>
        </w:rPr>
        <w:t>In the Panels' view, a</w:t>
      </w:r>
      <w:r w:rsidRPr="00564DB3">
        <w:rPr>
          <w:szCs w:val="18"/>
        </w:rPr>
        <w:t>bsolute levels of mortalities or serious injuries present a number that is independent of the specific features of the fishery (for instance, the number of fishing operations conducted per year in that fishery).</w:t>
      </w:r>
      <w:r w:rsidR="005B1CE4" w:rsidRPr="00564DB3">
        <w:rPr>
          <w:rStyle w:val="FootnoteReference"/>
          <w:szCs w:val="18"/>
        </w:rPr>
        <w:footnoteReference w:id="534"/>
      </w:r>
      <w:r w:rsidR="002D39A9" w:rsidRPr="00564DB3">
        <w:rPr>
          <w:szCs w:val="18"/>
        </w:rPr>
        <w:t xml:space="preserve"> </w:t>
      </w:r>
      <w:r w:rsidR="00D84CD8" w:rsidRPr="00564DB3">
        <w:rPr>
          <w:szCs w:val="18"/>
        </w:rPr>
        <w:t>T</w:t>
      </w:r>
      <w:r w:rsidRPr="00564DB3">
        <w:rPr>
          <w:szCs w:val="18"/>
        </w:rPr>
        <w:t xml:space="preserve">he Panels stated that "such a methodology would not necessarily </w:t>
      </w:r>
      <w:r w:rsidR="002D39A9" w:rsidRPr="00564DB3">
        <w:rPr>
          <w:szCs w:val="18"/>
        </w:rPr>
        <w:t>…</w:t>
      </w:r>
      <w:r w:rsidRPr="00564DB3">
        <w:rPr>
          <w:szCs w:val="18"/>
        </w:rPr>
        <w:t xml:space="preserve"> allow an </w:t>
      </w:r>
      <w:r w:rsidRPr="00564DB3">
        <w:rPr>
          <w:i/>
          <w:szCs w:val="18"/>
        </w:rPr>
        <w:t>apples</w:t>
      </w:r>
      <w:r w:rsidR="00B23AD2">
        <w:rPr>
          <w:i/>
          <w:szCs w:val="18"/>
        </w:rPr>
        <w:noBreakHyphen/>
      </w:r>
      <w:r w:rsidRPr="00564DB3">
        <w:rPr>
          <w:i/>
          <w:szCs w:val="18"/>
        </w:rPr>
        <w:t>to</w:t>
      </w:r>
      <w:r w:rsidR="00B23AD2">
        <w:rPr>
          <w:i/>
          <w:szCs w:val="18"/>
        </w:rPr>
        <w:noBreakHyphen/>
      </w:r>
      <w:r w:rsidRPr="00564DB3">
        <w:rPr>
          <w:i/>
          <w:szCs w:val="18"/>
        </w:rPr>
        <w:t>apples</w:t>
      </w:r>
      <w:r w:rsidRPr="00564DB3">
        <w:rPr>
          <w:szCs w:val="18"/>
        </w:rPr>
        <w:t xml:space="preserve"> assessment of the relative harmfulness of different fishing methods as used in different areas of the oceans."</w:t>
      </w:r>
      <w:bookmarkEnd w:id="272"/>
      <w:r w:rsidR="005B1CE4" w:rsidRPr="00564DB3">
        <w:rPr>
          <w:rStyle w:val="FootnoteReference"/>
          <w:szCs w:val="18"/>
        </w:rPr>
        <w:footnoteReference w:id="535"/>
      </w:r>
      <w:r w:rsidR="00A93707" w:rsidRPr="00564DB3">
        <w:rPr>
          <w:szCs w:val="18"/>
        </w:rPr>
        <w:t xml:space="preserve"> In </w:t>
      </w:r>
      <w:r w:rsidRPr="00564DB3">
        <w:rPr>
          <w:szCs w:val="18"/>
        </w:rPr>
        <w:t>contrast, the Panels found that the per set methodology, which entailed "averaging" the total number of a particular indicator of adverse effects</w:t>
      </w:r>
      <w:r w:rsidR="005B1CE4" w:rsidRPr="00564DB3">
        <w:rPr>
          <w:rStyle w:val="FootnoteReference"/>
          <w:szCs w:val="18"/>
        </w:rPr>
        <w:footnoteReference w:id="536"/>
      </w:r>
      <w:r w:rsidRPr="00564DB3">
        <w:rPr>
          <w:szCs w:val="18"/>
        </w:rPr>
        <w:t xml:space="preserve"> to dolphins by the number of operations of a particular </w:t>
      </w:r>
      <w:r w:rsidR="003962BF" w:rsidRPr="00564DB3">
        <w:rPr>
          <w:szCs w:val="18"/>
        </w:rPr>
        <w:t xml:space="preserve">type of </w:t>
      </w:r>
      <w:r w:rsidRPr="00564DB3">
        <w:rPr>
          <w:szCs w:val="18"/>
        </w:rPr>
        <w:t>fishing gear used in a particular fishery in a given time period, would "control for the intensity of a given fishing operation in a given area of the ocean".</w:t>
      </w:r>
      <w:r w:rsidR="005B1CE4" w:rsidRPr="00564DB3">
        <w:rPr>
          <w:rStyle w:val="FootnoteReference"/>
          <w:szCs w:val="18"/>
        </w:rPr>
        <w:footnoteReference w:id="537"/>
      </w:r>
      <w:r w:rsidRPr="00564DB3">
        <w:rPr>
          <w:szCs w:val="18"/>
        </w:rPr>
        <w:t xml:space="preserve"> </w:t>
      </w:r>
    </w:p>
    <w:p w:rsidR="00432E5C" w:rsidRPr="00564DB3" w:rsidRDefault="00432E5C" w:rsidP="00F70E38">
      <w:pPr>
        <w:pStyle w:val="BodyText"/>
        <w:rPr>
          <w:szCs w:val="18"/>
        </w:rPr>
      </w:pPr>
      <w:bookmarkStart w:id="273" w:name="_Ref522721279"/>
      <w:r w:rsidRPr="00564DB3">
        <w:rPr>
          <w:szCs w:val="18"/>
        </w:rPr>
        <w:t>Furthermore, it is uncontested, as the Panels found, that the 2016 Tun</w:t>
      </w:r>
      <w:r w:rsidR="0095764E">
        <w:rPr>
          <w:szCs w:val="18"/>
        </w:rPr>
        <w:t>a Measure "is </w:t>
      </w:r>
      <w:r w:rsidRPr="00564DB3">
        <w:rPr>
          <w:szCs w:val="18"/>
        </w:rPr>
        <w:t>generally applied on a per gear deployment basis in respect of how often captains have to make non-dolphin safe certifications, or how frequently non-dolphin safe tuna must be segregated from dolphin-safe tuna".</w:t>
      </w:r>
      <w:r w:rsidR="005B1CE4" w:rsidRPr="00564DB3">
        <w:rPr>
          <w:rStyle w:val="FootnoteReference"/>
          <w:szCs w:val="18"/>
        </w:rPr>
        <w:footnoteReference w:id="538"/>
      </w:r>
      <w:r w:rsidRPr="00564DB3">
        <w:rPr>
          <w:szCs w:val="18"/>
        </w:rPr>
        <w:t xml:space="preserve"> As we have explained above, we understand that the regulatory distinctions drawn under the measure are intended to address the risks that dolphins were killed or seriously injured in the fishing process.</w:t>
      </w:r>
      <w:r w:rsidR="005B1CE4" w:rsidRPr="00564DB3">
        <w:rPr>
          <w:rStyle w:val="FootnoteReference"/>
          <w:szCs w:val="18"/>
        </w:rPr>
        <w:footnoteReference w:id="539"/>
      </w:r>
      <w:r w:rsidRPr="00564DB3">
        <w:rPr>
          <w:szCs w:val="18"/>
        </w:rPr>
        <w:t xml:space="preserve"> In our view, a proper examination as to whether such distinctions are calibrated to the relevant risks to dolphins should take into account the relevant differences across fisheries. The Panels' reasoning as set forth above indicates tha</w:t>
      </w:r>
      <w:r w:rsidR="003962BF" w:rsidRPr="00564DB3">
        <w:rPr>
          <w:szCs w:val="18"/>
        </w:rPr>
        <w:t>t a per set methodology is well </w:t>
      </w:r>
      <w:r w:rsidRPr="00564DB3">
        <w:rPr>
          <w:szCs w:val="18"/>
        </w:rPr>
        <w:t xml:space="preserve">suited to the kind of comparative analysis that </w:t>
      </w:r>
      <w:r w:rsidR="00083DFC" w:rsidRPr="00564DB3">
        <w:rPr>
          <w:szCs w:val="18"/>
        </w:rPr>
        <w:t>Article </w:t>
      </w:r>
      <w:r w:rsidRPr="00564DB3">
        <w:rPr>
          <w:szCs w:val="18"/>
        </w:rPr>
        <w:t xml:space="preserve">2.1 required the Panels to perform in this dispute. </w:t>
      </w:r>
      <w:bookmarkStart w:id="274" w:name="_Hlk528757685"/>
      <w:r w:rsidRPr="00564DB3">
        <w:rPr>
          <w:szCs w:val="18"/>
        </w:rPr>
        <w:t>The Panels' factual findings also demonstrate that a comparison of absolute levels of mortalities or serious injuries would be less likely to reveal the relative likelihood of a dolphin being killed or injured in the fishing process than a comparison of per set data.</w:t>
      </w:r>
      <w:bookmarkEnd w:id="273"/>
      <w:r w:rsidR="005B1CE4" w:rsidRPr="00564DB3">
        <w:rPr>
          <w:rStyle w:val="FootnoteReference"/>
          <w:szCs w:val="18"/>
        </w:rPr>
        <w:footnoteReference w:id="540"/>
      </w:r>
      <w:r w:rsidRPr="00564DB3">
        <w:rPr>
          <w:szCs w:val="18"/>
        </w:rPr>
        <w:t xml:space="preserve"> </w:t>
      </w:r>
      <w:bookmarkEnd w:id="274"/>
    </w:p>
    <w:p w:rsidR="00432E5C" w:rsidRPr="00564DB3" w:rsidRDefault="00432E5C" w:rsidP="00F70E38">
      <w:pPr>
        <w:pStyle w:val="BodyText"/>
        <w:rPr>
          <w:szCs w:val="18"/>
        </w:rPr>
      </w:pPr>
      <w:r w:rsidRPr="00564DB3">
        <w:rPr>
          <w:szCs w:val="18"/>
        </w:rPr>
        <w:t>We recall Mexico's argument that "overall" adverse effects will be "masked" by the per set data, and that the absolute levels of adverse effects constitute "'overall adverse effects on dolphins' for the fishing method/area".</w:t>
      </w:r>
      <w:r w:rsidR="005B1CE4" w:rsidRPr="00564DB3">
        <w:rPr>
          <w:rStyle w:val="FootnoteReference"/>
          <w:szCs w:val="18"/>
        </w:rPr>
        <w:footnoteReference w:id="541"/>
      </w:r>
      <w:r w:rsidRPr="00564DB3">
        <w:rPr>
          <w:szCs w:val="18"/>
        </w:rPr>
        <w:t xml:space="preserve"> In the first compliance proceedings, the Appellate Body faulted the panel for not examining all</w:t>
      </w:r>
      <w:r w:rsidRPr="00564DB3">
        <w:rPr>
          <w:i/>
          <w:szCs w:val="18"/>
        </w:rPr>
        <w:t xml:space="preserve"> </w:t>
      </w:r>
      <w:r w:rsidRPr="00564DB3">
        <w:rPr>
          <w:szCs w:val="18"/>
        </w:rPr>
        <w:t>relevant relative risks of harm to dolphins, including both observed and unobserved harm</w:t>
      </w:r>
      <w:r w:rsidR="003962BF" w:rsidRPr="00564DB3">
        <w:rPr>
          <w:szCs w:val="18"/>
        </w:rPr>
        <w:t>s</w:t>
      </w:r>
      <w:r w:rsidRPr="00564DB3">
        <w:rPr>
          <w:szCs w:val="18"/>
        </w:rPr>
        <w:t>.</w:t>
      </w:r>
      <w:r w:rsidR="005B1CE4" w:rsidRPr="00564DB3">
        <w:rPr>
          <w:rStyle w:val="FootnoteReference"/>
          <w:szCs w:val="18"/>
        </w:rPr>
        <w:footnoteReference w:id="542"/>
      </w:r>
      <w:r w:rsidRPr="00564DB3">
        <w:rPr>
          <w:szCs w:val="18"/>
        </w:rPr>
        <w:t xml:space="preserve"> Thus, an assessment of the </w:t>
      </w:r>
      <w:r w:rsidRPr="00564DB3">
        <w:rPr>
          <w:i/>
          <w:szCs w:val="18"/>
        </w:rPr>
        <w:t>overall</w:t>
      </w:r>
      <w:r w:rsidRPr="00564DB3">
        <w:rPr>
          <w:szCs w:val="18"/>
        </w:rPr>
        <w:t xml:space="preserve"> relative risks to dolphins requires a panel to assess all relevant risks of harm to dolphins. We do not discount that, depending on the </w:t>
      </w:r>
      <w:proofErr w:type="gramStart"/>
      <w:r w:rsidRPr="00564DB3">
        <w:rPr>
          <w:szCs w:val="18"/>
        </w:rPr>
        <w:t>particular evidence</w:t>
      </w:r>
      <w:proofErr w:type="gramEnd"/>
      <w:r w:rsidRPr="00564DB3">
        <w:rPr>
          <w:szCs w:val="18"/>
        </w:rPr>
        <w:t xml:space="preserve"> provided to the Panels, evidence of absolute levels of adverse effects might indeed be useful in this regard. However, as explained above, the Panels were not only required to assess the </w:t>
      </w:r>
      <w:r w:rsidRPr="00564DB3">
        <w:rPr>
          <w:i/>
          <w:szCs w:val="18"/>
        </w:rPr>
        <w:t>overall</w:t>
      </w:r>
      <w:r w:rsidRPr="00564DB3">
        <w:rPr>
          <w:szCs w:val="18"/>
        </w:rPr>
        <w:t xml:space="preserve"> risks, but the overall </w:t>
      </w:r>
      <w:r w:rsidRPr="00564DB3">
        <w:rPr>
          <w:i/>
          <w:szCs w:val="18"/>
        </w:rPr>
        <w:t xml:space="preserve">relative </w:t>
      </w:r>
      <w:r w:rsidRPr="00564DB3">
        <w:rPr>
          <w:szCs w:val="18"/>
        </w:rPr>
        <w:t>risks to dolphins.</w:t>
      </w:r>
      <w:r w:rsidR="005B1CE4" w:rsidRPr="00564DB3">
        <w:rPr>
          <w:rStyle w:val="FootnoteReference"/>
          <w:szCs w:val="18"/>
        </w:rPr>
        <w:footnoteReference w:id="543"/>
      </w:r>
      <w:r w:rsidRPr="00564DB3">
        <w:rPr>
          <w:szCs w:val="18"/>
        </w:rPr>
        <w:t xml:space="preserve"> As indicated above, comparing absolute levels of mortalities or serious injuries across different fisheries would not </w:t>
      </w:r>
      <w:proofErr w:type="gramStart"/>
      <w:r w:rsidRPr="00564DB3">
        <w:rPr>
          <w:szCs w:val="18"/>
        </w:rPr>
        <w:t>take into account</w:t>
      </w:r>
      <w:proofErr w:type="gramEnd"/>
      <w:r w:rsidRPr="00564DB3">
        <w:rPr>
          <w:szCs w:val="18"/>
        </w:rPr>
        <w:t xml:space="preserve"> important differences between those fisheries. By contrast, a comparison of per set data does indeed </w:t>
      </w:r>
      <w:proofErr w:type="gramStart"/>
      <w:r w:rsidRPr="00564DB3">
        <w:rPr>
          <w:szCs w:val="18"/>
        </w:rPr>
        <w:t>take into account</w:t>
      </w:r>
      <w:proofErr w:type="gramEnd"/>
      <w:r w:rsidRPr="00564DB3">
        <w:rPr>
          <w:szCs w:val="18"/>
        </w:rPr>
        <w:t xml:space="preserve"> such differences.</w:t>
      </w:r>
      <w:r w:rsidR="005B1CE4" w:rsidRPr="00564DB3">
        <w:rPr>
          <w:rStyle w:val="FootnoteReference"/>
          <w:szCs w:val="18"/>
        </w:rPr>
        <w:footnoteReference w:id="544"/>
      </w:r>
      <w:r w:rsidRPr="00564DB3">
        <w:rPr>
          <w:szCs w:val="18"/>
        </w:rPr>
        <w:t xml:space="preserve"> </w:t>
      </w:r>
    </w:p>
    <w:p w:rsidR="00432E5C" w:rsidRPr="00564DB3" w:rsidRDefault="00432E5C" w:rsidP="00F70E38">
      <w:pPr>
        <w:pStyle w:val="BodyText"/>
        <w:rPr>
          <w:szCs w:val="18"/>
        </w:rPr>
      </w:pPr>
      <w:bookmarkStart w:id="275" w:name="_Ref529972517"/>
      <w:r w:rsidRPr="00564DB3">
        <w:rPr>
          <w:szCs w:val="18"/>
        </w:rPr>
        <w:t>For these reasons, we consider that Mexico has not demonstrated that, in deciding to rely pri</w:t>
      </w:r>
      <w:r w:rsidR="00687B23" w:rsidRPr="00564DB3">
        <w:rPr>
          <w:szCs w:val="18"/>
        </w:rPr>
        <w:t>marily on a per set methodology</w:t>
      </w:r>
      <w:r w:rsidRPr="00564DB3">
        <w:rPr>
          <w:szCs w:val="18"/>
        </w:rPr>
        <w:t xml:space="preserve"> rather than comparing absolute levels of harm, the Panels acted inconsistently with the requirement to assess the overall relative risks to dolphins from different fishing methods and fisheries.</w:t>
      </w:r>
      <w:bookmarkEnd w:id="275"/>
      <w:r w:rsidRPr="00564DB3">
        <w:rPr>
          <w:szCs w:val="18"/>
        </w:rPr>
        <w:t xml:space="preserve"> </w:t>
      </w:r>
    </w:p>
    <w:p w:rsidR="00432E5C" w:rsidRPr="00564DB3" w:rsidRDefault="00432E5C" w:rsidP="00F70E38">
      <w:pPr>
        <w:pStyle w:val="Heading5"/>
        <w:rPr>
          <w:szCs w:val="18"/>
        </w:rPr>
      </w:pPr>
      <w:bookmarkStart w:id="276" w:name="_Toc531967485"/>
      <w:r w:rsidRPr="00564DB3">
        <w:rPr>
          <w:szCs w:val="18"/>
        </w:rPr>
        <w:t>Insufficient regulatory oversight</w:t>
      </w:r>
      <w:bookmarkEnd w:id="276"/>
    </w:p>
    <w:p w:rsidR="00432E5C" w:rsidRPr="00564DB3" w:rsidRDefault="00432E5C" w:rsidP="00F70E38">
      <w:pPr>
        <w:pStyle w:val="BodyText"/>
        <w:rPr>
          <w:szCs w:val="18"/>
        </w:rPr>
      </w:pPr>
      <w:r w:rsidRPr="00564DB3">
        <w:rPr>
          <w:szCs w:val="18"/>
        </w:rPr>
        <w:t>Mexico argues that the Panels erred by omitting evidence of insufficient regulatory oversight in certain ocean areas, because "dolphins will be at a greater relative risk of harms from … fishing method[s used] in ocean areas that have insufficient regulatory oversight including unreliable reporting, significant IUU fishing and/or significant transhipment at sea than in ocean areas that do not</w:t>
      </w:r>
      <w:r w:rsidR="002D39A9" w:rsidRPr="00564DB3">
        <w:rPr>
          <w:szCs w:val="18"/>
        </w:rPr>
        <w:t>.</w:t>
      </w:r>
      <w:r w:rsidRPr="00564DB3">
        <w:rPr>
          <w:szCs w:val="18"/>
        </w:rPr>
        <w:t>"</w:t>
      </w:r>
      <w:r w:rsidR="005B1CE4" w:rsidRPr="00564DB3">
        <w:rPr>
          <w:rStyle w:val="FootnoteReference"/>
          <w:szCs w:val="18"/>
        </w:rPr>
        <w:footnoteReference w:id="545"/>
      </w:r>
      <w:r w:rsidRPr="00564DB3">
        <w:rPr>
          <w:szCs w:val="18"/>
        </w:rPr>
        <w:t xml:space="preserve"> In Mexico's view, the omission of the "reliability of reporting as a criterion in the risk profiles of the fishing areas contradicts the objectives of the measure".</w:t>
      </w:r>
      <w:r w:rsidR="005B1CE4" w:rsidRPr="00564DB3">
        <w:rPr>
          <w:rStyle w:val="FootnoteReference"/>
          <w:szCs w:val="18"/>
        </w:rPr>
        <w:footnoteReference w:id="546"/>
      </w:r>
      <w:r w:rsidRPr="00564DB3">
        <w:rPr>
          <w:szCs w:val="18"/>
        </w:rPr>
        <w:t xml:space="preserve"> Mexico explains that, in "unreliable" fisheries there is a "greater risk that adverse effects</w:t>
      </w:r>
      <w:r w:rsidR="00377F77" w:rsidRPr="00564DB3">
        <w:rPr>
          <w:szCs w:val="18"/>
        </w:rPr>
        <w:t xml:space="preserve"> on dolphins will be unreported </w:t>
      </w:r>
      <w:r w:rsidRPr="00564DB3">
        <w:rPr>
          <w:szCs w:val="18"/>
        </w:rPr>
        <w:t>…</w:t>
      </w:r>
      <w:r w:rsidR="00377F77" w:rsidRPr="00564DB3">
        <w:rPr>
          <w:szCs w:val="18"/>
        </w:rPr>
        <w:t> </w:t>
      </w:r>
      <w:r w:rsidRPr="00564DB3">
        <w:rPr>
          <w:szCs w:val="18"/>
        </w:rPr>
        <w:t>and, therefore, that actions that adversely affect dolphins in unreliable fisheries will not be discouraged by the measure".</w:t>
      </w:r>
      <w:r w:rsidR="005B1CE4" w:rsidRPr="00564DB3">
        <w:rPr>
          <w:rStyle w:val="FootnoteReference"/>
          <w:szCs w:val="18"/>
        </w:rPr>
        <w:footnoteReference w:id="547"/>
      </w:r>
    </w:p>
    <w:p w:rsidR="00432E5C" w:rsidRPr="00564DB3" w:rsidRDefault="00432E5C" w:rsidP="00F70E38">
      <w:pPr>
        <w:pStyle w:val="BodyText"/>
        <w:rPr>
          <w:szCs w:val="18"/>
        </w:rPr>
      </w:pPr>
      <w:r w:rsidRPr="00564DB3">
        <w:rPr>
          <w:szCs w:val="18"/>
        </w:rPr>
        <w:t xml:space="preserve">The </w:t>
      </w:r>
      <w:r w:rsidR="00083DFC" w:rsidRPr="00564DB3">
        <w:rPr>
          <w:szCs w:val="18"/>
        </w:rPr>
        <w:t>United States</w:t>
      </w:r>
      <w:r w:rsidRPr="00564DB3">
        <w:rPr>
          <w:szCs w:val="18"/>
        </w:rPr>
        <w:t xml:space="preserve"> considers that Mexico ma</w:t>
      </w:r>
      <w:r w:rsidR="003E34B4" w:rsidRPr="00564DB3">
        <w:rPr>
          <w:szCs w:val="18"/>
        </w:rPr>
        <w:t>kes two distinct arguments: (i) </w:t>
      </w:r>
      <w:r w:rsidRPr="00564DB3">
        <w:rPr>
          <w:szCs w:val="18"/>
        </w:rPr>
        <w:t>insufficient regulatory oversight causes greater ris</w:t>
      </w:r>
      <w:r w:rsidR="003E34B4" w:rsidRPr="00564DB3">
        <w:rPr>
          <w:szCs w:val="18"/>
        </w:rPr>
        <w:t>k of harm to dolphins; and (ii) </w:t>
      </w:r>
      <w:r w:rsidRPr="00564DB3">
        <w:rPr>
          <w:szCs w:val="18"/>
        </w:rPr>
        <w:t>insufficient regulatory oversight should be included in the risk profiles of fisheries "because it can affect the reliability of reporting of harms to dolphins".</w:t>
      </w:r>
      <w:r w:rsidR="005B1CE4" w:rsidRPr="00564DB3">
        <w:rPr>
          <w:rStyle w:val="FootnoteReference"/>
          <w:szCs w:val="18"/>
        </w:rPr>
        <w:footnoteReference w:id="548"/>
      </w:r>
      <w:r w:rsidRPr="00564DB3">
        <w:rPr>
          <w:szCs w:val="18"/>
        </w:rPr>
        <w:t xml:space="preserve"> The </w:t>
      </w:r>
      <w:r w:rsidR="00083DFC" w:rsidRPr="00564DB3">
        <w:rPr>
          <w:szCs w:val="18"/>
        </w:rPr>
        <w:t>United States</w:t>
      </w:r>
      <w:r w:rsidRPr="00564DB3">
        <w:rPr>
          <w:szCs w:val="18"/>
        </w:rPr>
        <w:t xml:space="preserve"> considers that it fully addressed Mexico's first argument in the context of Mexico's claim that the Panels erred in their interpretation of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w:t>
      </w:r>
      <w:r w:rsidR="005B1CE4" w:rsidRPr="00564DB3">
        <w:rPr>
          <w:rStyle w:val="FootnoteReference"/>
          <w:szCs w:val="18"/>
        </w:rPr>
        <w:footnoteReference w:id="549"/>
      </w:r>
      <w:r w:rsidRPr="00564DB3">
        <w:rPr>
          <w:szCs w:val="18"/>
        </w:rPr>
        <w:t xml:space="preserve"> As to Mexico's second argument, the </w:t>
      </w:r>
      <w:r w:rsidR="00083DFC" w:rsidRPr="00564DB3">
        <w:rPr>
          <w:szCs w:val="18"/>
        </w:rPr>
        <w:t>United States</w:t>
      </w:r>
      <w:r w:rsidRPr="00564DB3">
        <w:rPr>
          <w:szCs w:val="18"/>
        </w:rPr>
        <w:t xml:space="preserve"> highlights that this argument was "fully considered and rejected by the Panels", and argues that the Panels correctly explained that the risks of inaccuracy are not themselves risks of harm to dolphins.</w:t>
      </w:r>
      <w:r w:rsidR="005B1CE4" w:rsidRPr="00564DB3">
        <w:rPr>
          <w:rStyle w:val="FootnoteReference"/>
          <w:szCs w:val="18"/>
        </w:rPr>
        <w:footnoteReference w:id="550"/>
      </w:r>
      <w:r w:rsidRPr="00564DB3">
        <w:rPr>
          <w:szCs w:val="18"/>
        </w:rPr>
        <w:t xml:space="preserve"> In the </w:t>
      </w:r>
      <w:r w:rsidR="00083DFC" w:rsidRPr="00564DB3">
        <w:rPr>
          <w:szCs w:val="18"/>
        </w:rPr>
        <w:t>United States</w:t>
      </w:r>
      <w:r w:rsidR="0095764E">
        <w:rPr>
          <w:szCs w:val="18"/>
        </w:rPr>
        <w:t>' </w:t>
      </w:r>
      <w:r w:rsidRPr="00564DB3">
        <w:rPr>
          <w:szCs w:val="18"/>
        </w:rPr>
        <w:t>view, such risks of inaccuracy rather "may be relevant to assessing whether the distinctions of the 2016 measure are calibrated to the risk profiles of different fisheries".</w:t>
      </w:r>
      <w:r w:rsidR="005B1CE4" w:rsidRPr="00564DB3">
        <w:rPr>
          <w:rStyle w:val="FootnoteReference"/>
          <w:szCs w:val="18"/>
        </w:rPr>
        <w:footnoteReference w:id="551"/>
      </w:r>
    </w:p>
    <w:p w:rsidR="00432E5C" w:rsidRPr="00564DB3" w:rsidRDefault="00432E5C" w:rsidP="00F70E38">
      <w:pPr>
        <w:pStyle w:val="BodyText"/>
        <w:rPr>
          <w:szCs w:val="18"/>
        </w:rPr>
      </w:pPr>
      <w:r w:rsidRPr="00564DB3">
        <w:rPr>
          <w:szCs w:val="18"/>
        </w:rPr>
        <w:t>As explained above</w:t>
      </w:r>
      <w:r w:rsidR="005B1CE4" w:rsidRPr="00564DB3">
        <w:rPr>
          <w:rStyle w:val="FootnoteReference"/>
          <w:szCs w:val="18"/>
        </w:rPr>
        <w:footnoteReference w:id="552"/>
      </w:r>
      <w:r w:rsidRPr="00564DB3">
        <w:rPr>
          <w:szCs w:val="18"/>
        </w:rPr>
        <w:t>, the question whether the relevant regulatory distinctions under the 2016 Tuna Measure are properly calibrated to different risks to dolphins does not</w:t>
      </w:r>
      <w:r w:rsidRPr="00564DB3">
        <w:rPr>
          <w:i/>
          <w:szCs w:val="18"/>
        </w:rPr>
        <w:t xml:space="preserve"> </w:t>
      </w:r>
      <w:r w:rsidRPr="00564DB3">
        <w:rPr>
          <w:szCs w:val="18"/>
        </w:rPr>
        <w:t xml:space="preserve">require assessing whether the 2016 Tuna Measure is also calibrated to the "risk of inaccuracy". As discussed in </w:t>
      </w:r>
      <w:r w:rsidR="009D6DF0">
        <w:rPr>
          <w:szCs w:val="18"/>
        </w:rPr>
        <w:t xml:space="preserve">paragraph 6.51 </w:t>
      </w:r>
      <w:r w:rsidRPr="00564DB3">
        <w:rPr>
          <w:szCs w:val="18"/>
        </w:rPr>
        <w:t>above, Mexico has not substantiated its assertion that tuna fishing in ocean areas with less reliable regulatory systems is more likely to lead to harm to dolphins.</w:t>
      </w:r>
      <w:r w:rsidR="008A71F4" w:rsidRPr="00564DB3">
        <w:rPr>
          <w:rStyle w:val="FootnoteReference"/>
          <w:szCs w:val="18"/>
        </w:rPr>
        <w:footnoteReference w:id="553"/>
      </w:r>
      <w:r w:rsidRPr="00564DB3">
        <w:rPr>
          <w:szCs w:val="18"/>
        </w:rPr>
        <w:t xml:space="preserve"> We therefore see no reason to disagree with the Panels' statement that "the risks of inaccurate certification, reporting, and/or record-keeping are not risks that affect dolphins themselves</w:t>
      </w:r>
      <w:r w:rsidR="003962BF" w:rsidRPr="00564DB3">
        <w:rPr>
          <w:szCs w:val="18"/>
        </w:rPr>
        <w:t>.</w:t>
      </w:r>
      <w:r w:rsidRPr="00564DB3">
        <w:rPr>
          <w:szCs w:val="18"/>
        </w:rPr>
        <w:t>"</w:t>
      </w:r>
      <w:r w:rsidR="005B1CE4" w:rsidRPr="00564DB3">
        <w:rPr>
          <w:rStyle w:val="FootnoteReference"/>
          <w:szCs w:val="18"/>
        </w:rPr>
        <w:footnoteReference w:id="554"/>
      </w:r>
      <w:r w:rsidRPr="00564DB3">
        <w:rPr>
          <w:szCs w:val="18"/>
        </w:rPr>
        <w:t xml:space="preserve"> </w:t>
      </w:r>
    </w:p>
    <w:p w:rsidR="00432E5C" w:rsidRPr="00564DB3" w:rsidRDefault="00432E5C" w:rsidP="00F70E38">
      <w:pPr>
        <w:pStyle w:val="BodyText"/>
        <w:rPr>
          <w:szCs w:val="18"/>
        </w:rPr>
      </w:pPr>
      <w:bookmarkStart w:id="277" w:name="_Ref529195446"/>
      <w:r w:rsidRPr="00564DB3">
        <w:rPr>
          <w:szCs w:val="18"/>
        </w:rPr>
        <w:t>As noted, the Panels did not exclude the possibility that factors such as a lack of regulatory oversight may affect the accuracy of the label.</w:t>
      </w:r>
      <w:r w:rsidR="005B1CE4" w:rsidRPr="00564DB3">
        <w:rPr>
          <w:rStyle w:val="FootnoteReference"/>
          <w:szCs w:val="18"/>
        </w:rPr>
        <w:footnoteReference w:id="555"/>
      </w:r>
      <w:r w:rsidR="00083DFC" w:rsidRPr="00564DB3">
        <w:rPr>
          <w:szCs w:val="18"/>
        </w:rPr>
        <w:t xml:space="preserve"> </w:t>
      </w:r>
      <w:r w:rsidRPr="00564DB3">
        <w:rPr>
          <w:szCs w:val="18"/>
        </w:rPr>
        <w:t>We have explained above that such risks of inaccuracy are relevant to the assessment of whether the measure is calibrated to the risks to dolphins.</w:t>
      </w:r>
      <w:r w:rsidR="005B1CE4" w:rsidRPr="00564DB3">
        <w:rPr>
          <w:rStyle w:val="FootnoteReference"/>
          <w:szCs w:val="18"/>
        </w:rPr>
        <w:footnoteReference w:id="556"/>
      </w:r>
      <w:r w:rsidRPr="00564DB3">
        <w:rPr>
          <w:szCs w:val="18"/>
        </w:rPr>
        <w:t xml:space="preserve"> It was, however, incumbent upon Mexico to provide relevant evidence in support of its argument that a lack of regulatory oversight in a fishery will increase the risk that labelling of tuna products containing tuna caught in such a fishery will not accurately reflect the dolphin-safe nature of the tuna. We address this issue in</w:t>
      </w:r>
      <w:r w:rsidR="009D6DF0">
        <w:rPr>
          <w:szCs w:val="18"/>
        </w:rPr>
        <w:t xml:space="preserve"> section 6.1.5 </w:t>
      </w:r>
      <w:r w:rsidRPr="00564DB3">
        <w:rPr>
          <w:szCs w:val="18"/>
        </w:rPr>
        <w:t>below.</w:t>
      </w:r>
      <w:bookmarkEnd w:id="277"/>
      <w:r w:rsidRPr="00564DB3">
        <w:rPr>
          <w:szCs w:val="18"/>
        </w:rPr>
        <w:t xml:space="preserve"> </w:t>
      </w:r>
    </w:p>
    <w:p w:rsidR="00432E5C" w:rsidRPr="00564DB3" w:rsidRDefault="00432E5C" w:rsidP="00F70E38">
      <w:pPr>
        <w:pStyle w:val="Heading4"/>
        <w:rPr>
          <w:szCs w:val="18"/>
        </w:rPr>
      </w:pPr>
      <w:bookmarkStart w:id="278" w:name="_Toc522540648"/>
      <w:bookmarkStart w:id="279" w:name="_Toc526162684"/>
      <w:bookmarkStart w:id="280" w:name="_Toc528506766"/>
      <w:bookmarkStart w:id="281" w:name="_Toc528506931"/>
      <w:bookmarkStart w:id="282" w:name="_Toc531967486"/>
      <w:r w:rsidRPr="00564DB3">
        <w:rPr>
          <w:szCs w:val="18"/>
        </w:rPr>
        <w:t>Conclusion</w:t>
      </w:r>
      <w:bookmarkEnd w:id="278"/>
      <w:bookmarkEnd w:id="279"/>
      <w:bookmarkEnd w:id="280"/>
      <w:bookmarkEnd w:id="281"/>
      <w:bookmarkEnd w:id="282"/>
    </w:p>
    <w:p w:rsidR="00432E5C" w:rsidRPr="00564DB3" w:rsidRDefault="00432E5C" w:rsidP="00F70E38">
      <w:pPr>
        <w:pStyle w:val="BodyText"/>
        <w:rPr>
          <w:szCs w:val="18"/>
        </w:rPr>
      </w:pPr>
      <w:r w:rsidRPr="00564DB3">
        <w:rPr>
          <w:szCs w:val="18"/>
        </w:rPr>
        <w:t xml:space="preserve">In conducting their examination of the risk profiles of different fishing methods as used in different ocean areas, the Panels </w:t>
      </w:r>
      <w:r w:rsidR="002D7646" w:rsidRPr="00564DB3">
        <w:rPr>
          <w:szCs w:val="18"/>
        </w:rPr>
        <w:t>reviewed</w:t>
      </w:r>
      <w:r w:rsidRPr="00564DB3">
        <w:rPr>
          <w:szCs w:val="18"/>
        </w:rPr>
        <w:t xml:space="preserve"> all relevant evidence of risks to dolphins as provided to them by the parties, including all evidence pertaining to individual fisheries. Additionally, the Panels appropriately </w:t>
      </w:r>
      <w:proofErr w:type="gramStart"/>
      <w:r w:rsidRPr="00564DB3">
        <w:rPr>
          <w:szCs w:val="18"/>
        </w:rPr>
        <w:t>took into account</w:t>
      </w:r>
      <w:proofErr w:type="gramEnd"/>
      <w:r w:rsidRPr="00564DB3">
        <w:rPr>
          <w:szCs w:val="18"/>
        </w:rPr>
        <w:t xml:space="preserve"> all relevant types of harm to dolphins in assessing the risk profiles of different fishing methods and fisheries. Moreover, the Panels did not err in relying on per set data as the primary measurement of the risks to dolphins, despite three additional measurements proposed by Mexico. First, because the relevant risks to be assessed </w:t>
      </w:r>
      <w:proofErr w:type="gramStart"/>
      <w:r w:rsidR="00FF1995" w:rsidRPr="00564DB3">
        <w:rPr>
          <w:szCs w:val="18"/>
        </w:rPr>
        <w:t>for the purpose of</w:t>
      </w:r>
      <w:proofErr w:type="gramEnd"/>
      <w:r w:rsidR="00FF1995" w:rsidRPr="00564DB3">
        <w:rPr>
          <w:szCs w:val="18"/>
        </w:rPr>
        <w:t xml:space="preserve"> </w:t>
      </w:r>
      <w:r w:rsidRPr="00564DB3">
        <w:rPr>
          <w:szCs w:val="18"/>
        </w:rPr>
        <w:t xml:space="preserve">calibration are the risks of individual dolphins being harmed or killed in the fishing process, the Panels were correct not to rely on PBR </w:t>
      </w:r>
      <w:r w:rsidR="002D7646" w:rsidRPr="00564DB3">
        <w:rPr>
          <w:szCs w:val="18"/>
        </w:rPr>
        <w:t xml:space="preserve">evidence </w:t>
      </w:r>
      <w:r w:rsidRPr="00564DB3">
        <w:rPr>
          <w:szCs w:val="18"/>
        </w:rPr>
        <w:t xml:space="preserve">to assess the risks to dolphins. Second, given the comparative nature of the calibration analysis, the Panels did not err by relying primarily on a per set methodology instead of a comparison of absolute levels of harm. Finally, Mexico did not substantiate its assertion that tuna fishing in ocean areas with less reliable regulatory systems is more likely to lead to harm to dolphins, and therefore the Panels did not err by excluding evidence pertaining to regulatory oversight from their assessment of the overall relative risks to dolphins from the use of different fishing methods as used in different areas of the ocean. We therefore </w:t>
      </w:r>
      <w:r w:rsidRPr="00564DB3">
        <w:rPr>
          <w:szCs w:val="18"/>
          <w:u w:val="single"/>
        </w:rPr>
        <w:t>find</w:t>
      </w:r>
      <w:r w:rsidR="0095764E">
        <w:rPr>
          <w:szCs w:val="18"/>
        </w:rPr>
        <w:t xml:space="preserve"> no error in the Panels' </w:t>
      </w:r>
      <w:r w:rsidRPr="00564DB3">
        <w:rPr>
          <w:szCs w:val="18"/>
        </w:rPr>
        <w:t xml:space="preserve">assessment of the risks to dolphins arising from the use of different fishing methods in different ocean areas or </w:t>
      </w:r>
      <w:r w:rsidR="00C221D1" w:rsidRPr="00564DB3">
        <w:rPr>
          <w:szCs w:val="18"/>
        </w:rPr>
        <w:t xml:space="preserve">in </w:t>
      </w:r>
      <w:r w:rsidRPr="00564DB3">
        <w:rPr>
          <w:szCs w:val="18"/>
        </w:rPr>
        <w:t xml:space="preserve">their conclusions regarding the risk profiles of relevant fishing methods </w:t>
      </w:r>
      <w:proofErr w:type="gramStart"/>
      <w:r w:rsidRPr="00564DB3">
        <w:rPr>
          <w:szCs w:val="18"/>
        </w:rPr>
        <w:t>on the basis of</w:t>
      </w:r>
      <w:proofErr w:type="gramEnd"/>
      <w:r w:rsidRPr="00564DB3">
        <w:rPr>
          <w:szCs w:val="18"/>
        </w:rPr>
        <w:t xml:space="preserve"> that assessment.</w:t>
      </w:r>
    </w:p>
    <w:p w:rsidR="00913A2E" w:rsidRPr="00564DB3" w:rsidRDefault="00913A2E" w:rsidP="00F70E38">
      <w:pPr>
        <w:pStyle w:val="Heading3"/>
        <w:rPr>
          <w:szCs w:val="18"/>
        </w:rPr>
      </w:pPr>
      <w:bookmarkStart w:id="283" w:name="_Toc522540649"/>
      <w:bookmarkStart w:id="284" w:name="_Ref525891761"/>
      <w:bookmarkStart w:id="285" w:name="_Toc526162685"/>
      <w:bookmarkStart w:id="286" w:name="_Ref528170735"/>
      <w:bookmarkStart w:id="287" w:name="_Ref528171106"/>
      <w:bookmarkStart w:id="288" w:name="_Ref529185973"/>
      <w:bookmarkStart w:id="289" w:name="_Toc531967487"/>
      <w:r w:rsidRPr="00564DB3">
        <w:rPr>
          <w:szCs w:val="18"/>
        </w:rPr>
        <w:t>The Panels' assessment of whether the 2016 Tuna Measure is calibrated</w:t>
      </w:r>
      <w:bookmarkEnd w:id="283"/>
      <w:bookmarkEnd w:id="284"/>
      <w:bookmarkEnd w:id="285"/>
      <w:bookmarkEnd w:id="286"/>
      <w:bookmarkEnd w:id="287"/>
      <w:r w:rsidR="003932FC" w:rsidRPr="00564DB3">
        <w:rPr>
          <w:szCs w:val="18"/>
        </w:rPr>
        <w:t xml:space="preserve"> to the risks to dolphins</w:t>
      </w:r>
      <w:bookmarkEnd w:id="288"/>
      <w:bookmarkEnd w:id="289"/>
    </w:p>
    <w:p w:rsidR="00913A2E" w:rsidRPr="00564DB3" w:rsidRDefault="00913A2E" w:rsidP="00F70E38">
      <w:pPr>
        <w:pStyle w:val="Heading4"/>
        <w:rPr>
          <w:szCs w:val="18"/>
        </w:rPr>
      </w:pPr>
      <w:bookmarkStart w:id="290" w:name="_Toc531967488"/>
      <w:r w:rsidRPr="00564DB3">
        <w:rPr>
          <w:szCs w:val="18"/>
        </w:rPr>
        <w:t>Introduction</w:t>
      </w:r>
      <w:bookmarkEnd w:id="290"/>
    </w:p>
    <w:p w:rsidR="00913A2E" w:rsidRPr="00564DB3" w:rsidRDefault="00913A2E" w:rsidP="00F70E38">
      <w:pPr>
        <w:pStyle w:val="BodyText"/>
        <w:rPr>
          <w:szCs w:val="18"/>
        </w:rPr>
      </w:pPr>
      <w:bookmarkStart w:id="291" w:name="_Ref528076144"/>
      <w:r w:rsidRPr="00564DB3">
        <w:rPr>
          <w:szCs w:val="18"/>
        </w:rPr>
        <w:t>As noted above, in assessing whether the detrimental impact caused by the 2016 Tuna Measure stems exclusively from a legitimate regulatory distincti</w:t>
      </w:r>
      <w:r w:rsidR="00C221D1" w:rsidRPr="00564DB3">
        <w:rPr>
          <w:szCs w:val="18"/>
        </w:rPr>
        <w:t>on, the Panels examined whether</w:t>
      </w:r>
      <w:r w:rsidRPr="00564DB3">
        <w:rPr>
          <w:szCs w:val="18"/>
        </w:rPr>
        <w:t xml:space="preserve"> (i) the eligibility criteria; (ii) the certif</w:t>
      </w:r>
      <w:r w:rsidR="00A93707" w:rsidRPr="00564DB3">
        <w:rPr>
          <w:szCs w:val="18"/>
        </w:rPr>
        <w:t>ication requirements; (iii) the </w:t>
      </w:r>
      <w:r w:rsidRPr="00564DB3">
        <w:rPr>
          <w:szCs w:val="18"/>
        </w:rPr>
        <w:t>tracking and verification requirements; and (iv) the deter</w:t>
      </w:r>
      <w:r w:rsidR="00A93707" w:rsidRPr="00564DB3">
        <w:rPr>
          <w:szCs w:val="18"/>
        </w:rPr>
        <w:t>mination provisions of the 2016 </w:t>
      </w:r>
      <w:r w:rsidRPr="00564DB3">
        <w:rPr>
          <w:szCs w:val="18"/>
        </w:rPr>
        <w:t>Tuna Measure are calibrated to the difference in the overall risks to dolphins arising from the use of different fishing methods in different areas of the ocean.</w:t>
      </w:r>
      <w:r w:rsidRPr="00564DB3">
        <w:rPr>
          <w:rStyle w:val="FootnoteReference"/>
          <w:szCs w:val="18"/>
        </w:rPr>
        <w:footnoteReference w:id="557"/>
      </w:r>
      <w:r w:rsidRPr="00564DB3">
        <w:rPr>
          <w:szCs w:val="18"/>
        </w:rPr>
        <w:t xml:space="preserve"> After concluding their intermediate analyses of these component elements of the 2016 Tuna Measure, the Panels "synthesize[d]" their analysis in order to reach their conclusion as to the consistency of the 2016 Tuna Measure with the </w:t>
      </w:r>
      <w:r w:rsidR="00C37C42" w:rsidRPr="00564DB3">
        <w:rPr>
          <w:szCs w:val="18"/>
        </w:rPr>
        <w:t>TBT</w:t>
      </w:r>
      <w:r w:rsidR="00025CB6" w:rsidRPr="00564DB3">
        <w:rPr>
          <w:szCs w:val="18"/>
        </w:rPr>
        <w:t> Agreement</w:t>
      </w:r>
      <w:r w:rsidRPr="00564DB3">
        <w:rPr>
          <w:szCs w:val="18"/>
        </w:rPr>
        <w:t>.</w:t>
      </w:r>
      <w:r w:rsidRPr="00564DB3">
        <w:rPr>
          <w:rStyle w:val="FootnoteReference"/>
          <w:szCs w:val="18"/>
        </w:rPr>
        <w:footnoteReference w:id="558"/>
      </w:r>
      <w:r w:rsidRPr="00564DB3">
        <w:rPr>
          <w:szCs w:val="18"/>
        </w:rPr>
        <w:t xml:space="preserve"> Following their analyses, the Panels </w:t>
      </w:r>
      <w:r w:rsidR="00687B23" w:rsidRPr="00564DB3">
        <w:rPr>
          <w:szCs w:val="18"/>
        </w:rPr>
        <w:t>came</w:t>
      </w:r>
      <w:r w:rsidRPr="00564DB3">
        <w:rPr>
          <w:szCs w:val="18"/>
        </w:rPr>
        <w:t xml:space="preserve"> to the </w:t>
      </w:r>
      <w:r w:rsidR="00687B23" w:rsidRPr="00564DB3">
        <w:rPr>
          <w:szCs w:val="18"/>
        </w:rPr>
        <w:t>"</w:t>
      </w:r>
      <w:r w:rsidRPr="00564DB3">
        <w:rPr>
          <w:szCs w:val="18"/>
        </w:rPr>
        <w:t>general conclusion</w:t>
      </w:r>
      <w:r w:rsidR="00687B23" w:rsidRPr="00564DB3">
        <w:rPr>
          <w:szCs w:val="18"/>
        </w:rPr>
        <w:t>"</w:t>
      </w:r>
      <w:r w:rsidRPr="00564DB3">
        <w:rPr>
          <w:szCs w:val="18"/>
        </w:rPr>
        <w:t xml:space="preserve"> that:</w:t>
      </w:r>
      <w:bookmarkEnd w:id="291"/>
    </w:p>
    <w:p w:rsidR="00913A2E" w:rsidRPr="00564DB3" w:rsidRDefault="00913A2E" w:rsidP="00F70E38">
      <w:pPr>
        <w:pStyle w:val="Quotation"/>
      </w:pPr>
      <w:r w:rsidRPr="00564DB3">
        <w:t>[T]he 2016 Tuna Measure</w:t>
      </w:r>
      <w:proofErr w:type="gramStart"/>
      <w:r w:rsidRPr="00564DB3">
        <w:t>, as a whole, is</w:t>
      </w:r>
      <w:proofErr w:type="gramEnd"/>
      <w:r w:rsidRPr="00564DB3">
        <w:t xml:space="preserve"> calibrated to the risks to dolphins arising from the use of different fishing methods in different areas of the ocean. Therefore, the Panels find that the distinctions made by that Measure between setting on dolphins and the other fishing methods (except, of course, high seas driftnet which is also disqualified from the dolphin-safe label) stem exclusively from legitimate regulatory distinctions. Consequently, the Panels conclude that the 2016 Tuna Measure accords to Mexican tuna products treatment no less favourable than that accorded to like products from the United</w:t>
      </w:r>
      <w:r w:rsidR="00025CB6" w:rsidRPr="00564DB3">
        <w:t> States</w:t>
      </w:r>
      <w:r w:rsidRPr="00564DB3">
        <w:t xml:space="preserve"> and other countries, and therefore is consistent with Article 2.1 of the TBT Agreement.</w:t>
      </w:r>
      <w:r w:rsidRPr="00564DB3">
        <w:rPr>
          <w:rStyle w:val="FootnoteReference"/>
        </w:rPr>
        <w:footnoteReference w:id="559"/>
      </w:r>
    </w:p>
    <w:p w:rsidR="00913A2E" w:rsidRPr="00564DB3" w:rsidRDefault="00913A2E" w:rsidP="00F70E38">
      <w:pPr>
        <w:pStyle w:val="BodyText"/>
        <w:rPr>
          <w:rFonts w:cs="Arial"/>
          <w:szCs w:val="18"/>
        </w:rPr>
      </w:pPr>
      <w:r w:rsidRPr="00564DB3">
        <w:rPr>
          <w:szCs w:val="18"/>
        </w:rPr>
        <w:t>On appeal, Mexico requests us to reverse several of the intermediate findings that led to the above "general conclusion" by the Panels, which Mexico also contests.</w:t>
      </w:r>
      <w:r w:rsidRPr="00564DB3">
        <w:rPr>
          <w:rStyle w:val="FootnoteReference"/>
          <w:szCs w:val="18"/>
        </w:rPr>
        <w:footnoteReference w:id="560"/>
      </w:r>
      <w:r w:rsidRPr="00564DB3">
        <w:rPr>
          <w:szCs w:val="18"/>
        </w:rPr>
        <w:t xml:space="preserve"> Specifically, Mexico challenges the Panels' assessment of the following aspects of</w:t>
      </w:r>
      <w:r w:rsidR="001B4DCA">
        <w:rPr>
          <w:szCs w:val="18"/>
        </w:rPr>
        <w:t xml:space="preserve"> the 2016 Tuna Measure: (i) the </w:t>
      </w:r>
      <w:r w:rsidRPr="00564DB3">
        <w:rPr>
          <w:szCs w:val="18"/>
        </w:rPr>
        <w:t>eligibility criteria; (ii) the certif</w:t>
      </w:r>
      <w:r w:rsidR="00A93707" w:rsidRPr="00564DB3">
        <w:rPr>
          <w:szCs w:val="18"/>
        </w:rPr>
        <w:t>ication requirements; (iii) the </w:t>
      </w:r>
      <w:r w:rsidRPr="00564DB3">
        <w:rPr>
          <w:szCs w:val="18"/>
        </w:rPr>
        <w:t>tracking and verification requirements; and (iv) the 2016 Tuna Measure as a whole. In its Notice of Appeal, Mexico does not separately challenge the Panels' findings regarding the determination provisions.</w:t>
      </w:r>
      <w:r w:rsidRPr="00564DB3">
        <w:rPr>
          <w:rStyle w:val="FootnoteReference"/>
          <w:szCs w:val="18"/>
        </w:rPr>
        <w:footnoteReference w:id="561"/>
      </w:r>
    </w:p>
    <w:p w:rsidR="00913A2E" w:rsidRPr="00564DB3" w:rsidRDefault="00913A2E" w:rsidP="00F70E38">
      <w:pPr>
        <w:pStyle w:val="BodyText"/>
        <w:rPr>
          <w:szCs w:val="18"/>
        </w:rPr>
      </w:pPr>
      <w:r w:rsidRPr="00564DB3">
        <w:rPr>
          <w:szCs w:val="18"/>
        </w:rPr>
        <w:t>We begin with a few preliminary observations. First, we recall that the Appellate</w:t>
      </w:r>
      <w:r w:rsidR="00025CB6" w:rsidRPr="00564DB3">
        <w:rPr>
          <w:szCs w:val="18"/>
        </w:rPr>
        <w:t> Body</w:t>
      </w:r>
      <w:r w:rsidRPr="00564DB3">
        <w:rPr>
          <w:szCs w:val="18"/>
        </w:rPr>
        <w:t xml:space="preserve"> critici</w:t>
      </w:r>
      <w:r w:rsidR="00B73EE5" w:rsidRPr="00564DB3">
        <w:rPr>
          <w:szCs w:val="18"/>
        </w:rPr>
        <w:t>z</w:t>
      </w:r>
      <w:r w:rsidRPr="00564DB3">
        <w:rPr>
          <w:szCs w:val="18"/>
        </w:rPr>
        <w:t>ed the first compliance panel's analysis because, while the first compliance panel had initially emphasized the interlinkages between elements of the 2013 Tuna Measure:</w:t>
      </w:r>
    </w:p>
    <w:p w:rsidR="00913A2E" w:rsidRPr="00564DB3" w:rsidRDefault="00913A2E" w:rsidP="00F70E38">
      <w:pPr>
        <w:pStyle w:val="Quotation"/>
      </w:pPr>
      <w:r w:rsidRPr="00564DB3">
        <w:t xml:space="preserve">[I]t subsequently conducted a segmented analysis that isolated consideration of each element of the measure without accounting </w:t>
      </w:r>
      <w:proofErr w:type="gramStart"/>
      <w:r w:rsidRPr="00564DB3">
        <w:t>for the manner in which</w:t>
      </w:r>
      <w:proofErr w:type="gramEnd"/>
      <w:r w:rsidRPr="00564DB3">
        <w:t xml:space="preserve"> the elements are interrelated, and without aggregating or synthesizing its analyses or findings relating to those elements before reaching its ultimate conclusions as to the consistency or inconsistency of the [2013 Tuna Measure].</w:t>
      </w:r>
      <w:r w:rsidRPr="00564DB3">
        <w:rPr>
          <w:rStyle w:val="FootnoteReference"/>
        </w:rPr>
        <w:footnoteReference w:id="562"/>
      </w:r>
    </w:p>
    <w:p w:rsidR="00913A2E" w:rsidRPr="00564DB3" w:rsidRDefault="000C37D8" w:rsidP="00F70E38">
      <w:pPr>
        <w:pStyle w:val="BodyText"/>
        <w:rPr>
          <w:szCs w:val="18"/>
        </w:rPr>
      </w:pPr>
      <w:r w:rsidRPr="00564DB3">
        <w:rPr>
          <w:szCs w:val="18"/>
        </w:rPr>
        <w:t>In the first compliance proceedings, the Appellate Body recognized that it may be appropriate for a panel "to proceed by assessing different elements of [a] measure in a sequential manner", provided that doing so does not "lead to the isolated consideration of a particular element" where the elements of a measure are closely interrelated.</w:t>
      </w:r>
      <w:r w:rsidRPr="00564DB3">
        <w:rPr>
          <w:rStyle w:val="FootnoteReference"/>
          <w:szCs w:val="18"/>
        </w:rPr>
        <w:footnoteReference w:id="563"/>
      </w:r>
      <w:r w:rsidRPr="00564DB3">
        <w:rPr>
          <w:szCs w:val="18"/>
        </w:rPr>
        <w:t xml:space="preserve"> </w:t>
      </w:r>
      <w:r w:rsidR="00913A2E" w:rsidRPr="00564DB3">
        <w:rPr>
          <w:szCs w:val="18"/>
        </w:rPr>
        <w:t>Similarly, an assessment of the even</w:t>
      </w:r>
      <w:r w:rsidR="00913A2E" w:rsidRPr="00564DB3">
        <w:rPr>
          <w:szCs w:val="18"/>
        </w:rPr>
        <w:noBreakHyphen/>
        <w:t>handedness of the 2016 Tuna Measure "must take account of the</w:t>
      </w:r>
      <w:r w:rsidR="00455BFD" w:rsidRPr="00564DB3">
        <w:rPr>
          <w:szCs w:val="18"/>
        </w:rPr>
        <w:t xml:space="preserve"> fact that its various elements </w:t>
      </w:r>
      <w:r w:rsidR="00913A2E" w:rsidRPr="00564DB3">
        <w:rPr>
          <w:szCs w:val="18"/>
        </w:rPr>
        <w:t>– the eligibility criteria, the certification requirements, and the tracking and verification requirements – establish a series of conditions of access to the dolphin</w:t>
      </w:r>
      <w:r w:rsidR="00913A2E" w:rsidRPr="00564DB3">
        <w:rPr>
          <w:szCs w:val="18"/>
        </w:rPr>
        <w:noBreakHyphen/>
        <w:t>safe label that are cumulative and highly interrelated".</w:t>
      </w:r>
      <w:r w:rsidR="00913A2E" w:rsidRPr="00564DB3">
        <w:rPr>
          <w:rStyle w:val="FootnoteReference"/>
          <w:szCs w:val="18"/>
        </w:rPr>
        <w:footnoteReference w:id="564"/>
      </w:r>
      <w:r w:rsidR="00913A2E" w:rsidRPr="00564DB3">
        <w:rPr>
          <w:szCs w:val="18"/>
        </w:rPr>
        <w:t xml:space="preserve"> </w:t>
      </w:r>
    </w:p>
    <w:p w:rsidR="00913A2E" w:rsidRPr="00564DB3" w:rsidRDefault="00913A2E" w:rsidP="00F70E38">
      <w:pPr>
        <w:pStyle w:val="BodyText"/>
        <w:rPr>
          <w:szCs w:val="18"/>
        </w:rPr>
      </w:pPr>
      <w:r w:rsidRPr="00564DB3">
        <w:rPr>
          <w:szCs w:val="18"/>
        </w:rPr>
        <w:t>In these compliance proceedings, as described in</w:t>
      </w:r>
      <w:r w:rsidR="00A634F6">
        <w:rPr>
          <w:szCs w:val="18"/>
        </w:rPr>
        <w:t xml:space="preserve"> paragraph 6.149 </w:t>
      </w:r>
      <w:r w:rsidRPr="00564DB3">
        <w:rPr>
          <w:szCs w:val="18"/>
        </w:rPr>
        <w:t xml:space="preserve">above, the Panels first examined the different elements of the 2016 Tuna Measure (i.e. the eligibility criteria, </w:t>
      </w:r>
      <w:r w:rsidR="00C221D1" w:rsidRPr="00564DB3">
        <w:rPr>
          <w:szCs w:val="18"/>
        </w:rPr>
        <w:t xml:space="preserve">the </w:t>
      </w:r>
      <w:r w:rsidRPr="00564DB3">
        <w:rPr>
          <w:szCs w:val="18"/>
        </w:rPr>
        <w:t xml:space="preserve">certification requirements, </w:t>
      </w:r>
      <w:r w:rsidR="00C221D1" w:rsidRPr="00564DB3">
        <w:rPr>
          <w:szCs w:val="18"/>
        </w:rPr>
        <w:t xml:space="preserve">the </w:t>
      </w:r>
      <w:r w:rsidRPr="00564DB3">
        <w:rPr>
          <w:szCs w:val="18"/>
        </w:rPr>
        <w:t>tracking and verification requirements, and the determination provisions) in a sequential manner before synthesizing their analysis in order to reach their conclusion as to the consistency of the 2016 Tuna Measure with the WTO Agreement.</w:t>
      </w:r>
      <w:r w:rsidRPr="00564DB3">
        <w:rPr>
          <w:rStyle w:val="FootnoteReference"/>
          <w:szCs w:val="18"/>
        </w:rPr>
        <w:footnoteReference w:id="565"/>
      </w:r>
      <w:r w:rsidRPr="00564DB3">
        <w:rPr>
          <w:szCs w:val="18"/>
        </w:rPr>
        <w:t xml:space="preserve"> As indicated above, analysing the measure in a sequential manner does not, in itself, render the analysis erroneous. Rather, in reviewing the Panels' analysis, we examine whether it resulted in an "isolated consideration of a particular element"</w:t>
      </w:r>
      <w:r w:rsidRPr="00564DB3">
        <w:rPr>
          <w:rStyle w:val="FootnoteReference"/>
          <w:szCs w:val="18"/>
        </w:rPr>
        <w:footnoteReference w:id="566"/>
      </w:r>
      <w:r w:rsidR="00A572EA" w:rsidRPr="00564DB3">
        <w:rPr>
          <w:szCs w:val="18"/>
        </w:rPr>
        <w:t xml:space="preserve">, </w:t>
      </w:r>
      <w:r w:rsidRPr="00564DB3">
        <w:rPr>
          <w:szCs w:val="18"/>
        </w:rPr>
        <w:t xml:space="preserve">or whether the Panels' analysis </w:t>
      </w:r>
      <w:proofErr w:type="gramStart"/>
      <w:r w:rsidRPr="00564DB3">
        <w:rPr>
          <w:szCs w:val="18"/>
        </w:rPr>
        <w:t>took into account</w:t>
      </w:r>
      <w:proofErr w:type="gramEnd"/>
      <w:r w:rsidRPr="00564DB3">
        <w:rPr>
          <w:szCs w:val="18"/>
        </w:rPr>
        <w:t xml:space="preserve"> the manner in which the discrete elements of the 2016 Tuna Measure are "cumulative and highly interrelated".</w:t>
      </w:r>
      <w:r w:rsidRPr="00564DB3">
        <w:rPr>
          <w:rStyle w:val="FootnoteReference"/>
          <w:szCs w:val="18"/>
        </w:rPr>
        <w:footnoteReference w:id="567"/>
      </w:r>
    </w:p>
    <w:p w:rsidR="00913A2E" w:rsidRPr="00564DB3" w:rsidRDefault="00913A2E" w:rsidP="00F70E38">
      <w:pPr>
        <w:pStyle w:val="BodyText"/>
        <w:rPr>
          <w:rFonts w:cs="Arial"/>
          <w:szCs w:val="18"/>
        </w:rPr>
      </w:pPr>
      <w:bookmarkStart w:id="293" w:name="_Ref526426798"/>
      <w:r w:rsidRPr="00564DB3">
        <w:rPr>
          <w:szCs w:val="18"/>
        </w:rPr>
        <w:t>Second, we take note that, in challenging the Panels' assessment of the component elements of the 2016 Tuna Measure, Mexico contends, in several places, that the Panels' erroneous evaluation of the relevant risk profiles resulted in an error in the Panels' assessment of the 2016 Tuna Measure.</w:t>
      </w:r>
      <w:r w:rsidRPr="00564DB3">
        <w:rPr>
          <w:rStyle w:val="FootnoteReference"/>
          <w:szCs w:val="18"/>
        </w:rPr>
        <w:footnoteReference w:id="568"/>
      </w:r>
      <w:r w:rsidRPr="00564DB3">
        <w:rPr>
          <w:szCs w:val="18"/>
        </w:rPr>
        <w:t xml:space="preserve"> In sections</w:t>
      </w:r>
      <w:r w:rsidR="00A634F6">
        <w:rPr>
          <w:szCs w:val="18"/>
        </w:rPr>
        <w:t xml:space="preserve"> 6.1.3.2</w:t>
      </w:r>
      <w:r w:rsidRPr="00564DB3">
        <w:rPr>
          <w:szCs w:val="18"/>
        </w:rPr>
        <w:t xml:space="preserve"> and</w:t>
      </w:r>
      <w:r w:rsidR="00A634F6">
        <w:rPr>
          <w:szCs w:val="18"/>
        </w:rPr>
        <w:t xml:space="preserve"> 6.1.4</w:t>
      </w:r>
      <w:r w:rsidRPr="00564DB3">
        <w:rPr>
          <w:szCs w:val="18"/>
        </w:rPr>
        <w:t xml:space="preserve"> above, we addressed Mexico's claim that the Panels erred in their evaluation of the risk profiles. </w:t>
      </w:r>
      <w:bookmarkStart w:id="294" w:name="_Ref526356866"/>
      <w:bookmarkEnd w:id="293"/>
      <w:r w:rsidRPr="00564DB3">
        <w:rPr>
          <w:szCs w:val="18"/>
        </w:rPr>
        <w:t>Thus, to the extent that Mexico's arguments in support of its claim that the Panels erred in their assessment of the component elements of the 2016 Tuna Measure mirror Mexico's arguments</w:t>
      </w:r>
      <w:r w:rsidR="00F9777A">
        <w:rPr>
          <w:szCs w:val="18"/>
        </w:rPr>
        <w:t xml:space="preserve"> that we addressed and </w:t>
      </w:r>
      <w:r w:rsidR="00F9777A" w:rsidRPr="00F9777A">
        <w:rPr>
          <w:szCs w:val="18"/>
        </w:rPr>
        <w:t>rejected</w:t>
      </w:r>
      <w:r w:rsidR="00F9777A">
        <w:rPr>
          <w:szCs w:val="18"/>
        </w:rPr>
        <w:t xml:space="preserve"> above</w:t>
      </w:r>
      <w:r w:rsidRPr="00F9777A">
        <w:rPr>
          <w:szCs w:val="18"/>
        </w:rPr>
        <w:t>,</w:t>
      </w:r>
      <w:r w:rsidRPr="00564DB3">
        <w:rPr>
          <w:szCs w:val="18"/>
        </w:rPr>
        <w:t xml:space="preserve"> we refer to our analysis in those sections and do not revisit Mexico's arguments. Instead, we focus our review of the Panels' analysis on Mexico's arguments that are not premised on the alleged errors in the Panels' evaluation of the risk profiles.</w:t>
      </w:r>
      <w:bookmarkEnd w:id="294"/>
    </w:p>
    <w:p w:rsidR="00913A2E" w:rsidRPr="00564DB3" w:rsidRDefault="00913A2E" w:rsidP="00F70E38">
      <w:pPr>
        <w:pStyle w:val="BodyText"/>
        <w:rPr>
          <w:rFonts w:cs="Arial"/>
          <w:szCs w:val="18"/>
        </w:rPr>
      </w:pPr>
      <w:r w:rsidRPr="00564DB3">
        <w:rPr>
          <w:szCs w:val="18"/>
        </w:rPr>
        <w:t>We now turn to Mexico's challenges to the Panel's assessment of the following aspects of the 2016 Tuna Measure: (i) the eligibility criteria; (ii) the certification requirements; (iii) the tracking and verification requirements; and (iv) the 2016 Tuna Measure as a whole.</w:t>
      </w:r>
    </w:p>
    <w:p w:rsidR="00913A2E" w:rsidRPr="00564DB3" w:rsidRDefault="00004041" w:rsidP="00F70E38">
      <w:pPr>
        <w:pStyle w:val="Heading4"/>
        <w:rPr>
          <w:szCs w:val="18"/>
        </w:rPr>
      </w:pPr>
      <w:bookmarkStart w:id="295" w:name="_Toc531967489"/>
      <w:r w:rsidRPr="00564DB3">
        <w:rPr>
          <w:szCs w:val="18"/>
        </w:rPr>
        <w:t>E</w:t>
      </w:r>
      <w:r w:rsidR="00913A2E" w:rsidRPr="00564DB3">
        <w:rPr>
          <w:szCs w:val="18"/>
        </w:rPr>
        <w:t>ligibility criteria</w:t>
      </w:r>
      <w:bookmarkEnd w:id="295"/>
    </w:p>
    <w:p w:rsidR="00913A2E" w:rsidRPr="00564DB3" w:rsidRDefault="00913A2E" w:rsidP="00F70E38">
      <w:pPr>
        <w:pStyle w:val="BodyText"/>
        <w:rPr>
          <w:rFonts w:cs="Arial"/>
          <w:szCs w:val="18"/>
        </w:rPr>
      </w:pPr>
      <w:r w:rsidRPr="00564DB3">
        <w:rPr>
          <w:szCs w:val="18"/>
        </w:rPr>
        <w:t xml:space="preserve">Mexico claims that the Panels erred </w:t>
      </w:r>
      <w:r w:rsidR="00134A82" w:rsidRPr="00564DB3">
        <w:rPr>
          <w:szCs w:val="18"/>
        </w:rPr>
        <w:t>in</w:t>
      </w:r>
      <w:r w:rsidRPr="00564DB3">
        <w:rPr>
          <w:szCs w:val="18"/>
        </w:rPr>
        <w:t xml:space="preserve"> finding that the eligibility criteria embodied in the 2016 Tuna Measure are calibrated to the risks to dolphins arising from the use of different fishing methods in different areas of the ocean.</w:t>
      </w:r>
      <w:r w:rsidRPr="00564DB3">
        <w:rPr>
          <w:rStyle w:val="FootnoteReference"/>
          <w:szCs w:val="18"/>
        </w:rPr>
        <w:footnoteReference w:id="569"/>
      </w:r>
      <w:r w:rsidRPr="00564DB3">
        <w:rPr>
          <w:szCs w:val="18"/>
        </w:rPr>
        <w:t xml:space="preserve"> Mexico contends that the Panels undertook an incomplete calibration assessment that failed to assess the eligibility of all fishing methods and ocean areas, by failing to assess and take into consideration the risk profiles of different ocean areas, and by omitting relevant and important factors from the calibration assessment.</w:t>
      </w:r>
      <w:r w:rsidRPr="00564DB3">
        <w:rPr>
          <w:rStyle w:val="FootnoteReference"/>
          <w:szCs w:val="18"/>
        </w:rPr>
        <w:footnoteReference w:id="570"/>
      </w:r>
    </w:p>
    <w:p w:rsidR="00913A2E" w:rsidRPr="00564DB3" w:rsidRDefault="00913A2E" w:rsidP="00F70E38">
      <w:pPr>
        <w:pStyle w:val="BodyText"/>
        <w:rPr>
          <w:rFonts w:cs="Arial"/>
          <w:szCs w:val="18"/>
        </w:rPr>
      </w:pPr>
      <w:r w:rsidRPr="00564DB3">
        <w:rPr>
          <w:szCs w:val="18"/>
        </w:rPr>
        <w:t>The United States asserts that all of Mexico's arguments are without merit and should be rejected. In this regard, the United States argues that: (i) Mexico's a</w:t>
      </w:r>
      <w:r w:rsidR="00145C22">
        <w:rPr>
          <w:szCs w:val="18"/>
        </w:rPr>
        <w:t>ttempt to undermine the Panels' </w:t>
      </w:r>
      <w:r w:rsidRPr="00564DB3">
        <w:rPr>
          <w:szCs w:val="18"/>
        </w:rPr>
        <w:t>factual findings concerning the nature and content of the eligibility criteria is inappropriate and incorrect; (ii) the Panels' analysis of the eligibility criteria encompassed both the ineligibility of setting on dolphins and the potential eligibility of the other relevant fishing methods; (iii) the Panels did not fail to conduct the necessary analysis of the risk profiles of the relevant fishing methods, including as used in different ocean areas; and (iv) the Panels' analysis did not omit critical factors.</w:t>
      </w:r>
      <w:r w:rsidRPr="00564DB3">
        <w:rPr>
          <w:rStyle w:val="FootnoteReference"/>
          <w:szCs w:val="18"/>
        </w:rPr>
        <w:footnoteReference w:id="571"/>
      </w:r>
    </w:p>
    <w:p w:rsidR="00913A2E" w:rsidRPr="00564DB3" w:rsidRDefault="005D5599" w:rsidP="00F70E38">
      <w:pPr>
        <w:pStyle w:val="BodyText"/>
        <w:rPr>
          <w:rFonts w:cs="Arial"/>
          <w:szCs w:val="18"/>
        </w:rPr>
      </w:pPr>
      <w:bookmarkStart w:id="296" w:name="_Ref528144674"/>
      <w:r w:rsidRPr="00564DB3">
        <w:rPr>
          <w:szCs w:val="18"/>
        </w:rPr>
        <w:t>Under t</w:t>
      </w:r>
      <w:r w:rsidR="00913A2E" w:rsidRPr="00564DB3">
        <w:rPr>
          <w:szCs w:val="18"/>
        </w:rPr>
        <w:t>he 2016 Tuna Measure</w:t>
      </w:r>
      <w:r w:rsidRPr="00564DB3">
        <w:rPr>
          <w:szCs w:val="18"/>
        </w:rPr>
        <w:t>,</w:t>
      </w:r>
      <w:r w:rsidR="00913A2E" w:rsidRPr="00564DB3">
        <w:rPr>
          <w:szCs w:val="18"/>
        </w:rPr>
        <w:t xml:space="preserve"> the following tuna products </w:t>
      </w:r>
      <w:r w:rsidRPr="00564DB3">
        <w:rPr>
          <w:szCs w:val="18"/>
        </w:rPr>
        <w:t>are</w:t>
      </w:r>
      <w:r w:rsidR="00913A2E" w:rsidRPr="00564DB3">
        <w:rPr>
          <w:szCs w:val="18"/>
        </w:rPr>
        <w:t xml:space="preserve"> automatically ineligible for the dolphin</w:t>
      </w:r>
      <w:r w:rsidR="00913A2E" w:rsidRPr="00564DB3">
        <w:rPr>
          <w:szCs w:val="18"/>
        </w:rPr>
        <w:noBreakHyphen/>
        <w:t>safe label: (i) tuna harvested using large-scale driftnets on the high seas; and (ii) tuna harvested by vessels using purse seine nets to encircle (i.e. set on) dolphins anywhere in the world.</w:t>
      </w:r>
      <w:r w:rsidR="00913A2E" w:rsidRPr="00564DB3">
        <w:rPr>
          <w:rStyle w:val="FootnoteReference"/>
          <w:szCs w:val="18"/>
        </w:rPr>
        <w:footnoteReference w:id="572"/>
      </w:r>
      <w:r w:rsidR="00913A2E" w:rsidRPr="00564DB3">
        <w:rPr>
          <w:szCs w:val="18"/>
        </w:rPr>
        <w:t xml:space="preserve"> All other tuna products are eligible and may be labelled dolphin</w:t>
      </w:r>
      <w:r w:rsidR="00913A2E" w:rsidRPr="00564DB3">
        <w:rPr>
          <w:szCs w:val="18"/>
        </w:rPr>
        <w:noBreakHyphen/>
        <w:t xml:space="preserve">safe </w:t>
      </w:r>
      <w:r w:rsidR="00913A2E" w:rsidRPr="00564DB3">
        <w:rPr>
          <w:i/>
          <w:szCs w:val="18"/>
        </w:rPr>
        <w:t>only if</w:t>
      </w:r>
      <w:r w:rsidR="00913A2E" w:rsidRPr="00564DB3">
        <w:rPr>
          <w:szCs w:val="18"/>
        </w:rPr>
        <w:t xml:space="preserve"> no dolphins were killed or seriously injured in the gear deployments in which the tuna </w:t>
      </w:r>
      <w:r w:rsidR="00805D29" w:rsidRPr="00564DB3">
        <w:rPr>
          <w:szCs w:val="18"/>
        </w:rPr>
        <w:t xml:space="preserve">was </w:t>
      </w:r>
      <w:r w:rsidR="00913A2E" w:rsidRPr="00564DB3">
        <w:rPr>
          <w:szCs w:val="18"/>
        </w:rPr>
        <w:t>caught.</w:t>
      </w:r>
      <w:r w:rsidR="00913A2E" w:rsidRPr="00564DB3">
        <w:rPr>
          <w:szCs w:val="18"/>
          <w:lang w:eastAsia="en-US"/>
        </w:rPr>
        <w:t xml:space="preserve"> </w:t>
      </w:r>
      <w:r w:rsidR="00913A2E" w:rsidRPr="00564DB3">
        <w:rPr>
          <w:szCs w:val="18"/>
        </w:rPr>
        <w:t>To this end, these tuna products must satisfy the certification and tracking and verification requirements of the 2016 Tuna Measure.</w:t>
      </w:r>
      <w:bookmarkEnd w:id="296"/>
      <w:r w:rsidR="00913A2E" w:rsidRPr="00564DB3">
        <w:rPr>
          <w:rStyle w:val="FootnoteReference"/>
          <w:szCs w:val="18"/>
        </w:rPr>
        <w:footnoteReference w:id="573"/>
      </w:r>
    </w:p>
    <w:p w:rsidR="00913A2E" w:rsidRPr="00564DB3" w:rsidRDefault="00913A2E" w:rsidP="00F70E38">
      <w:pPr>
        <w:pStyle w:val="BodyText"/>
        <w:rPr>
          <w:rFonts w:cs="Arial"/>
          <w:szCs w:val="18"/>
        </w:rPr>
      </w:pPr>
      <w:bookmarkStart w:id="297" w:name="_Ref528171463"/>
      <w:r w:rsidRPr="00564DB3">
        <w:rPr>
          <w:szCs w:val="18"/>
        </w:rPr>
        <w:t xml:space="preserve">As part of the 2016 Tuna Measure, the relevant regulatory distinction under the eligibility criteria </w:t>
      </w:r>
      <w:r w:rsidRPr="00564DB3" w:rsidDel="003D513D">
        <w:rPr>
          <w:szCs w:val="18"/>
        </w:rPr>
        <w:t>is that tuna</w:t>
      </w:r>
      <w:r w:rsidRPr="00564DB3">
        <w:rPr>
          <w:szCs w:val="18"/>
        </w:rPr>
        <w:t xml:space="preserve"> products containing tuna</w:t>
      </w:r>
      <w:r w:rsidRPr="00564DB3" w:rsidDel="003D513D">
        <w:rPr>
          <w:szCs w:val="18"/>
        </w:rPr>
        <w:t xml:space="preserve"> caught by </w:t>
      </w:r>
      <w:r w:rsidRPr="00564DB3" w:rsidDel="003D513D">
        <w:rPr>
          <w:i/>
          <w:szCs w:val="18"/>
        </w:rPr>
        <w:t xml:space="preserve">setting on dolphins </w:t>
      </w:r>
      <w:r w:rsidRPr="00564DB3">
        <w:rPr>
          <w:szCs w:val="18"/>
        </w:rPr>
        <w:t>are</w:t>
      </w:r>
      <w:r w:rsidRPr="00564DB3" w:rsidDel="003D513D">
        <w:rPr>
          <w:szCs w:val="18"/>
        </w:rPr>
        <w:t xml:space="preserve"> ineligible</w:t>
      </w:r>
      <w:r w:rsidRPr="00564DB3" w:rsidDel="003D513D">
        <w:rPr>
          <w:i/>
          <w:szCs w:val="18"/>
        </w:rPr>
        <w:t xml:space="preserve"> </w:t>
      </w:r>
      <w:r w:rsidRPr="00564DB3" w:rsidDel="003D513D">
        <w:rPr>
          <w:szCs w:val="18"/>
        </w:rPr>
        <w:t xml:space="preserve">for the dolphin-safe label, while tuna </w:t>
      </w:r>
      <w:r w:rsidRPr="00564DB3">
        <w:rPr>
          <w:szCs w:val="18"/>
        </w:rPr>
        <w:t xml:space="preserve">products containing tuna </w:t>
      </w:r>
      <w:r w:rsidRPr="00564DB3" w:rsidDel="003D513D">
        <w:rPr>
          <w:szCs w:val="18"/>
        </w:rPr>
        <w:t xml:space="preserve">caught by </w:t>
      </w:r>
      <w:r w:rsidRPr="00564DB3" w:rsidDel="003D513D">
        <w:rPr>
          <w:i/>
          <w:szCs w:val="18"/>
        </w:rPr>
        <w:t>other fishing methods</w:t>
      </w:r>
      <w:r w:rsidRPr="00564DB3" w:rsidDel="003D513D">
        <w:rPr>
          <w:szCs w:val="18"/>
        </w:rPr>
        <w:t xml:space="preserve"> are, in principle, eligible for the label.</w:t>
      </w:r>
      <w:r w:rsidRPr="00564DB3">
        <w:rPr>
          <w:rStyle w:val="FootnoteReference"/>
          <w:szCs w:val="18"/>
        </w:rPr>
        <w:footnoteReference w:id="574"/>
      </w:r>
      <w:r w:rsidRPr="00564DB3">
        <w:rPr>
          <w:szCs w:val="18"/>
        </w:rPr>
        <w:t xml:space="preserve"> Thus, to assess whether this distinction is properly calibrated, the Panels were required to compare the risk profiles of relevant fishing methods. As discussed </w:t>
      </w:r>
      <w:r w:rsidR="00954430" w:rsidRPr="00564DB3">
        <w:rPr>
          <w:szCs w:val="18"/>
        </w:rPr>
        <w:t>in</w:t>
      </w:r>
      <w:r w:rsidRPr="00564DB3">
        <w:rPr>
          <w:szCs w:val="18"/>
        </w:rPr>
        <w:t xml:space="preserve"> </w:t>
      </w:r>
      <w:r w:rsidRPr="00A634F6">
        <w:rPr>
          <w:szCs w:val="18"/>
        </w:rPr>
        <w:t>paragraph</w:t>
      </w:r>
      <w:r w:rsidR="000B62E4" w:rsidRPr="00A634F6">
        <w:rPr>
          <w:szCs w:val="18"/>
        </w:rPr>
        <w:t>s 6.94-6.95</w:t>
      </w:r>
      <w:r w:rsidR="00D6300E" w:rsidRPr="00A634F6">
        <w:rPr>
          <w:szCs w:val="18"/>
        </w:rPr>
        <w:t xml:space="preserve"> </w:t>
      </w:r>
      <w:r w:rsidRPr="00A634F6">
        <w:rPr>
          <w:szCs w:val="18"/>
        </w:rPr>
        <w:t>above, in</w:t>
      </w:r>
      <w:r w:rsidRPr="00564DB3">
        <w:rPr>
          <w:szCs w:val="18"/>
        </w:rPr>
        <w:t xml:space="preserve"> assessing and comparing the over</w:t>
      </w:r>
      <w:r w:rsidR="005B111B">
        <w:rPr>
          <w:szCs w:val="18"/>
        </w:rPr>
        <w:t>all relative risks of the seven </w:t>
      </w:r>
      <w:r w:rsidRPr="00564DB3">
        <w:rPr>
          <w:szCs w:val="18"/>
        </w:rPr>
        <w:t>different fishing methods</w:t>
      </w:r>
      <w:r w:rsidRPr="00564DB3">
        <w:rPr>
          <w:rStyle w:val="FootnoteReference"/>
          <w:szCs w:val="18"/>
        </w:rPr>
        <w:footnoteReference w:id="575"/>
      </w:r>
      <w:r w:rsidRPr="00564DB3">
        <w:rPr>
          <w:szCs w:val="18"/>
        </w:rPr>
        <w:t xml:space="preserve">, the Panels took account of relevant information pertaining to the risks to dolphins in individual fisheries, to the extent that evidence </w:t>
      </w:r>
      <w:r w:rsidR="00E175AB" w:rsidRPr="00564DB3">
        <w:rPr>
          <w:szCs w:val="18"/>
        </w:rPr>
        <w:t>with respect to</w:t>
      </w:r>
      <w:r w:rsidRPr="00564DB3">
        <w:rPr>
          <w:szCs w:val="18"/>
        </w:rPr>
        <w:t xml:space="preserve"> such individual fisheries was presented to the Panels.</w:t>
      </w:r>
      <w:r w:rsidRPr="00564DB3">
        <w:rPr>
          <w:rStyle w:val="FootnoteReference"/>
          <w:szCs w:val="18"/>
        </w:rPr>
        <w:footnoteReference w:id="576"/>
      </w:r>
      <w:r w:rsidRPr="00564DB3">
        <w:rPr>
          <w:szCs w:val="18"/>
        </w:rPr>
        <w:t xml:space="preserve"> In particular, the Panels found that setting on dolphins poses a much higher risk of observed dolphin mortality and serious injury, on a per set basis, than other fishing methods.</w:t>
      </w:r>
      <w:r w:rsidRPr="00564DB3">
        <w:rPr>
          <w:rStyle w:val="FootnoteReference"/>
          <w:szCs w:val="18"/>
        </w:rPr>
        <w:footnoteReference w:id="577"/>
      </w:r>
      <w:r w:rsidRPr="00564DB3">
        <w:rPr>
          <w:szCs w:val="18"/>
        </w:rPr>
        <w:t xml:space="preserve"> Moreover, in terms of the magnitude of observed harms, the Panels found that the greater risks caused by setting on dolphins appeared to justify the finding of the original and first compliance panels that setting on dolphins is "particularly harmful" to dolphins.</w:t>
      </w:r>
      <w:r w:rsidRPr="00564DB3">
        <w:rPr>
          <w:rStyle w:val="FootnoteReference"/>
          <w:szCs w:val="18"/>
        </w:rPr>
        <w:footnoteReference w:id="578"/>
      </w:r>
      <w:r w:rsidRPr="00564DB3">
        <w:rPr>
          <w:szCs w:val="18"/>
        </w:rPr>
        <w:t xml:space="preserve"> The Panels also determined that the method of setting on dolphins is more likely than other fishing methods to cause unobserved mortality and serious injury.</w:t>
      </w:r>
      <w:r w:rsidRPr="00564DB3">
        <w:rPr>
          <w:rStyle w:val="FootnoteReference"/>
          <w:szCs w:val="18"/>
        </w:rPr>
        <w:footnoteReference w:id="579"/>
      </w:r>
      <w:r w:rsidRPr="00564DB3">
        <w:rPr>
          <w:szCs w:val="18"/>
        </w:rPr>
        <w:t xml:space="preserve"> In addition, the Panels accepted, based on their assessment of the evidence on the record, that setting on dolphins causes a unique kind of unobservable harm that by its nature cannot be certified. The Panels noted that this contrasted with other fishing methods, which, based on the evidence before the Panels, do not cause the same kinds of unobservable harms as setting on dolphins.</w:t>
      </w:r>
      <w:bookmarkEnd w:id="297"/>
      <w:r w:rsidRPr="00564DB3">
        <w:rPr>
          <w:rStyle w:val="FootnoteReference"/>
          <w:szCs w:val="18"/>
        </w:rPr>
        <w:footnoteReference w:id="580"/>
      </w:r>
    </w:p>
    <w:p w:rsidR="00913A2E" w:rsidRPr="00564DB3" w:rsidRDefault="00913A2E" w:rsidP="00F70E38">
      <w:pPr>
        <w:pStyle w:val="BodyText"/>
        <w:rPr>
          <w:rFonts w:cs="Arial"/>
          <w:szCs w:val="18"/>
        </w:rPr>
      </w:pPr>
      <w:bookmarkStart w:id="298" w:name="_Ref528171448"/>
      <w:r w:rsidRPr="00564DB3">
        <w:rPr>
          <w:szCs w:val="18"/>
        </w:rPr>
        <w:t>For these reasons, the Panels concluded that "overall, the risk profile of setting on dolphins is much higher than that of each of the other six fishing methods used to catch tuna."</w:t>
      </w:r>
      <w:r w:rsidRPr="00564DB3">
        <w:rPr>
          <w:rStyle w:val="FootnoteReference"/>
          <w:szCs w:val="18"/>
        </w:rPr>
        <w:footnoteReference w:id="581"/>
      </w:r>
      <w:r w:rsidRPr="00564DB3">
        <w:rPr>
          <w:szCs w:val="18"/>
        </w:rPr>
        <w:t xml:space="preserve"> </w:t>
      </w:r>
      <w:bookmarkStart w:id="299" w:name="_Hlk526358745"/>
      <w:r w:rsidRPr="00564DB3">
        <w:rPr>
          <w:szCs w:val="18"/>
        </w:rPr>
        <w:t>The Panels relied on this conclusion</w:t>
      </w:r>
      <w:r w:rsidRPr="00564DB3">
        <w:rPr>
          <w:rStyle w:val="FootnoteReference"/>
          <w:szCs w:val="18"/>
        </w:rPr>
        <w:footnoteReference w:id="582"/>
      </w:r>
      <w:r w:rsidRPr="00564DB3">
        <w:rPr>
          <w:szCs w:val="18"/>
        </w:rPr>
        <w:t xml:space="preserve"> in finding that, "[t]</w:t>
      </w:r>
      <w:proofErr w:type="spellStart"/>
      <w:r w:rsidRPr="00564DB3">
        <w:rPr>
          <w:szCs w:val="18"/>
        </w:rPr>
        <w:t>aking</w:t>
      </w:r>
      <w:proofErr w:type="spellEnd"/>
      <w:r w:rsidRPr="00564DB3">
        <w:rPr>
          <w:szCs w:val="18"/>
        </w:rPr>
        <w:t xml:space="preserve"> into account the relative risk profiles of setting on dolphins, on the one hand, and other fishing methods on the other hand, … the eligibility criteria are appropriately calibrated to the risks to dolphins arising from the use of different fishing methods in different areas of the ocean."</w:t>
      </w:r>
      <w:bookmarkEnd w:id="298"/>
      <w:r w:rsidRPr="00564DB3">
        <w:rPr>
          <w:rStyle w:val="FootnoteReference"/>
          <w:szCs w:val="18"/>
        </w:rPr>
        <w:footnoteReference w:id="583"/>
      </w:r>
      <w:r w:rsidRPr="00564DB3">
        <w:rPr>
          <w:szCs w:val="18"/>
        </w:rPr>
        <w:t xml:space="preserve"> </w:t>
      </w:r>
      <w:bookmarkEnd w:id="299"/>
    </w:p>
    <w:p w:rsidR="00913A2E" w:rsidRPr="00564DB3" w:rsidRDefault="00913A2E" w:rsidP="00F70E38">
      <w:pPr>
        <w:pStyle w:val="BodyText"/>
        <w:rPr>
          <w:szCs w:val="18"/>
        </w:rPr>
      </w:pPr>
      <w:bookmarkStart w:id="300" w:name="_Ref528050340"/>
      <w:r w:rsidRPr="00564DB3">
        <w:rPr>
          <w:szCs w:val="18"/>
        </w:rPr>
        <w:t>Mexico's arguments</w:t>
      </w:r>
      <w:r w:rsidRPr="00564DB3">
        <w:rPr>
          <w:rStyle w:val="FootnoteReference"/>
          <w:szCs w:val="18"/>
        </w:rPr>
        <w:footnoteReference w:id="584"/>
      </w:r>
      <w:r w:rsidRPr="00564DB3">
        <w:rPr>
          <w:szCs w:val="18"/>
        </w:rPr>
        <w:t xml:space="preserve"> in support of its claim that the Panels erred in their assessment of the eligibility criteria of the 2016 Tuna Measure largely repeat Mexico's arguments that we addressed and rejected in our review of the Panels' evaluation of the relevant risk profiles. </w:t>
      </w:r>
      <w:proofErr w:type="gramStart"/>
      <w:r w:rsidRPr="00564DB3">
        <w:rPr>
          <w:szCs w:val="18"/>
        </w:rPr>
        <w:t>In particular, we</w:t>
      </w:r>
      <w:proofErr w:type="gramEnd"/>
      <w:r w:rsidRPr="00564DB3">
        <w:rPr>
          <w:szCs w:val="18"/>
        </w:rPr>
        <w:t xml:space="preserve"> recall that, under Article 2.1 of the TBT Agreement, the relevant question is whether the detrimental impact caused by the 2016 Tuna Measure stems exclusively from a legitimate regulatory distinction. As described above, the detrimental impact in this dispute results, in part, from the distinction under the eligibility criteria between setting on dolphins and other fishing methods. Consequently, the test of whether the eligibility criteria are even-handed requires an assessment of whether the distinction between setting on dolphins and other fishing methods in the eligibility criteria is explained by the differences in the risk profiles of the fishing methods.</w:t>
      </w:r>
    </w:p>
    <w:p w:rsidR="00913A2E" w:rsidRPr="00564DB3" w:rsidRDefault="00913A2E" w:rsidP="00F70E38">
      <w:pPr>
        <w:pStyle w:val="BodyText"/>
        <w:rPr>
          <w:szCs w:val="18"/>
        </w:rPr>
      </w:pPr>
      <w:r w:rsidRPr="00564DB3">
        <w:rPr>
          <w:szCs w:val="18"/>
        </w:rPr>
        <w:t xml:space="preserve">As we found above, </w:t>
      </w:r>
      <w:r w:rsidR="00FF1995" w:rsidRPr="00564DB3">
        <w:rPr>
          <w:szCs w:val="18"/>
        </w:rPr>
        <w:t xml:space="preserve">for the purpose of </w:t>
      </w:r>
      <w:r w:rsidRPr="00564DB3">
        <w:rPr>
          <w:szCs w:val="18"/>
        </w:rPr>
        <w:t>this assessment, the Panels adopted the correct approach by comparing the risk profiles of the different fishing methods, on the basis of their examination of the evidence concerning the use of these fishing methods in different ocean areas.</w:t>
      </w:r>
      <w:r w:rsidRPr="00564DB3">
        <w:rPr>
          <w:rStyle w:val="FootnoteReference"/>
          <w:szCs w:val="18"/>
        </w:rPr>
        <w:footnoteReference w:id="585"/>
      </w:r>
      <w:r w:rsidRPr="00564DB3">
        <w:rPr>
          <w:szCs w:val="18"/>
        </w:rPr>
        <w:t xml:space="preserve"> </w:t>
      </w:r>
      <w:bookmarkStart w:id="301" w:name="_Hlk527981298"/>
      <w:r w:rsidRPr="00564DB3">
        <w:rPr>
          <w:szCs w:val="18"/>
        </w:rPr>
        <w:t>Moreover, following our review of the Panels' evaluation of the relevant risk profiles, we found that Mexico has not demonstrated that the Panels erred by drawing conclusions on the risk profile of each fishing method on the basis of their examination of the evidence before them (including evidence pertaining to individual fisheries).</w:t>
      </w:r>
      <w:r w:rsidRPr="00564DB3">
        <w:rPr>
          <w:rStyle w:val="FootnoteReference"/>
          <w:szCs w:val="18"/>
        </w:rPr>
        <w:footnoteReference w:id="586"/>
      </w:r>
      <w:r w:rsidRPr="00564DB3">
        <w:rPr>
          <w:szCs w:val="18"/>
        </w:rPr>
        <w:t xml:space="preserve"> Having found no legal error in the Panels' assessment of risk profiles, we see no reason to vacate the Panels' conclusion, following that assessment, that "setting on dolphins is significantly more dangerous to dolphins than are other fishing methods</w:t>
      </w:r>
      <w:r w:rsidR="009067B4" w:rsidRPr="00564DB3">
        <w:rPr>
          <w:szCs w:val="18"/>
        </w:rPr>
        <w:t>.</w:t>
      </w:r>
      <w:r w:rsidRPr="00564DB3">
        <w:rPr>
          <w:szCs w:val="18"/>
        </w:rPr>
        <w:t>"</w:t>
      </w:r>
      <w:bookmarkEnd w:id="300"/>
      <w:bookmarkEnd w:id="301"/>
      <w:r w:rsidRPr="00564DB3">
        <w:rPr>
          <w:rStyle w:val="FootnoteReference"/>
          <w:szCs w:val="18"/>
        </w:rPr>
        <w:footnoteReference w:id="587"/>
      </w:r>
    </w:p>
    <w:p w:rsidR="00913A2E" w:rsidRPr="00564DB3" w:rsidRDefault="00913A2E" w:rsidP="00F70E38">
      <w:pPr>
        <w:pStyle w:val="BodyText"/>
        <w:rPr>
          <w:szCs w:val="18"/>
        </w:rPr>
      </w:pPr>
      <w:r w:rsidRPr="00564DB3">
        <w:rPr>
          <w:szCs w:val="18"/>
        </w:rPr>
        <w:t>We now turn to Mexico</w:t>
      </w:r>
      <w:r w:rsidR="00735FC6" w:rsidRPr="00564DB3">
        <w:rPr>
          <w:szCs w:val="18"/>
        </w:rPr>
        <w:t>'s</w:t>
      </w:r>
      <w:r w:rsidRPr="00564DB3">
        <w:rPr>
          <w:szCs w:val="18"/>
        </w:rPr>
        <w:t xml:space="preserve"> </w:t>
      </w:r>
      <w:r w:rsidR="00735FC6" w:rsidRPr="00564DB3">
        <w:rPr>
          <w:szCs w:val="18"/>
        </w:rPr>
        <w:t xml:space="preserve">arguments </w:t>
      </w:r>
      <w:r w:rsidRPr="00564DB3">
        <w:rPr>
          <w:szCs w:val="18"/>
        </w:rPr>
        <w:t>that concern whether the eligibility criteria under the measure are properly calibrated. Mexico points to evidence that it submitted to the Panels concerning the dangers of other fishing methods, arguing that this evidence demonstrates that, for these fishing methods and ocean areas, there are regular and substantial dolphin mortalities and serious injury. Mexico asserts that the failure of the eligibility criteria to "</w:t>
      </w:r>
      <w:r w:rsidRPr="00564DB3">
        <w:rPr>
          <w:i/>
          <w:szCs w:val="18"/>
        </w:rPr>
        <w:t>designate such tuna as ineligible</w:t>
      </w:r>
      <w:r w:rsidRPr="00564DB3">
        <w:rPr>
          <w:szCs w:val="18"/>
        </w:rPr>
        <w:t>" demonstrates that the tuna measure is not calibrated to differences in the risk profiles of different fishing methods in different ocean areas.</w:t>
      </w:r>
      <w:r w:rsidRPr="00564DB3">
        <w:rPr>
          <w:rStyle w:val="FootnoteReference"/>
          <w:szCs w:val="18"/>
        </w:rPr>
        <w:footnoteReference w:id="588"/>
      </w:r>
    </w:p>
    <w:p w:rsidR="00913A2E" w:rsidRPr="00564DB3" w:rsidRDefault="00913A2E" w:rsidP="00F70E38">
      <w:pPr>
        <w:pStyle w:val="BodyText"/>
        <w:rPr>
          <w:szCs w:val="18"/>
        </w:rPr>
      </w:pPr>
      <w:r w:rsidRPr="00564DB3">
        <w:rPr>
          <w:szCs w:val="18"/>
        </w:rPr>
        <w:t>These arguments by Mexico fail to take account of how t</w:t>
      </w:r>
      <w:r w:rsidR="00145C22">
        <w:rPr>
          <w:szCs w:val="18"/>
        </w:rPr>
        <w:t>he various elements of the 2016 </w:t>
      </w:r>
      <w:r w:rsidRPr="00564DB3">
        <w:rPr>
          <w:szCs w:val="18"/>
        </w:rPr>
        <w:t>Tuna Measure work together. As the Appellate</w:t>
      </w:r>
      <w:r w:rsidR="00025CB6" w:rsidRPr="00564DB3">
        <w:rPr>
          <w:szCs w:val="18"/>
        </w:rPr>
        <w:t> Body</w:t>
      </w:r>
      <w:r w:rsidRPr="00564DB3">
        <w:rPr>
          <w:szCs w:val="18"/>
        </w:rPr>
        <w:t xml:space="preserve"> explained in the first compliance proceedings, the eligibility criteria are the "substantive conditions for access to [a] dolphin-safe label".</w:t>
      </w:r>
      <w:r w:rsidRPr="00564DB3">
        <w:rPr>
          <w:rStyle w:val="FootnoteReference"/>
          <w:szCs w:val="18"/>
        </w:rPr>
        <w:footnoteReference w:id="589"/>
      </w:r>
      <w:r w:rsidRPr="00564DB3">
        <w:rPr>
          <w:szCs w:val="18"/>
        </w:rPr>
        <w:t xml:space="preserve"> However, the eligibility criteria are not the </w:t>
      </w:r>
      <w:r w:rsidRPr="00564DB3">
        <w:rPr>
          <w:i/>
          <w:szCs w:val="18"/>
        </w:rPr>
        <w:t>only</w:t>
      </w:r>
      <w:r w:rsidRPr="00564DB3">
        <w:rPr>
          <w:szCs w:val="18"/>
        </w:rPr>
        <w:t xml:space="preserve"> conditions for access to a dolphin-safe label. The certification requirements and </w:t>
      </w:r>
      <w:r w:rsidR="009067B4" w:rsidRPr="00564DB3">
        <w:rPr>
          <w:szCs w:val="18"/>
        </w:rPr>
        <w:t xml:space="preserve">the </w:t>
      </w:r>
      <w:r w:rsidRPr="00564DB3">
        <w:rPr>
          <w:szCs w:val="18"/>
        </w:rPr>
        <w:t>tracking and verification requirements "work together" with the eligibility criteria of the 2016 Tuna Measure "to limit access to the dolphin-safe label".</w:t>
      </w:r>
      <w:r w:rsidRPr="00564DB3">
        <w:rPr>
          <w:rStyle w:val="FootnoteReference"/>
          <w:szCs w:val="18"/>
        </w:rPr>
        <w:footnoteReference w:id="590"/>
      </w:r>
      <w:r w:rsidRPr="00564DB3">
        <w:rPr>
          <w:szCs w:val="18"/>
        </w:rPr>
        <w:t xml:space="preserve"> This means that, with respect to the category of tuna products that are not automatically disqualified by the eligibility criteria, these products must still satisfy the certification requirements and </w:t>
      </w:r>
      <w:r w:rsidR="009067B4" w:rsidRPr="00564DB3">
        <w:rPr>
          <w:szCs w:val="18"/>
        </w:rPr>
        <w:t xml:space="preserve">the </w:t>
      </w:r>
      <w:r w:rsidRPr="00564DB3">
        <w:rPr>
          <w:szCs w:val="18"/>
        </w:rPr>
        <w:t>tracking and verification requirements before they can access the dolphin</w:t>
      </w:r>
      <w:r w:rsidRPr="00564DB3">
        <w:rPr>
          <w:szCs w:val="18"/>
        </w:rPr>
        <w:noBreakHyphen/>
        <w:t>safe label. For example, the certification requirements, which the Panels addressed in a later section of their Reports</w:t>
      </w:r>
      <w:r w:rsidRPr="00564DB3">
        <w:rPr>
          <w:rStyle w:val="FootnoteReference"/>
          <w:szCs w:val="18"/>
        </w:rPr>
        <w:footnoteReference w:id="591"/>
      </w:r>
      <w:r w:rsidRPr="00564DB3">
        <w:rPr>
          <w:szCs w:val="18"/>
        </w:rPr>
        <w:t xml:space="preserve">, provide that tuna intended to be labelled as dolphin-safe in the US market must be accompanied by, </w:t>
      </w:r>
      <w:r w:rsidRPr="00564DB3">
        <w:rPr>
          <w:i/>
          <w:szCs w:val="18"/>
        </w:rPr>
        <w:t>inter alia</w:t>
      </w:r>
      <w:r w:rsidRPr="00564DB3">
        <w:rPr>
          <w:szCs w:val="18"/>
        </w:rPr>
        <w:t xml:space="preserve">, a certificate attesting that: (i) no dolphins were killed or seriously injured during the sets in which the tuna was caught; and (ii) no purse seine net or other fishing gear was intentionally deployed on or used to set on dolphins during the fishing trip in which the tuna </w:t>
      </w:r>
      <w:r w:rsidR="00805D29" w:rsidRPr="00564DB3">
        <w:rPr>
          <w:szCs w:val="18"/>
        </w:rPr>
        <w:t xml:space="preserve">was </w:t>
      </w:r>
      <w:r w:rsidRPr="00564DB3">
        <w:rPr>
          <w:szCs w:val="18"/>
        </w:rPr>
        <w:t>caught.</w:t>
      </w:r>
      <w:r w:rsidRPr="00564DB3">
        <w:rPr>
          <w:rStyle w:val="FootnoteReference"/>
          <w:szCs w:val="18"/>
        </w:rPr>
        <w:footnoteReference w:id="592"/>
      </w:r>
      <w:r w:rsidRPr="00564DB3">
        <w:rPr>
          <w:szCs w:val="18"/>
        </w:rPr>
        <w:t xml:space="preserve"> Thus, contrary to Mexico's arguments, under the 2016 Tuna Measure, tuna caught with fishing methods that, while provisionally eligible under the eligibility criteria, cause adverse effects to dolphins would not have access to the dolphin-safe label if they do not fulfil the other labelling conditions under the 2016</w:t>
      </w:r>
      <w:r w:rsidR="003E34B4" w:rsidRPr="00564DB3">
        <w:rPr>
          <w:szCs w:val="18"/>
        </w:rPr>
        <w:t> </w:t>
      </w:r>
      <w:r w:rsidRPr="00564DB3">
        <w:rPr>
          <w:szCs w:val="18"/>
        </w:rPr>
        <w:t>Tuna Measure (i.e. the certification requirements and the tracking and verification requirements).</w:t>
      </w:r>
    </w:p>
    <w:p w:rsidR="00913A2E" w:rsidRPr="00564DB3" w:rsidRDefault="00913A2E" w:rsidP="00F70E38">
      <w:pPr>
        <w:pStyle w:val="BodyText"/>
        <w:rPr>
          <w:szCs w:val="18"/>
        </w:rPr>
      </w:pPr>
      <w:r w:rsidRPr="00564DB3">
        <w:rPr>
          <w:szCs w:val="18"/>
        </w:rPr>
        <w:t xml:space="preserve">Mexico also contends that the Panels erred by omitting from their assessment factors related to the circumstances affecting the regulatory reliability of different ocean areas. According to Mexico, </w:t>
      </w:r>
      <w:bookmarkStart w:id="302" w:name="_Hlk526426269"/>
      <w:r w:rsidRPr="00564DB3">
        <w:rPr>
          <w:szCs w:val="18"/>
        </w:rPr>
        <w:t>"[d]</w:t>
      </w:r>
      <w:proofErr w:type="spellStart"/>
      <w:r w:rsidRPr="00564DB3">
        <w:rPr>
          <w:szCs w:val="18"/>
        </w:rPr>
        <w:t>olphins</w:t>
      </w:r>
      <w:proofErr w:type="spellEnd"/>
      <w:r w:rsidRPr="00564DB3">
        <w:rPr>
          <w:szCs w:val="18"/>
        </w:rPr>
        <w:t xml:space="preserve"> are at a greater overall risk in ocean areas</w:t>
      </w:r>
      <w:bookmarkEnd w:id="302"/>
      <w:r w:rsidRPr="00564DB3">
        <w:rPr>
          <w:szCs w:val="18"/>
        </w:rPr>
        <w:t xml:space="preserve"> </w:t>
      </w:r>
      <w:bookmarkStart w:id="303" w:name="_Hlk526426413"/>
      <w:r w:rsidRPr="00564DB3">
        <w:rPr>
          <w:szCs w:val="18"/>
        </w:rPr>
        <w:t xml:space="preserve">with </w:t>
      </w:r>
      <w:bookmarkStart w:id="304" w:name="_Hlk526426167"/>
      <w:r w:rsidRPr="00564DB3">
        <w:rPr>
          <w:szCs w:val="18"/>
        </w:rPr>
        <w:t>insufficient regulatory oversight, unreliable reporting, IUU fishing and trans</w:t>
      </w:r>
      <w:r w:rsidRPr="00564DB3">
        <w:rPr>
          <w:szCs w:val="18"/>
        </w:rPr>
        <w:noBreakHyphen/>
        <w:t>shipment at sea</w:t>
      </w:r>
      <w:bookmarkEnd w:id="303"/>
      <w:r w:rsidRPr="00564DB3">
        <w:rPr>
          <w:szCs w:val="18"/>
        </w:rPr>
        <w:t xml:space="preserve"> </w:t>
      </w:r>
      <w:bookmarkEnd w:id="304"/>
      <w:r w:rsidRPr="00564DB3">
        <w:rPr>
          <w:szCs w:val="18"/>
        </w:rPr>
        <w:t>than in ocean areas that do not have these attributes."</w:t>
      </w:r>
      <w:r w:rsidRPr="00564DB3">
        <w:rPr>
          <w:rStyle w:val="FootnoteReference"/>
          <w:szCs w:val="18"/>
        </w:rPr>
        <w:footnoteReference w:id="593"/>
      </w:r>
      <w:r w:rsidRPr="00564DB3">
        <w:rPr>
          <w:szCs w:val="18"/>
        </w:rPr>
        <w:t xml:space="preserve"> Thus, Mexico stresses that tuna caught in such ocean areas by any fishing method that causes adverse effects to dolphins "</w:t>
      </w:r>
      <w:r w:rsidRPr="00564DB3">
        <w:rPr>
          <w:i/>
          <w:szCs w:val="18"/>
        </w:rPr>
        <w:t>should be ineligible for the label</w:t>
      </w:r>
      <w:r w:rsidRPr="00564DB3">
        <w:rPr>
          <w:szCs w:val="18"/>
        </w:rPr>
        <w:t xml:space="preserve"> and therefore discouraged".</w:t>
      </w:r>
      <w:r w:rsidRPr="00564DB3">
        <w:rPr>
          <w:rStyle w:val="FootnoteReference"/>
          <w:szCs w:val="18"/>
        </w:rPr>
        <w:footnoteReference w:id="594"/>
      </w:r>
    </w:p>
    <w:p w:rsidR="00913A2E" w:rsidRPr="00564DB3" w:rsidRDefault="00913A2E" w:rsidP="00F70E38">
      <w:pPr>
        <w:pStyle w:val="BodyText"/>
        <w:rPr>
          <w:rFonts w:cs="Arial"/>
          <w:szCs w:val="18"/>
        </w:rPr>
      </w:pPr>
      <w:r w:rsidRPr="00564DB3">
        <w:rPr>
          <w:szCs w:val="18"/>
        </w:rPr>
        <w:t>However, as discussed i</w:t>
      </w:r>
      <w:r w:rsidR="00005282">
        <w:rPr>
          <w:szCs w:val="18"/>
        </w:rPr>
        <w:t xml:space="preserve">n section </w:t>
      </w:r>
      <w:r w:rsidR="00005282" w:rsidRPr="00005282">
        <w:rPr>
          <w:szCs w:val="18"/>
        </w:rPr>
        <w:t xml:space="preserve">6.1.3.1.2 </w:t>
      </w:r>
      <w:r w:rsidRPr="00005282">
        <w:rPr>
          <w:szCs w:val="18"/>
        </w:rPr>
        <w:t>above, we</w:t>
      </w:r>
      <w:r w:rsidRPr="00564DB3">
        <w:rPr>
          <w:szCs w:val="18"/>
        </w:rPr>
        <w:t xml:space="preserve"> share the Panels' view that the risks of inaccurate certification, reporting, and/or record-keeping are not:</w:t>
      </w:r>
    </w:p>
    <w:p w:rsidR="00913A2E" w:rsidRPr="00564DB3" w:rsidRDefault="00892C9A" w:rsidP="00F70E38">
      <w:pPr>
        <w:pStyle w:val="Quotation"/>
        <w:rPr>
          <w:rFonts w:cs="Arial"/>
        </w:rPr>
      </w:pPr>
      <w:r w:rsidRPr="00564DB3">
        <w:t>[R]</w:t>
      </w:r>
      <w:proofErr w:type="spellStart"/>
      <w:r w:rsidR="00913A2E" w:rsidRPr="00564DB3">
        <w:t>isks</w:t>
      </w:r>
      <w:proofErr w:type="spellEnd"/>
      <w:r w:rsidR="00913A2E" w:rsidRPr="00564DB3">
        <w:t xml:space="preserve"> that arise from the use of different fishing methods in different areas of the ocean, even though fish caught in different areas of the ocean through the use of different fishing methods may be associated with a greater or smaller risk of inaccurate labelling depending on a range of interconnected factors, including the persons involved in the catch, available technology, and applicable domestic and international regulatory requirements.</w:t>
      </w:r>
      <w:r w:rsidR="00913A2E" w:rsidRPr="00564DB3">
        <w:rPr>
          <w:rStyle w:val="FootnoteReference"/>
        </w:rPr>
        <w:footnoteReference w:id="595"/>
      </w:r>
    </w:p>
    <w:p w:rsidR="00913A2E" w:rsidRPr="00564DB3" w:rsidRDefault="00913A2E" w:rsidP="00F70E38">
      <w:pPr>
        <w:pStyle w:val="BodyText"/>
        <w:rPr>
          <w:rFonts w:cs="Arial"/>
          <w:szCs w:val="18"/>
        </w:rPr>
      </w:pPr>
      <w:r w:rsidRPr="00564DB3">
        <w:rPr>
          <w:szCs w:val="18"/>
        </w:rPr>
        <w:t>Accordingly, we f</w:t>
      </w:r>
      <w:r w:rsidR="00735FC6" w:rsidRPr="00564DB3">
        <w:rPr>
          <w:szCs w:val="18"/>
        </w:rPr>
        <w:t xml:space="preserve">ind </w:t>
      </w:r>
      <w:r w:rsidRPr="00564DB3">
        <w:rPr>
          <w:szCs w:val="18"/>
        </w:rPr>
        <w:t xml:space="preserve">that the Panels did not err in stating that "the risks of inaccurate certification, reporting, and/or record-keeping are </w:t>
      </w:r>
      <w:r w:rsidRPr="00564DB3">
        <w:rPr>
          <w:i/>
          <w:szCs w:val="18"/>
        </w:rPr>
        <w:t xml:space="preserve">not </w:t>
      </w:r>
      <w:r w:rsidRPr="00564DB3">
        <w:rPr>
          <w:szCs w:val="18"/>
        </w:rPr>
        <w:t>risks that affect dolphins themselves"</w:t>
      </w:r>
      <w:r w:rsidR="0012728D" w:rsidRPr="00564DB3">
        <w:rPr>
          <w:szCs w:val="18"/>
        </w:rPr>
        <w:t>.</w:t>
      </w:r>
      <w:r w:rsidRPr="00564DB3">
        <w:rPr>
          <w:rStyle w:val="FootnoteReference"/>
          <w:szCs w:val="18"/>
        </w:rPr>
        <w:footnoteReference w:id="596"/>
      </w:r>
      <w:r w:rsidRPr="00564DB3">
        <w:rPr>
          <w:szCs w:val="18"/>
        </w:rPr>
        <w:t xml:space="preserve"> In any event, in response to questioning at the hearing, Mexico conceded that there was no evidence on the record substantiating its assertion that "[d]</w:t>
      </w:r>
      <w:proofErr w:type="spellStart"/>
      <w:r w:rsidRPr="00564DB3">
        <w:rPr>
          <w:szCs w:val="18"/>
        </w:rPr>
        <w:t>olphins</w:t>
      </w:r>
      <w:proofErr w:type="spellEnd"/>
      <w:r w:rsidRPr="00564DB3">
        <w:rPr>
          <w:szCs w:val="18"/>
        </w:rPr>
        <w:t xml:space="preserve"> are at a greater overall risk in ocean areas with insufficient regulatory oversight, unreliable r</w:t>
      </w:r>
      <w:r w:rsidR="00735FC6" w:rsidRPr="00564DB3">
        <w:rPr>
          <w:szCs w:val="18"/>
        </w:rPr>
        <w:t xml:space="preserve">eporting, IUU fishing and </w:t>
      </w:r>
      <w:proofErr w:type="spellStart"/>
      <w:r w:rsidR="00735FC6" w:rsidRPr="00564DB3">
        <w:rPr>
          <w:szCs w:val="18"/>
        </w:rPr>
        <w:t>trans</w:t>
      </w:r>
      <w:r w:rsidRPr="00564DB3">
        <w:rPr>
          <w:szCs w:val="18"/>
        </w:rPr>
        <w:t>shipment</w:t>
      </w:r>
      <w:proofErr w:type="spellEnd"/>
      <w:r w:rsidRPr="00564DB3">
        <w:rPr>
          <w:szCs w:val="18"/>
        </w:rPr>
        <w:t xml:space="preserve"> at sea than in ocean areas that do not have these attributes."</w:t>
      </w:r>
      <w:r w:rsidRPr="00564DB3">
        <w:rPr>
          <w:rStyle w:val="FootnoteReference"/>
          <w:szCs w:val="18"/>
        </w:rPr>
        <w:footnoteReference w:id="597"/>
      </w:r>
    </w:p>
    <w:p w:rsidR="00913A2E" w:rsidRPr="00564DB3" w:rsidRDefault="00913A2E" w:rsidP="00F70E38">
      <w:pPr>
        <w:pStyle w:val="BodyText"/>
        <w:rPr>
          <w:rFonts w:cs="Arial"/>
          <w:szCs w:val="18"/>
        </w:rPr>
      </w:pPr>
      <w:r w:rsidRPr="00564DB3">
        <w:rPr>
          <w:rFonts w:cs="Arial"/>
          <w:szCs w:val="18"/>
        </w:rPr>
        <w:t>We have found that the Panels did not err in finding that "setting on dolphins is significantly more dangerous to dolphins than are other fishing methods</w:t>
      </w:r>
      <w:r w:rsidR="00D84CD8" w:rsidRPr="00564DB3">
        <w:rPr>
          <w:rFonts w:cs="Arial"/>
          <w:szCs w:val="18"/>
        </w:rPr>
        <w:t>.</w:t>
      </w:r>
      <w:r w:rsidRPr="00564DB3">
        <w:rPr>
          <w:rFonts w:cs="Arial"/>
          <w:szCs w:val="18"/>
        </w:rPr>
        <w:t>"</w:t>
      </w:r>
      <w:r w:rsidRPr="00564DB3">
        <w:rPr>
          <w:rStyle w:val="FootnoteReference"/>
          <w:rFonts w:cs="Arial"/>
          <w:szCs w:val="18"/>
        </w:rPr>
        <w:footnoteReference w:id="598"/>
      </w:r>
      <w:r w:rsidRPr="00564DB3">
        <w:rPr>
          <w:rFonts w:cs="Arial"/>
          <w:szCs w:val="18"/>
        </w:rPr>
        <w:t xml:space="preserve"> This finding implies that the distinction in the eligibility criteria between setting on dolphins, on the one hand, and other fishing methods, on the other hand, is, as the Panels found, "appropriately calibrated to the risks to dolphins arising from the use of different fishing methods in different areas of the ocean".</w:t>
      </w:r>
      <w:r w:rsidRPr="00564DB3">
        <w:rPr>
          <w:rStyle w:val="FootnoteReference"/>
          <w:rFonts w:cs="Arial"/>
          <w:szCs w:val="18"/>
        </w:rPr>
        <w:footnoteReference w:id="599"/>
      </w:r>
      <w:r w:rsidRPr="00564DB3">
        <w:rPr>
          <w:rFonts w:cs="Arial"/>
          <w:szCs w:val="18"/>
        </w:rPr>
        <w:t xml:space="preserve"> Accordingly, we </w:t>
      </w:r>
      <w:r w:rsidRPr="00564DB3">
        <w:rPr>
          <w:rFonts w:cs="Arial"/>
          <w:szCs w:val="18"/>
          <w:u w:val="single"/>
        </w:rPr>
        <w:t>find</w:t>
      </w:r>
      <w:r w:rsidRPr="00564DB3">
        <w:rPr>
          <w:rFonts w:cs="Arial"/>
          <w:szCs w:val="18"/>
        </w:rPr>
        <w:t xml:space="preserve"> that Mexico has not demonstrated that the Panels erred in reaching the intermediate finding that the eligibility criteria embodied in the 2016 Tuna Measure are calibrated to the risks to dolphins arising from the use of different fishing methods in different areas of the ocean.</w:t>
      </w:r>
      <w:r w:rsidRPr="00564DB3">
        <w:rPr>
          <w:rStyle w:val="FootnoteReference"/>
          <w:rFonts w:cs="Arial"/>
          <w:szCs w:val="18"/>
        </w:rPr>
        <w:footnoteReference w:id="600"/>
      </w:r>
    </w:p>
    <w:p w:rsidR="00913A2E" w:rsidRPr="00564DB3" w:rsidRDefault="00004041" w:rsidP="00F70E38">
      <w:pPr>
        <w:pStyle w:val="Heading4"/>
        <w:rPr>
          <w:szCs w:val="18"/>
        </w:rPr>
      </w:pPr>
      <w:bookmarkStart w:id="305" w:name="_Ref526358112"/>
      <w:bookmarkStart w:id="306" w:name="_Toc531967490"/>
      <w:r w:rsidRPr="00564DB3">
        <w:rPr>
          <w:szCs w:val="18"/>
        </w:rPr>
        <w:t>C</w:t>
      </w:r>
      <w:r w:rsidR="00913A2E" w:rsidRPr="00564DB3">
        <w:rPr>
          <w:szCs w:val="18"/>
        </w:rPr>
        <w:t>ertification requirements</w:t>
      </w:r>
      <w:bookmarkEnd w:id="305"/>
      <w:bookmarkEnd w:id="306"/>
    </w:p>
    <w:p w:rsidR="00913A2E" w:rsidRPr="00564DB3" w:rsidRDefault="00913A2E" w:rsidP="00F70E38">
      <w:pPr>
        <w:pStyle w:val="BodyText"/>
        <w:rPr>
          <w:rFonts w:cs="Arial"/>
          <w:szCs w:val="18"/>
        </w:rPr>
      </w:pPr>
      <w:r w:rsidRPr="00564DB3">
        <w:rPr>
          <w:szCs w:val="18"/>
        </w:rPr>
        <w:t xml:space="preserve">Mexico asserts that the Panels erred </w:t>
      </w:r>
      <w:r w:rsidR="00134A82" w:rsidRPr="00564DB3">
        <w:rPr>
          <w:szCs w:val="18"/>
        </w:rPr>
        <w:t>in</w:t>
      </w:r>
      <w:r w:rsidRPr="00564DB3">
        <w:rPr>
          <w:szCs w:val="18"/>
        </w:rPr>
        <w:t xml:space="preserve"> finding that the different certification requirements are calibrated to the risks to dolphins arising from the use of different fishing methods in different areas of the ocean.</w:t>
      </w:r>
      <w:r w:rsidRPr="00564DB3">
        <w:rPr>
          <w:rStyle w:val="FootnoteReference"/>
          <w:szCs w:val="18"/>
        </w:rPr>
        <w:footnoteReference w:id="601"/>
      </w:r>
      <w:r w:rsidRPr="00564DB3">
        <w:rPr>
          <w:szCs w:val="18"/>
        </w:rPr>
        <w:t xml:space="preserve"> In addition to its arguments challenging the Panels' assessment of the risk profiles</w:t>
      </w:r>
      <w:r w:rsidRPr="00564DB3">
        <w:rPr>
          <w:rStyle w:val="FootnoteReference"/>
          <w:szCs w:val="18"/>
        </w:rPr>
        <w:footnoteReference w:id="602"/>
      </w:r>
      <w:r w:rsidRPr="00564DB3">
        <w:rPr>
          <w:szCs w:val="18"/>
        </w:rPr>
        <w:t>, Mexico also contends that the Panels erred: (i) by not ad</w:t>
      </w:r>
      <w:r w:rsidR="00D119C2" w:rsidRPr="00564DB3">
        <w:rPr>
          <w:szCs w:val="18"/>
        </w:rPr>
        <w:t>dressing the fact that the 2016 </w:t>
      </w:r>
      <w:r w:rsidRPr="00564DB3">
        <w:rPr>
          <w:szCs w:val="18"/>
        </w:rPr>
        <w:t>Tuna Measure requires observer certifications in seven US domestic fisheries when the observers are on board for other reasons</w:t>
      </w:r>
      <w:r w:rsidRPr="00564DB3">
        <w:rPr>
          <w:rStyle w:val="FootnoteReference"/>
          <w:szCs w:val="18"/>
        </w:rPr>
        <w:footnoteReference w:id="603"/>
      </w:r>
      <w:r w:rsidRPr="00564DB3">
        <w:rPr>
          <w:szCs w:val="18"/>
        </w:rPr>
        <w:t>; (ii) </w:t>
      </w:r>
      <w:r w:rsidR="00F152F8" w:rsidRPr="00564DB3">
        <w:rPr>
          <w:szCs w:val="18"/>
        </w:rPr>
        <w:t>by</w:t>
      </w:r>
      <w:r w:rsidRPr="00564DB3">
        <w:rPr>
          <w:szCs w:val="18"/>
        </w:rPr>
        <w:t> finding that the measure can be considered calibrated where it allows higher margins of error for certifications in all ocean areas other than the ETP; and (iii) </w:t>
      </w:r>
      <w:r w:rsidR="00F152F8" w:rsidRPr="00564DB3">
        <w:rPr>
          <w:szCs w:val="18"/>
        </w:rPr>
        <w:t>by</w:t>
      </w:r>
      <w:r w:rsidRPr="00564DB3">
        <w:rPr>
          <w:szCs w:val="18"/>
        </w:rPr>
        <w:t xml:space="preserve"> finding that the determination provisions contribute to the calibration of the measure, even though the determination provisions are only potentially applicable to a fishery that has a much higher risk profile than the one found by the Panels for the ETP large purse seine fishery.</w:t>
      </w:r>
      <w:r w:rsidRPr="00564DB3">
        <w:rPr>
          <w:rStyle w:val="FootnoteReference"/>
          <w:szCs w:val="18"/>
        </w:rPr>
        <w:footnoteReference w:id="604"/>
      </w:r>
    </w:p>
    <w:p w:rsidR="00913A2E" w:rsidRPr="00564DB3" w:rsidRDefault="00913A2E" w:rsidP="00F70E38">
      <w:pPr>
        <w:pStyle w:val="BodyText"/>
        <w:rPr>
          <w:szCs w:val="18"/>
        </w:rPr>
      </w:pPr>
      <w:r w:rsidRPr="00564DB3">
        <w:rPr>
          <w:szCs w:val="18"/>
        </w:rPr>
        <w:t>The United States maintains that: (i) Mexico is wrong to argue that the Panels erred in not addressing the observer certification requirements on the seven US domestic fisheries</w:t>
      </w:r>
      <w:r w:rsidRPr="00564DB3">
        <w:rPr>
          <w:rStyle w:val="FootnoteReference"/>
          <w:szCs w:val="18"/>
        </w:rPr>
        <w:footnoteReference w:id="605"/>
      </w:r>
      <w:r w:rsidRPr="00564DB3">
        <w:rPr>
          <w:szCs w:val="18"/>
        </w:rPr>
        <w:t>; (ii) the Panels' analysis and conclusions concerning margins of error did not constitute legal error</w:t>
      </w:r>
      <w:r w:rsidRPr="00564DB3">
        <w:rPr>
          <w:rStyle w:val="FootnoteReference"/>
          <w:szCs w:val="18"/>
        </w:rPr>
        <w:footnoteReference w:id="606"/>
      </w:r>
      <w:r w:rsidRPr="00564DB3">
        <w:rPr>
          <w:szCs w:val="18"/>
        </w:rPr>
        <w:t>; and (iii) the Panels did not err in their analysis and conclusions concerning the determination provisions.</w:t>
      </w:r>
      <w:r w:rsidRPr="00564DB3">
        <w:rPr>
          <w:rStyle w:val="FootnoteReference"/>
          <w:szCs w:val="18"/>
        </w:rPr>
        <w:footnoteReference w:id="607"/>
      </w:r>
    </w:p>
    <w:p w:rsidR="00913A2E" w:rsidRPr="00564DB3" w:rsidRDefault="00913A2E" w:rsidP="00F70E38">
      <w:pPr>
        <w:pStyle w:val="BodyText"/>
        <w:rPr>
          <w:szCs w:val="18"/>
        </w:rPr>
      </w:pPr>
      <w:bookmarkStart w:id="307" w:name="_Hlk526445696"/>
      <w:r w:rsidRPr="00564DB3">
        <w:rPr>
          <w:szCs w:val="18"/>
        </w:rPr>
        <w:t xml:space="preserve">As described </w:t>
      </w:r>
      <w:r w:rsidRPr="001646CE">
        <w:rPr>
          <w:szCs w:val="18"/>
        </w:rPr>
        <w:t>in section</w:t>
      </w:r>
      <w:r w:rsidR="001646CE" w:rsidRPr="001646CE">
        <w:rPr>
          <w:szCs w:val="18"/>
        </w:rPr>
        <w:t xml:space="preserve"> 5 </w:t>
      </w:r>
      <w:r w:rsidRPr="001646CE">
        <w:rPr>
          <w:szCs w:val="18"/>
        </w:rPr>
        <w:t>above</w:t>
      </w:r>
      <w:r w:rsidRPr="00564DB3">
        <w:rPr>
          <w:szCs w:val="18"/>
        </w:rPr>
        <w:t xml:space="preserve">, </w:t>
      </w:r>
      <w:bookmarkEnd w:id="307"/>
      <w:r w:rsidRPr="00564DB3">
        <w:rPr>
          <w:szCs w:val="18"/>
        </w:rPr>
        <w:t>with respect to the certification requirements, apart from large</w:t>
      </w:r>
      <w:r w:rsidRPr="00564DB3">
        <w:rPr>
          <w:szCs w:val="18"/>
        </w:rPr>
        <w:noBreakHyphen/>
        <w:t>scale driftnet fishing on the high seas</w:t>
      </w:r>
      <w:r w:rsidRPr="00564DB3">
        <w:rPr>
          <w:rStyle w:val="FootnoteReference"/>
          <w:szCs w:val="18"/>
        </w:rPr>
        <w:footnoteReference w:id="608"/>
      </w:r>
      <w:r w:rsidRPr="00564DB3">
        <w:rPr>
          <w:szCs w:val="18"/>
        </w:rPr>
        <w:t xml:space="preserve">, </w:t>
      </w:r>
      <w:bookmarkStart w:id="308" w:name="_Hlk526431574"/>
      <w:r w:rsidRPr="00564DB3">
        <w:rPr>
          <w:szCs w:val="18"/>
        </w:rPr>
        <w:t>the 2016 Tuna Measure makes a distinction between the ETP large purse seine fishery, on the one hand, and all other fisheries, on the other hand.</w:t>
      </w:r>
      <w:r w:rsidRPr="00564DB3">
        <w:rPr>
          <w:rStyle w:val="FootnoteReference"/>
          <w:szCs w:val="18"/>
        </w:rPr>
        <w:footnoteReference w:id="609"/>
      </w:r>
      <w:r w:rsidRPr="00564DB3" w:rsidDel="00633675">
        <w:rPr>
          <w:szCs w:val="18"/>
          <w:vertAlign w:val="superscript"/>
        </w:rPr>
        <w:t xml:space="preserve"> </w:t>
      </w:r>
      <w:bookmarkEnd w:id="308"/>
      <w:r w:rsidRPr="00564DB3">
        <w:rPr>
          <w:szCs w:val="18"/>
        </w:rPr>
        <w:t xml:space="preserve">For tuna caught in the ETP large purse seine fishery, the 2016 Tuna Measure mandates that certification must be provided by the captain of the vessel </w:t>
      </w:r>
      <w:r w:rsidRPr="00564DB3">
        <w:rPr>
          <w:i/>
          <w:szCs w:val="18"/>
        </w:rPr>
        <w:t>and</w:t>
      </w:r>
      <w:r w:rsidRPr="00564DB3">
        <w:rPr>
          <w:szCs w:val="18"/>
        </w:rPr>
        <w:t xml:space="preserve"> an IDCP</w:t>
      </w:r>
      <w:r w:rsidRPr="00564DB3">
        <w:rPr>
          <w:szCs w:val="18"/>
        </w:rPr>
        <w:noBreakHyphen/>
        <w:t>approved observer that: (i) none of the tuna was caught on a trip using a purse seine net intentionally deployed on or used to</w:t>
      </w:r>
      <w:r w:rsidR="00A93707" w:rsidRPr="00564DB3">
        <w:rPr>
          <w:szCs w:val="18"/>
        </w:rPr>
        <w:t xml:space="preserve"> encircle dolphins; and (ii) no </w:t>
      </w:r>
      <w:r w:rsidRPr="00564DB3">
        <w:rPr>
          <w:szCs w:val="18"/>
        </w:rPr>
        <w:t>dolphins were killed or seriously injured during the sets in which the tuna was caught.</w:t>
      </w:r>
      <w:bookmarkStart w:id="310" w:name="_Ref530497294"/>
      <w:r w:rsidRPr="00564DB3">
        <w:rPr>
          <w:rStyle w:val="FootnoteReference"/>
          <w:szCs w:val="18"/>
        </w:rPr>
        <w:footnoteReference w:id="610"/>
      </w:r>
      <w:bookmarkEnd w:id="310"/>
    </w:p>
    <w:p w:rsidR="00913A2E" w:rsidRPr="00564DB3" w:rsidRDefault="00913A2E" w:rsidP="00F70E38">
      <w:pPr>
        <w:pStyle w:val="BodyText"/>
        <w:rPr>
          <w:szCs w:val="18"/>
        </w:rPr>
      </w:pPr>
      <w:r w:rsidRPr="00564DB3">
        <w:rPr>
          <w:szCs w:val="18"/>
        </w:rPr>
        <w:t>As for all fisheries other than the ETP large purse seine fishery, for fishing trips that began on or after 21 May 2016, captains</w:t>
      </w:r>
      <w:r w:rsidRPr="00564DB3" w:rsidDel="00EA4AE4">
        <w:rPr>
          <w:szCs w:val="18"/>
        </w:rPr>
        <w:t xml:space="preserve"> </w:t>
      </w:r>
      <w:r w:rsidRPr="00564DB3">
        <w:rPr>
          <w:szCs w:val="18"/>
        </w:rPr>
        <w:t>of all vessels must certify that: (i) no purse seine net or other fishing gear was intentionally deployed o</w:t>
      </w:r>
      <w:r w:rsidR="00A93707" w:rsidRPr="00564DB3">
        <w:rPr>
          <w:szCs w:val="18"/>
        </w:rPr>
        <w:t>n or used to encircle (i.e. set </w:t>
      </w:r>
      <w:r w:rsidRPr="00564DB3">
        <w:rPr>
          <w:szCs w:val="18"/>
        </w:rPr>
        <w:t xml:space="preserve">on) dolphins during the fishing trip in which the tuna </w:t>
      </w:r>
      <w:r w:rsidR="00805D29" w:rsidRPr="00564DB3">
        <w:rPr>
          <w:szCs w:val="18"/>
        </w:rPr>
        <w:t xml:space="preserve">was </w:t>
      </w:r>
      <w:r w:rsidRPr="00564DB3">
        <w:rPr>
          <w:szCs w:val="18"/>
        </w:rPr>
        <w:t>caught; and (ii) no dolphins were killed or</w:t>
      </w:r>
      <w:r w:rsidR="001867A6" w:rsidRPr="00564DB3">
        <w:rPr>
          <w:szCs w:val="18"/>
        </w:rPr>
        <w:t xml:space="preserve"> seriously injured in the sets or other gear deployments</w:t>
      </w:r>
      <w:r w:rsidRPr="00564DB3">
        <w:rPr>
          <w:szCs w:val="18"/>
        </w:rPr>
        <w:t xml:space="preserve"> in which the tuna </w:t>
      </w:r>
      <w:r w:rsidR="00805D29" w:rsidRPr="00564DB3">
        <w:rPr>
          <w:szCs w:val="18"/>
        </w:rPr>
        <w:t xml:space="preserve">was </w:t>
      </w:r>
      <w:r w:rsidRPr="00564DB3">
        <w:rPr>
          <w:szCs w:val="18"/>
        </w:rPr>
        <w:t>caught.</w:t>
      </w:r>
      <w:r w:rsidRPr="00564DB3">
        <w:rPr>
          <w:rStyle w:val="FootnoteReference"/>
          <w:szCs w:val="18"/>
        </w:rPr>
        <w:footnoteReference w:id="611"/>
      </w:r>
      <w:r w:rsidRPr="00564DB3">
        <w:rPr>
          <w:szCs w:val="18"/>
        </w:rPr>
        <w:t xml:space="preserve"> Additionally, under the 2016 Tuna Measure, the captains of the vessels in all fisheries </w:t>
      </w:r>
      <w:r w:rsidRPr="00564DB3">
        <w:rPr>
          <w:i/>
          <w:szCs w:val="18"/>
        </w:rPr>
        <w:t>other than</w:t>
      </w:r>
      <w:r w:rsidRPr="00564DB3">
        <w:rPr>
          <w:szCs w:val="18"/>
        </w:rPr>
        <w:t xml:space="preserve"> the ETP large purse seine fishery must certify that they have completed the Captain Training Course.</w:t>
      </w:r>
      <w:r w:rsidRPr="00564DB3">
        <w:rPr>
          <w:rStyle w:val="FootnoteReference"/>
          <w:szCs w:val="18"/>
        </w:rPr>
        <w:footnoteReference w:id="612"/>
      </w:r>
    </w:p>
    <w:p w:rsidR="00913A2E" w:rsidRPr="00564DB3" w:rsidRDefault="008011B0" w:rsidP="00F70E38">
      <w:pPr>
        <w:pStyle w:val="BodyText"/>
        <w:rPr>
          <w:szCs w:val="18"/>
        </w:rPr>
      </w:pPr>
      <w:bookmarkStart w:id="311" w:name="_Ref530497270"/>
      <w:r w:rsidRPr="00564DB3">
        <w:rPr>
          <w:szCs w:val="18"/>
        </w:rPr>
        <w:t xml:space="preserve">Moreover, in addition to the captain's certification described above, in certain circumstances, certifications from an observer participating in a national or international programme acceptable to the </w:t>
      </w:r>
      <w:r w:rsidR="003F2DA2" w:rsidRPr="00564DB3">
        <w:rPr>
          <w:rFonts w:cs="Arial"/>
          <w:szCs w:val="18"/>
        </w:rPr>
        <w:t xml:space="preserve">Assistant Administrator </w:t>
      </w:r>
      <w:r w:rsidRPr="00564DB3">
        <w:rPr>
          <w:szCs w:val="18"/>
        </w:rPr>
        <w:t xml:space="preserve">will also be required. First, </w:t>
      </w:r>
      <w:r w:rsidR="0031512E" w:rsidRPr="00564DB3">
        <w:rPr>
          <w:szCs w:val="18"/>
        </w:rPr>
        <w:t xml:space="preserve">certification by the observer is also required </w:t>
      </w:r>
      <w:r w:rsidRPr="00564DB3">
        <w:rPr>
          <w:szCs w:val="18"/>
        </w:rPr>
        <w:t xml:space="preserve">in the seven US domestic fisheries for which the </w:t>
      </w:r>
      <w:r w:rsidR="003F2DA2" w:rsidRPr="00564DB3">
        <w:rPr>
          <w:rFonts w:cs="Arial"/>
          <w:szCs w:val="18"/>
        </w:rPr>
        <w:t xml:space="preserve">Assistant Administrator </w:t>
      </w:r>
      <w:r w:rsidRPr="00564DB3">
        <w:rPr>
          <w:szCs w:val="18"/>
        </w:rPr>
        <w:t>has determined that observers are qualified and authorized to make the relevant certifications</w:t>
      </w:r>
      <w:bookmarkStart w:id="312" w:name="_Ref531355766"/>
      <w:r w:rsidRPr="00564DB3">
        <w:rPr>
          <w:rStyle w:val="FootnoteReference"/>
          <w:szCs w:val="18"/>
        </w:rPr>
        <w:footnoteReference w:id="613"/>
      </w:r>
      <w:bookmarkEnd w:id="312"/>
      <w:r w:rsidRPr="00564DB3">
        <w:rPr>
          <w:szCs w:val="18"/>
        </w:rPr>
        <w:t>, and when such an observer is already on board the fishing vessel for reasons unrelated to the dolphin-safe labelling regime.</w:t>
      </w:r>
      <w:r w:rsidRPr="00564DB3">
        <w:rPr>
          <w:rStyle w:val="FootnoteReference"/>
          <w:szCs w:val="18"/>
        </w:rPr>
        <w:footnoteReference w:id="614"/>
      </w:r>
      <w:bookmarkEnd w:id="311"/>
    </w:p>
    <w:p w:rsidR="00913A2E" w:rsidRPr="00564DB3" w:rsidRDefault="00913A2E" w:rsidP="00F70E38">
      <w:pPr>
        <w:pStyle w:val="BodyText"/>
        <w:rPr>
          <w:rFonts w:cs="Arial"/>
          <w:szCs w:val="18"/>
        </w:rPr>
      </w:pPr>
      <w:bookmarkStart w:id="313" w:name="_Ref525204945"/>
      <w:bookmarkStart w:id="314" w:name="_Ref523926078"/>
      <w:bookmarkStart w:id="315" w:name="_Hlk526440888"/>
      <w:r w:rsidRPr="00564DB3">
        <w:rPr>
          <w:szCs w:val="18"/>
        </w:rPr>
        <w:t xml:space="preserve">Furthermore, </w:t>
      </w:r>
      <w:bookmarkStart w:id="316" w:name="_Ref525204947"/>
      <w:bookmarkEnd w:id="313"/>
      <w:r w:rsidRPr="00564DB3">
        <w:rPr>
          <w:szCs w:val="18"/>
        </w:rPr>
        <w:t xml:space="preserve">pursuant to the 2016 Tuna Measure, tuna caught </w:t>
      </w:r>
      <w:bookmarkStart w:id="317" w:name="_Hlk525809521"/>
      <w:r w:rsidRPr="00564DB3">
        <w:rPr>
          <w:szCs w:val="18"/>
        </w:rPr>
        <w:t xml:space="preserve">in all fisheries </w:t>
      </w:r>
      <w:r w:rsidR="00A93707" w:rsidRPr="00564DB3">
        <w:rPr>
          <w:i/>
          <w:szCs w:val="18"/>
        </w:rPr>
        <w:t>other </w:t>
      </w:r>
      <w:r w:rsidRPr="00564DB3">
        <w:rPr>
          <w:i/>
          <w:szCs w:val="18"/>
        </w:rPr>
        <w:t>than</w:t>
      </w:r>
      <w:r w:rsidRPr="00564DB3">
        <w:rPr>
          <w:szCs w:val="18"/>
        </w:rPr>
        <w:t xml:space="preserve"> the ETP large purse seine fishery</w:t>
      </w:r>
      <w:bookmarkEnd w:id="317"/>
      <w:r w:rsidRPr="00564DB3" w:rsidDel="00E10CB6">
        <w:rPr>
          <w:szCs w:val="18"/>
        </w:rPr>
        <w:t xml:space="preserve"> </w:t>
      </w:r>
      <w:r w:rsidRPr="00564DB3">
        <w:rPr>
          <w:szCs w:val="18"/>
        </w:rPr>
        <w:t>may, under specified circumstances, require an observer</w:t>
      </w:r>
      <w:r w:rsidRPr="00564DB3">
        <w:rPr>
          <w:rStyle w:val="FootnoteReference"/>
          <w:szCs w:val="18"/>
        </w:rPr>
        <w:footnoteReference w:id="615"/>
      </w:r>
      <w:r w:rsidRPr="00564DB3">
        <w:rPr>
          <w:szCs w:val="18"/>
        </w:rPr>
        <w:t xml:space="preserve"> certification in addition to the captain certification. This is the case where the Assistant Administrator has determined that in a fishery other than the ETP large purse seine fishery: (i) there is a regular and significant association between dolphins and tuna (</w:t>
      </w:r>
      <w:proofErr w:type="gramStart"/>
      <w:r w:rsidRPr="00564DB3">
        <w:rPr>
          <w:szCs w:val="18"/>
        </w:rPr>
        <w:t>similar to</w:t>
      </w:r>
      <w:proofErr w:type="gramEnd"/>
      <w:r w:rsidRPr="00564DB3">
        <w:rPr>
          <w:szCs w:val="18"/>
        </w:rPr>
        <w:t xml:space="preserve"> the association between dolphins and tuna in the ETP); or (ii) a regular and significant mortality or serious injury of dolphins is occurring.</w:t>
      </w:r>
      <w:bookmarkEnd w:id="314"/>
      <w:r w:rsidRPr="00564DB3">
        <w:rPr>
          <w:szCs w:val="18"/>
        </w:rPr>
        <w:t xml:space="preserve"> The captain and observer must certify that: (i) no </w:t>
      </w:r>
      <w:r w:rsidR="00C60D21" w:rsidRPr="00564DB3">
        <w:rPr>
          <w:szCs w:val="18"/>
        </w:rPr>
        <w:t xml:space="preserve">purse seine net or other </w:t>
      </w:r>
      <w:r w:rsidRPr="00564DB3">
        <w:rPr>
          <w:szCs w:val="18"/>
        </w:rPr>
        <w:t xml:space="preserve">fishing gear was intentionally deployed on or used to encircle </w:t>
      </w:r>
      <w:r w:rsidR="00C60D21" w:rsidRPr="00564DB3">
        <w:rPr>
          <w:szCs w:val="18"/>
        </w:rPr>
        <w:t xml:space="preserve">(i.e. set on) </w:t>
      </w:r>
      <w:r w:rsidRPr="00564DB3">
        <w:rPr>
          <w:szCs w:val="18"/>
        </w:rPr>
        <w:t xml:space="preserve">dolphins during the trip on which the tuna </w:t>
      </w:r>
      <w:r w:rsidR="00805D29" w:rsidRPr="00564DB3">
        <w:rPr>
          <w:szCs w:val="18"/>
        </w:rPr>
        <w:t xml:space="preserve">was </w:t>
      </w:r>
      <w:r w:rsidRPr="00564DB3">
        <w:rPr>
          <w:szCs w:val="18"/>
        </w:rPr>
        <w:t xml:space="preserve">caught; and (ii) no dolphins were killed or seriously injured in the sets or other gear deployments in which the tuna </w:t>
      </w:r>
      <w:r w:rsidR="00805D29" w:rsidRPr="00564DB3">
        <w:rPr>
          <w:szCs w:val="18"/>
        </w:rPr>
        <w:t xml:space="preserve">was </w:t>
      </w:r>
      <w:r w:rsidRPr="00564DB3">
        <w:rPr>
          <w:szCs w:val="18"/>
        </w:rPr>
        <w:t>caught.</w:t>
      </w:r>
      <w:bookmarkEnd w:id="316"/>
      <w:r w:rsidR="00C60D21" w:rsidRPr="00564DB3">
        <w:rPr>
          <w:rStyle w:val="FootnoteReference"/>
          <w:szCs w:val="18"/>
        </w:rPr>
        <w:footnoteReference w:id="616"/>
      </w:r>
    </w:p>
    <w:bookmarkEnd w:id="315"/>
    <w:p w:rsidR="00913A2E" w:rsidRPr="00564DB3" w:rsidRDefault="00913A2E" w:rsidP="00F70E38">
      <w:pPr>
        <w:pStyle w:val="BodyText"/>
        <w:rPr>
          <w:rFonts w:cs="Arial"/>
          <w:szCs w:val="18"/>
        </w:rPr>
      </w:pPr>
      <w:r w:rsidRPr="00564DB3">
        <w:rPr>
          <w:szCs w:val="18"/>
        </w:rPr>
        <w:t>In their analysis of the certification requirements, the Panels noted that, unlike the eligibility requirements, the certification requirements (and the tracking and verification requirements) draw distinctions based on both fishin</w:t>
      </w:r>
      <w:r w:rsidR="00687B23" w:rsidRPr="00564DB3">
        <w:rPr>
          <w:szCs w:val="18"/>
        </w:rPr>
        <w:t>g methods and ocean areas (i.e. </w:t>
      </w:r>
      <w:r w:rsidRPr="00564DB3">
        <w:rPr>
          <w:szCs w:val="18"/>
        </w:rPr>
        <w:t>fisheries), rather than</w:t>
      </w:r>
      <w:r w:rsidR="000C0AEB" w:rsidRPr="00564DB3">
        <w:rPr>
          <w:szCs w:val="18"/>
        </w:rPr>
        <w:t xml:space="preserve"> solely on</w:t>
      </w:r>
      <w:r w:rsidRPr="00564DB3">
        <w:rPr>
          <w:szCs w:val="18"/>
        </w:rPr>
        <w:t xml:space="preserve"> different fishing methods. Specifically, the distinctions are made between the ETP large purse seine fisheries and all other fisheries. Thus, the certification requirements that apply in the ETP large purse seine fishery apply to </w:t>
      </w:r>
      <w:r w:rsidRPr="00564DB3">
        <w:rPr>
          <w:i/>
          <w:szCs w:val="18"/>
        </w:rPr>
        <w:t>all</w:t>
      </w:r>
      <w:r w:rsidRPr="00564DB3">
        <w:rPr>
          <w:szCs w:val="18"/>
        </w:rPr>
        <w:t xml:space="preserve"> large purse seine vessels fishing in the ETP, regardless of whether those vessels </w:t>
      </w:r>
      <w:proofErr w:type="gramStart"/>
      <w:r w:rsidRPr="00564DB3">
        <w:rPr>
          <w:szCs w:val="18"/>
        </w:rPr>
        <w:t>actually set</w:t>
      </w:r>
      <w:proofErr w:type="gramEnd"/>
      <w:r w:rsidRPr="00564DB3">
        <w:rPr>
          <w:szCs w:val="18"/>
        </w:rPr>
        <w:t xml:space="preserve"> on dolphins. Therefore, the Panels considered the question before them to be whether the distinction that the 2016 Tuna Measure makes between the ETP large purse seine fishery and all other fisheries is calibrated.</w:t>
      </w:r>
      <w:r w:rsidRPr="00564DB3">
        <w:rPr>
          <w:rStyle w:val="FootnoteReference"/>
          <w:szCs w:val="18"/>
        </w:rPr>
        <w:footnoteReference w:id="617"/>
      </w:r>
    </w:p>
    <w:p w:rsidR="00913A2E" w:rsidRPr="00564DB3" w:rsidRDefault="00913A2E" w:rsidP="00F70E38">
      <w:pPr>
        <w:pStyle w:val="BodyText"/>
        <w:rPr>
          <w:rFonts w:cs="Arial"/>
          <w:szCs w:val="18"/>
        </w:rPr>
      </w:pPr>
      <w:r w:rsidRPr="00564DB3">
        <w:rPr>
          <w:rFonts w:cs="Arial"/>
          <w:szCs w:val="18"/>
        </w:rPr>
        <w:t xml:space="preserve">In this regard, the Panels considered that the finding, from the original and first compliance proceedings, that setting on dolphins is practised routinely and systematically </w:t>
      </w:r>
      <w:r w:rsidR="000C0AEB" w:rsidRPr="00564DB3">
        <w:rPr>
          <w:rFonts w:cs="Arial"/>
          <w:szCs w:val="18"/>
        </w:rPr>
        <w:t xml:space="preserve">only </w:t>
      </w:r>
      <w:r w:rsidRPr="00564DB3">
        <w:rPr>
          <w:rFonts w:cs="Arial"/>
          <w:szCs w:val="18"/>
        </w:rPr>
        <w:t>in the ETP continued to be relevant to these compliance proceedings.</w:t>
      </w:r>
      <w:r w:rsidRPr="00564DB3">
        <w:rPr>
          <w:rStyle w:val="FootnoteReference"/>
          <w:rFonts w:cs="Arial"/>
          <w:szCs w:val="18"/>
        </w:rPr>
        <w:footnoteReference w:id="618"/>
      </w:r>
      <w:r w:rsidRPr="00564DB3">
        <w:rPr>
          <w:rFonts w:cs="Arial"/>
          <w:szCs w:val="18"/>
        </w:rPr>
        <w:t xml:space="preserve"> The Panels also found relevant the finding of the original panel that "the association between schools of tunas and dolphins does not occur outside the ETP as </w:t>
      </w:r>
      <w:r w:rsidRPr="00564DB3">
        <w:rPr>
          <w:rFonts w:cs="Arial"/>
          <w:i/>
          <w:szCs w:val="18"/>
        </w:rPr>
        <w:t>frequently</w:t>
      </w:r>
      <w:r w:rsidR="000C0AEB" w:rsidRPr="00564DB3">
        <w:rPr>
          <w:rFonts w:cs="Arial"/>
          <w:szCs w:val="18"/>
        </w:rPr>
        <w:t xml:space="preserve"> as it does within the ETP</w:t>
      </w:r>
      <w:r w:rsidR="0049607B" w:rsidRPr="00564DB3">
        <w:rPr>
          <w:rFonts w:cs="Arial"/>
          <w:szCs w:val="18"/>
        </w:rPr>
        <w:t>.</w:t>
      </w:r>
      <w:r w:rsidRPr="00564DB3">
        <w:rPr>
          <w:rFonts w:cs="Arial"/>
          <w:szCs w:val="18"/>
        </w:rPr>
        <w:t>"</w:t>
      </w:r>
      <w:r w:rsidRPr="00564DB3">
        <w:rPr>
          <w:rStyle w:val="FootnoteReference"/>
          <w:rFonts w:cs="Arial"/>
          <w:szCs w:val="18"/>
        </w:rPr>
        <w:footnoteReference w:id="619"/>
      </w:r>
      <w:r w:rsidRPr="00564DB3">
        <w:rPr>
          <w:rFonts w:cs="Arial"/>
          <w:szCs w:val="18"/>
        </w:rPr>
        <w:t xml:space="preserve"> In addition, the Panels recalled their conclusion that setting on dolphins is a particularly dangerous fishing method that is liable to cause observable and unobservable harms to dolphins at rates significantly in excess of those caused by other fishing methods.</w:t>
      </w:r>
      <w:r w:rsidRPr="00564DB3">
        <w:rPr>
          <w:rStyle w:val="FootnoteReference"/>
          <w:rFonts w:cs="Arial"/>
          <w:szCs w:val="18"/>
        </w:rPr>
        <w:footnoteReference w:id="620"/>
      </w:r>
      <w:r w:rsidRPr="00564DB3">
        <w:rPr>
          <w:rFonts w:cs="Arial"/>
          <w:szCs w:val="18"/>
        </w:rPr>
        <w:t xml:space="preserve"> The Panels observed that, in the ETP, unlike in other areas of the ocean, large purse seine vessels </w:t>
      </w:r>
      <w:r w:rsidRPr="00564DB3">
        <w:rPr>
          <w:rFonts w:cs="Arial"/>
          <w:i/>
          <w:szCs w:val="18"/>
        </w:rPr>
        <w:t>are permitted</w:t>
      </w:r>
      <w:r w:rsidRPr="00564DB3">
        <w:rPr>
          <w:rFonts w:cs="Arial"/>
          <w:szCs w:val="18"/>
        </w:rPr>
        <w:t xml:space="preserve"> </w:t>
      </w:r>
      <w:r w:rsidRPr="00564DB3">
        <w:rPr>
          <w:rFonts w:cs="Arial"/>
          <w:i/>
          <w:szCs w:val="18"/>
        </w:rPr>
        <w:t>to</w:t>
      </w:r>
      <w:r w:rsidRPr="00564DB3">
        <w:rPr>
          <w:rFonts w:cs="Arial"/>
          <w:szCs w:val="18"/>
        </w:rPr>
        <w:t xml:space="preserve"> and </w:t>
      </w:r>
      <w:r w:rsidRPr="00564DB3">
        <w:rPr>
          <w:rFonts w:cs="Arial"/>
          <w:i/>
          <w:szCs w:val="18"/>
        </w:rPr>
        <w:t>actually can</w:t>
      </w:r>
      <w:r w:rsidRPr="00564DB3">
        <w:rPr>
          <w:rFonts w:cs="Arial"/>
          <w:szCs w:val="18"/>
        </w:rPr>
        <w:t xml:space="preserve"> set on dolphins in a consistent and systematic manner. The Panels highlighted that one of the purposes of the certification requirements in the ETP is precisely to certify that dolphins were </w:t>
      </w:r>
      <w:r w:rsidRPr="00564DB3">
        <w:rPr>
          <w:rFonts w:cs="Arial"/>
          <w:i/>
          <w:szCs w:val="18"/>
        </w:rPr>
        <w:t>not</w:t>
      </w:r>
      <w:r w:rsidRPr="00564DB3">
        <w:rPr>
          <w:rFonts w:cs="Arial"/>
          <w:szCs w:val="18"/>
        </w:rPr>
        <w:t xml:space="preserve"> set on, even though the fishing vessels could, both technically and legally, have set on dolphins. Thus, in the Panels' view, it is both the technical and legal possibilit</w:t>
      </w:r>
      <w:r w:rsidR="000C0AEB" w:rsidRPr="00564DB3">
        <w:rPr>
          <w:rFonts w:cs="Arial"/>
          <w:szCs w:val="18"/>
        </w:rPr>
        <w:t>ies</w:t>
      </w:r>
      <w:r w:rsidRPr="00564DB3">
        <w:rPr>
          <w:rFonts w:cs="Arial"/>
          <w:szCs w:val="18"/>
        </w:rPr>
        <w:t xml:space="preserve"> of setting on dolphins and the fact that dolphin sets occur in a consistent and systematic manner in the ETP large purse seine fishery that give this fishery its special risk profile.</w:t>
      </w:r>
      <w:r w:rsidRPr="00564DB3">
        <w:rPr>
          <w:rStyle w:val="FootnoteReference"/>
          <w:rFonts w:cs="Arial"/>
          <w:szCs w:val="18"/>
        </w:rPr>
        <w:footnoteReference w:id="621"/>
      </w:r>
    </w:p>
    <w:p w:rsidR="00913A2E" w:rsidRPr="00564DB3" w:rsidRDefault="00913A2E" w:rsidP="00F70E38">
      <w:pPr>
        <w:pStyle w:val="BodyText"/>
        <w:rPr>
          <w:szCs w:val="18"/>
        </w:rPr>
      </w:pPr>
      <w:bookmarkStart w:id="318" w:name="_Ref528165715"/>
      <w:r w:rsidRPr="00564DB3">
        <w:rPr>
          <w:szCs w:val="18"/>
        </w:rPr>
        <w:t xml:space="preserve">On appeal, Mexico challenges the Panels' finding that the ETP </w:t>
      </w:r>
      <w:r w:rsidRPr="00564DB3">
        <w:rPr>
          <w:rFonts w:cs="Arial"/>
          <w:szCs w:val="18"/>
        </w:rPr>
        <w:t xml:space="preserve">large purse seine fishery </w:t>
      </w:r>
      <w:r w:rsidRPr="00564DB3">
        <w:rPr>
          <w:szCs w:val="18"/>
        </w:rPr>
        <w:t>has a "special risk profile", arguing that the Panels failed to compare individual fisheries.</w:t>
      </w:r>
      <w:r w:rsidRPr="00564DB3">
        <w:rPr>
          <w:rStyle w:val="FootnoteReference"/>
          <w:szCs w:val="18"/>
        </w:rPr>
        <w:footnoteReference w:id="622"/>
      </w:r>
      <w:r w:rsidRPr="00564DB3">
        <w:rPr>
          <w:szCs w:val="18"/>
        </w:rPr>
        <w:t xml:space="preserve"> We first note that Mexico's arguments concerning the Panels' alleged failure to assess individual fisheries repeat Mexico's arguments addressed </w:t>
      </w:r>
      <w:r w:rsidRPr="001646CE">
        <w:rPr>
          <w:szCs w:val="18"/>
        </w:rPr>
        <w:t>in section</w:t>
      </w:r>
      <w:r w:rsidR="001646CE" w:rsidRPr="001646CE">
        <w:rPr>
          <w:szCs w:val="18"/>
        </w:rPr>
        <w:t xml:space="preserve"> 6.1.4 </w:t>
      </w:r>
      <w:r w:rsidRPr="001646CE">
        <w:rPr>
          <w:szCs w:val="18"/>
        </w:rPr>
        <w:t>above.</w:t>
      </w:r>
      <w:r w:rsidRPr="001646CE">
        <w:rPr>
          <w:rStyle w:val="FootnoteReference"/>
          <w:szCs w:val="18"/>
        </w:rPr>
        <w:footnoteReference w:id="623"/>
      </w:r>
      <w:r w:rsidRPr="001646CE">
        <w:rPr>
          <w:szCs w:val="18"/>
        </w:rPr>
        <w:t xml:space="preserve"> In particular</w:t>
      </w:r>
      <w:r w:rsidRPr="00564DB3">
        <w:rPr>
          <w:szCs w:val="18"/>
        </w:rPr>
        <w:t xml:space="preserve">, we recall that, in assessing whether there is "treatment no less favourable" under Article 2.1 of the TBT Agreement </w:t>
      </w:r>
      <w:r w:rsidR="00FF1995" w:rsidRPr="00564DB3">
        <w:rPr>
          <w:szCs w:val="18"/>
        </w:rPr>
        <w:t xml:space="preserve">for the purpose of </w:t>
      </w:r>
      <w:r w:rsidRPr="00564DB3">
        <w:rPr>
          <w:szCs w:val="18"/>
        </w:rPr>
        <w:t>this dispute, the analysis should "focus[] on the regulatory distinction(s) causing the detrimental impact on imported products".</w:t>
      </w:r>
      <w:bookmarkStart w:id="319" w:name="_Ref530068910"/>
      <w:r w:rsidRPr="00564DB3">
        <w:rPr>
          <w:rStyle w:val="FootnoteReference"/>
          <w:szCs w:val="18"/>
        </w:rPr>
        <w:footnoteReference w:id="624"/>
      </w:r>
      <w:bookmarkEnd w:id="319"/>
      <w:r w:rsidRPr="00564DB3">
        <w:rPr>
          <w:szCs w:val="18"/>
        </w:rPr>
        <w:t xml:space="preserve"> With respect to the certification requirements, the 2016 Tuna Measure makes a distinction between the ETP large purse seine fishery and all other fisheries.</w:t>
      </w:r>
      <w:r w:rsidRPr="00564DB3">
        <w:rPr>
          <w:rStyle w:val="FootnoteReference"/>
          <w:szCs w:val="18"/>
        </w:rPr>
        <w:footnoteReference w:id="625"/>
      </w:r>
      <w:r w:rsidRPr="00564DB3">
        <w:rPr>
          <w:szCs w:val="18"/>
        </w:rPr>
        <w:t xml:space="preserve"> We also recall our finding that, with respect to the certification requirements (and the tracking and verification requirements), the Panels adopted the correct approach in comparing the risk profiles of individual fisheries, because these requirements make a distinction on the basis of both fishing method and ocean area.</w:t>
      </w:r>
      <w:r w:rsidRPr="00564DB3">
        <w:rPr>
          <w:rStyle w:val="FootnoteReference"/>
          <w:szCs w:val="18"/>
        </w:rPr>
        <w:footnoteReference w:id="626"/>
      </w:r>
      <w:r w:rsidRPr="00564DB3">
        <w:rPr>
          <w:szCs w:val="18"/>
        </w:rPr>
        <w:t xml:space="preserve"> Moreover, as discussed in</w:t>
      </w:r>
      <w:r w:rsidR="001646CE">
        <w:rPr>
          <w:szCs w:val="18"/>
        </w:rPr>
        <w:t xml:space="preserve"> section 6.1.4 </w:t>
      </w:r>
      <w:r w:rsidRPr="00564DB3">
        <w:rPr>
          <w:szCs w:val="18"/>
        </w:rPr>
        <w:t xml:space="preserve">above, the Panels examined all available evidence before them regarding the risks to dolphins in individual fisheries, and Mexico has not substantiated its claim that the Panels erred in assessing such risks. On the basis of their assessment of risks to dolphins in individual fisheries, the Panels established that "in the ETP, unlike in other areas of the ocean, large purse seine vessels </w:t>
      </w:r>
      <w:r w:rsidRPr="00564DB3">
        <w:rPr>
          <w:i/>
          <w:szCs w:val="18"/>
        </w:rPr>
        <w:t>are permitted</w:t>
      </w:r>
      <w:r w:rsidRPr="00564DB3">
        <w:rPr>
          <w:szCs w:val="18"/>
        </w:rPr>
        <w:t xml:space="preserve"> </w:t>
      </w:r>
      <w:r w:rsidRPr="00564DB3">
        <w:rPr>
          <w:i/>
          <w:szCs w:val="18"/>
        </w:rPr>
        <w:t>to</w:t>
      </w:r>
      <w:r w:rsidRPr="00564DB3">
        <w:rPr>
          <w:szCs w:val="18"/>
        </w:rPr>
        <w:t xml:space="preserve"> and </w:t>
      </w:r>
      <w:r w:rsidRPr="00564DB3">
        <w:rPr>
          <w:i/>
          <w:szCs w:val="18"/>
        </w:rPr>
        <w:t>actually can</w:t>
      </w:r>
      <w:r w:rsidRPr="00564DB3">
        <w:rPr>
          <w:szCs w:val="18"/>
        </w:rPr>
        <w:t xml:space="preserve"> set on dolphins in a consistent and systematic manner."</w:t>
      </w:r>
      <w:r w:rsidRPr="00564DB3">
        <w:rPr>
          <w:rStyle w:val="FootnoteReference"/>
          <w:szCs w:val="18"/>
        </w:rPr>
        <w:footnoteReference w:id="627"/>
      </w:r>
      <w:r w:rsidRPr="00564DB3">
        <w:rPr>
          <w:szCs w:val="18"/>
        </w:rPr>
        <w:t xml:space="preserve"> Thus, we understand that, having assessed the risk profiles of individual fisheries, the Panels established that, when compared to the ETP large purse seine fishery, which has a "special risk profile", all the other fisheries are similar in their risk profiles insofar as </w:t>
      </w:r>
      <w:r w:rsidR="00927DAE" w:rsidRPr="00564DB3">
        <w:rPr>
          <w:szCs w:val="18"/>
        </w:rPr>
        <w:t xml:space="preserve">in </w:t>
      </w:r>
      <w:r w:rsidRPr="00564DB3">
        <w:rPr>
          <w:szCs w:val="18"/>
        </w:rPr>
        <w:t xml:space="preserve">none of them is setting on dolphins </w:t>
      </w:r>
      <w:r w:rsidR="00927DAE" w:rsidRPr="00564DB3">
        <w:rPr>
          <w:szCs w:val="18"/>
        </w:rPr>
        <w:t xml:space="preserve">practised </w:t>
      </w:r>
      <w:r w:rsidRPr="00564DB3">
        <w:rPr>
          <w:szCs w:val="18"/>
        </w:rPr>
        <w:t>consistently or systematically.</w:t>
      </w:r>
      <w:bookmarkEnd w:id="318"/>
    </w:p>
    <w:p w:rsidR="00913A2E" w:rsidRPr="00564DB3" w:rsidRDefault="00913A2E" w:rsidP="00F70E38">
      <w:pPr>
        <w:pStyle w:val="BodyText"/>
        <w:rPr>
          <w:szCs w:val="18"/>
        </w:rPr>
      </w:pPr>
      <w:r w:rsidRPr="00564DB3">
        <w:rPr>
          <w:szCs w:val="18"/>
        </w:rPr>
        <w:t xml:space="preserve">In this regard, we take note of Mexico's allegation that the Panels did not address the fact that only </w:t>
      </w:r>
      <w:r w:rsidRPr="00564DB3">
        <w:rPr>
          <w:i/>
          <w:szCs w:val="18"/>
        </w:rPr>
        <w:t>certain</w:t>
      </w:r>
      <w:r w:rsidRPr="00564DB3">
        <w:rPr>
          <w:szCs w:val="18"/>
        </w:rPr>
        <w:t xml:space="preserve"> large purse seine vessels in the ETP, i.e. those that have been assigned an individual D</w:t>
      </w:r>
      <w:r w:rsidR="00B73EE5" w:rsidRPr="00564DB3">
        <w:rPr>
          <w:szCs w:val="18"/>
        </w:rPr>
        <w:t>ML</w:t>
      </w:r>
      <w:r w:rsidRPr="00564DB3">
        <w:rPr>
          <w:szCs w:val="18"/>
        </w:rPr>
        <w:t>, "are permitted to and actually can set on dolphins in a consistent and systematic manner".</w:t>
      </w:r>
      <w:r w:rsidRPr="00564DB3">
        <w:rPr>
          <w:rStyle w:val="FootnoteReference"/>
          <w:szCs w:val="18"/>
        </w:rPr>
        <w:footnoteReference w:id="628"/>
      </w:r>
      <w:r w:rsidRPr="00564DB3">
        <w:rPr>
          <w:szCs w:val="18"/>
        </w:rPr>
        <w:t xml:space="preserve"> As a preliminary matter, we observe that Mexico's argument that vessels either set on dolphins or do not, and that the ETP fishery can be divided into vessels with and without DMLs, was not made before the Panels and finds no sup</w:t>
      </w:r>
      <w:r w:rsidR="000C0AEB" w:rsidRPr="00564DB3">
        <w:rPr>
          <w:szCs w:val="18"/>
        </w:rPr>
        <w:t>port o</w:t>
      </w:r>
      <w:r w:rsidRPr="00564DB3">
        <w:rPr>
          <w:szCs w:val="18"/>
        </w:rPr>
        <w:t>n the Panel record.</w:t>
      </w:r>
      <w:r w:rsidRPr="00564DB3">
        <w:rPr>
          <w:rStyle w:val="FootnoteReference"/>
          <w:szCs w:val="18"/>
        </w:rPr>
        <w:footnoteReference w:id="629"/>
      </w:r>
    </w:p>
    <w:p w:rsidR="00913A2E" w:rsidRPr="00564DB3" w:rsidRDefault="00913A2E" w:rsidP="00F70E38">
      <w:pPr>
        <w:pStyle w:val="BodyText"/>
        <w:rPr>
          <w:szCs w:val="18"/>
        </w:rPr>
      </w:pPr>
      <w:r w:rsidRPr="00564DB3">
        <w:rPr>
          <w:szCs w:val="18"/>
        </w:rPr>
        <w:t xml:space="preserve">More importantly, in their evaluation of the certification requirements, the Panels expressly addressed the issue of why the ETP large purse seine fisheries have a special risk profile, regardless of whether setting on dolphins is </w:t>
      </w:r>
      <w:proofErr w:type="gramStart"/>
      <w:r w:rsidRPr="00564DB3">
        <w:rPr>
          <w:szCs w:val="18"/>
        </w:rPr>
        <w:t>actually practised</w:t>
      </w:r>
      <w:proofErr w:type="gramEnd"/>
      <w:r w:rsidRPr="00564DB3">
        <w:rPr>
          <w:szCs w:val="18"/>
        </w:rPr>
        <w:t xml:space="preserve">. </w:t>
      </w:r>
      <w:proofErr w:type="gramStart"/>
      <w:r w:rsidRPr="00564DB3">
        <w:rPr>
          <w:szCs w:val="18"/>
        </w:rPr>
        <w:t>In particular, the</w:t>
      </w:r>
      <w:proofErr w:type="gramEnd"/>
      <w:r w:rsidRPr="00564DB3">
        <w:rPr>
          <w:szCs w:val="18"/>
        </w:rPr>
        <w:t xml:space="preserve"> Panels noted that:</w:t>
      </w:r>
    </w:p>
    <w:p w:rsidR="00913A2E" w:rsidRPr="00564DB3" w:rsidRDefault="00913A2E" w:rsidP="00F70E38">
      <w:pPr>
        <w:pStyle w:val="Quotation"/>
      </w:pPr>
      <w:r w:rsidRPr="00564DB3">
        <w:t xml:space="preserve">[T]he crucial point is that in the ETP, unlike in other areas of the ocean, large purse seine vessels </w:t>
      </w:r>
      <w:r w:rsidRPr="00564DB3">
        <w:rPr>
          <w:i/>
        </w:rPr>
        <w:t>are permitted</w:t>
      </w:r>
      <w:r w:rsidRPr="00564DB3">
        <w:t xml:space="preserve"> </w:t>
      </w:r>
      <w:r w:rsidRPr="00564DB3">
        <w:rPr>
          <w:i/>
        </w:rPr>
        <w:t>to</w:t>
      </w:r>
      <w:r w:rsidRPr="00564DB3">
        <w:t xml:space="preserve"> and </w:t>
      </w:r>
      <w:proofErr w:type="gramStart"/>
      <w:r w:rsidRPr="00564DB3">
        <w:rPr>
          <w:i/>
        </w:rPr>
        <w:t>actually can</w:t>
      </w:r>
      <w:proofErr w:type="gramEnd"/>
      <w:r w:rsidRPr="00564DB3">
        <w:t xml:space="preserve"> set on dolphins in a consistent and systematic manner. … Thus, it is not simply the fact that dolphins </w:t>
      </w:r>
      <w:r w:rsidRPr="00564DB3">
        <w:rPr>
          <w:i/>
        </w:rPr>
        <w:t>are</w:t>
      </w:r>
      <w:r w:rsidRPr="00564DB3">
        <w:t xml:space="preserve"> set on in the ETP large purse seine fishery that gives it its "special risk profile", but the fact that only in the ETP are large purse vessels </w:t>
      </w:r>
      <w:proofErr w:type="gramStart"/>
      <w:r w:rsidRPr="00564DB3">
        <w:t>actually able</w:t>
      </w:r>
      <w:proofErr w:type="gramEnd"/>
      <w:r w:rsidRPr="00564DB3">
        <w:t xml:space="preserve"> and permitted to set on dolphins. Thus, in our view, it is both the technical and legal possibility of setting on dolphins and the fact that dolphin sets occur in a consistent and systematic manner in the ETP large purse seine fishery that gives this fishery its special risk profile.</w:t>
      </w:r>
      <w:r w:rsidRPr="00564DB3">
        <w:rPr>
          <w:rStyle w:val="FootnoteReference"/>
        </w:rPr>
        <w:footnoteReference w:id="630"/>
      </w:r>
    </w:p>
    <w:p w:rsidR="00913A2E" w:rsidRPr="00564DB3" w:rsidRDefault="00913A2E" w:rsidP="00F70E38">
      <w:pPr>
        <w:pStyle w:val="BodyText"/>
        <w:rPr>
          <w:szCs w:val="18"/>
        </w:rPr>
      </w:pPr>
      <w:bookmarkStart w:id="322" w:name="_Hlk527983074"/>
      <w:r w:rsidRPr="00564DB3">
        <w:rPr>
          <w:szCs w:val="18"/>
        </w:rPr>
        <w:t xml:space="preserve">Beyond its argument concerning DMLs, which we have addressed above, Mexico does not offer additional reasons why the above-quoted statements </w:t>
      </w:r>
      <w:r w:rsidR="000C0AEB" w:rsidRPr="00564DB3">
        <w:rPr>
          <w:szCs w:val="18"/>
        </w:rPr>
        <w:t xml:space="preserve">from the Panels </w:t>
      </w:r>
      <w:r w:rsidRPr="00564DB3">
        <w:rPr>
          <w:szCs w:val="18"/>
        </w:rPr>
        <w:t xml:space="preserve">are erroneous. Moreover, as we found </w:t>
      </w:r>
      <w:r w:rsidRPr="001646CE">
        <w:rPr>
          <w:szCs w:val="18"/>
        </w:rPr>
        <w:t>in section</w:t>
      </w:r>
      <w:r w:rsidR="001646CE" w:rsidRPr="001646CE">
        <w:rPr>
          <w:szCs w:val="18"/>
        </w:rPr>
        <w:t xml:space="preserve"> 6.1.4.2</w:t>
      </w:r>
      <w:r w:rsidRPr="001646CE">
        <w:rPr>
          <w:szCs w:val="18"/>
        </w:rPr>
        <w:t xml:space="preserve"> above</w:t>
      </w:r>
      <w:r w:rsidRPr="00564DB3">
        <w:rPr>
          <w:szCs w:val="18"/>
        </w:rPr>
        <w:t>, Mexico has not demonstrated that the Panels failed to assess the risk profiles of individual fisheries.</w:t>
      </w:r>
      <w:r w:rsidRPr="00564DB3">
        <w:rPr>
          <w:rStyle w:val="FootnoteReference"/>
          <w:szCs w:val="18"/>
        </w:rPr>
        <w:footnoteReference w:id="631"/>
      </w:r>
      <w:r w:rsidRPr="00564DB3">
        <w:rPr>
          <w:szCs w:val="18"/>
        </w:rPr>
        <w:t xml:space="preserve"> Having found no legal error in the Panels' assessment of risk profiles, we see no reason to void the Panels' finding that "it is both the technical and legal possibility of setting on dolphins and the fact that dolphin sets occur in a consistent and systematic manner in the ETP large purse seine fishery that gives this fishery its special risk profile."</w:t>
      </w:r>
      <w:r w:rsidRPr="00564DB3">
        <w:rPr>
          <w:rStyle w:val="FootnoteReference"/>
          <w:szCs w:val="18"/>
        </w:rPr>
        <w:footnoteReference w:id="632"/>
      </w:r>
    </w:p>
    <w:bookmarkEnd w:id="322"/>
    <w:p w:rsidR="00913A2E" w:rsidRPr="00564DB3" w:rsidRDefault="00913A2E" w:rsidP="00F70E38">
      <w:pPr>
        <w:pStyle w:val="BodyText"/>
        <w:rPr>
          <w:szCs w:val="18"/>
        </w:rPr>
      </w:pPr>
      <w:r w:rsidRPr="00564DB3">
        <w:rPr>
          <w:szCs w:val="18"/>
        </w:rPr>
        <w:t>Mexico also alleges that the Panels failed to address the fact that the 2016 Tuna Measure requires observer certifications in seven US domestic fisheries when the observers are on board for other reasons.</w:t>
      </w:r>
      <w:r w:rsidRPr="00564DB3">
        <w:rPr>
          <w:rStyle w:val="FootnoteReference"/>
          <w:szCs w:val="18"/>
        </w:rPr>
        <w:footnoteReference w:id="633"/>
      </w:r>
      <w:r w:rsidRPr="00564DB3">
        <w:rPr>
          <w:szCs w:val="18"/>
        </w:rPr>
        <w:t xml:space="preserve"> For Mexico, this raises questions such as whether those seven fisheries are "high risk", or whether the enhanced certification requirements are imposed for reasons other than those identified by the Panels.</w:t>
      </w:r>
      <w:r w:rsidRPr="00564DB3">
        <w:rPr>
          <w:rStyle w:val="FootnoteReference"/>
          <w:szCs w:val="18"/>
        </w:rPr>
        <w:footnoteReference w:id="634"/>
      </w:r>
      <w:r w:rsidRPr="00564DB3">
        <w:rPr>
          <w:szCs w:val="18"/>
        </w:rPr>
        <w:t xml:space="preserve"> The United States points out that, before the Panels, Mexico never put forward any argument that the additional observer requirement i</w:t>
      </w:r>
      <w:r w:rsidR="00D119C2" w:rsidRPr="00564DB3">
        <w:rPr>
          <w:szCs w:val="18"/>
        </w:rPr>
        <w:t>mposed on some US vessels in US </w:t>
      </w:r>
      <w:r w:rsidRPr="00564DB3">
        <w:rPr>
          <w:szCs w:val="18"/>
        </w:rPr>
        <w:t xml:space="preserve">fisheries renders the 2016 </w:t>
      </w:r>
      <w:r w:rsidR="00980082" w:rsidRPr="00564DB3">
        <w:rPr>
          <w:szCs w:val="18"/>
        </w:rPr>
        <w:t>Tuna M</w:t>
      </w:r>
      <w:r w:rsidRPr="00564DB3">
        <w:rPr>
          <w:szCs w:val="18"/>
        </w:rPr>
        <w:t>easure not even-handed. The United States adds that Mexico has not suggested a reason for claiming that the Panels' failure to refer to this observer certification requirement renders their analysis "legally in error".</w:t>
      </w:r>
      <w:r w:rsidRPr="00564DB3">
        <w:rPr>
          <w:rStyle w:val="FootnoteReference"/>
          <w:szCs w:val="18"/>
        </w:rPr>
        <w:footnoteReference w:id="635"/>
      </w:r>
      <w:r w:rsidRPr="00564DB3">
        <w:rPr>
          <w:szCs w:val="18"/>
        </w:rPr>
        <w:t xml:space="preserve"> In response to questioning at the hearing, Mexico clarified that its argument was not that the observer certification requirement, in and of itself, renders the measure not even</w:t>
      </w:r>
      <w:r w:rsidRPr="00564DB3">
        <w:rPr>
          <w:szCs w:val="18"/>
        </w:rPr>
        <w:noBreakHyphen/>
        <w:t xml:space="preserve">handed. Rather, Mexico was referring to the Panels' failure, in their analysis, to address this requirement </w:t>
      </w:r>
      <w:proofErr w:type="gramStart"/>
      <w:r w:rsidRPr="00564DB3">
        <w:rPr>
          <w:szCs w:val="18"/>
        </w:rPr>
        <w:t>as yet</w:t>
      </w:r>
      <w:proofErr w:type="gramEnd"/>
      <w:r w:rsidRPr="00564DB3">
        <w:rPr>
          <w:szCs w:val="18"/>
        </w:rPr>
        <w:t xml:space="preserve"> another illustration of the incoherence of the Panels' calibration analysis and </w:t>
      </w:r>
      <w:r w:rsidR="00951DA3" w:rsidRPr="00564DB3">
        <w:rPr>
          <w:szCs w:val="18"/>
        </w:rPr>
        <w:t xml:space="preserve">of </w:t>
      </w:r>
      <w:r w:rsidRPr="00564DB3">
        <w:rPr>
          <w:szCs w:val="18"/>
        </w:rPr>
        <w:t>their failure to take account of all relevant factors.</w:t>
      </w:r>
      <w:bookmarkStart w:id="323" w:name="_Ref519161144"/>
    </w:p>
    <w:p w:rsidR="00913A2E" w:rsidRPr="00564DB3" w:rsidRDefault="00913A2E" w:rsidP="00F70E38">
      <w:pPr>
        <w:pStyle w:val="BodyText"/>
        <w:rPr>
          <w:szCs w:val="18"/>
        </w:rPr>
      </w:pPr>
      <w:r w:rsidRPr="00564DB3">
        <w:rPr>
          <w:szCs w:val="18"/>
        </w:rPr>
        <w:t xml:space="preserve">We observe that Mexico's argument concerns an aspect of the certification requirements </w:t>
      </w:r>
      <w:r w:rsidR="00980082" w:rsidRPr="00564DB3">
        <w:rPr>
          <w:szCs w:val="18"/>
        </w:rPr>
        <w:t>on which the Panels made no finding</w:t>
      </w:r>
      <w:r w:rsidRPr="00564DB3">
        <w:rPr>
          <w:szCs w:val="18"/>
        </w:rPr>
        <w:t>. Before the Panels in these compliance proceedings, Mexico referred to the observer certifications reflected in the first compliance panel report in describing the certification requirements under the 2016 Tuna Measure.</w:t>
      </w:r>
      <w:r w:rsidRPr="00564DB3">
        <w:rPr>
          <w:rStyle w:val="FootnoteReference"/>
          <w:szCs w:val="18"/>
        </w:rPr>
        <w:footnoteReference w:id="636"/>
      </w:r>
      <w:r w:rsidRPr="00564DB3">
        <w:rPr>
          <w:szCs w:val="18"/>
        </w:rPr>
        <w:t xml:space="preserve"> However, Mexico did not raise specific concerns regarding these observer certifications, </w:t>
      </w:r>
      <w:r w:rsidR="00980082" w:rsidRPr="00564DB3">
        <w:rPr>
          <w:szCs w:val="18"/>
        </w:rPr>
        <w:t>either during the first compliance proceedings or before the Panels in these compliance proceedings</w:t>
      </w:r>
      <w:r w:rsidRPr="00564DB3">
        <w:rPr>
          <w:szCs w:val="18"/>
        </w:rPr>
        <w:t>.</w:t>
      </w:r>
    </w:p>
    <w:bookmarkEnd w:id="323"/>
    <w:p w:rsidR="00244DE6" w:rsidRPr="00564DB3" w:rsidRDefault="00A969AA" w:rsidP="00F70E38">
      <w:pPr>
        <w:pStyle w:val="BodyText"/>
        <w:rPr>
          <w:rFonts w:cs="Arial"/>
          <w:szCs w:val="18"/>
        </w:rPr>
      </w:pPr>
      <w:r w:rsidRPr="00564DB3">
        <w:rPr>
          <w:rFonts w:cs="Arial"/>
          <w:szCs w:val="18"/>
        </w:rPr>
        <w:t>We recall that, in the first compliance proceedings, the United States identified seven domestic fisheries where tuna is regularly harvested.</w:t>
      </w:r>
      <w:r w:rsidRPr="00564DB3">
        <w:rPr>
          <w:rStyle w:val="FootnoteReference"/>
          <w:rFonts w:cs="Arial"/>
          <w:szCs w:val="18"/>
        </w:rPr>
        <w:footnoteReference w:id="637"/>
      </w:r>
      <w:r w:rsidRPr="00564DB3">
        <w:rPr>
          <w:rFonts w:cs="Arial"/>
          <w:szCs w:val="18"/>
        </w:rPr>
        <w:t xml:space="preserve"> These seven US fisheries have a certain level of observer coverage, meaning that observers may be on board the fishing vessels in these fisheries for reasons unrelated to the dolphin-safe labelling regime.</w:t>
      </w:r>
      <w:r w:rsidRPr="00564DB3">
        <w:rPr>
          <w:rStyle w:val="FootnoteReference"/>
          <w:rFonts w:cs="Arial"/>
          <w:szCs w:val="18"/>
        </w:rPr>
        <w:footnoteReference w:id="638"/>
      </w:r>
      <w:r w:rsidRPr="00564DB3">
        <w:rPr>
          <w:rFonts w:cs="Arial"/>
          <w:szCs w:val="18"/>
        </w:rPr>
        <w:t xml:space="preserve"> As noted by the first compliance panel and th</w:t>
      </w:r>
      <w:r w:rsidR="00A93707" w:rsidRPr="00564DB3">
        <w:rPr>
          <w:rFonts w:cs="Arial"/>
          <w:szCs w:val="18"/>
        </w:rPr>
        <w:t>e Appellate Body, the Assistant </w:t>
      </w:r>
      <w:r w:rsidRPr="00564DB3">
        <w:rPr>
          <w:rFonts w:cs="Arial"/>
          <w:szCs w:val="18"/>
        </w:rPr>
        <w:t>Administrator has determined that, in addition to the captain's certification, the observers in these fisheries are qualified and authorized to make the certifications required for the dolphin-safe label.</w:t>
      </w:r>
      <w:r w:rsidRPr="00564DB3">
        <w:rPr>
          <w:rStyle w:val="FootnoteReference"/>
          <w:rFonts w:cs="Arial"/>
          <w:szCs w:val="18"/>
        </w:rPr>
        <w:footnoteReference w:id="639"/>
      </w:r>
      <w:r w:rsidRPr="00564DB3">
        <w:rPr>
          <w:rFonts w:cs="Arial"/>
          <w:szCs w:val="18"/>
        </w:rPr>
        <w:t xml:space="preserve"> Th</w:t>
      </w:r>
      <w:r w:rsidR="00D119C2" w:rsidRPr="00564DB3">
        <w:rPr>
          <w:rFonts w:cs="Arial"/>
          <w:szCs w:val="18"/>
        </w:rPr>
        <w:t>us, with respect to these seven US </w:t>
      </w:r>
      <w:r w:rsidRPr="00564DB3">
        <w:rPr>
          <w:rFonts w:cs="Arial"/>
          <w:szCs w:val="18"/>
        </w:rPr>
        <w:t>fisheries, the 2016 Tuna Measure, similar to the 2013 Tuna Measure, conditions access to the dolphin-safe label on the provision of both captain and observer certifications, but only when an observer is already on board the vessel. It is unclear to us why the presence of observers on board fishing vessels in the seven US fisheries, for reasons unrelated to the dolphin-safe labelling regime, "raises questions such as whether those seven fisheries are 'high-risk'".</w:t>
      </w:r>
      <w:r w:rsidRPr="00564DB3">
        <w:rPr>
          <w:rStyle w:val="FootnoteReference"/>
          <w:rFonts w:cs="Arial"/>
          <w:szCs w:val="18"/>
        </w:rPr>
        <w:footnoteReference w:id="640"/>
      </w:r>
    </w:p>
    <w:p w:rsidR="00913A2E" w:rsidRPr="00564DB3" w:rsidRDefault="003C359E" w:rsidP="00F70E38">
      <w:pPr>
        <w:pStyle w:val="BodyText"/>
        <w:rPr>
          <w:rFonts w:cs="Arial"/>
          <w:szCs w:val="18"/>
        </w:rPr>
      </w:pPr>
      <w:r w:rsidRPr="00564DB3">
        <w:rPr>
          <w:szCs w:val="18"/>
        </w:rPr>
        <w:t>In any event</w:t>
      </w:r>
      <w:r w:rsidR="00913A2E" w:rsidRPr="00564DB3">
        <w:rPr>
          <w:szCs w:val="18"/>
        </w:rPr>
        <w:t>, regardless of the reasons for which such an observer may already be on board the vessel under the 2016 Tuna Measure,</w:t>
      </w:r>
      <w:r w:rsidRPr="00564DB3">
        <w:rPr>
          <w:szCs w:val="18"/>
        </w:rPr>
        <w:t xml:space="preserve"> we note that</w:t>
      </w:r>
      <w:r w:rsidR="00913A2E" w:rsidRPr="00564DB3">
        <w:rPr>
          <w:szCs w:val="18"/>
        </w:rPr>
        <w:t xml:space="preserve"> the observer is required to prepare a written statement certifying that: (i) no dolphins were killed or seriously injured in the sets or other gear deployments in which the tuna </w:t>
      </w:r>
      <w:r w:rsidR="00805D29" w:rsidRPr="00564DB3">
        <w:rPr>
          <w:szCs w:val="18"/>
        </w:rPr>
        <w:t xml:space="preserve">was </w:t>
      </w:r>
      <w:r w:rsidR="00A93707" w:rsidRPr="00564DB3">
        <w:rPr>
          <w:szCs w:val="18"/>
        </w:rPr>
        <w:t>caught; and (ii) in </w:t>
      </w:r>
      <w:r w:rsidR="00913A2E" w:rsidRPr="00564DB3">
        <w:rPr>
          <w:szCs w:val="18"/>
        </w:rPr>
        <w:t xml:space="preserve">purse seine fisheries, no purse seine net was intentionally deployed on or used to encircle dolphins during the trip on which the tuna </w:t>
      </w:r>
      <w:r w:rsidR="00805D29" w:rsidRPr="00564DB3">
        <w:rPr>
          <w:szCs w:val="18"/>
        </w:rPr>
        <w:t xml:space="preserve">was </w:t>
      </w:r>
      <w:r w:rsidR="00913A2E" w:rsidRPr="00564DB3">
        <w:rPr>
          <w:szCs w:val="18"/>
        </w:rPr>
        <w:t>caught.</w:t>
      </w:r>
      <w:r w:rsidR="00913A2E" w:rsidRPr="00564DB3">
        <w:rPr>
          <w:rStyle w:val="FootnoteReference"/>
          <w:szCs w:val="18"/>
        </w:rPr>
        <w:footnoteReference w:id="641"/>
      </w:r>
      <w:r w:rsidR="00913A2E" w:rsidRPr="00564DB3">
        <w:rPr>
          <w:szCs w:val="18"/>
        </w:rPr>
        <w:t xml:space="preserve"> We recall that the aim of the Panels' calibration analysis was to establish whether "the distinctions drawn between different tuna fishing methods and different areas of the oceans could be explained or justified by the differences in risk associated with such fishing methods and areas of the oceans."</w:t>
      </w:r>
      <w:r w:rsidR="00913A2E" w:rsidRPr="00564DB3">
        <w:rPr>
          <w:rStyle w:val="FootnoteReference"/>
          <w:szCs w:val="18"/>
        </w:rPr>
        <w:footnoteReference w:id="642"/>
      </w:r>
      <w:r w:rsidR="00913A2E" w:rsidRPr="00564DB3">
        <w:rPr>
          <w:szCs w:val="18"/>
        </w:rPr>
        <w:t xml:space="preserve"> On its face, this requirement appears to reduce the differences in the requirements applicable to the ETP large purse seine fishery and those applicable to all other fisheries, by making use of an already available observer resource on board the vessel to complement the efforts of the captain of the vessel in meeting the certification requirements. In our view, therefore, Mexico has not demonstrated how this observer requirement renders the treatment accorded un</w:t>
      </w:r>
      <w:r w:rsidR="00D119C2" w:rsidRPr="00564DB3">
        <w:rPr>
          <w:szCs w:val="18"/>
        </w:rPr>
        <w:t>der the 2016 </w:t>
      </w:r>
      <w:r w:rsidR="00913A2E" w:rsidRPr="00564DB3">
        <w:rPr>
          <w:szCs w:val="18"/>
        </w:rPr>
        <w:t>Tuna Measure to the different fisheries not even</w:t>
      </w:r>
      <w:r w:rsidR="00913A2E" w:rsidRPr="00564DB3">
        <w:rPr>
          <w:szCs w:val="18"/>
        </w:rPr>
        <w:noBreakHyphen/>
        <w:t>handed.</w:t>
      </w:r>
    </w:p>
    <w:p w:rsidR="00913A2E" w:rsidRPr="00564DB3" w:rsidRDefault="00913A2E" w:rsidP="00F70E38">
      <w:pPr>
        <w:pStyle w:val="BodyText"/>
        <w:rPr>
          <w:rFonts w:cs="Arial"/>
          <w:szCs w:val="18"/>
        </w:rPr>
      </w:pPr>
      <w:bookmarkStart w:id="324" w:name="_Ref526525959"/>
      <w:r w:rsidRPr="00564DB3">
        <w:rPr>
          <w:rFonts w:cs="Arial"/>
          <w:szCs w:val="18"/>
        </w:rPr>
        <w:t>We now turn to Mexico's contention that the Panels did not approach the calibration test from the perspective of accuracy, taking account of the objectives of the measure, but rather from the perspective of how much inaccuracy should be tolerated, notwithstanding the objectives. Mexico points to the Panels' statement that "</w:t>
      </w:r>
      <w:r w:rsidR="005D06F7" w:rsidRPr="00564DB3">
        <w:rPr>
          <w:rFonts w:cs="Arial"/>
          <w:szCs w:val="18"/>
        </w:rPr>
        <w:t>[</w:t>
      </w:r>
      <w:r w:rsidRPr="00564DB3">
        <w:rPr>
          <w:rFonts w:cs="Arial"/>
          <w:szCs w:val="18"/>
        </w:rPr>
        <w:t>w</w:t>
      </w:r>
      <w:r w:rsidR="005D06F7" w:rsidRPr="00564DB3">
        <w:rPr>
          <w:rFonts w:cs="Arial"/>
          <w:szCs w:val="18"/>
        </w:rPr>
        <w:t>]</w:t>
      </w:r>
      <w:r w:rsidRPr="00564DB3">
        <w:rPr>
          <w:rFonts w:cs="Arial"/>
          <w:szCs w:val="18"/>
        </w:rPr>
        <w:t xml:space="preserve">e </w:t>
      </w:r>
      <w:r w:rsidR="005D06F7" w:rsidRPr="00564DB3">
        <w:rPr>
          <w:rFonts w:cs="Arial"/>
          <w:szCs w:val="18"/>
        </w:rPr>
        <w:t xml:space="preserve">… </w:t>
      </w:r>
      <w:r w:rsidRPr="00564DB3">
        <w:rPr>
          <w:rFonts w:cs="Arial"/>
          <w:szCs w:val="18"/>
        </w:rPr>
        <w:t xml:space="preserve">do not believe that, by tolerating </w:t>
      </w:r>
      <w:r w:rsidR="005D06F7" w:rsidRPr="00564DB3">
        <w:rPr>
          <w:rFonts w:cs="Arial"/>
          <w:szCs w:val="18"/>
        </w:rPr>
        <w:t>a higher or lower</w:t>
      </w:r>
      <w:r w:rsidRPr="00564DB3">
        <w:rPr>
          <w:rFonts w:cs="Arial"/>
          <w:szCs w:val="18"/>
        </w:rPr>
        <w:t xml:space="preserve"> margin of error, the certification requirements conflict with the objectives of the 2016 Tuna Measure</w:t>
      </w:r>
      <w:r w:rsidR="003F0DC5" w:rsidRPr="00564DB3">
        <w:rPr>
          <w:rFonts w:cs="Arial"/>
          <w:szCs w:val="18"/>
        </w:rPr>
        <w:t>.</w:t>
      </w:r>
      <w:r w:rsidRPr="00564DB3">
        <w:rPr>
          <w:rFonts w:cs="Arial"/>
          <w:szCs w:val="18"/>
        </w:rPr>
        <w:t>"</w:t>
      </w:r>
      <w:r w:rsidR="00A97A78" w:rsidRPr="00564DB3">
        <w:rPr>
          <w:rStyle w:val="FootnoteReference"/>
          <w:rFonts w:cs="Arial"/>
          <w:szCs w:val="18"/>
        </w:rPr>
        <w:footnoteReference w:id="643"/>
      </w:r>
      <w:r w:rsidRPr="00564DB3">
        <w:rPr>
          <w:rFonts w:cs="Arial"/>
          <w:szCs w:val="18"/>
        </w:rPr>
        <w:t xml:space="preserve"> Mexico contends that the Panels did not explain how tolerating error can be reconciled with, or rationally connected to, the consumer</w:t>
      </w:r>
      <w:r w:rsidR="00E660D4" w:rsidRPr="00564DB3">
        <w:rPr>
          <w:rFonts w:cs="Arial"/>
          <w:szCs w:val="18"/>
        </w:rPr>
        <w:t>-</w:t>
      </w:r>
      <w:r w:rsidRPr="00564DB3">
        <w:rPr>
          <w:rFonts w:cs="Arial"/>
          <w:szCs w:val="18"/>
        </w:rPr>
        <w:t>information and dolphin</w:t>
      </w:r>
      <w:r w:rsidR="00E660D4" w:rsidRPr="00564DB3">
        <w:rPr>
          <w:rFonts w:cs="Arial"/>
          <w:szCs w:val="18"/>
        </w:rPr>
        <w:t>-</w:t>
      </w:r>
      <w:r w:rsidRPr="00564DB3">
        <w:rPr>
          <w:rFonts w:cs="Arial"/>
          <w:szCs w:val="18"/>
        </w:rPr>
        <w:t xml:space="preserve">protection objectives of the measure. Mexico posits that, if the Panels had done so, they may have found that the detrimental impact caused by the 2016 Tuna Measure cannot be justified </w:t>
      </w:r>
      <w:proofErr w:type="gramStart"/>
      <w:r w:rsidRPr="00564DB3">
        <w:rPr>
          <w:rFonts w:cs="Arial"/>
          <w:szCs w:val="18"/>
        </w:rPr>
        <w:t>on the basis of</w:t>
      </w:r>
      <w:proofErr w:type="gramEnd"/>
      <w:r w:rsidRPr="00564DB3">
        <w:rPr>
          <w:rFonts w:cs="Arial"/>
          <w:szCs w:val="18"/>
        </w:rPr>
        <w:t xml:space="preserve"> regulatory distinctions that tolerate different margins of error.</w:t>
      </w:r>
      <w:bookmarkEnd w:id="324"/>
    </w:p>
    <w:p w:rsidR="00913A2E" w:rsidRPr="00564DB3" w:rsidRDefault="00913A2E" w:rsidP="00F70E38">
      <w:pPr>
        <w:pStyle w:val="BodyText"/>
        <w:rPr>
          <w:rFonts w:cs="Arial"/>
          <w:szCs w:val="18"/>
        </w:rPr>
      </w:pPr>
      <w:r w:rsidRPr="00564DB3">
        <w:rPr>
          <w:rFonts w:cs="Arial"/>
          <w:szCs w:val="18"/>
        </w:rPr>
        <w:t>The United States argues that the Panels' statements concernin</w:t>
      </w:r>
      <w:r w:rsidR="003F0DC5" w:rsidRPr="00564DB3">
        <w:rPr>
          <w:rFonts w:cs="Arial"/>
          <w:szCs w:val="18"/>
        </w:rPr>
        <w:t xml:space="preserve">g </w:t>
      </w:r>
      <w:r w:rsidRPr="00564DB3">
        <w:rPr>
          <w:rFonts w:cs="Arial"/>
          <w:szCs w:val="18"/>
        </w:rPr>
        <w:t xml:space="preserve">margins of error in these compliance proceedings do not suggest that there are differences in label accuracy for tuna produced from the ETP large purse seine fishery and other fisheries. For the United States, a more sensitive mechanism does not necessarily mean a more accurate label. Rather, the risk profile of a fishery must also be </w:t>
      </w:r>
      <w:proofErr w:type="gramStart"/>
      <w:r w:rsidRPr="00564DB3">
        <w:rPr>
          <w:rFonts w:cs="Arial"/>
          <w:szCs w:val="18"/>
        </w:rPr>
        <w:t>taken into account</w:t>
      </w:r>
      <w:proofErr w:type="gramEnd"/>
      <w:r w:rsidRPr="00564DB3">
        <w:rPr>
          <w:rFonts w:cs="Arial"/>
          <w:szCs w:val="18"/>
        </w:rPr>
        <w:t>.</w:t>
      </w:r>
      <w:r w:rsidRPr="00564DB3">
        <w:rPr>
          <w:rStyle w:val="FootnoteReference"/>
          <w:rFonts w:cs="Arial"/>
          <w:szCs w:val="18"/>
        </w:rPr>
        <w:footnoteReference w:id="644"/>
      </w:r>
    </w:p>
    <w:p w:rsidR="00913A2E" w:rsidRPr="00564DB3" w:rsidRDefault="00913A2E" w:rsidP="00F70E38">
      <w:pPr>
        <w:pStyle w:val="BodyText"/>
        <w:rPr>
          <w:rFonts w:cs="Arial"/>
          <w:szCs w:val="18"/>
        </w:rPr>
      </w:pPr>
      <w:bookmarkStart w:id="325" w:name="_Ref529195304"/>
      <w:r w:rsidRPr="00564DB3">
        <w:rPr>
          <w:rFonts w:cs="Arial"/>
          <w:szCs w:val="18"/>
        </w:rPr>
        <w:t xml:space="preserve">As described </w:t>
      </w:r>
      <w:r w:rsidRPr="001646CE">
        <w:rPr>
          <w:rFonts w:cs="Arial"/>
          <w:szCs w:val="18"/>
        </w:rPr>
        <w:t>in section</w:t>
      </w:r>
      <w:r w:rsidR="001646CE" w:rsidRPr="001646CE">
        <w:rPr>
          <w:rFonts w:cs="Arial"/>
          <w:szCs w:val="18"/>
        </w:rPr>
        <w:t xml:space="preserve"> 6.1.3.1.3 </w:t>
      </w:r>
      <w:r w:rsidRPr="001646CE">
        <w:rPr>
          <w:rFonts w:cs="Arial"/>
          <w:szCs w:val="18"/>
        </w:rPr>
        <w:t>above,</w:t>
      </w:r>
      <w:r w:rsidRPr="00564DB3">
        <w:rPr>
          <w:rFonts w:cs="Arial"/>
          <w:szCs w:val="18"/>
        </w:rPr>
        <w:t xml:space="preserve"> the Panels first introduced the term "margin of error" when examining, as a general matter, the relevance of the risk of inaccurate labelling to their calibration analysis. As analysed in that section, the Panels used this term to refer to the sensitivity of the relevant labelling conditions. In that context, we find that the Panels correctly recognized that the accuracy of the ultimate label depends not only on the sensitivity of the labelling conditions, but also on the level of risks to dolphins in a fishery. In our view, the Panels used the term "margin of error" in the same sense in their evaluation of the certification requirements.</w:t>
      </w:r>
      <w:bookmarkEnd w:id="325"/>
    </w:p>
    <w:p w:rsidR="00913A2E" w:rsidRPr="00564DB3" w:rsidRDefault="00913A2E" w:rsidP="00F70E38">
      <w:pPr>
        <w:pStyle w:val="BodyText"/>
        <w:rPr>
          <w:rFonts w:cs="Arial"/>
          <w:szCs w:val="18"/>
        </w:rPr>
      </w:pPr>
      <w:r w:rsidRPr="00564DB3">
        <w:rPr>
          <w:rFonts w:cs="Arial"/>
          <w:szCs w:val="18"/>
        </w:rPr>
        <w:t>Mexico takes issue with the Panels' statement that, "[i]n the context of the certification requirements</w:t>
      </w:r>
      <w:r w:rsidR="003F0DC5" w:rsidRPr="00564DB3">
        <w:rPr>
          <w:rFonts w:cs="Arial"/>
          <w:szCs w:val="18"/>
        </w:rPr>
        <w:t>,</w:t>
      </w:r>
      <w:r w:rsidR="00A97A78" w:rsidRPr="00564DB3">
        <w:rPr>
          <w:rFonts w:cs="Arial"/>
          <w:szCs w:val="18"/>
        </w:rPr>
        <w:t xml:space="preserve"> …</w:t>
      </w:r>
      <w:r w:rsidRPr="00564DB3">
        <w:rPr>
          <w:rFonts w:cs="Arial"/>
          <w:szCs w:val="18"/>
        </w:rPr>
        <w:t xml:space="preserve"> it is calibrated for the United</w:t>
      </w:r>
      <w:r w:rsidR="00025CB6" w:rsidRPr="00564DB3">
        <w:rPr>
          <w:rFonts w:cs="Arial"/>
          <w:szCs w:val="18"/>
        </w:rPr>
        <w:t> States</w:t>
      </w:r>
      <w:r w:rsidRPr="00564DB3">
        <w:rPr>
          <w:rFonts w:cs="Arial"/>
          <w:szCs w:val="18"/>
        </w:rPr>
        <w:t xml:space="preserve"> to tolerate a higher margin of error in respect of fisheries other than the ETP large purse seine fishery and to tolerate a lower margin of error inside the ETP large purse seine fishery."</w:t>
      </w:r>
      <w:r w:rsidRPr="00564DB3">
        <w:rPr>
          <w:rStyle w:val="FootnoteReference"/>
          <w:rFonts w:cs="Arial"/>
          <w:szCs w:val="18"/>
        </w:rPr>
        <w:footnoteReference w:id="645"/>
      </w:r>
      <w:r w:rsidRPr="00564DB3">
        <w:rPr>
          <w:rFonts w:cs="Arial"/>
          <w:szCs w:val="18"/>
        </w:rPr>
        <w:t xml:space="preserve"> </w:t>
      </w:r>
      <w:bookmarkStart w:id="326" w:name="_Ref528683080"/>
      <w:r w:rsidRPr="00564DB3">
        <w:rPr>
          <w:rFonts w:cs="Arial"/>
          <w:szCs w:val="18"/>
        </w:rPr>
        <w:t>The Panels' statement that Mexico refers to should be understood in its proper context. Specifically, the Panels were addressing Mexico's argument that the use of a less sensitive mechanism outside the ETP large pur</w:t>
      </w:r>
      <w:r w:rsidR="003B1889" w:rsidRPr="00564DB3">
        <w:rPr>
          <w:rFonts w:cs="Arial"/>
          <w:szCs w:val="18"/>
        </w:rPr>
        <w:t>se seine fishery cannot be even</w:t>
      </w:r>
      <w:r w:rsidR="003B1889" w:rsidRPr="00564DB3">
        <w:rPr>
          <w:rFonts w:cs="Arial"/>
          <w:szCs w:val="18"/>
        </w:rPr>
        <w:noBreakHyphen/>
      </w:r>
      <w:r w:rsidRPr="00564DB3">
        <w:rPr>
          <w:rFonts w:cs="Arial"/>
          <w:szCs w:val="18"/>
        </w:rPr>
        <w:t>handed if it would result in the label becoming less accurate.</w:t>
      </w:r>
      <w:r w:rsidRPr="00564DB3">
        <w:rPr>
          <w:rStyle w:val="FootnoteReference"/>
          <w:rFonts w:cs="Arial"/>
          <w:szCs w:val="18"/>
        </w:rPr>
        <w:footnoteReference w:id="646"/>
      </w:r>
      <w:r w:rsidRPr="00564DB3">
        <w:rPr>
          <w:rFonts w:cs="Arial"/>
          <w:szCs w:val="18"/>
        </w:rPr>
        <w:t xml:space="preserve"> In the Panels' view, Mexico's argument appeared to be premised on the notion that certification can guarantee accurate labelling in every case. However, the Panels considered the more pertinent question to be whether the </w:t>
      </w:r>
      <w:r w:rsidRPr="00564DB3">
        <w:rPr>
          <w:rFonts w:cs="Arial"/>
          <w:i/>
          <w:szCs w:val="18"/>
        </w:rPr>
        <w:t xml:space="preserve">possibility </w:t>
      </w:r>
      <w:r w:rsidRPr="00564DB3">
        <w:rPr>
          <w:rFonts w:cs="Arial"/>
          <w:szCs w:val="18"/>
        </w:rPr>
        <w:t>of error is commensurate with the different risks to dolphins arising from the use of different fishing methods in different areas of the ocean. Accordingly, the Panels considered that "it is calibrated"</w:t>
      </w:r>
      <w:r w:rsidRPr="00564DB3">
        <w:rPr>
          <w:rStyle w:val="FootnoteReference"/>
          <w:rFonts w:cs="Arial"/>
          <w:szCs w:val="18"/>
        </w:rPr>
        <w:footnoteReference w:id="647"/>
      </w:r>
      <w:r w:rsidRPr="00564DB3">
        <w:rPr>
          <w:rFonts w:cs="Arial"/>
          <w:szCs w:val="18"/>
        </w:rPr>
        <w:t xml:space="preserve"> for the United States to require a more sensitive mechanism in the ETP large purse seine fishery, while "tolerating" a less sensitive mechanism in other fisheries, which have relatively lower risk profiles. For the Panels, this distinction addresses the relative risks posed to dolphins in the ETP large purse seine fishery</w:t>
      </w:r>
      <w:r w:rsidR="00B7639F" w:rsidRPr="00564DB3">
        <w:rPr>
          <w:rFonts w:cs="Arial"/>
          <w:szCs w:val="18"/>
        </w:rPr>
        <w:t>,</w:t>
      </w:r>
      <w:r w:rsidRPr="00564DB3">
        <w:rPr>
          <w:rFonts w:cs="Arial"/>
          <w:szCs w:val="18"/>
        </w:rPr>
        <w:t xml:space="preserve"> on the one hand</w:t>
      </w:r>
      <w:r w:rsidR="00B7639F" w:rsidRPr="00564DB3">
        <w:rPr>
          <w:rFonts w:cs="Arial"/>
          <w:szCs w:val="18"/>
        </w:rPr>
        <w:t>,</w:t>
      </w:r>
      <w:r w:rsidRPr="00564DB3">
        <w:rPr>
          <w:rFonts w:cs="Arial"/>
          <w:szCs w:val="18"/>
        </w:rPr>
        <w:t xml:space="preserve"> and other fisheries</w:t>
      </w:r>
      <w:r w:rsidR="00B7639F" w:rsidRPr="00564DB3">
        <w:rPr>
          <w:rFonts w:cs="Arial"/>
          <w:szCs w:val="18"/>
        </w:rPr>
        <w:t>,</w:t>
      </w:r>
      <w:r w:rsidRPr="00564DB3">
        <w:rPr>
          <w:rFonts w:cs="Arial"/>
          <w:szCs w:val="18"/>
        </w:rPr>
        <w:t xml:space="preserve"> on the other hand</w:t>
      </w:r>
      <w:r w:rsidR="00B7639F" w:rsidRPr="00564DB3">
        <w:rPr>
          <w:rFonts w:cs="Arial"/>
          <w:szCs w:val="18"/>
        </w:rPr>
        <w:t>,</w:t>
      </w:r>
      <w:r w:rsidRPr="00564DB3">
        <w:rPr>
          <w:rFonts w:cs="Arial"/>
          <w:szCs w:val="18"/>
        </w:rPr>
        <w:t xml:space="preserve"> in a way that is calibrated to</w:t>
      </w:r>
      <w:r w:rsidR="003F0DC5" w:rsidRPr="00564DB3">
        <w:rPr>
          <w:rFonts w:cs="Arial"/>
          <w:szCs w:val="18"/>
        </w:rPr>
        <w:t xml:space="preserve"> </w:t>
      </w:r>
      <w:r w:rsidRPr="00564DB3">
        <w:rPr>
          <w:rFonts w:cs="Arial"/>
          <w:szCs w:val="18"/>
        </w:rPr>
        <w:t>the risk profiles of those fisheries.</w:t>
      </w:r>
      <w:bookmarkEnd w:id="326"/>
      <w:r w:rsidRPr="00564DB3">
        <w:rPr>
          <w:rStyle w:val="FootnoteReference"/>
          <w:rFonts w:cs="Arial"/>
          <w:szCs w:val="18"/>
        </w:rPr>
        <w:footnoteReference w:id="648"/>
      </w:r>
    </w:p>
    <w:p w:rsidR="00913A2E" w:rsidRPr="00564DB3" w:rsidRDefault="00913A2E" w:rsidP="00F70E38">
      <w:pPr>
        <w:pStyle w:val="BodyText"/>
        <w:rPr>
          <w:rFonts w:cs="Arial"/>
          <w:szCs w:val="18"/>
        </w:rPr>
      </w:pPr>
      <w:bookmarkStart w:id="327" w:name="_Ref529195307"/>
      <w:r w:rsidRPr="00564DB3">
        <w:rPr>
          <w:rFonts w:cs="Arial"/>
          <w:szCs w:val="18"/>
        </w:rPr>
        <w:t xml:space="preserve">The Panels' statements above, read in their proper context, confirm our view that the Panels correctly focused on the question whether the sensitivity of the labelling conditions under the measure </w:t>
      </w:r>
      <w:r w:rsidR="003F0DC5" w:rsidRPr="00564DB3">
        <w:rPr>
          <w:rFonts w:cs="Arial"/>
          <w:szCs w:val="18"/>
        </w:rPr>
        <w:t>is</w:t>
      </w:r>
      <w:r w:rsidRPr="00564DB3">
        <w:rPr>
          <w:rFonts w:cs="Arial"/>
          <w:szCs w:val="18"/>
        </w:rPr>
        <w:t xml:space="preserve"> calibrated to the level of risks to dolphins </w:t>
      </w:r>
      <w:proofErr w:type="gramStart"/>
      <w:r w:rsidRPr="00564DB3">
        <w:rPr>
          <w:rFonts w:cs="Arial"/>
          <w:szCs w:val="18"/>
        </w:rPr>
        <w:t>so as to</w:t>
      </w:r>
      <w:proofErr w:type="gramEnd"/>
      <w:r w:rsidRPr="00564DB3">
        <w:rPr>
          <w:rFonts w:cs="Arial"/>
          <w:szCs w:val="18"/>
        </w:rPr>
        <w:t xml:space="preserve"> ensure the accuracy of the ultimate label. Indeed, as the Panels noted, the mere fact that a vessel has an observer on board does not necessarily, or by itself, mean that that vessel will produce a more accurate certification.</w:t>
      </w:r>
      <w:r w:rsidRPr="00564DB3">
        <w:rPr>
          <w:rStyle w:val="FootnoteReference"/>
          <w:rFonts w:cs="Arial"/>
          <w:szCs w:val="18"/>
        </w:rPr>
        <w:footnoteReference w:id="649"/>
      </w:r>
      <w:r w:rsidRPr="00564DB3">
        <w:rPr>
          <w:rFonts w:cs="Arial"/>
          <w:szCs w:val="18"/>
        </w:rPr>
        <w:t xml:space="preserve"> Rather, accuracy is a function of potentially many variables, including not only the reporting requirements in place, but also the different levels of dolphin interaction, mortality, and serious injury in different fisheries.</w:t>
      </w:r>
      <w:r w:rsidRPr="00564DB3">
        <w:rPr>
          <w:rStyle w:val="FootnoteReference"/>
          <w:rFonts w:cs="Arial"/>
          <w:szCs w:val="18"/>
        </w:rPr>
        <w:footnoteReference w:id="650"/>
      </w:r>
      <w:r w:rsidRPr="00564DB3">
        <w:rPr>
          <w:rFonts w:cs="Arial"/>
          <w:szCs w:val="18"/>
        </w:rPr>
        <w:t xml:space="preserve"> Thus, while an observer may strengthen the certification, such additional strength may not always be needed, for example, in fisheries where the risk profile is relatively low.</w:t>
      </w:r>
      <w:r w:rsidRPr="00564DB3">
        <w:rPr>
          <w:rStyle w:val="FootnoteReference"/>
          <w:rFonts w:cs="Arial"/>
          <w:szCs w:val="18"/>
        </w:rPr>
        <w:footnoteReference w:id="651"/>
      </w:r>
      <w:bookmarkEnd w:id="327"/>
    </w:p>
    <w:p w:rsidR="00913A2E" w:rsidRPr="00564DB3" w:rsidRDefault="00913A2E" w:rsidP="00F70E38">
      <w:pPr>
        <w:pStyle w:val="BodyText"/>
        <w:rPr>
          <w:rFonts w:cs="Arial"/>
          <w:szCs w:val="18"/>
        </w:rPr>
      </w:pPr>
      <w:r w:rsidRPr="00564DB3" w:rsidDel="00734D4A">
        <w:rPr>
          <w:rFonts w:cs="Arial"/>
          <w:szCs w:val="18"/>
        </w:rPr>
        <w:t xml:space="preserve"> </w:t>
      </w:r>
      <w:r w:rsidRPr="00564DB3">
        <w:rPr>
          <w:rFonts w:cs="Arial"/>
          <w:szCs w:val="18"/>
        </w:rPr>
        <w:t>Still with regard to the potential risk of inaccuracy of the dolphin</w:t>
      </w:r>
      <w:r w:rsidRPr="00564DB3">
        <w:rPr>
          <w:rFonts w:cs="Arial"/>
          <w:szCs w:val="18"/>
        </w:rPr>
        <w:noBreakHyphen/>
        <w:t xml:space="preserve">safe label, we take note of Mexico's assertion that the panel in the first compliance proceedings found that "it may be </w:t>
      </w:r>
      <w:r w:rsidRPr="00564DB3">
        <w:rPr>
          <w:rFonts w:cs="Arial"/>
          <w:i/>
          <w:szCs w:val="18"/>
        </w:rPr>
        <w:t>easier</w:t>
      </w:r>
      <w:r w:rsidRPr="00564DB3">
        <w:rPr>
          <w:rFonts w:cs="Arial"/>
          <w:szCs w:val="18"/>
        </w:rPr>
        <w:t xml:space="preserve"> or </w:t>
      </w:r>
      <w:r w:rsidRPr="00564DB3">
        <w:rPr>
          <w:rFonts w:cs="Arial"/>
          <w:i/>
          <w:szCs w:val="18"/>
        </w:rPr>
        <w:t>more likely</w:t>
      </w:r>
      <w:r w:rsidRPr="00564DB3">
        <w:rPr>
          <w:rFonts w:cs="Arial"/>
          <w:szCs w:val="18"/>
        </w:rPr>
        <w:t xml:space="preserve"> for dolphin-safe certifications made only by captai</w:t>
      </w:r>
      <w:r w:rsidR="001B4DCA">
        <w:rPr>
          <w:rFonts w:cs="Arial"/>
          <w:szCs w:val="18"/>
        </w:rPr>
        <w:t>ns to be inaccurate", with "the </w:t>
      </w:r>
      <w:r w:rsidRPr="00564DB3">
        <w:rPr>
          <w:rFonts w:cs="Arial"/>
          <w:szCs w:val="18"/>
        </w:rPr>
        <w:t>consequence" that "it may be more likely that tuna caught by vessels other than large purse seine vessels in the ETP will be inaccu</w:t>
      </w:r>
      <w:r w:rsidR="003F0DC5" w:rsidRPr="00564DB3">
        <w:rPr>
          <w:rFonts w:cs="Arial"/>
          <w:szCs w:val="18"/>
        </w:rPr>
        <w:t>rately labelled as dolphin-safe</w:t>
      </w:r>
      <w:r w:rsidRPr="00564DB3">
        <w:rPr>
          <w:rFonts w:cs="Arial"/>
          <w:szCs w:val="18"/>
        </w:rPr>
        <w:t>.</w:t>
      </w:r>
      <w:r w:rsidR="003F0DC5" w:rsidRPr="00564DB3">
        <w:rPr>
          <w:rFonts w:cs="Arial"/>
          <w:szCs w:val="18"/>
        </w:rPr>
        <w:t>"</w:t>
      </w:r>
      <w:r w:rsidRPr="00564DB3">
        <w:rPr>
          <w:rStyle w:val="FootnoteReference"/>
          <w:rFonts w:cs="Arial"/>
          <w:szCs w:val="18"/>
        </w:rPr>
        <w:footnoteReference w:id="652"/>
      </w:r>
      <w:r w:rsidRPr="00564DB3">
        <w:rPr>
          <w:rFonts w:cs="Arial"/>
          <w:szCs w:val="18"/>
        </w:rPr>
        <w:t xml:space="preserve"> However, the first compliance panel did not make a definitive finding on this issue. Rather, the first compliance panel, in making the statements to which Mexico refers</w:t>
      </w:r>
      <w:r w:rsidR="00A97A78" w:rsidRPr="00564DB3">
        <w:rPr>
          <w:rFonts w:cs="Arial"/>
          <w:szCs w:val="18"/>
        </w:rPr>
        <w:t>,</w:t>
      </w:r>
      <w:r w:rsidRPr="00564DB3">
        <w:rPr>
          <w:rFonts w:cs="Arial"/>
          <w:szCs w:val="18"/>
        </w:rPr>
        <w:t xml:space="preserve"> also explained that</w:t>
      </w:r>
      <w:r w:rsidR="00B7639F" w:rsidRPr="00564DB3">
        <w:rPr>
          <w:rFonts w:cs="Arial"/>
          <w:szCs w:val="18"/>
        </w:rPr>
        <w:t>,</w:t>
      </w:r>
      <w:r w:rsidRPr="00564DB3">
        <w:rPr>
          <w:rFonts w:cs="Arial"/>
          <w:szCs w:val="18"/>
        </w:rPr>
        <w:t xml:space="preserve"> although the United States seemed to have made the "concession that observer certification heightens or increases the accuracy and reliability of the label", such a concession "does not entail the conclusion that, without observers, captains' certifications are always and necessarily 'inherently unreliable'".</w:t>
      </w:r>
      <w:r w:rsidRPr="00564DB3">
        <w:rPr>
          <w:rStyle w:val="FootnoteReference"/>
          <w:rFonts w:cs="Arial"/>
          <w:szCs w:val="18"/>
        </w:rPr>
        <w:footnoteReference w:id="653"/>
      </w:r>
      <w:r w:rsidRPr="00564DB3">
        <w:rPr>
          <w:rFonts w:cs="Arial"/>
          <w:szCs w:val="18"/>
        </w:rPr>
        <w:t xml:space="preserve"> The </w:t>
      </w:r>
      <w:r w:rsidR="00A97A78" w:rsidRPr="00564DB3">
        <w:rPr>
          <w:rFonts w:cs="Arial"/>
          <w:szCs w:val="18"/>
        </w:rPr>
        <w:t xml:space="preserve">first compliance panel </w:t>
      </w:r>
      <w:r w:rsidRPr="00564DB3">
        <w:rPr>
          <w:rFonts w:cs="Arial"/>
          <w:szCs w:val="18"/>
        </w:rPr>
        <w:t>added that, in its view, it was "not necessary to make a definitive finding on this point".</w:t>
      </w:r>
      <w:r w:rsidR="00A97A78" w:rsidRPr="00564DB3">
        <w:rPr>
          <w:rStyle w:val="FootnoteReference"/>
          <w:rFonts w:cs="Arial"/>
          <w:szCs w:val="18"/>
        </w:rPr>
        <w:footnoteReference w:id="654"/>
      </w:r>
    </w:p>
    <w:p w:rsidR="00913A2E" w:rsidRPr="00564DB3" w:rsidRDefault="00913A2E" w:rsidP="00F70E38">
      <w:pPr>
        <w:pStyle w:val="BodyText"/>
        <w:rPr>
          <w:rFonts w:cs="Arial"/>
          <w:szCs w:val="18"/>
        </w:rPr>
      </w:pPr>
      <w:bookmarkStart w:id="328" w:name="_Ref526525964"/>
      <w:r w:rsidRPr="00564DB3">
        <w:rPr>
          <w:rFonts w:cs="Arial"/>
          <w:szCs w:val="18"/>
        </w:rPr>
        <w:t xml:space="preserve">In any event, the first compliance panel was addressing the 2013 Tuna Measure. The Panels in these compliance proceedings </w:t>
      </w:r>
      <w:bookmarkStart w:id="329" w:name="_Ref518052357"/>
      <w:r w:rsidRPr="00564DB3">
        <w:rPr>
          <w:rFonts w:cs="Arial"/>
          <w:szCs w:val="18"/>
        </w:rPr>
        <w:t>noted that, under the architecture of the 2016 Tuna Measure, the private tuna companies that supply the US tuna market are subject to the requirements of the 2016 Tuna Measure, and it is they that must ensure that the products they sell meet the conditions of US law, "including that the captain certifications are accurate".</w:t>
      </w:r>
      <w:r w:rsidRPr="00564DB3">
        <w:rPr>
          <w:rStyle w:val="FootnoteReference"/>
          <w:rFonts w:cs="Arial"/>
          <w:szCs w:val="18"/>
        </w:rPr>
        <w:footnoteReference w:id="655"/>
      </w:r>
      <w:r w:rsidRPr="00564DB3">
        <w:rPr>
          <w:rFonts w:cs="Arial"/>
          <w:szCs w:val="18"/>
        </w:rPr>
        <w:t xml:space="preserve"> The Panels considered that, unlike the situation under the 2013 Tuna Measure, the training course incorporated in the 2016 Tuna Measure contains meaningful information concerning key aspects of the certification process that would assist captains to understand and properly carry out their responsibility to certify the dolphin-safe status of a set or other gear deployment. The Panels also considered that the training requirement is embedded within a sufficiently enforceable regulatory framework and </w:t>
      </w:r>
      <w:r w:rsidR="005C7196" w:rsidRPr="00564DB3">
        <w:rPr>
          <w:rFonts w:cs="Arial"/>
          <w:szCs w:val="18"/>
        </w:rPr>
        <w:t>is</w:t>
      </w:r>
      <w:r w:rsidRPr="00564DB3">
        <w:rPr>
          <w:rFonts w:cs="Arial"/>
          <w:szCs w:val="18"/>
        </w:rPr>
        <w:t xml:space="preserve"> therefore not meaningless or unenforceable, as Mexico contended. In addition, the Panels took note that the Captain Training Course </w:t>
      </w:r>
      <w:r w:rsidR="007676C3" w:rsidRPr="00564DB3">
        <w:rPr>
          <w:rFonts w:cs="Arial"/>
          <w:szCs w:val="18"/>
        </w:rPr>
        <w:t>is now available online in nine </w:t>
      </w:r>
      <w:r w:rsidRPr="00564DB3">
        <w:rPr>
          <w:rFonts w:cs="Arial"/>
          <w:szCs w:val="18"/>
        </w:rPr>
        <w:t xml:space="preserve">languages, </w:t>
      </w:r>
      <w:r w:rsidR="005C7196" w:rsidRPr="00564DB3">
        <w:rPr>
          <w:rFonts w:cs="Arial"/>
          <w:szCs w:val="18"/>
        </w:rPr>
        <w:t>including</w:t>
      </w:r>
      <w:r w:rsidRPr="00564DB3">
        <w:rPr>
          <w:rFonts w:cs="Arial"/>
          <w:szCs w:val="18"/>
        </w:rPr>
        <w:t xml:space="preserve"> the languages of all of the largest suppliers of tuna and tuna products, such as </w:t>
      </w:r>
      <w:r w:rsidR="003F0DC5" w:rsidRPr="00564DB3">
        <w:rPr>
          <w:rFonts w:cs="Arial"/>
          <w:szCs w:val="18"/>
        </w:rPr>
        <w:t xml:space="preserve">the Philippines, </w:t>
      </w:r>
      <w:r w:rsidRPr="00564DB3">
        <w:rPr>
          <w:rFonts w:cs="Arial"/>
          <w:szCs w:val="18"/>
        </w:rPr>
        <w:t xml:space="preserve">Chinese Taipei, </w:t>
      </w:r>
      <w:r w:rsidR="003F0DC5" w:rsidRPr="00564DB3">
        <w:rPr>
          <w:rFonts w:cs="Arial"/>
          <w:szCs w:val="18"/>
        </w:rPr>
        <w:t xml:space="preserve">and Thailand, </w:t>
      </w:r>
      <w:r w:rsidRPr="00564DB3">
        <w:rPr>
          <w:rFonts w:cs="Arial"/>
          <w:szCs w:val="18"/>
        </w:rPr>
        <w:t>which Mexico argues are significantly deficient in the control and monitoring of fishing activities.</w:t>
      </w:r>
      <w:r w:rsidRPr="00564DB3">
        <w:rPr>
          <w:rStyle w:val="FootnoteReference"/>
          <w:rFonts w:cs="Arial"/>
          <w:szCs w:val="18"/>
        </w:rPr>
        <w:footnoteReference w:id="656"/>
      </w:r>
      <w:r w:rsidRPr="00564DB3">
        <w:rPr>
          <w:rFonts w:cs="Arial"/>
          <w:szCs w:val="18"/>
        </w:rPr>
        <w:t xml:space="preserve"> As the Panels explained, the training course was being actively disseminat</w:t>
      </w:r>
      <w:r w:rsidR="003F0DC5" w:rsidRPr="00564DB3">
        <w:rPr>
          <w:rFonts w:cs="Arial"/>
          <w:szCs w:val="18"/>
        </w:rPr>
        <w:t xml:space="preserve">ed by the United States itself </w:t>
      </w:r>
      <w:r w:rsidRPr="00564DB3">
        <w:rPr>
          <w:rFonts w:cs="Arial"/>
          <w:szCs w:val="18"/>
        </w:rPr>
        <w:t>to facilitate the effective implementation of the training requirement.</w:t>
      </w:r>
      <w:r w:rsidRPr="00564DB3">
        <w:rPr>
          <w:rStyle w:val="FootnoteReference"/>
          <w:rFonts w:cs="Arial"/>
          <w:szCs w:val="18"/>
        </w:rPr>
        <w:footnoteReference w:id="657"/>
      </w:r>
      <w:r w:rsidRPr="00564DB3">
        <w:rPr>
          <w:rFonts w:cs="Arial"/>
          <w:szCs w:val="18"/>
        </w:rPr>
        <w:t xml:space="preserve"> In our view, the above findings illustrate the ways in which the Panels took account of the potential risks of inaccuracy when undertaking their calibration analysis.</w:t>
      </w:r>
      <w:bookmarkEnd w:id="328"/>
      <w:bookmarkEnd w:id="329"/>
    </w:p>
    <w:p w:rsidR="00913A2E" w:rsidRPr="00564DB3" w:rsidRDefault="00913A2E" w:rsidP="00F70E38">
      <w:pPr>
        <w:pStyle w:val="BodyText"/>
        <w:rPr>
          <w:rFonts w:cs="Arial"/>
          <w:szCs w:val="18"/>
        </w:rPr>
      </w:pPr>
      <w:bookmarkStart w:id="330" w:name="_Ref526527429"/>
      <w:r w:rsidRPr="00564DB3">
        <w:rPr>
          <w:rFonts w:cs="Arial"/>
          <w:szCs w:val="18"/>
        </w:rPr>
        <w:t xml:space="preserve">Finally, we address Mexico's allegation that </w:t>
      </w:r>
      <w:bookmarkStart w:id="331" w:name="_Ref516839853"/>
      <w:r w:rsidRPr="00564DB3">
        <w:rPr>
          <w:rFonts w:cs="Arial"/>
          <w:szCs w:val="18"/>
        </w:rPr>
        <w:t xml:space="preserve">the Panels erred in finding </w:t>
      </w:r>
      <w:bookmarkStart w:id="332" w:name="_Hlk526441759"/>
      <w:r w:rsidRPr="00564DB3">
        <w:rPr>
          <w:rFonts w:cs="Arial"/>
          <w:szCs w:val="18"/>
        </w:rPr>
        <w:t xml:space="preserve">that the determination provisions </w:t>
      </w:r>
      <w:r w:rsidR="00A97A78" w:rsidRPr="00564DB3">
        <w:rPr>
          <w:rFonts w:cs="Arial"/>
          <w:szCs w:val="18"/>
        </w:rPr>
        <w:t>"</w:t>
      </w:r>
      <w:r w:rsidRPr="00564DB3">
        <w:rPr>
          <w:rFonts w:cs="Arial"/>
          <w:szCs w:val="18"/>
        </w:rPr>
        <w:t>help to ensure that the 2016 Tuna Measure treats similar situations similarly</w:t>
      </w:r>
      <w:r w:rsidR="00A97A78" w:rsidRPr="00564DB3">
        <w:rPr>
          <w:rFonts w:cs="Arial"/>
          <w:szCs w:val="18"/>
        </w:rPr>
        <w:t>"</w:t>
      </w:r>
      <w:r w:rsidRPr="00564DB3">
        <w:rPr>
          <w:rFonts w:cs="Arial"/>
          <w:szCs w:val="18"/>
        </w:rPr>
        <w:t xml:space="preserve"> and </w:t>
      </w:r>
      <w:r w:rsidR="00A97A78" w:rsidRPr="00564DB3">
        <w:rPr>
          <w:rFonts w:cs="Arial"/>
          <w:szCs w:val="18"/>
        </w:rPr>
        <w:t>"</w:t>
      </w:r>
      <w:r w:rsidRPr="00564DB3">
        <w:rPr>
          <w:rFonts w:cs="Arial"/>
          <w:szCs w:val="18"/>
        </w:rPr>
        <w:t>help to establish a mechanism for enforcing the eligibility criteria that are properly calibrated to the different risk profiles in different fisheries</w:t>
      </w:r>
      <w:r w:rsidR="00A97A78" w:rsidRPr="00564DB3">
        <w:rPr>
          <w:rFonts w:cs="Arial"/>
          <w:szCs w:val="18"/>
        </w:rPr>
        <w:t>"</w:t>
      </w:r>
      <w:r w:rsidRPr="00564DB3">
        <w:rPr>
          <w:rFonts w:cs="Arial"/>
          <w:szCs w:val="18"/>
        </w:rPr>
        <w:t>.</w:t>
      </w:r>
      <w:bookmarkEnd w:id="332"/>
      <w:r w:rsidRPr="00564DB3">
        <w:rPr>
          <w:rStyle w:val="FootnoteReference"/>
          <w:rFonts w:cs="Arial"/>
          <w:szCs w:val="18"/>
        </w:rPr>
        <w:footnoteReference w:id="658"/>
      </w:r>
      <w:r w:rsidRPr="00564DB3">
        <w:rPr>
          <w:rFonts w:cs="Arial"/>
          <w:szCs w:val="18"/>
        </w:rPr>
        <w:t xml:space="preserve"> </w:t>
      </w:r>
      <w:bookmarkStart w:id="333" w:name="_Hlk527051017"/>
      <w:r w:rsidRPr="00564DB3">
        <w:rPr>
          <w:rFonts w:cs="Arial"/>
          <w:szCs w:val="18"/>
        </w:rPr>
        <w:t xml:space="preserve">Mexico argues that the Panels failed to take </w:t>
      </w:r>
      <w:r w:rsidR="00496950" w:rsidRPr="00564DB3">
        <w:rPr>
          <w:rFonts w:cs="Arial"/>
          <w:szCs w:val="18"/>
        </w:rPr>
        <w:t xml:space="preserve">fully </w:t>
      </w:r>
      <w:r w:rsidRPr="00564DB3">
        <w:rPr>
          <w:rFonts w:cs="Arial"/>
          <w:szCs w:val="18"/>
        </w:rPr>
        <w:t xml:space="preserve">into account Mexico's assertion that the determination provisions do not allow calibration of the certification requirement </w:t>
      </w:r>
      <w:bookmarkEnd w:id="333"/>
      <w:r w:rsidRPr="00564DB3">
        <w:rPr>
          <w:rFonts w:cs="Arial"/>
          <w:szCs w:val="18"/>
        </w:rPr>
        <w:t>to the extreme danger to dolphins in fisheries where stock sustainability is being threatened and a small number of dolphin mortalities can have disastrous consequences. For Mexico, the Panels' approach also ignored the high number of dolphin mortalities and serious injury when measured on an absolute basis.</w:t>
      </w:r>
      <w:bookmarkEnd w:id="330"/>
      <w:bookmarkEnd w:id="331"/>
      <w:r w:rsidRPr="00564DB3">
        <w:rPr>
          <w:rStyle w:val="FootnoteReference"/>
          <w:rFonts w:cs="Arial"/>
          <w:szCs w:val="18"/>
        </w:rPr>
        <w:footnoteReference w:id="659"/>
      </w:r>
    </w:p>
    <w:p w:rsidR="00913A2E" w:rsidRPr="00564DB3" w:rsidRDefault="00913A2E" w:rsidP="00F70E38">
      <w:pPr>
        <w:pStyle w:val="BodyText"/>
        <w:rPr>
          <w:rFonts w:cs="Arial"/>
          <w:szCs w:val="18"/>
        </w:rPr>
      </w:pPr>
      <w:r w:rsidRPr="00564DB3">
        <w:rPr>
          <w:rFonts w:cs="Arial"/>
          <w:szCs w:val="18"/>
        </w:rPr>
        <w:t xml:space="preserve">We recall that, </w:t>
      </w:r>
      <w:r w:rsidRPr="00564DB3">
        <w:rPr>
          <w:szCs w:val="18"/>
        </w:rPr>
        <w:t xml:space="preserve">pursuant to the 2016 Tuna Measure, tuna caught in all fisheries </w:t>
      </w:r>
      <w:r w:rsidRPr="00564DB3">
        <w:rPr>
          <w:i/>
          <w:szCs w:val="18"/>
        </w:rPr>
        <w:t>other than</w:t>
      </w:r>
      <w:r w:rsidRPr="00564DB3">
        <w:rPr>
          <w:szCs w:val="18"/>
        </w:rPr>
        <w:t xml:space="preserve"> the ETP large purse seine fishery</w:t>
      </w:r>
      <w:r w:rsidRPr="00564DB3" w:rsidDel="00E10CB6">
        <w:rPr>
          <w:szCs w:val="18"/>
        </w:rPr>
        <w:t xml:space="preserve"> </w:t>
      </w:r>
      <w:r w:rsidRPr="00564DB3">
        <w:rPr>
          <w:szCs w:val="18"/>
        </w:rPr>
        <w:t>may require an observer</w:t>
      </w:r>
      <w:r w:rsidRPr="00564DB3">
        <w:rPr>
          <w:rStyle w:val="FootnoteReference"/>
          <w:szCs w:val="18"/>
        </w:rPr>
        <w:footnoteReference w:id="660"/>
      </w:r>
      <w:r w:rsidRPr="00564DB3">
        <w:rPr>
          <w:szCs w:val="18"/>
        </w:rPr>
        <w:t xml:space="preserve"> certification in addition to the captain certification where the Assistant Administrator has determined that </w:t>
      </w:r>
      <w:r w:rsidR="00810ACB">
        <w:rPr>
          <w:szCs w:val="18"/>
        </w:rPr>
        <w:t>in a fishery other than the ETP </w:t>
      </w:r>
      <w:r w:rsidRPr="00564DB3">
        <w:rPr>
          <w:szCs w:val="18"/>
        </w:rPr>
        <w:t xml:space="preserve">large purse seine fishery: (i) there is a regular and significant association between dolphins and tuna (similar to the association between dolphins and tuna in the ETP); or (ii) a regular and significant mortality or serious injury of dolphins is occurring. The captain and observer must certify that: (i) no fishing gear was intentionally deployed on or used to encircle dolphins during the trip on which the tuna </w:t>
      </w:r>
      <w:r w:rsidR="00805D29" w:rsidRPr="00564DB3">
        <w:rPr>
          <w:szCs w:val="18"/>
        </w:rPr>
        <w:t xml:space="preserve">was </w:t>
      </w:r>
      <w:r w:rsidRPr="00564DB3">
        <w:rPr>
          <w:szCs w:val="18"/>
        </w:rPr>
        <w:t xml:space="preserve">caught; and (ii) no dolphins were killed or seriously injured in the sets or other gear deployments in which the tuna </w:t>
      </w:r>
      <w:r w:rsidR="00805D29" w:rsidRPr="00564DB3">
        <w:rPr>
          <w:szCs w:val="18"/>
        </w:rPr>
        <w:t xml:space="preserve">was </w:t>
      </w:r>
      <w:r w:rsidRPr="00564DB3">
        <w:rPr>
          <w:szCs w:val="18"/>
        </w:rPr>
        <w:t>caught.</w:t>
      </w:r>
      <w:r w:rsidRPr="00564DB3">
        <w:rPr>
          <w:rStyle w:val="FootnoteReference"/>
          <w:szCs w:val="18"/>
        </w:rPr>
        <w:footnoteReference w:id="661"/>
      </w:r>
    </w:p>
    <w:p w:rsidR="00913A2E" w:rsidRPr="00564DB3" w:rsidRDefault="00913A2E" w:rsidP="00F70E38">
      <w:pPr>
        <w:pStyle w:val="BodyText"/>
        <w:rPr>
          <w:rFonts w:cs="Arial"/>
          <w:szCs w:val="18"/>
        </w:rPr>
      </w:pPr>
      <w:r w:rsidRPr="00564DB3">
        <w:rPr>
          <w:rFonts w:cs="Arial"/>
          <w:szCs w:val="18"/>
        </w:rPr>
        <w:t>We note that Mexico</w:t>
      </w:r>
      <w:r w:rsidR="00B7639F" w:rsidRPr="00564DB3">
        <w:rPr>
          <w:rFonts w:cs="Arial"/>
          <w:szCs w:val="18"/>
        </w:rPr>
        <w:t>'s arguments concerning dolphin-</w:t>
      </w:r>
      <w:r w:rsidRPr="00564DB3">
        <w:rPr>
          <w:rFonts w:cs="Arial"/>
          <w:szCs w:val="18"/>
        </w:rPr>
        <w:t xml:space="preserve">stock sustainability and the </w:t>
      </w:r>
      <w:r w:rsidR="008527FB" w:rsidRPr="00564DB3">
        <w:rPr>
          <w:rFonts w:cs="Arial"/>
          <w:szCs w:val="18"/>
        </w:rPr>
        <w:t>Panel</w:t>
      </w:r>
      <w:r w:rsidR="00FE464C" w:rsidRPr="00564DB3">
        <w:rPr>
          <w:rFonts w:cs="Arial"/>
          <w:szCs w:val="18"/>
        </w:rPr>
        <w:t>s</w:t>
      </w:r>
      <w:r w:rsidR="008527FB" w:rsidRPr="00564DB3">
        <w:rPr>
          <w:rFonts w:cs="Arial"/>
          <w:szCs w:val="18"/>
        </w:rPr>
        <w:t>'</w:t>
      </w:r>
      <w:r w:rsidR="001B4DCA">
        <w:rPr>
          <w:rFonts w:cs="Arial"/>
          <w:szCs w:val="18"/>
        </w:rPr>
        <w:t> </w:t>
      </w:r>
      <w:r w:rsidRPr="00564DB3">
        <w:rPr>
          <w:rFonts w:cs="Arial"/>
          <w:szCs w:val="18"/>
        </w:rPr>
        <w:t>reliance on the per set methodology (as opposed to absolute level</w:t>
      </w:r>
      <w:r w:rsidR="0078381B">
        <w:rPr>
          <w:rFonts w:cs="Arial"/>
          <w:szCs w:val="18"/>
        </w:rPr>
        <w:t>s</w:t>
      </w:r>
      <w:r w:rsidRPr="00564DB3">
        <w:rPr>
          <w:rFonts w:cs="Arial"/>
          <w:szCs w:val="18"/>
        </w:rPr>
        <w:t xml:space="preserve"> of mortalities</w:t>
      </w:r>
      <w:r w:rsidR="0078381B">
        <w:rPr>
          <w:rFonts w:cs="Arial"/>
          <w:szCs w:val="18"/>
        </w:rPr>
        <w:t xml:space="preserve"> and serious injuries</w:t>
      </w:r>
      <w:r w:rsidRPr="00564DB3">
        <w:rPr>
          <w:rFonts w:cs="Arial"/>
          <w:szCs w:val="18"/>
        </w:rPr>
        <w:t xml:space="preserve">) mirror </w:t>
      </w:r>
      <w:r w:rsidR="00B7639F" w:rsidRPr="00564DB3">
        <w:rPr>
          <w:rFonts w:cs="Arial"/>
          <w:szCs w:val="18"/>
        </w:rPr>
        <w:t>its</w:t>
      </w:r>
      <w:r w:rsidRPr="00564DB3">
        <w:rPr>
          <w:rFonts w:cs="Arial"/>
          <w:szCs w:val="18"/>
        </w:rPr>
        <w:t xml:space="preserve"> arguments relating to the Panels' evaluation of the risk profiles. These arguments have already been addressed and rejected </w:t>
      </w:r>
      <w:r w:rsidRPr="001646CE">
        <w:rPr>
          <w:rFonts w:cs="Arial"/>
          <w:szCs w:val="18"/>
        </w:rPr>
        <w:t>in section</w:t>
      </w:r>
      <w:r w:rsidR="001646CE" w:rsidRPr="001646CE">
        <w:rPr>
          <w:rFonts w:cs="Arial"/>
          <w:szCs w:val="18"/>
        </w:rPr>
        <w:t xml:space="preserve"> 6.1.4.4</w:t>
      </w:r>
      <w:r w:rsidRPr="001646CE">
        <w:rPr>
          <w:rFonts w:cs="Arial"/>
          <w:szCs w:val="18"/>
        </w:rPr>
        <w:t xml:space="preserve"> above</w:t>
      </w:r>
      <w:r w:rsidRPr="00564DB3">
        <w:rPr>
          <w:rFonts w:cs="Arial"/>
          <w:szCs w:val="18"/>
        </w:rPr>
        <w:t>.</w:t>
      </w:r>
      <w:r w:rsidRPr="00564DB3">
        <w:rPr>
          <w:rStyle w:val="FootnoteReference"/>
          <w:rFonts w:cs="Arial"/>
          <w:szCs w:val="18"/>
        </w:rPr>
        <w:footnoteReference w:id="662"/>
      </w:r>
    </w:p>
    <w:p w:rsidR="00913A2E" w:rsidRPr="00564DB3" w:rsidRDefault="00913A2E" w:rsidP="00F70E38">
      <w:pPr>
        <w:pStyle w:val="BodyText"/>
        <w:rPr>
          <w:rFonts w:cs="Arial"/>
          <w:szCs w:val="18"/>
        </w:rPr>
      </w:pPr>
      <w:bookmarkStart w:id="334" w:name="_Ref517967621"/>
      <w:bookmarkStart w:id="335" w:name="_Ref516839861"/>
      <w:r w:rsidRPr="00564DB3">
        <w:rPr>
          <w:rFonts w:cs="Arial"/>
          <w:szCs w:val="18"/>
        </w:rPr>
        <w:t xml:space="preserve">In addition, Mexico contends that the Panels failed to </w:t>
      </w:r>
      <w:r w:rsidR="0037632A" w:rsidRPr="00564DB3">
        <w:rPr>
          <w:rFonts w:cs="Arial"/>
          <w:szCs w:val="18"/>
        </w:rPr>
        <w:t xml:space="preserve">fully </w:t>
      </w:r>
      <w:r w:rsidRPr="00564DB3">
        <w:rPr>
          <w:rFonts w:cs="Arial"/>
          <w:szCs w:val="18"/>
        </w:rPr>
        <w:t>take into account the fact that, in applying the determination provisions, the Uni</w:t>
      </w:r>
      <w:r w:rsidR="00A93707" w:rsidRPr="00564DB3">
        <w:rPr>
          <w:rFonts w:cs="Arial"/>
          <w:szCs w:val="18"/>
        </w:rPr>
        <w:t>ted States relies on "a 20</w:t>
      </w:r>
      <w:r w:rsidR="00A93707" w:rsidRPr="00564DB3">
        <w:rPr>
          <w:rFonts w:cs="Arial"/>
          <w:szCs w:val="18"/>
        </w:rPr>
        <w:noBreakHyphen/>
        <w:t>year </w:t>
      </w:r>
      <w:r w:rsidRPr="00564DB3">
        <w:rPr>
          <w:rFonts w:cs="Arial"/>
          <w:szCs w:val="18"/>
        </w:rPr>
        <w:t>average of direct dolphin mortalities caused by dolphin sets in the ETP" between 1997</w:t>
      </w:r>
      <w:r w:rsidR="00B7639F" w:rsidRPr="00564DB3">
        <w:rPr>
          <w:rFonts w:cs="Arial"/>
          <w:szCs w:val="18"/>
        </w:rPr>
        <w:noBreakHyphen/>
      </w:r>
      <w:r w:rsidRPr="00564DB3">
        <w:rPr>
          <w:rFonts w:cs="Arial"/>
          <w:szCs w:val="18"/>
        </w:rPr>
        <w:t>2017 for determining whether there is a regular and significant mortality or serious injury of dolphi</w:t>
      </w:r>
      <w:r w:rsidR="00A97A78" w:rsidRPr="00564DB3">
        <w:rPr>
          <w:rFonts w:cs="Arial"/>
          <w:szCs w:val="18"/>
        </w:rPr>
        <w:t>ns</w:t>
      </w:r>
      <w:r w:rsidRPr="00564DB3">
        <w:rPr>
          <w:rFonts w:cs="Arial"/>
          <w:szCs w:val="18"/>
        </w:rPr>
        <w:t xml:space="preserve"> in a particular fishery.</w:t>
      </w:r>
      <w:r w:rsidRPr="00564DB3">
        <w:rPr>
          <w:rStyle w:val="FootnoteReference"/>
          <w:rFonts w:cs="Arial"/>
          <w:szCs w:val="18"/>
        </w:rPr>
        <w:footnoteReference w:id="663"/>
      </w:r>
      <w:r w:rsidRPr="00564DB3">
        <w:rPr>
          <w:rFonts w:cs="Arial"/>
          <w:szCs w:val="18"/>
        </w:rPr>
        <w:t xml:space="preserve"> Mexico con</w:t>
      </w:r>
      <w:r w:rsidR="00A93707" w:rsidRPr="00564DB3">
        <w:rPr>
          <w:rFonts w:cs="Arial"/>
          <w:szCs w:val="18"/>
        </w:rPr>
        <w:t>tends that, because the 20</w:t>
      </w:r>
      <w:r w:rsidR="00A93707" w:rsidRPr="00564DB3">
        <w:rPr>
          <w:rFonts w:cs="Arial"/>
          <w:szCs w:val="18"/>
        </w:rPr>
        <w:noBreakHyphen/>
        <w:t>year </w:t>
      </w:r>
      <w:r w:rsidRPr="00564DB3">
        <w:rPr>
          <w:rFonts w:cs="Arial"/>
          <w:szCs w:val="18"/>
        </w:rPr>
        <w:t>average encompasses a period when dolphin mortalities were higher in the ETP, the US benchmark under the determination provisions is materially higher than the average mortalities between 2009 and 2015, on which the Panels relied "elsewhere".</w:t>
      </w:r>
      <w:r w:rsidRPr="00564DB3">
        <w:rPr>
          <w:rStyle w:val="FootnoteReference"/>
          <w:rFonts w:cs="Arial"/>
          <w:szCs w:val="18"/>
        </w:rPr>
        <w:footnoteReference w:id="664"/>
      </w:r>
      <w:r w:rsidRPr="00564DB3">
        <w:rPr>
          <w:rFonts w:cs="Arial"/>
          <w:szCs w:val="18"/>
        </w:rPr>
        <w:t xml:space="preserve"> According to Mexico, the Panels did not address this inconsistency in the data on which they relied. Mexico further contends that the Panels' finding suggests an approach under which, if a fishery is found to have a lower per set mortality rate t</w:t>
      </w:r>
      <w:r w:rsidR="00A93707" w:rsidRPr="00564DB3">
        <w:rPr>
          <w:rFonts w:cs="Arial"/>
          <w:szCs w:val="18"/>
        </w:rPr>
        <w:t>han the ETP (based on a 20</w:t>
      </w:r>
      <w:r w:rsidR="00A93707" w:rsidRPr="00564DB3">
        <w:rPr>
          <w:rFonts w:cs="Arial"/>
          <w:szCs w:val="18"/>
        </w:rPr>
        <w:noBreakHyphen/>
        <w:t>year </w:t>
      </w:r>
      <w:r w:rsidRPr="00564DB3">
        <w:rPr>
          <w:rFonts w:cs="Arial"/>
          <w:szCs w:val="18"/>
        </w:rPr>
        <w:t xml:space="preserve">average), it is </w:t>
      </w:r>
      <w:r w:rsidRPr="00564DB3">
        <w:rPr>
          <w:rFonts w:cs="Arial"/>
          <w:i/>
          <w:szCs w:val="18"/>
        </w:rPr>
        <w:t>automatically</w:t>
      </w:r>
      <w:r w:rsidRPr="00564DB3">
        <w:rPr>
          <w:rFonts w:cs="Arial"/>
          <w:szCs w:val="18"/>
        </w:rPr>
        <w:t xml:space="preserve"> assumed that there are no</w:t>
      </w:r>
      <w:r w:rsidR="00B7639F" w:rsidRPr="00564DB3">
        <w:rPr>
          <w:rFonts w:cs="Arial"/>
          <w:szCs w:val="18"/>
        </w:rPr>
        <w:t>,</w:t>
      </w:r>
      <w:r w:rsidRPr="00564DB3">
        <w:rPr>
          <w:rFonts w:cs="Arial"/>
          <w:szCs w:val="18"/>
        </w:rPr>
        <w:t xml:space="preserve"> or </w:t>
      </w:r>
      <w:r w:rsidRPr="00564DB3">
        <w:rPr>
          <w:rFonts w:cs="Arial"/>
          <w:i/>
          <w:szCs w:val="18"/>
        </w:rPr>
        <w:t>de minimis</w:t>
      </w:r>
      <w:r w:rsidR="00B7639F" w:rsidRPr="00564DB3">
        <w:rPr>
          <w:rFonts w:cs="Arial"/>
          <w:szCs w:val="18"/>
        </w:rPr>
        <w:t xml:space="preserve">, </w:t>
      </w:r>
      <w:r w:rsidRPr="00564DB3">
        <w:rPr>
          <w:rFonts w:cs="Arial"/>
          <w:szCs w:val="18"/>
        </w:rPr>
        <w:t>risks to dolphins. Mexico considers this to be "an erroneous application of the test for calibration".</w:t>
      </w:r>
      <w:r w:rsidRPr="00564DB3">
        <w:rPr>
          <w:rStyle w:val="FootnoteReference"/>
          <w:rFonts w:cs="Arial"/>
          <w:szCs w:val="18"/>
        </w:rPr>
        <w:footnoteReference w:id="665"/>
      </w:r>
    </w:p>
    <w:p w:rsidR="00913A2E" w:rsidRPr="00564DB3" w:rsidRDefault="00913A2E" w:rsidP="00F70E38">
      <w:pPr>
        <w:pStyle w:val="BodyText"/>
        <w:rPr>
          <w:rFonts w:cs="Arial"/>
          <w:szCs w:val="18"/>
        </w:rPr>
      </w:pPr>
      <w:bookmarkStart w:id="336" w:name="_Ref528848136"/>
      <w:r w:rsidRPr="00564DB3">
        <w:rPr>
          <w:rFonts w:cs="Arial"/>
          <w:szCs w:val="18"/>
        </w:rPr>
        <w:t>We recall that, in its Notice of Appeal, Mexico expressly challenges the Panels' evaluation of: (i) the eligibility criteria; (ii) the certification requirements; (iii) the tracking and verification requirements; and (iv) the 2016 Tuna Measure as a whole.</w:t>
      </w:r>
      <w:r w:rsidRPr="00564DB3">
        <w:rPr>
          <w:rStyle w:val="FootnoteReference"/>
          <w:rFonts w:cs="Arial"/>
          <w:szCs w:val="18"/>
        </w:rPr>
        <w:footnoteReference w:id="666"/>
      </w:r>
      <w:r w:rsidRPr="00564DB3">
        <w:rPr>
          <w:rFonts w:cs="Arial"/>
          <w:szCs w:val="18"/>
        </w:rPr>
        <w:t xml:space="preserve"> Mexico's Notice of Appeal does not include a claim challenging the Panels' discrete findings with respect to the determination provisions.</w:t>
      </w:r>
      <w:r w:rsidRPr="00564DB3">
        <w:rPr>
          <w:rStyle w:val="FootnoteReference"/>
          <w:rFonts w:cs="Arial"/>
          <w:szCs w:val="18"/>
        </w:rPr>
        <w:footnoteReference w:id="667"/>
      </w:r>
      <w:r w:rsidRPr="00564DB3">
        <w:rPr>
          <w:rFonts w:cs="Arial"/>
          <w:szCs w:val="18"/>
        </w:rPr>
        <w:t xml:space="preserve"> Yet, in its appellant's submission, Mexico appears to challenge these very findings. Moreover, we note that this allegation by Mexico does not directly concern the heightened certification requirements, which follow once the Assistant Administrator has made the determination: (i) th</w:t>
      </w:r>
      <w:r w:rsidR="00C65645" w:rsidRPr="00564DB3">
        <w:rPr>
          <w:rFonts w:cs="Arial"/>
          <w:szCs w:val="18"/>
        </w:rPr>
        <w:t>at a fishery other than the ETP </w:t>
      </w:r>
      <w:r w:rsidRPr="00564DB3">
        <w:rPr>
          <w:rFonts w:cs="Arial"/>
          <w:szCs w:val="18"/>
        </w:rPr>
        <w:t>large purse seine fishery has either a regular and significant association between dolphins and tuna (similar to the association between dolphins and tuna in the ETP); or (ii) that a regular and significant mortality or serious injury of dolphins is occurring in a given fishery.</w:t>
      </w:r>
      <w:r w:rsidRPr="00564DB3">
        <w:rPr>
          <w:rStyle w:val="FootnoteReference"/>
          <w:rFonts w:cs="Arial"/>
          <w:szCs w:val="18"/>
        </w:rPr>
        <w:footnoteReference w:id="668"/>
      </w:r>
      <w:r w:rsidRPr="00564DB3">
        <w:rPr>
          <w:rFonts w:cs="Arial"/>
          <w:szCs w:val="18"/>
        </w:rPr>
        <w:t xml:space="preserve"> Rather, Mexico's allegation concerns the methodology adopted by the United States to allow the Assistant Administrator to make such determinations, which the Panels did not address in their evaluation of the certification requirements, and which Mexico does not separately challenge on appeal. </w:t>
      </w:r>
      <w:bookmarkStart w:id="337" w:name="_Hlk526442556"/>
      <w:r w:rsidRPr="00564DB3">
        <w:rPr>
          <w:rFonts w:cs="Arial"/>
          <w:szCs w:val="18"/>
        </w:rPr>
        <w:t xml:space="preserve">Furthermore, in response to questioning at the hearing, Mexico explicitly stated that it was not challenging the Panels' discrete findings on the determination provisions. Instead, Mexico explained that its reference to the Panels' findings </w:t>
      </w:r>
      <w:r w:rsidR="001771DC" w:rsidRPr="00564DB3">
        <w:rPr>
          <w:rFonts w:cs="Arial"/>
          <w:szCs w:val="18"/>
        </w:rPr>
        <w:t>was</w:t>
      </w:r>
      <w:r w:rsidRPr="00564DB3">
        <w:rPr>
          <w:rFonts w:cs="Arial"/>
          <w:szCs w:val="18"/>
        </w:rPr>
        <w:t xml:space="preserve"> merely aimed at pointing out that the determination provisions do not remedy the </w:t>
      </w:r>
      <w:r w:rsidR="00A97A78" w:rsidRPr="00564DB3">
        <w:rPr>
          <w:rFonts w:cs="Arial"/>
          <w:szCs w:val="18"/>
        </w:rPr>
        <w:t>lack of</w:t>
      </w:r>
      <w:r w:rsidRPr="00564DB3">
        <w:rPr>
          <w:rFonts w:cs="Arial"/>
          <w:szCs w:val="18"/>
        </w:rPr>
        <w:t xml:space="preserve"> even</w:t>
      </w:r>
      <w:r w:rsidRPr="00564DB3">
        <w:rPr>
          <w:rFonts w:cs="Arial"/>
          <w:szCs w:val="18"/>
        </w:rPr>
        <w:noBreakHyphen/>
        <w:t>handedness of the 2016 Tuna Measure.</w:t>
      </w:r>
      <w:bookmarkEnd w:id="336"/>
      <w:bookmarkEnd w:id="337"/>
    </w:p>
    <w:p w:rsidR="00913A2E" w:rsidRPr="00564DB3" w:rsidRDefault="00913A2E" w:rsidP="00F70E38">
      <w:pPr>
        <w:pStyle w:val="BodyText"/>
        <w:rPr>
          <w:rFonts w:cs="Arial"/>
          <w:szCs w:val="18"/>
        </w:rPr>
      </w:pPr>
      <w:r w:rsidRPr="00564DB3">
        <w:rPr>
          <w:rFonts w:cs="Arial"/>
          <w:szCs w:val="18"/>
        </w:rPr>
        <w:t>An assessment of the even</w:t>
      </w:r>
      <w:r w:rsidRPr="00564DB3">
        <w:rPr>
          <w:rFonts w:cs="Arial"/>
          <w:szCs w:val="18"/>
        </w:rPr>
        <w:noBreakHyphen/>
        <w:t>handedness of the 2016 Tuna Measure "must take account of the fact that its various elements … establish a series of conditions of access to the dolphin</w:t>
      </w:r>
      <w:r w:rsidRPr="00564DB3">
        <w:rPr>
          <w:rFonts w:cs="Arial"/>
          <w:szCs w:val="18"/>
        </w:rPr>
        <w:noBreakHyphen/>
        <w:t>safe label that are cumulative and highly interrelated".</w:t>
      </w:r>
      <w:r w:rsidRPr="00564DB3">
        <w:rPr>
          <w:rStyle w:val="FootnoteReference"/>
          <w:rFonts w:cs="Arial"/>
          <w:szCs w:val="18"/>
        </w:rPr>
        <w:footnoteReference w:id="669"/>
      </w:r>
      <w:r w:rsidRPr="00564DB3">
        <w:rPr>
          <w:rFonts w:cs="Arial"/>
          <w:szCs w:val="18"/>
        </w:rPr>
        <w:t xml:space="preserve"> Thus, to the extent that Mexico's arguments concerning the US methodology for applying the determination provisions impact the even</w:t>
      </w:r>
      <w:r w:rsidRPr="00564DB3">
        <w:rPr>
          <w:rFonts w:cs="Arial"/>
          <w:szCs w:val="18"/>
        </w:rPr>
        <w:noBreakHyphen/>
        <w:t>handedness of the 2016 Tuna Measure, owing to the "cumulative and highly interrelated" aspects of the various conditions of access to the dolphin</w:t>
      </w:r>
      <w:r w:rsidRPr="00564DB3">
        <w:rPr>
          <w:rFonts w:cs="Arial"/>
          <w:szCs w:val="18"/>
        </w:rPr>
        <w:noBreakHyphen/>
        <w:t>safe label, we consider Mexico's arguments to be properly before us.</w:t>
      </w:r>
    </w:p>
    <w:p w:rsidR="00913A2E" w:rsidRPr="00564DB3" w:rsidRDefault="00913A2E" w:rsidP="00F70E38">
      <w:pPr>
        <w:pStyle w:val="BodyText"/>
        <w:rPr>
          <w:rFonts w:cs="Arial"/>
          <w:szCs w:val="18"/>
        </w:rPr>
      </w:pPr>
      <w:r w:rsidRPr="00564DB3">
        <w:rPr>
          <w:rFonts w:cs="Arial"/>
          <w:szCs w:val="18"/>
        </w:rPr>
        <w:t>Mexico's arguments on appeal suggest that there is an inconsistency between the Panels' reliance on 2009-2015 data from the</w:t>
      </w:r>
      <w:r w:rsidR="00496950" w:rsidRPr="00564DB3">
        <w:rPr>
          <w:rFonts w:cs="Arial"/>
          <w:szCs w:val="18"/>
        </w:rPr>
        <w:t xml:space="preserve"> ETP in arriving at one finding</w:t>
      </w:r>
      <w:r w:rsidRPr="00564DB3">
        <w:rPr>
          <w:rFonts w:cs="Arial"/>
          <w:szCs w:val="18"/>
        </w:rPr>
        <w:t xml:space="preserve"> and the Panels' review of the data drawn from </w:t>
      </w:r>
      <w:r w:rsidR="0049607B" w:rsidRPr="00564DB3">
        <w:rPr>
          <w:rFonts w:cs="Arial"/>
          <w:szCs w:val="18"/>
        </w:rPr>
        <w:t>a 20</w:t>
      </w:r>
      <w:r w:rsidR="0049607B" w:rsidRPr="00564DB3">
        <w:rPr>
          <w:rFonts w:cs="Arial"/>
          <w:szCs w:val="18"/>
        </w:rPr>
        <w:noBreakHyphen/>
        <w:t xml:space="preserve">year average covering 1997 and </w:t>
      </w:r>
      <w:r w:rsidRPr="00564DB3">
        <w:rPr>
          <w:rFonts w:cs="Arial"/>
          <w:szCs w:val="18"/>
        </w:rPr>
        <w:t xml:space="preserve">2017 in their evaluation </w:t>
      </w:r>
      <w:r w:rsidR="00A97A78" w:rsidRPr="00564DB3">
        <w:rPr>
          <w:rFonts w:cs="Arial"/>
          <w:szCs w:val="18"/>
        </w:rPr>
        <w:t xml:space="preserve">of </w:t>
      </w:r>
      <w:r w:rsidRPr="00564DB3">
        <w:rPr>
          <w:rFonts w:cs="Arial"/>
          <w:szCs w:val="18"/>
        </w:rPr>
        <w:t>the US methodology for applying the determination provisions.</w:t>
      </w:r>
      <w:r w:rsidRPr="00564DB3">
        <w:rPr>
          <w:rStyle w:val="FootnoteReference"/>
          <w:rFonts w:cs="Arial"/>
          <w:szCs w:val="18"/>
        </w:rPr>
        <w:footnoteReference w:id="670"/>
      </w:r>
      <w:r w:rsidRPr="00564DB3">
        <w:rPr>
          <w:rFonts w:cs="Arial"/>
          <w:szCs w:val="18"/>
        </w:rPr>
        <w:t xml:space="preserve"> Mexico's arguments appear to conflate two different aspects of the Panels' analyses. First, we recall that, in assessing whether the 2016 Tuna Measure is consistent with Article 2.1 of the TBT Agreement, the Panels first examined the risk profiles of the different fishing methods, as used in different areas of the ocean. In this regard, the Panels found that setting on dolphins caused both observable and unobservable harms to dolphins.</w:t>
      </w:r>
      <w:r w:rsidRPr="00564DB3">
        <w:rPr>
          <w:rStyle w:val="FootnoteReference"/>
          <w:rFonts w:cs="Arial"/>
          <w:szCs w:val="18"/>
        </w:rPr>
        <w:footnoteReference w:id="671"/>
      </w:r>
      <w:r w:rsidRPr="00564DB3">
        <w:rPr>
          <w:rFonts w:cs="Arial"/>
          <w:szCs w:val="18"/>
        </w:rPr>
        <w:t xml:space="preserve"> Specifically, the Panels found that, "[w]</w:t>
      </w:r>
      <w:proofErr w:type="spellStart"/>
      <w:r w:rsidRPr="00564DB3">
        <w:rPr>
          <w:rFonts w:cs="Arial"/>
          <w:szCs w:val="18"/>
        </w:rPr>
        <w:t>ith</w:t>
      </w:r>
      <w:proofErr w:type="spellEnd"/>
      <w:r w:rsidRPr="00564DB3">
        <w:rPr>
          <w:rFonts w:cs="Arial"/>
          <w:szCs w:val="18"/>
        </w:rPr>
        <w:t xml:space="preserve"> regard to observable harms, … setting on dolphins in the ETP has caused on average 91.15 dolphin mortalities between 2009 and 2015."</w:t>
      </w:r>
      <w:r w:rsidRPr="00564DB3">
        <w:rPr>
          <w:rStyle w:val="FootnoteReference"/>
          <w:rFonts w:cs="Arial"/>
          <w:szCs w:val="18"/>
        </w:rPr>
        <w:footnoteReference w:id="672"/>
      </w:r>
      <w:r w:rsidRPr="00564DB3">
        <w:rPr>
          <w:rFonts w:cs="Arial"/>
          <w:szCs w:val="18"/>
        </w:rPr>
        <w:t xml:space="preserve"> For </w:t>
      </w:r>
      <w:r w:rsidR="00FF1995" w:rsidRPr="00564DB3">
        <w:rPr>
          <w:szCs w:val="18"/>
        </w:rPr>
        <w:t>the purpose of</w:t>
      </w:r>
      <w:r w:rsidRPr="00564DB3">
        <w:rPr>
          <w:rFonts w:cs="Arial"/>
          <w:szCs w:val="18"/>
        </w:rPr>
        <w:t xml:space="preserve"> reviewing the eligibility criteria under the 2016 Tuna Measure, the Panels relied on, </w:t>
      </w:r>
      <w:r w:rsidRPr="00564DB3">
        <w:rPr>
          <w:rFonts w:cs="Arial"/>
          <w:i/>
          <w:szCs w:val="18"/>
        </w:rPr>
        <w:t>inter alia</w:t>
      </w:r>
      <w:r w:rsidRPr="00564DB3">
        <w:rPr>
          <w:rFonts w:cs="Arial"/>
          <w:szCs w:val="18"/>
        </w:rPr>
        <w:t>, this finding to conclude that "overall, the risk profile of setting on dolphins is much higher than that of each of the other six fishing methods used to catch tuna</w:t>
      </w:r>
      <w:r w:rsidR="00496950" w:rsidRPr="00564DB3">
        <w:rPr>
          <w:rFonts w:cs="Arial"/>
          <w:szCs w:val="18"/>
        </w:rPr>
        <w:t>.</w:t>
      </w:r>
      <w:r w:rsidRPr="00564DB3">
        <w:rPr>
          <w:rFonts w:cs="Arial"/>
          <w:szCs w:val="18"/>
        </w:rPr>
        <w:t>"</w:t>
      </w:r>
      <w:r w:rsidRPr="00564DB3">
        <w:rPr>
          <w:rStyle w:val="FootnoteReference"/>
          <w:rFonts w:cs="Arial"/>
          <w:szCs w:val="18"/>
        </w:rPr>
        <w:footnoteReference w:id="673"/>
      </w:r>
    </w:p>
    <w:p w:rsidR="00913A2E" w:rsidRPr="00564DB3" w:rsidRDefault="00913A2E" w:rsidP="00F70E38">
      <w:pPr>
        <w:pStyle w:val="BodyText"/>
        <w:rPr>
          <w:rFonts w:cs="Arial"/>
          <w:szCs w:val="18"/>
        </w:rPr>
      </w:pPr>
      <w:r w:rsidRPr="00564DB3">
        <w:rPr>
          <w:rFonts w:cs="Arial"/>
          <w:szCs w:val="18"/>
        </w:rPr>
        <w:t xml:space="preserve">Second, in assessing the determination provisions under the 2016 Tuna Measure, the Panels examined, </w:t>
      </w:r>
      <w:r w:rsidRPr="00564DB3">
        <w:rPr>
          <w:rFonts w:cs="Arial"/>
          <w:i/>
          <w:szCs w:val="18"/>
        </w:rPr>
        <w:t>inter alia</w:t>
      </w:r>
      <w:r w:rsidRPr="00564DB3">
        <w:rPr>
          <w:rFonts w:cs="Arial"/>
          <w:szCs w:val="18"/>
        </w:rPr>
        <w:t xml:space="preserve">, the methodology that the United States uses under </w:t>
      </w:r>
      <w:r w:rsidR="001771DC" w:rsidRPr="00564DB3">
        <w:rPr>
          <w:rFonts w:cs="Arial"/>
          <w:szCs w:val="18"/>
        </w:rPr>
        <w:t>the</w:t>
      </w:r>
      <w:r w:rsidRPr="00564DB3">
        <w:rPr>
          <w:rFonts w:cs="Arial"/>
          <w:szCs w:val="18"/>
        </w:rPr>
        <w:t xml:space="preserve"> determination provisions to assess the levels of mortality and serious injury to dolphins. In this regard, the Panels observed that the United States uses an "average of per set data" collected in the ETP between 1997 and 2017 (which the United States calculated as 0.1265 </w:t>
      </w:r>
      <w:r w:rsidR="00B7639F" w:rsidRPr="00564DB3">
        <w:rPr>
          <w:rFonts w:cs="Arial"/>
          <w:szCs w:val="18"/>
        </w:rPr>
        <w:t xml:space="preserve">dolphin </w:t>
      </w:r>
      <w:r w:rsidRPr="00564DB3">
        <w:rPr>
          <w:rFonts w:cs="Arial"/>
          <w:szCs w:val="18"/>
        </w:rPr>
        <w:t>mortalities per set).</w:t>
      </w:r>
      <w:r w:rsidRPr="00564DB3">
        <w:rPr>
          <w:rStyle w:val="FootnoteReference"/>
          <w:rFonts w:cs="Arial"/>
          <w:szCs w:val="18"/>
        </w:rPr>
        <w:footnoteReference w:id="674"/>
      </w:r>
      <w:r w:rsidRPr="00564DB3">
        <w:rPr>
          <w:rFonts w:cs="Arial"/>
          <w:szCs w:val="18"/>
        </w:rPr>
        <w:t xml:space="preserve"> Thus, in the context of the determination provisions, the Panels did not choose the data to rely on and were instead tasked with examining whether the methodology relied on by the United States in applying their determination provisions was arbitrary, as had been alleged by Mexico.</w:t>
      </w:r>
    </w:p>
    <w:p w:rsidR="00913A2E" w:rsidRPr="00564DB3" w:rsidRDefault="00913A2E" w:rsidP="00F70E38">
      <w:pPr>
        <w:pStyle w:val="BodyText"/>
        <w:rPr>
          <w:rFonts w:cs="Arial"/>
          <w:szCs w:val="18"/>
        </w:rPr>
      </w:pPr>
      <w:r w:rsidRPr="00564DB3">
        <w:rPr>
          <w:rFonts w:cs="Arial"/>
          <w:szCs w:val="18"/>
        </w:rPr>
        <w:t>Therefore, unlike what Mexico's arguments suggest, there is no inconsistency between the Panels' reliance on 2009-2015 data to examine the risk profiles of different fishing methods (based on the evidence on the record of their use in different areas of the ocean), on the one hand, and the Panels</w:t>
      </w:r>
      <w:r w:rsidR="00B7639F" w:rsidRPr="00564DB3">
        <w:rPr>
          <w:rFonts w:cs="Arial"/>
          <w:szCs w:val="18"/>
        </w:rPr>
        <w:t>'</w:t>
      </w:r>
      <w:r w:rsidRPr="00564DB3">
        <w:rPr>
          <w:rFonts w:cs="Arial"/>
          <w:szCs w:val="18"/>
        </w:rPr>
        <w:t xml:space="preserve"> assessment of the US methodology for applyi</w:t>
      </w:r>
      <w:r w:rsidR="00B7639F" w:rsidRPr="00564DB3">
        <w:rPr>
          <w:rFonts w:cs="Arial"/>
          <w:szCs w:val="18"/>
        </w:rPr>
        <w:t>ng the determination provisions</w:t>
      </w:r>
      <w:r w:rsidRPr="00564DB3">
        <w:rPr>
          <w:rFonts w:cs="Arial"/>
          <w:szCs w:val="18"/>
        </w:rPr>
        <w:t xml:space="preserve"> based on data drawn from a 20</w:t>
      </w:r>
      <w:r w:rsidRPr="00564DB3">
        <w:rPr>
          <w:rFonts w:cs="Arial"/>
          <w:szCs w:val="18"/>
        </w:rPr>
        <w:noBreakHyphen/>
        <w:t>year average covering 1997</w:t>
      </w:r>
      <w:r w:rsidRPr="00564DB3">
        <w:rPr>
          <w:rFonts w:cs="Arial"/>
          <w:szCs w:val="18"/>
        </w:rPr>
        <w:noBreakHyphen/>
        <w:t>2017, on the other hand.</w:t>
      </w:r>
      <w:r w:rsidRPr="00564DB3">
        <w:rPr>
          <w:rStyle w:val="FootnoteReference"/>
          <w:rFonts w:cs="Arial"/>
          <w:szCs w:val="18"/>
        </w:rPr>
        <w:footnoteReference w:id="675"/>
      </w:r>
    </w:p>
    <w:p w:rsidR="00913A2E" w:rsidRPr="00564DB3" w:rsidRDefault="00913A2E" w:rsidP="00F70E38">
      <w:pPr>
        <w:pStyle w:val="BodyText"/>
        <w:rPr>
          <w:rFonts w:cs="Arial"/>
          <w:szCs w:val="18"/>
        </w:rPr>
      </w:pPr>
      <w:r w:rsidRPr="00564DB3">
        <w:rPr>
          <w:rFonts w:cs="Arial"/>
          <w:szCs w:val="18"/>
        </w:rPr>
        <w:t xml:space="preserve">Mexico also contends that the Panels' finding, in connection with the determination provisions, suggests an approach pursuant to which, if a fishery is deemed to have a lower per set mortality rate than the ETP (based on a 20-year average), and therefore not designated under the determination provisions as requiring heightened certification requirements, "it is </w:t>
      </w:r>
      <w:r w:rsidRPr="00564DB3">
        <w:rPr>
          <w:rFonts w:cs="Arial"/>
          <w:i/>
          <w:szCs w:val="18"/>
        </w:rPr>
        <w:t>automatically</w:t>
      </w:r>
      <w:r w:rsidRPr="00564DB3">
        <w:rPr>
          <w:rFonts w:cs="Arial"/>
          <w:szCs w:val="18"/>
        </w:rPr>
        <w:t xml:space="preserve"> assumed that there are no or </w:t>
      </w:r>
      <w:r w:rsidRPr="00564DB3">
        <w:rPr>
          <w:rFonts w:cs="Arial"/>
          <w:i/>
          <w:szCs w:val="18"/>
        </w:rPr>
        <w:t>de minimis</w:t>
      </w:r>
      <w:r w:rsidRPr="00564DB3">
        <w:rPr>
          <w:rFonts w:cs="Arial"/>
          <w:szCs w:val="18"/>
        </w:rPr>
        <w:t xml:space="preserve"> risks to dolphins</w:t>
      </w:r>
      <w:r w:rsidR="00496950" w:rsidRPr="00564DB3">
        <w:rPr>
          <w:rFonts w:cs="Arial"/>
          <w:szCs w:val="18"/>
        </w:rPr>
        <w:t>.</w:t>
      </w:r>
      <w:r w:rsidRPr="00564DB3">
        <w:rPr>
          <w:rFonts w:cs="Arial"/>
          <w:szCs w:val="18"/>
        </w:rPr>
        <w:t>"</w:t>
      </w:r>
      <w:r w:rsidRPr="00564DB3">
        <w:rPr>
          <w:rStyle w:val="FootnoteReference"/>
          <w:rFonts w:cs="Arial"/>
          <w:szCs w:val="18"/>
        </w:rPr>
        <w:footnoteReference w:id="676"/>
      </w:r>
      <w:r w:rsidRPr="00564DB3">
        <w:rPr>
          <w:rFonts w:cs="Arial"/>
          <w:szCs w:val="18"/>
        </w:rPr>
        <w:t xml:space="preserve"> We consider that Mexico's argument fails to recognize that, even absent a designation under the determination provisions, pursuant to the 2016 Tuna Measure, all tuna products exported from, or offered for sale in, the United States are subject to certification and tracking and verification requirements, regardless of the fishery from which they originate. Likewise, Mexi</w:t>
      </w:r>
      <w:r w:rsidR="00496950" w:rsidRPr="00564DB3">
        <w:rPr>
          <w:rFonts w:cs="Arial"/>
          <w:szCs w:val="18"/>
        </w:rPr>
        <w:t>co's argument finds no support o</w:t>
      </w:r>
      <w:r w:rsidRPr="00564DB3">
        <w:rPr>
          <w:rFonts w:cs="Arial"/>
          <w:szCs w:val="18"/>
        </w:rPr>
        <w:t>n the Panel record or in the Reports of the Panels. The Panels, having reviewed the evidence on the record of risks to dolphins arising from the use of different fishing methods in different areas of the ocean, concluded that, at present, while some of the other fisheries manifested some risks to dolphins</w:t>
      </w:r>
      <w:r w:rsidRPr="00564DB3">
        <w:rPr>
          <w:rStyle w:val="FootnoteReference"/>
          <w:rFonts w:cs="Arial"/>
          <w:szCs w:val="18"/>
        </w:rPr>
        <w:footnoteReference w:id="677"/>
      </w:r>
      <w:r w:rsidRPr="00564DB3">
        <w:rPr>
          <w:rFonts w:cs="Arial"/>
          <w:szCs w:val="18"/>
        </w:rPr>
        <w:t xml:space="preserve">, the </w:t>
      </w:r>
      <w:proofErr w:type="gramStart"/>
      <w:r w:rsidRPr="00564DB3">
        <w:rPr>
          <w:rFonts w:cs="Arial"/>
          <w:szCs w:val="18"/>
        </w:rPr>
        <w:t>vast majority</w:t>
      </w:r>
      <w:proofErr w:type="gramEnd"/>
      <w:r w:rsidRPr="00564DB3">
        <w:rPr>
          <w:rFonts w:cs="Arial"/>
          <w:szCs w:val="18"/>
        </w:rPr>
        <w:t xml:space="preserve"> of the world's fisheries have a lower risk profile than the ETP large purse seine fishery.</w:t>
      </w:r>
      <w:r w:rsidRPr="00564DB3">
        <w:rPr>
          <w:rStyle w:val="FootnoteReference"/>
          <w:rFonts w:cs="Arial"/>
          <w:szCs w:val="18"/>
        </w:rPr>
        <w:footnoteReference w:id="678"/>
      </w:r>
    </w:p>
    <w:p w:rsidR="00913A2E" w:rsidRPr="00564DB3" w:rsidRDefault="00913A2E" w:rsidP="00F70E38">
      <w:pPr>
        <w:pStyle w:val="BodyText"/>
        <w:rPr>
          <w:rFonts w:cs="Arial"/>
          <w:szCs w:val="18"/>
        </w:rPr>
      </w:pPr>
      <w:bookmarkStart w:id="339" w:name="_Ref526527435"/>
      <w:bookmarkEnd w:id="334"/>
      <w:r w:rsidRPr="00564DB3">
        <w:rPr>
          <w:rFonts w:cs="Arial"/>
          <w:szCs w:val="18"/>
        </w:rPr>
        <w:t>Moreover, the question before the Panels was not whether th</w:t>
      </w:r>
      <w:r w:rsidR="000E6847" w:rsidRPr="00564DB3">
        <w:rPr>
          <w:rFonts w:cs="Arial"/>
          <w:szCs w:val="18"/>
        </w:rPr>
        <w:t>e fisheries, other than the ETP </w:t>
      </w:r>
      <w:r w:rsidRPr="00564DB3">
        <w:rPr>
          <w:rFonts w:cs="Arial"/>
          <w:szCs w:val="18"/>
        </w:rPr>
        <w:t>large purse seine fishery, manifested any risk to dolphins. Rather the question before the Panels was whether the determination provisions, by imposing stricter certification and tracking and verification requirements in specific circumstances, allow the 2016 Tuna Measure to address similar risks in a similar manner, therefore ensuring that the 2016 Tuna Measure is properly calibrated to the risks to dolphins. The Panels answered this question and found that the determination provisions create flexibility "that helps to ensure that the 2016 Tuna Measure is calibrated to the different risks to dolphins arising from the use of different fishing methods in different areas of the ocean".</w:t>
      </w:r>
      <w:r w:rsidRPr="00564DB3">
        <w:rPr>
          <w:rStyle w:val="FootnoteReference"/>
          <w:rFonts w:cs="Arial"/>
          <w:szCs w:val="18"/>
        </w:rPr>
        <w:footnoteReference w:id="679"/>
      </w:r>
      <w:r w:rsidR="00B31446" w:rsidRPr="00564DB3">
        <w:rPr>
          <w:rFonts w:cs="Arial"/>
          <w:szCs w:val="18"/>
        </w:rPr>
        <w:t xml:space="preserve"> In </w:t>
      </w:r>
      <w:r w:rsidRPr="00564DB3">
        <w:rPr>
          <w:rFonts w:cs="Arial"/>
          <w:szCs w:val="18"/>
        </w:rPr>
        <w:t>light of the above analysis, we see no reason to disagree with this finding by the Panels.</w:t>
      </w:r>
      <w:bookmarkEnd w:id="339"/>
    </w:p>
    <w:bookmarkEnd w:id="335"/>
    <w:p w:rsidR="00913A2E" w:rsidRPr="00564DB3" w:rsidRDefault="00913A2E" w:rsidP="00F70E38">
      <w:pPr>
        <w:pStyle w:val="BodyText"/>
        <w:rPr>
          <w:szCs w:val="18"/>
        </w:rPr>
      </w:pPr>
      <w:r w:rsidRPr="00564DB3">
        <w:rPr>
          <w:szCs w:val="18"/>
        </w:rPr>
        <w:t xml:space="preserve">In sum, we have found that the Panels adopted the correct approach in comparing the risk profiles of individual </w:t>
      </w:r>
      <w:r w:rsidRPr="00564DB3">
        <w:rPr>
          <w:rFonts w:cs="Arial"/>
          <w:szCs w:val="18"/>
        </w:rPr>
        <w:t>fisheries</w:t>
      </w:r>
      <w:r w:rsidRPr="00564DB3">
        <w:rPr>
          <w:szCs w:val="18"/>
        </w:rPr>
        <w:t xml:space="preserve">, because the certification requirements make a distinction </w:t>
      </w:r>
      <w:proofErr w:type="gramStart"/>
      <w:r w:rsidRPr="00564DB3">
        <w:rPr>
          <w:szCs w:val="18"/>
        </w:rPr>
        <w:t>on the basis of</w:t>
      </w:r>
      <w:proofErr w:type="gramEnd"/>
      <w:r w:rsidRPr="00564DB3">
        <w:rPr>
          <w:szCs w:val="18"/>
        </w:rPr>
        <w:t xml:space="preserve"> both fishing method and ocean area. Having found no legal error in the Panels' assessment of risk profiles, we consider that the Panels did not err in finding that the ETP large purse seine fishery has a special risk profile that distinguishes it from other fisheries. We have also addressed and rejected all of Mexico's arguments challenging the Panels' assessment of the certification requirements</w:t>
      </w:r>
      <w:r w:rsidR="005E125C" w:rsidRPr="00564DB3">
        <w:rPr>
          <w:rFonts w:cs="Arial"/>
          <w:szCs w:val="18"/>
        </w:rPr>
        <w:t xml:space="preserve">, including </w:t>
      </w:r>
      <w:r w:rsidR="00AF19B2" w:rsidRPr="00564DB3">
        <w:rPr>
          <w:rFonts w:cs="Arial"/>
          <w:szCs w:val="18"/>
        </w:rPr>
        <w:t>the allegation that</w:t>
      </w:r>
      <w:r w:rsidR="005E125C" w:rsidRPr="00564DB3">
        <w:rPr>
          <w:rFonts w:cs="Arial"/>
          <w:szCs w:val="18"/>
        </w:rPr>
        <w:t xml:space="preserve"> the Panels </w:t>
      </w:r>
      <w:r w:rsidR="00AF19B2" w:rsidRPr="00564DB3">
        <w:rPr>
          <w:rFonts w:cs="Arial"/>
          <w:szCs w:val="18"/>
        </w:rPr>
        <w:t xml:space="preserve">did not </w:t>
      </w:r>
      <w:proofErr w:type="gramStart"/>
      <w:r w:rsidR="00AF19B2" w:rsidRPr="00564DB3">
        <w:rPr>
          <w:rFonts w:cs="Arial"/>
          <w:szCs w:val="18"/>
        </w:rPr>
        <w:t>take</w:t>
      </w:r>
      <w:r w:rsidR="005E125C" w:rsidRPr="00564DB3">
        <w:rPr>
          <w:rFonts w:cs="Arial"/>
          <w:szCs w:val="18"/>
        </w:rPr>
        <w:t xml:space="preserve"> into account</w:t>
      </w:r>
      <w:proofErr w:type="gramEnd"/>
      <w:r w:rsidR="005E125C" w:rsidRPr="00564DB3">
        <w:rPr>
          <w:rFonts w:cs="Arial"/>
          <w:szCs w:val="18"/>
        </w:rPr>
        <w:t xml:space="preserve"> the risks of inaccuracy</w:t>
      </w:r>
      <w:r w:rsidR="001771DC" w:rsidRPr="00564DB3">
        <w:rPr>
          <w:rFonts w:cs="Arial"/>
          <w:szCs w:val="18"/>
        </w:rPr>
        <w:t xml:space="preserve"> in their calibration analysis</w:t>
      </w:r>
      <w:r w:rsidRPr="00564DB3">
        <w:rPr>
          <w:szCs w:val="18"/>
        </w:rPr>
        <w:t>.</w:t>
      </w:r>
    </w:p>
    <w:p w:rsidR="00913A2E" w:rsidRPr="00564DB3" w:rsidRDefault="00913A2E" w:rsidP="00F70E38">
      <w:pPr>
        <w:pStyle w:val="BodyText"/>
        <w:rPr>
          <w:rFonts w:cs="Arial"/>
          <w:szCs w:val="18"/>
        </w:rPr>
      </w:pPr>
      <w:r w:rsidRPr="00564DB3">
        <w:rPr>
          <w:rFonts w:cs="Arial"/>
          <w:szCs w:val="18"/>
        </w:rPr>
        <w:t xml:space="preserve">For </w:t>
      </w:r>
      <w:proofErr w:type="gramStart"/>
      <w:r w:rsidRPr="00564DB3">
        <w:rPr>
          <w:rFonts w:cs="Arial"/>
          <w:szCs w:val="18"/>
        </w:rPr>
        <w:t>all of</w:t>
      </w:r>
      <w:proofErr w:type="gramEnd"/>
      <w:r w:rsidRPr="00564DB3">
        <w:rPr>
          <w:rFonts w:cs="Arial"/>
          <w:szCs w:val="18"/>
        </w:rPr>
        <w:t xml:space="preserve"> these reasons, we </w:t>
      </w:r>
      <w:r w:rsidRPr="00564DB3">
        <w:rPr>
          <w:rFonts w:cs="Arial"/>
          <w:szCs w:val="18"/>
          <w:u w:val="single"/>
        </w:rPr>
        <w:t>find</w:t>
      </w:r>
      <w:r w:rsidRPr="00564DB3">
        <w:rPr>
          <w:rFonts w:cs="Arial"/>
          <w:szCs w:val="18"/>
        </w:rPr>
        <w:t xml:space="preserve"> that Mexico has not demonstrated that the Panels erred in arriving at the intermediate finding that the different certification requirements are calibrated to the risks to dolphins arising from the use of different fishing methods in different areas of the ocean.</w:t>
      </w:r>
      <w:r w:rsidRPr="00564DB3">
        <w:rPr>
          <w:rStyle w:val="FootnoteReference"/>
          <w:rFonts w:cs="Arial"/>
          <w:szCs w:val="18"/>
        </w:rPr>
        <w:footnoteReference w:id="680"/>
      </w:r>
    </w:p>
    <w:p w:rsidR="00913A2E" w:rsidRPr="00564DB3" w:rsidRDefault="00004041" w:rsidP="00F70E38">
      <w:pPr>
        <w:pStyle w:val="Heading4"/>
        <w:rPr>
          <w:szCs w:val="18"/>
        </w:rPr>
      </w:pPr>
      <w:bookmarkStart w:id="340" w:name="_Ref529197082"/>
      <w:bookmarkStart w:id="341" w:name="_Toc531967491"/>
      <w:r w:rsidRPr="00564DB3">
        <w:rPr>
          <w:szCs w:val="18"/>
        </w:rPr>
        <w:t>T</w:t>
      </w:r>
      <w:r w:rsidR="00913A2E" w:rsidRPr="00564DB3">
        <w:rPr>
          <w:szCs w:val="18"/>
        </w:rPr>
        <w:t>racking and verification requirements</w:t>
      </w:r>
      <w:bookmarkEnd w:id="340"/>
      <w:bookmarkEnd w:id="341"/>
    </w:p>
    <w:p w:rsidR="00913A2E" w:rsidRPr="00564DB3" w:rsidRDefault="00913A2E" w:rsidP="00F70E38">
      <w:pPr>
        <w:pStyle w:val="BodyText"/>
        <w:rPr>
          <w:rFonts w:cs="Arial"/>
          <w:szCs w:val="18"/>
        </w:rPr>
      </w:pPr>
      <w:r w:rsidRPr="00564DB3">
        <w:rPr>
          <w:szCs w:val="18"/>
        </w:rPr>
        <w:t xml:space="preserve">Mexico claims that the Panels erred </w:t>
      </w:r>
      <w:r w:rsidR="00134A82" w:rsidRPr="00564DB3">
        <w:rPr>
          <w:szCs w:val="18"/>
        </w:rPr>
        <w:t>in</w:t>
      </w:r>
      <w:r w:rsidRPr="00564DB3">
        <w:rPr>
          <w:szCs w:val="18"/>
        </w:rPr>
        <w:t xml:space="preserve"> finding that, although there remain differences between the NOAA and AIDCP regimes with respect to tracking and verification, such differences have been considerably narrowed in the 2016 Tuna Measure</w:t>
      </w:r>
      <w:r w:rsidR="0001381F" w:rsidRPr="00564DB3">
        <w:rPr>
          <w:szCs w:val="18"/>
        </w:rPr>
        <w:t xml:space="preserve">, and </w:t>
      </w:r>
      <w:r w:rsidRPr="00564DB3">
        <w:rPr>
          <w:szCs w:val="18"/>
        </w:rPr>
        <w:t>that the remaining differences are calibrated to the differences</w:t>
      </w:r>
      <w:r w:rsidR="0001381F" w:rsidRPr="00564DB3">
        <w:rPr>
          <w:szCs w:val="18"/>
        </w:rPr>
        <w:t xml:space="preserve"> in the risk profile of the ETP </w:t>
      </w:r>
      <w:r w:rsidRPr="00564DB3">
        <w:rPr>
          <w:szCs w:val="18"/>
        </w:rPr>
        <w:t>large purse seine fishery compared to other fisheries.</w:t>
      </w:r>
      <w:r w:rsidRPr="00564DB3">
        <w:rPr>
          <w:rStyle w:val="FootnoteReference"/>
          <w:szCs w:val="18"/>
        </w:rPr>
        <w:footnoteReference w:id="681"/>
      </w:r>
      <w:r w:rsidRPr="00564DB3">
        <w:rPr>
          <w:szCs w:val="18"/>
        </w:rPr>
        <w:t xml:space="preserve"> </w:t>
      </w:r>
    </w:p>
    <w:p w:rsidR="00913A2E" w:rsidRPr="00564DB3" w:rsidRDefault="00913A2E" w:rsidP="00F70E38">
      <w:pPr>
        <w:pStyle w:val="BodyText"/>
        <w:rPr>
          <w:rFonts w:cs="Arial"/>
          <w:szCs w:val="18"/>
        </w:rPr>
      </w:pPr>
      <w:r w:rsidRPr="00564DB3">
        <w:rPr>
          <w:rFonts w:cs="Arial"/>
          <w:szCs w:val="18"/>
        </w:rPr>
        <w:t>As described in</w:t>
      </w:r>
      <w:r w:rsidR="002871D5">
        <w:rPr>
          <w:rFonts w:cs="Arial"/>
          <w:szCs w:val="18"/>
        </w:rPr>
        <w:t xml:space="preserve"> section 5 </w:t>
      </w:r>
      <w:r w:rsidRPr="00564DB3">
        <w:rPr>
          <w:rFonts w:cs="Arial"/>
          <w:szCs w:val="18"/>
        </w:rPr>
        <w:t>above, the tracking and verificat</w:t>
      </w:r>
      <w:r w:rsidR="00B31446" w:rsidRPr="00564DB3">
        <w:rPr>
          <w:rFonts w:cs="Arial"/>
          <w:szCs w:val="18"/>
        </w:rPr>
        <w:t>ion requirements under the 2016 </w:t>
      </w:r>
      <w:r w:rsidRPr="00564DB3">
        <w:rPr>
          <w:rFonts w:cs="Arial"/>
          <w:szCs w:val="18"/>
        </w:rPr>
        <w:t>Tuna Measure concern the physical segre</w:t>
      </w:r>
      <w:r w:rsidR="007D5E73" w:rsidRPr="00564DB3">
        <w:rPr>
          <w:rFonts w:cs="Arial"/>
          <w:szCs w:val="18"/>
        </w:rPr>
        <w:t>gation of dolphin</w:t>
      </w:r>
      <w:r w:rsidR="007D5E73" w:rsidRPr="00564DB3">
        <w:rPr>
          <w:rFonts w:cs="Arial"/>
          <w:szCs w:val="18"/>
        </w:rPr>
        <w:noBreakHyphen/>
        <w:t>safe from non</w:t>
      </w:r>
      <w:r w:rsidR="007D5E73" w:rsidRPr="00564DB3">
        <w:rPr>
          <w:rFonts w:cs="Arial"/>
          <w:szCs w:val="18"/>
        </w:rPr>
        <w:noBreakHyphen/>
      </w:r>
      <w:r w:rsidRPr="00564DB3">
        <w:rPr>
          <w:rFonts w:cs="Arial"/>
          <w:szCs w:val="18"/>
        </w:rPr>
        <w:t>dolphin-safe tuna, from the moment of harvest and throughout the entire processing chain.</w:t>
      </w:r>
      <w:r w:rsidRPr="00564DB3">
        <w:rPr>
          <w:rStyle w:val="FootnoteReference"/>
          <w:rFonts w:cs="Arial"/>
          <w:szCs w:val="18"/>
        </w:rPr>
        <w:footnoteReference w:id="682"/>
      </w:r>
      <w:r w:rsidR="00B31446" w:rsidRPr="00564DB3">
        <w:rPr>
          <w:rFonts w:cs="Arial"/>
          <w:szCs w:val="18"/>
        </w:rPr>
        <w:t xml:space="preserve"> Specifically, the 2016 </w:t>
      </w:r>
      <w:r w:rsidRPr="00564DB3">
        <w:rPr>
          <w:rFonts w:cs="Arial"/>
          <w:szCs w:val="18"/>
        </w:rPr>
        <w:t>Tuna Measure prescribes the documentation requirements for recording and verifying segregation and the corresponding regulatory oversight. Like the certification requirements, the tracking and verification requirements distinguish between the ETP large purse seine fishery</w:t>
      </w:r>
      <w:r w:rsidRPr="00564DB3">
        <w:rPr>
          <w:rStyle w:val="FootnoteReference"/>
          <w:rFonts w:cs="Arial"/>
          <w:szCs w:val="18"/>
        </w:rPr>
        <w:footnoteReference w:id="683"/>
      </w:r>
      <w:r w:rsidRPr="00564DB3">
        <w:rPr>
          <w:rFonts w:cs="Arial"/>
          <w:szCs w:val="18"/>
        </w:rPr>
        <w:t xml:space="preserve"> and all the other fisheries.</w:t>
      </w:r>
      <w:r w:rsidRPr="00564DB3">
        <w:rPr>
          <w:rStyle w:val="FootnoteReference"/>
          <w:rFonts w:cs="Arial"/>
          <w:szCs w:val="18"/>
        </w:rPr>
        <w:footnoteReference w:id="684"/>
      </w:r>
    </w:p>
    <w:p w:rsidR="00913A2E" w:rsidRPr="00564DB3" w:rsidRDefault="00913A2E" w:rsidP="00F70E38">
      <w:pPr>
        <w:pStyle w:val="BodyText"/>
        <w:rPr>
          <w:rFonts w:cs="Arial"/>
          <w:szCs w:val="18"/>
        </w:rPr>
      </w:pPr>
      <w:r w:rsidRPr="00564DB3">
        <w:rPr>
          <w:rFonts w:cs="Arial"/>
          <w:szCs w:val="18"/>
        </w:rPr>
        <w:t xml:space="preserve">We observe that Mexico's arguments on appeal, as well as the Panels' analysis of the tracking and verification requirements, make extensive reference to the evolution of the tracking and verification requirements under the 2016 Tuna Measure from those that were under the 2013 Tuna Measure, </w:t>
      </w:r>
      <w:proofErr w:type="gramStart"/>
      <w:r w:rsidRPr="00564DB3">
        <w:rPr>
          <w:rFonts w:cs="Arial"/>
          <w:szCs w:val="18"/>
        </w:rPr>
        <w:t>in light of</w:t>
      </w:r>
      <w:proofErr w:type="gramEnd"/>
      <w:r w:rsidRPr="00564DB3">
        <w:rPr>
          <w:rFonts w:cs="Arial"/>
          <w:szCs w:val="18"/>
        </w:rPr>
        <w:t xml:space="preserve"> the first compliance panel and Appellate Body fi</w:t>
      </w:r>
      <w:r w:rsidR="001B4DCA">
        <w:rPr>
          <w:rFonts w:cs="Arial"/>
          <w:szCs w:val="18"/>
        </w:rPr>
        <w:t>ndings thereon. Accordingly, in </w:t>
      </w:r>
      <w:r w:rsidRPr="00564DB3">
        <w:rPr>
          <w:rFonts w:cs="Arial"/>
          <w:szCs w:val="18"/>
        </w:rPr>
        <w:t>order to situate the issue on appeal in its proper context, we provide a brief background of the tracking and verification requirements under the 2013 Tuna Measure and the first compliance panel and Appellate Body's findings thereon. Next, we briefly describe the tracking and verification requirements under the 2016 Tuna Measure before summarizing the Panels' findings. Thereafter, we address Mexico's claims that the Panels erred in making their findings on the tracking and verification requirements under the 2016 Tuna Measure.</w:t>
      </w:r>
    </w:p>
    <w:p w:rsidR="00913A2E" w:rsidRPr="00564DB3" w:rsidRDefault="00913A2E" w:rsidP="00F70E38">
      <w:pPr>
        <w:pStyle w:val="Heading5"/>
        <w:numPr>
          <w:ilvl w:val="4"/>
          <w:numId w:val="20"/>
        </w:numPr>
        <w:rPr>
          <w:szCs w:val="18"/>
        </w:rPr>
      </w:pPr>
      <w:bookmarkStart w:id="342" w:name="_Toc531967492"/>
      <w:r w:rsidRPr="00564DB3">
        <w:rPr>
          <w:szCs w:val="18"/>
        </w:rPr>
        <w:t>Summary of the findings from the first compliance proceedings regarding tracking and verification requirements under the 2013 Tuna Measure</w:t>
      </w:r>
      <w:bookmarkEnd w:id="342"/>
    </w:p>
    <w:p w:rsidR="00913A2E" w:rsidRPr="00564DB3" w:rsidRDefault="00913A2E" w:rsidP="00F70E38">
      <w:pPr>
        <w:pStyle w:val="BodyText"/>
        <w:rPr>
          <w:rFonts w:cs="Arial"/>
          <w:szCs w:val="18"/>
        </w:rPr>
      </w:pPr>
      <w:r w:rsidRPr="00564DB3">
        <w:rPr>
          <w:rFonts w:cs="Arial"/>
          <w:szCs w:val="18"/>
        </w:rPr>
        <w:t>Under the 2013 Tuna Measure, the tracking and verification requirements primarily concerned the physical segregation of dolphin-safe from non-dolphin-safe tuna, from the moment of harvest and throughout the entire processing chain. Like the 2016 Tuna Measure, the 2013 Tuna Measure prescribed the documentation requirements for recording and verifying segregation and the corresponding regulatory oversight. The first compliance panel observed that there were differences between the tracking and verification requirements that applied to the ETP large purse seine fishery, on the one hand, which was governed by the AIDCP Tracking and Verification System, and all other fisheries, on the other hand. The first compliance panel considered that these differences related "broadly to the depth, accuracy, and degree of government oversight of the tracking and verification systems".</w:t>
      </w:r>
      <w:r w:rsidRPr="00564DB3">
        <w:rPr>
          <w:rStyle w:val="FootnoteReference"/>
          <w:rFonts w:cs="Arial"/>
          <w:szCs w:val="18"/>
        </w:rPr>
        <w:footnoteReference w:id="685"/>
      </w:r>
      <w:r w:rsidRPr="00564DB3">
        <w:rPr>
          <w:rFonts w:cs="Arial"/>
          <w:szCs w:val="18"/>
        </w:rPr>
        <w:t xml:space="preserve"> </w:t>
      </w:r>
    </w:p>
    <w:p w:rsidR="0001381F" w:rsidRPr="00564DB3" w:rsidRDefault="0001381F" w:rsidP="00F70E38">
      <w:pPr>
        <w:pStyle w:val="BodyText"/>
        <w:rPr>
          <w:rFonts w:cs="Arial"/>
          <w:szCs w:val="18"/>
        </w:rPr>
      </w:pPr>
      <w:r w:rsidRPr="00564DB3">
        <w:rPr>
          <w:rFonts w:cs="Arial"/>
          <w:szCs w:val="18"/>
        </w:rPr>
        <w:t>The first compliance panel used the word "depth" to refer to the point to which tuna can be traced back. According to the first compliance panel, pursuant to the record</w:t>
      </w:r>
      <w:r w:rsidRPr="00564DB3">
        <w:rPr>
          <w:rFonts w:cs="Arial"/>
          <w:szCs w:val="18"/>
        </w:rPr>
        <w:noBreakHyphen/>
        <w:t>keeping requirements applicable to the ETP large purse seine fishery, tuna could be traced all the way back to the particular set in which the tuna was caught and the particular well in which it was stored.</w:t>
      </w:r>
      <w:r w:rsidRPr="00564DB3">
        <w:rPr>
          <w:rStyle w:val="FootnoteReference"/>
          <w:rFonts w:cs="Arial"/>
          <w:szCs w:val="18"/>
        </w:rPr>
        <w:footnoteReference w:id="686"/>
      </w:r>
      <w:r w:rsidRPr="00564DB3">
        <w:rPr>
          <w:rFonts w:cs="Arial"/>
          <w:szCs w:val="18"/>
        </w:rPr>
        <w:t xml:space="preserve"> By contrast, in all other fisheries, tuna could only be traced back to the vessel and trip on which it was caught.</w:t>
      </w:r>
      <w:r w:rsidRPr="00564DB3">
        <w:rPr>
          <w:rStyle w:val="FootnoteReference"/>
          <w:rFonts w:cs="Arial"/>
          <w:szCs w:val="18"/>
        </w:rPr>
        <w:footnoteReference w:id="687"/>
      </w:r>
    </w:p>
    <w:p w:rsidR="00913A2E" w:rsidRPr="00564DB3" w:rsidRDefault="00913A2E" w:rsidP="00F70E38">
      <w:pPr>
        <w:pStyle w:val="BodyText"/>
        <w:rPr>
          <w:rFonts w:cs="Arial"/>
          <w:szCs w:val="18"/>
        </w:rPr>
      </w:pPr>
      <w:r w:rsidRPr="00564DB3">
        <w:rPr>
          <w:rFonts w:cs="Arial"/>
          <w:szCs w:val="18"/>
        </w:rPr>
        <w:t xml:space="preserve">The first compliance panel used the word "accuracy" to describe the degree to which a captain's (or, where applicable, observer's) statement properly describes the lot of tuna to which it is assigned. The first compliance panel found that the accuracy attributable to the records required under the ETP large purse seine fishery was much more robust than </w:t>
      </w:r>
      <w:bookmarkStart w:id="344" w:name="_Hlk527053466"/>
      <w:r w:rsidRPr="00564DB3">
        <w:rPr>
          <w:rFonts w:cs="Arial"/>
          <w:szCs w:val="18"/>
        </w:rPr>
        <w:t xml:space="preserve">that of the records required </w:t>
      </w:r>
      <w:r w:rsidR="00E175AB" w:rsidRPr="00564DB3">
        <w:rPr>
          <w:rFonts w:cs="Arial"/>
          <w:szCs w:val="18"/>
        </w:rPr>
        <w:t>with respect to</w:t>
      </w:r>
      <w:r w:rsidRPr="00564DB3">
        <w:rPr>
          <w:rFonts w:cs="Arial"/>
          <w:szCs w:val="18"/>
        </w:rPr>
        <w:t xml:space="preserve"> all other fisheries</w:t>
      </w:r>
      <w:bookmarkEnd w:id="344"/>
      <w:r w:rsidRPr="00564DB3">
        <w:rPr>
          <w:rFonts w:cs="Arial"/>
          <w:szCs w:val="18"/>
        </w:rPr>
        <w:t>.</w:t>
      </w:r>
      <w:r w:rsidRPr="00564DB3">
        <w:rPr>
          <w:rStyle w:val="FootnoteReference"/>
          <w:rFonts w:cs="Arial"/>
          <w:szCs w:val="18"/>
        </w:rPr>
        <w:footnoteReference w:id="688"/>
      </w:r>
    </w:p>
    <w:p w:rsidR="00913A2E" w:rsidRPr="00564DB3" w:rsidRDefault="00913A2E" w:rsidP="00F70E38">
      <w:pPr>
        <w:pStyle w:val="BodyText"/>
        <w:rPr>
          <w:rFonts w:cs="Arial"/>
          <w:szCs w:val="18"/>
        </w:rPr>
      </w:pPr>
      <w:r w:rsidRPr="00564DB3">
        <w:rPr>
          <w:rFonts w:cs="Arial"/>
          <w:szCs w:val="18"/>
        </w:rPr>
        <w:t xml:space="preserve">Finally, the first compliance panel used the term "government oversight" to refer to the extent to which a national, regional, or international authority was involved in the tracking and verification process. The first compliance panel found that, unlike in </w:t>
      </w:r>
      <w:r w:rsidR="000E6847" w:rsidRPr="00564DB3">
        <w:rPr>
          <w:rFonts w:cs="Arial"/>
          <w:szCs w:val="18"/>
        </w:rPr>
        <w:t>the other fisheries, in the ETP </w:t>
      </w:r>
      <w:r w:rsidRPr="00564DB3">
        <w:rPr>
          <w:rFonts w:cs="Arial"/>
          <w:szCs w:val="18"/>
        </w:rPr>
        <w:t xml:space="preserve">large purse seine fishery, information concerning every stage of the tuna catch and canning process was made available to national and regional authorities. Thus, these authorities were, in principle, able to verify at any stage of the catch and canning process whether a </w:t>
      </w:r>
      <w:proofErr w:type="gramStart"/>
      <w:r w:rsidRPr="00564DB3">
        <w:rPr>
          <w:rFonts w:cs="Arial"/>
          <w:szCs w:val="18"/>
        </w:rPr>
        <w:t>particular batch</w:t>
      </w:r>
      <w:proofErr w:type="gramEnd"/>
      <w:r w:rsidRPr="00564DB3">
        <w:rPr>
          <w:rFonts w:cs="Arial"/>
          <w:szCs w:val="18"/>
        </w:rPr>
        <w:t xml:space="preserve"> of tuna harvested in the ETP large purse seine fishery was dolphin-safe.</w:t>
      </w:r>
      <w:r w:rsidRPr="00564DB3">
        <w:rPr>
          <w:rStyle w:val="FootnoteReference"/>
          <w:rFonts w:cs="Arial"/>
          <w:szCs w:val="18"/>
        </w:rPr>
        <w:footnoteReference w:id="689"/>
      </w:r>
    </w:p>
    <w:p w:rsidR="00913A2E" w:rsidRPr="00564DB3" w:rsidRDefault="00913A2E" w:rsidP="00F70E38">
      <w:pPr>
        <w:pStyle w:val="BodyText"/>
        <w:rPr>
          <w:rFonts w:cs="Arial"/>
          <w:szCs w:val="18"/>
        </w:rPr>
      </w:pPr>
      <w:bookmarkStart w:id="345" w:name="_Ref406609737"/>
      <w:r w:rsidRPr="00564DB3">
        <w:rPr>
          <w:rFonts w:cs="Arial"/>
          <w:szCs w:val="18"/>
        </w:rPr>
        <w:t xml:space="preserve">Hence, the first compliance panel found that the differences in depth, accuracy, and government oversight showed that the tracking and verification </w:t>
      </w:r>
      <w:r w:rsidR="000E6847" w:rsidRPr="00564DB3">
        <w:rPr>
          <w:rFonts w:cs="Arial"/>
          <w:szCs w:val="18"/>
        </w:rPr>
        <w:t>system in place outside the ETP </w:t>
      </w:r>
      <w:r w:rsidRPr="00564DB3">
        <w:rPr>
          <w:rFonts w:cs="Arial"/>
          <w:szCs w:val="18"/>
        </w:rPr>
        <w:t>large purse seine fishery is less burdensome than that inside the ETP. Therefore, the first compliance panel found that the different tracking and verification requirements modify the conditions of competition in the US tuna market to the detriment of like Mexican tuna and tuna products.</w:t>
      </w:r>
      <w:bookmarkEnd w:id="345"/>
      <w:r w:rsidRPr="00564DB3">
        <w:rPr>
          <w:rStyle w:val="FootnoteReference"/>
          <w:rFonts w:cs="Arial"/>
          <w:szCs w:val="18"/>
        </w:rPr>
        <w:footnoteReference w:id="690"/>
      </w:r>
      <w:r w:rsidRPr="00564DB3">
        <w:rPr>
          <w:rFonts w:cs="Arial"/>
          <w:szCs w:val="18"/>
        </w:rPr>
        <w:t xml:space="preserve"> The first compliance panel </w:t>
      </w:r>
      <w:r w:rsidR="0001381F" w:rsidRPr="00564DB3">
        <w:rPr>
          <w:rFonts w:cs="Arial"/>
          <w:szCs w:val="18"/>
        </w:rPr>
        <w:t xml:space="preserve">further </w:t>
      </w:r>
      <w:r w:rsidRPr="00564DB3">
        <w:rPr>
          <w:rFonts w:cs="Arial"/>
          <w:szCs w:val="18"/>
        </w:rPr>
        <w:t xml:space="preserve">concluded that the 2013 Tuna Measure was inconsistent with Article 2.1 of the TBT Agreement </w:t>
      </w:r>
      <w:r w:rsidR="0001381F" w:rsidRPr="00564DB3">
        <w:rPr>
          <w:rFonts w:cs="Arial"/>
          <w:szCs w:val="18"/>
        </w:rPr>
        <w:t xml:space="preserve">because, </w:t>
      </w:r>
      <w:r w:rsidR="0001381F" w:rsidRPr="00564DB3">
        <w:rPr>
          <w:rFonts w:cs="Arial"/>
          <w:i/>
          <w:szCs w:val="18"/>
        </w:rPr>
        <w:t>inter alia</w:t>
      </w:r>
      <w:r w:rsidR="0001381F" w:rsidRPr="00564DB3">
        <w:rPr>
          <w:rFonts w:cs="Arial"/>
          <w:szCs w:val="18"/>
        </w:rPr>
        <w:t>, the United States had failed to show that the detrimental impact caused by the tracking and verification requirements stems exclusively from a legitimate regulatory distinction</w:t>
      </w:r>
      <w:r w:rsidRPr="00564DB3">
        <w:rPr>
          <w:rFonts w:cs="Arial"/>
          <w:szCs w:val="18"/>
        </w:rPr>
        <w:t>.</w:t>
      </w:r>
      <w:r w:rsidRPr="00564DB3">
        <w:rPr>
          <w:rStyle w:val="FootnoteReference"/>
          <w:rFonts w:cs="Arial"/>
          <w:szCs w:val="18"/>
        </w:rPr>
        <w:footnoteReference w:id="691"/>
      </w:r>
    </w:p>
    <w:p w:rsidR="00913A2E" w:rsidRPr="00564DB3" w:rsidRDefault="00913A2E" w:rsidP="00F70E38">
      <w:pPr>
        <w:pStyle w:val="BodyText"/>
        <w:rPr>
          <w:rFonts w:cs="Arial"/>
          <w:szCs w:val="18"/>
        </w:rPr>
      </w:pPr>
      <w:r w:rsidRPr="00564DB3">
        <w:rPr>
          <w:rFonts w:cs="Arial"/>
          <w:szCs w:val="18"/>
        </w:rPr>
        <w:t>On appeal, the Appellate</w:t>
      </w:r>
      <w:r w:rsidR="00025CB6" w:rsidRPr="00564DB3">
        <w:rPr>
          <w:rFonts w:cs="Arial"/>
          <w:szCs w:val="18"/>
        </w:rPr>
        <w:t> Body</w:t>
      </w:r>
      <w:r w:rsidRPr="00564DB3">
        <w:rPr>
          <w:rFonts w:cs="Arial"/>
          <w:szCs w:val="18"/>
        </w:rPr>
        <w:t xml:space="preserve"> found certain flaws in the first compliance panel's reasoning underpinning its findings of inconsistency. With particular respect to the tracking and verification requirements, the Appellate Body found, </w:t>
      </w:r>
      <w:r w:rsidRPr="00564DB3">
        <w:rPr>
          <w:rFonts w:cs="Arial"/>
          <w:i/>
          <w:szCs w:val="18"/>
        </w:rPr>
        <w:t>inter alia</w:t>
      </w:r>
      <w:r w:rsidRPr="00564DB3">
        <w:rPr>
          <w:rFonts w:cs="Arial"/>
          <w:szCs w:val="18"/>
        </w:rPr>
        <w:t>, that the first compliance panel's analysis had failed to encompass consideration of: (i) the relative risks to dolphins from different fishing techniques in different areas of the oceans; and (ii) whe</w:t>
      </w:r>
      <w:r w:rsidR="00B7639F" w:rsidRPr="00564DB3">
        <w:rPr>
          <w:rFonts w:cs="Arial"/>
          <w:szCs w:val="18"/>
        </w:rPr>
        <w:t>ther the distinctions that the 2013 Tuna Measure</w:t>
      </w:r>
      <w:r w:rsidRPr="00564DB3">
        <w:rPr>
          <w:rFonts w:cs="Arial"/>
          <w:szCs w:val="18"/>
        </w:rPr>
        <w:t xml:space="preserve"> dr</w:t>
      </w:r>
      <w:r w:rsidR="0037632A" w:rsidRPr="00564DB3">
        <w:rPr>
          <w:rFonts w:cs="Arial"/>
          <w:szCs w:val="18"/>
        </w:rPr>
        <w:t>ew</w:t>
      </w:r>
      <w:r w:rsidRPr="00564DB3">
        <w:rPr>
          <w:rFonts w:cs="Arial"/>
          <w:szCs w:val="18"/>
        </w:rPr>
        <w:t xml:space="preserve"> in terms of the different conditions of access to the dolphin</w:t>
      </w:r>
      <w:r w:rsidRPr="00564DB3">
        <w:rPr>
          <w:rFonts w:cs="Arial"/>
          <w:szCs w:val="18"/>
        </w:rPr>
        <w:noBreakHyphen/>
        <w:t xml:space="preserve">safe label </w:t>
      </w:r>
      <w:r w:rsidR="0037632A" w:rsidRPr="00564DB3">
        <w:rPr>
          <w:rFonts w:cs="Arial"/>
          <w:szCs w:val="18"/>
        </w:rPr>
        <w:t>we</w:t>
      </w:r>
      <w:r w:rsidRPr="00564DB3">
        <w:rPr>
          <w:rFonts w:cs="Arial"/>
          <w:szCs w:val="18"/>
        </w:rPr>
        <w:t>re explained in light of the relative profiles. In addition, the Appellate</w:t>
      </w:r>
      <w:r w:rsidR="00025CB6" w:rsidRPr="00564DB3">
        <w:rPr>
          <w:rFonts w:cs="Arial"/>
          <w:szCs w:val="18"/>
        </w:rPr>
        <w:t> Body</w:t>
      </w:r>
      <w:r w:rsidRPr="00564DB3">
        <w:rPr>
          <w:rFonts w:cs="Arial"/>
          <w:szCs w:val="18"/>
        </w:rPr>
        <w:t xml:space="preserve"> found that the first compliance panel had failed to take full account of the </w:t>
      </w:r>
      <w:proofErr w:type="gramStart"/>
      <w:r w:rsidRPr="00564DB3">
        <w:rPr>
          <w:rFonts w:cs="Arial"/>
          <w:szCs w:val="18"/>
        </w:rPr>
        <w:t>particular circumstances</w:t>
      </w:r>
      <w:proofErr w:type="gramEnd"/>
      <w:r w:rsidRPr="00564DB3">
        <w:rPr>
          <w:rFonts w:cs="Arial"/>
          <w:szCs w:val="18"/>
        </w:rPr>
        <w:t xml:space="preserve"> of this case. The Appellate</w:t>
      </w:r>
      <w:r w:rsidR="00025CB6" w:rsidRPr="00564DB3">
        <w:rPr>
          <w:rFonts w:cs="Arial"/>
          <w:szCs w:val="18"/>
        </w:rPr>
        <w:t> Body</w:t>
      </w:r>
      <w:r w:rsidRPr="00564DB3">
        <w:rPr>
          <w:rFonts w:cs="Arial"/>
          <w:szCs w:val="18"/>
        </w:rPr>
        <w:t xml:space="preserve"> considered these circumstances to include the "design, architecture, revealing structure, oper</w:t>
      </w:r>
      <w:r w:rsidR="00B7639F" w:rsidRPr="00564DB3">
        <w:rPr>
          <w:rFonts w:cs="Arial"/>
          <w:szCs w:val="18"/>
        </w:rPr>
        <w:t>ation, and application" of the 2013 Tuna Measure</w:t>
      </w:r>
      <w:r w:rsidRPr="00564DB3">
        <w:rPr>
          <w:rFonts w:cs="Arial"/>
          <w:szCs w:val="18"/>
        </w:rPr>
        <w:t xml:space="preserve">, as well as of the manner in which similar issues pertaining to the </w:t>
      </w:r>
      <w:r w:rsidR="00060A90" w:rsidRPr="00564DB3">
        <w:rPr>
          <w:rFonts w:cs="Arial"/>
          <w:szCs w:val="18"/>
        </w:rPr>
        <w:t>o</w:t>
      </w:r>
      <w:r w:rsidRPr="00564DB3">
        <w:rPr>
          <w:rFonts w:cs="Arial"/>
          <w:szCs w:val="18"/>
        </w:rPr>
        <w:t>riginal Tuna Measure had been assessed in the original proceedings.</w:t>
      </w:r>
      <w:r w:rsidRPr="00564DB3">
        <w:rPr>
          <w:rStyle w:val="FootnoteReference"/>
          <w:rFonts w:cs="Arial"/>
          <w:szCs w:val="18"/>
        </w:rPr>
        <w:footnoteReference w:id="692"/>
      </w:r>
      <w:r w:rsidRPr="00564DB3">
        <w:rPr>
          <w:szCs w:val="18"/>
          <w:lang w:eastAsia="en-US"/>
        </w:rPr>
        <w:t xml:space="preserve"> </w:t>
      </w:r>
      <w:r w:rsidRPr="00564DB3">
        <w:rPr>
          <w:rFonts w:cs="Arial"/>
          <w:szCs w:val="18"/>
        </w:rPr>
        <w:t>In making these findings, the Appellate</w:t>
      </w:r>
      <w:r w:rsidR="00025CB6" w:rsidRPr="00564DB3">
        <w:rPr>
          <w:rFonts w:cs="Arial"/>
          <w:szCs w:val="18"/>
        </w:rPr>
        <w:t> Body</w:t>
      </w:r>
      <w:r w:rsidRPr="00564DB3">
        <w:rPr>
          <w:rFonts w:cs="Arial"/>
          <w:szCs w:val="18"/>
        </w:rPr>
        <w:t xml:space="preserve"> did not specifically review the first compliance panel's findings regarding the depth, accuracy, and </w:t>
      </w:r>
      <w:r w:rsidR="0001381F" w:rsidRPr="00564DB3">
        <w:rPr>
          <w:rFonts w:cs="Arial"/>
          <w:szCs w:val="18"/>
        </w:rPr>
        <w:t xml:space="preserve">government </w:t>
      </w:r>
      <w:r w:rsidRPr="00564DB3">
        <w:rPr>
          <w:rFonts w:cs="Arial"/>
          <w:szCs w:val="18"/>
        </w:rPr>
        <w:t>oversight of the tracking and verification requirements under the 2013 Tuna Measure.</w:t>
      </w:r>
    </w:p>
    <w:p w:rsidR="00913A2E" w:rsidRPr="00564DB3" w:rsidRDefault="00913A2E" w:rsidP="00F70E38">
      <w:pPr>
        <w:pStyle w:val="BodyText"/>
        <w:rPr>
          <w:rFonts w:cs="Arial"/>
          <w:szCs w:val="18"/>
        </w:rPr>
      </w:pPr>
      <w:r w:rsidRPr="00564DB3">
        <w:rPr>
          <w:rFonts w:cs="Arial"/>
          <w:szCs w:val="18"/>
        </w:rPr>
        <w:t>However, following its review, the Appellate Body</w:t>
      </w:r>
      <w:r w:rsidR="00962F01" w:rsidRPr="00564DB3">
        <w:rPr>
          <w:rFonts w:cs="Arial"/>
          <w:szCs w:val="18"/>
        </w:rPr>
        <w:t xml:space="preserve"> still found that: (i) the 2013 </w:t>
      </w:r>
      <w:r w:rsidRPr="00564DB3">
        <w:rPr>
          <w:rFonts w:cs="Arial"/>
          <w:szCs w:val="18"/>
        </w:rPr>
        <w:t>Tuna Measure modified the conditions of competition to the detriment of Mexican tuna products in the US market; (ii) such detrimental impact did not stem exclusively from a legitimate regulatory distinction; and thus (iii) the 2013 Tuna Measure accorded less favourable treatment to Mexican tuna products as compared to like tuna products from the United States and other countries.</w:t>
      </w:r>
      <w:r w:rsidRPr="00564DB3">
        <w:rPr>
          <w:rStyle w:val="FootnoteReference"/>
          <w:rFonts w:cs="Arial"/>
          <w:szCs w:val="18"/>
        </w:rPr>
        <w:footnoteReference w:id="693"/>
      </w:r>
    </w:p>
    <w:p w:rsidR="00913A2E" w:rsidRPr="00564DB3" w:rsidRDefault="00913A2E" w:rsidP="00F70E38">
      <w:pPr>
        <w:pStyle w:val="Heading5"/>
        <w:rPr>
          <w:szCs w:val="18"/>
        </w:rPr>
      </w:pPr>
      <w:bookmarkStart w:id="346" w:name="_Toc531967493"/>
      <w:r w:rsidRPr="00564DB3">
        <w:rPr>
          <w:szCs w:val="18"/>
        </w:rPr>
        <w:t xml:space="preserve">Summary of the </w:t>
      </w:r>
      <w:r w:rsidR="00004041" w:rsidRPr="00564DB3">
        <w:rPr>
          <w:szCs w:val="18"/>
        </w:rPr>
        <w:t xml:space="preserve">Panels' </w:t>
      </w:r>
      <w:r w:rsidRPr="00564DB3">
        <w:rPr>
          <w:szCs w:val="18"/>
        </w:rPr>
        <w:t>findings regarding tracking and verification requirements under the 2016 Tuna Measure</w:t>
      </w:r>
      <w:bookmarkEnd w:id="346"/>
    </w:p>
    <w:p w:rsidR="00913A2E" w:rsidRPr="00564DB3" w:rsidRDefault="00913A2E" w:rsidP="00F70E38">
      <w:pPr>
        <w:pStyle w:val="BodyText"/>
        <w:rPr>
          <w:rFonts w:cs="Arial"/>
          <w:szCs w:val="18"/>
        </w:rPr>
      </w:pPr>
      <w:r w:rsidRPr="00564DB3">
        <w:rPr>
          <w:rFonts w:cs="Arial"/>
          <w:szCs w:val="18"/>
        </w:rPr>
        <w:t>As described in</w:t>
      </w:r>
      <w:r w:rsidR="002871D5">
        <w:rPr>
          <w:rFonts w:cs="Arial"/>
          <w:szCs w:val="18"/>
        </w:rPr>
        <w:t xml:space="preserve"> section 5 </w:t>
      </w:r>
      <w:r w:rsidRPr="00564DB3">
        <w:rPr>
          <w:rFonts w:cs="Arial"/>
          <w:szCs w:val="18"/>
        </w:rPr>
        <w:t>above, the tracking and verificatio</w:t>
      </w:r>
      <w:r w:rsidR="000E6847" w:rsidRPr="00564DB3">
        <w:rPr>
          <w:rFonts w:cs="Arial"/>
          <w:szCs w:val="18"/>
        </w:rPr>
        <w:t>n requirements under the 2016 </w:t>
      </w:r>
      <w:r w:rsidRPr="00564DB3">
        <w:rPr>
          <w:rFonts w:cs="Arial"/>
          <w:szCs w:val="18"/>
        </w:rPr>
        <w:t>Tuna Measure prescribe the documentation requirements for recording and verifying segregation and the corresponding regulatory oversight. These requir</w:t>
      </w:r>
      <w:r w:rsidR="000E6847" w:rsidRPr="00564DB3">
        <w:rPr>
          <w:rFonts w:cs="Arial"/>
          <w:szCs w:val="18"/>
        </w:rPr>
        <w:t>ements distinguish between: (i) </w:t>
      </w:r>
      <w:r w:rsidRPr="00564DB3">
        <w:rPr>
          <w:rFonts w:cs="Arial"/>
          <w:szCs w:val="18"/>
        </w:rPr>
        <w:t>the ETP large purse seine fishery, which must comply with the AIDCP Tracking and Verification System</w:t>
      </w:r>
      <w:r w:rsidRPr="00564DB3">
        <w:rPr>
          <w:rStyle w:val="FootnoteReference"/>
          <w:rFonts w:cs="Arial"/>
          <w:szCs w:val="18"/>
        </w:rPr>
        <w:footnoteReference w:id="694"/>
      </w:r>
      <w:r w:rsidRPr="00564DB3">
        <w:rPr>
          <w:rFonts w:cs="Arial"/>
          <w:szCs w:val="18"/>
        </w:rPr>
        <w:t>; and (ii) all other fisheries, which must comply with the requirements prescribed in the 2016</w:t>
      </w:r>
      <w:r w:rsidR="00B31446" w:rsidRPr="00564DB3">
        <w:rPr>
          <w:rFonts w:cs="Arial"/>
          <w:szCs w:val="18"/>
        </w:rPr>
        <w:t> </w:t>
      </w:r>
      <w:r w:rsidRPr="00564DB3">
        <w:rPr>
          <w:rFonts w:cs="Arial"/>
          <w:szCs w:val="18"/>
        </w:rPr>
        <w:t>implementing regulations, refer</w:t>
      </w:r>
      <w:r w:rsidR="0001381F" w:rsidRPr="00564DB3">
        <w:rPr>
          <w:rFonts w:cs="Arial"/>
          <w:szCs w:val="18"/>
        </w:rPr>
        <w:t>red</w:t>
      </w:r>
      <w:r w:rsidRPr="00564DB3">
        <w:rPr>
          <w:rFonts w:cs="Arial"/>
          <w:szCs w:val="18"/>
        </w:rPr>
        <w:t xml:space="preserve"> to as the "NOAA regime".</w:t>
      </w:r>
      <w:r w:rsidRPr="00564DB3">
        <w:rPr>
          <w:rStyle w:val="FootnoteReference"/>
          <w:rFonts w:cs="Arial"/>
          <w:szCs w:val="18"/>
        </w:rPr>
        <w:footnoteReference w:id="695"/>
      </w:r>
      <w:r w:rsidRPr="00564DB3">
        <w:rPr>
          <w:rFonts w:cs="Arial"/>
          <w:szCs w:val="18"/>
        </w:rPr>
        <w:t xml:space="preserve"> Thus, the ETP large purse seine fishery is subject to the AIDCP regime, while all other fisheries are subject to the NOAA regime.</w:t>
      </w:r>
    </w:p>
    <w:p w:rsidR="00913A2E" w:rsidRPr="00564DB3" w:rsidRDefault="00913A2E" w:rsidP="00F70E38">
      <w:pPr>
        <w:pStyle w:val="BodyText"/>
        <w:rPr>
          <w:rFonts w:cs="Arial"/>
          <w:szCs w:val="18"/>
        </w:rPr>
      </w:pPr>
      <w:r w:rsidRPr="00564DB3">
        <w:rPr>
          <w:rFonts w:cs="Arial"/>
          <w:szCs w:val="18"/>
        </w:rPr>
        <w:t>The Panels considered that the question before them was whether the distinctions with respect to tracking and verification made by the 20</w:t>
      </w:r>
      <w:r w:rsidR="00962F01" w:rsidRPr="00564DB3">
        <w:rPr>
          <w:rFonts w:cs="Arial"/>
          <w:szCs w:val="18"/>
        </w:rPr>
        <w:t>16 Tuna Measure between the ETP </w:t>
      </w:r>
      <w:r w:rsidRPr="00564DB3">
        <w:rPr>
          <w:rFonts w:cs="Arial"/>
          <w:szCs w:val="18"/>
        </w:rPr>
        <w:t>large purse seine fishery and all other fisheries are calibrated to the different risk profiles of the relevant fisheries.</w:t>
      </w:r>
      <w:r w:rsidRPr="00564DB3">
        <w:rPr>
          <w:rStyle w:val="FootnoteReference"/>
          <w:rFonts w:cs="Arial"/>
          <w:szCs w:val="18"/>
        </w:rPr>
        <w:footnoteReference w:id="696"/>
      </w:r>
      <w:r w:rsidRPr="00564DB3">
        <w:rPr>
          <w:rFonts w:cs="Arial"/>
          <w:szCs w:val="18"/>
        </w:rPr>
        <w:t xml:space="preserve"> Regarding the difference in the risk profiles that the Panels took into account in their analysis, the Panels recalled their finding that "the ETP large purse seine fishery has a special risk profile that sets it apart from other fisheries around the world</w:t>
      </w:r>
      <w:r w:rsidR="00496950" w:rsidRPr="00564DB3">
        <w:rPr>
          <w:rFonts w:cs="Arial"/>
          <w:szCs w:val="18"/>
        </w:rPr>
        <w:t>.</w:t>
      </w:r>
      <w:r w:rsidRPr="00564DB3">
        <w:rPr>
          <w:rFonts w:cs="Arial"/>
          <w:szCs w:val="18"/>
        </w:rPr>
        <w:t>"</w:t>
      </w:r>
      <w:r w:rsidRPr="00564DB3">
        <w:rPr>
          <w:rStyle w:val="FootnoteReference"/>
          <w:rFonts w:cs="Arial"/>
          <w:szCs w:val="18"/>
        </w:rPr>
        <w:footnoteReference w:id="697"/>
      </w:r>
    </w:p>
    <w:p w:rsidR="00913A2E" w:rsidRPr="00564DB3" w:rsidRDefault="00913A2E" w:rsidP="00F70E38">
      <w:pPr>
        <w:pStyle w:val="BodyText"/>
        <w:rPr>
          <w:rFonts w:cs="Arial"/>
          <w:szCs w:val="18"/>
        </w:rPr>
      </w:pPr>
      <w:r w:rsidRPr="00564DB3">
        <w:rPr>
          <w:rFonts w:cs="Arial"/>
          <w:szCs w:val="18"/>
        </w:rPr>
        <w:t>The Panels recognized that the Appellate</w:t>
      </w:r>
      <w:r w:rsidR="00025CB6" w:rsidRPr="00564DB3">
        <w:rPr>
          <w:rFonts w:cs="Arial"/>
          <w:szCs w:val="18"/>
        </w:rPr>
        <w:t> Body</w:t>
      </w:r>
      <w:r w:rsidRPr="00564DB3">
        <w:rPr>
          <w:rFonts w:cs="Arial"/>
          <w:szCs w:val="18"/>
        </w:rPr>
        <w:t xml:space="preserve"> had found fault with the first compliance panel's "segmented approach" to its analysis of the tracking and verification requirements under the 2013 Tuna Measure. However, the Panels highlighted that the Appellate</w:t>
      </w:r>
      <w:r w:rsidR="00025CB6" w:rsidRPr="00564DB3">
        <w:rPr>
          <w:rFonts w:cs="Arial"/>
          <w:szCs w:val="18"/>
        </w:rPr>
        <w:t> Body</w:t>
      </w:r>
      <w:r w:rsidRPr="00564DB3">
        <w:rPr>
          <w:rFonts w:cs="Arial"/>
          <w:szCs w:val="18"/>
        </w:rPr>
        <w:t xml:space="preserve"> had </w:t>
      </w:r>
      <w:r w:rsidRPr="00564DB3">
        <w:rPr>
          <w:rFonts w:cs="Arial"/>
          <w:i/>
          <w:szCs w:val="18"/>
        </w:rPr>
        <w:t>not</w:t>
      </w:r>
      <w:r w:rsidRPr="00564DB3">
        <w:rPr>
          <w:rFonts w:cs="Arial"/>
          <w:szCs w:val="18"/>
        </w:rPr>
        <w:t xml:space="preserve"> found fault with the first compliance panel's conceptual approach to assessing the 2013 Tuna Measure's tracking and verification requirements. </w:t>
      </w:r>
      <w:proofErr w:type="gramStart"/>
      <w:r w:rsidRPr="00564DB3">
        <w:rPr>
          <w:rFonts w:cs="Arial"/>
          <w:szCs w:val="18"/>
        </w:rPr>
        <w:t>In particular, the</w:t>
      </w:r>
      <w:proofErr w:type="gramEnd"/>
      <w:r w:rsidRPr="00564DB3">
        <w:rPr>
          <w:rFonts w:cs="Arial"/>
          <w:szCs w:val="18"/>
        </w:rPr>
        <w:t xml:space="preserve"> Panels noted that the Appellate</w:t>
      </w:r>
      <w:r w:rsidR="00025CB6" w:rsidRPr="00564DB3">
        <w:rPr>
          <w:rFonts w:cs="Arial"/>
          <w:szCs w:val="18"/>
        </w:rPr>
        <w:t> Body</w:t>
      </w:r>
      <w:r w:rsidRPr="00564DB3">
        <w:rPr>
          <w:rFonts w:cs="Arial"/>
          <w:szCs w:val="18"/>
        </w:rPr>
        <w:t xml:space="preserve"> had not criticized the first compliance panel for analysing the differences between the different regimes from the perspective of depth, accuracy, and degree of government oversight</w:t>
      </w:r>
      <w:r w:rsidRPr="00564DB3">
        <w:rPr>
          <w:rFonts w:cs="Arial"/>
          <w:i/>
          <w:szCs w:val="18"/>
        </w:rPr>
        <w:t>.</w:t>
      </w:r>
      <w:r w:rsidRPr="00564DB3">
        <w:rPr>
          <w:rFonts w:cs="Arial"/>
          <w:szCs w:val="18"/>
        </w:rPr>
        <w:t xml:space="preserve"> The Panels pointed out that, </w:t>
      </w:r>
      <w:proofErr w:type="gramStart"/>
      <w:r w:rsidRPr="00564DB3">
        <w:rPr>
          <w:rFonts w:cs="Arial"/>
          <w:szCs w:val="18"/>
        </w:rPr>
        <w:t>during the course of</w:t>
      </w:r>
      <w:proofErr w:type="gramEnd"/>
      <w:r w:rsidRPr="00564DB3">
        <w:rPr>
          <w:rFonts w:cs="Arial"/>
          <w:szCs w:val="18"/>
        </w:rPr>
        <w:t xml:space="preserve"> these compliance proceedings, the parties had themselves presented their arguments from the same perspective. Therefore, being mindful of the Appellate</w:t>
      </w:r>
      <w:r w:rsidR="00025CB6" w:rsidRPr="00564DB3">
        <w:rPr>
          <w:rFonts w:cs="Arial"/>
          <w:szCs w:val="18"/>
        </w:rPr>
        <w:t> Body</w:t>
      </w:r>
      <w:r w:rsidRPr="00564DB3">
        <w:rPr>
          <w:rFonts w:cs="Arial"/>
          <w:szCs w:val="18"/>
        </w:rPr>
        <w:t xml:space="preserve">'s criticism of the fact that </w:t>
      </w:r>
      <w:r w:rsidR="00B7639F" w:rsidRPr="00564DB3">
        <w:rPr>
          <w:rFonts w:cs="Arial"/>
          <w:szCs w:val="18"/>
        </w:rPr>
        <w:t xml:space="preserve">the </w:t>
      </w:r>
      <w:r w:rsidRPr="00564DB3">
        <w:rPr>
          <w:rFonts w:cs="Arial"/>
          <w:szCs w:val="18"/>
        </w:rPr>
        <w:t>first compliance panel had failed to take "full account … of the manner in which similar circumstances pertaining to the original tuna measure had been assessed in the original proceedings"</w:t>
      </w:r>
      <w:r w:rsidRPr="00564DB3">
        <w:rPr>
          <w:rStyle w:val="FootnoteReference"/>
          <w:rFonts w:cs="Arial"/>
          <w:szCs w:val="18"/>
        </w:rPr>
        <w:footnoteReference w:id="698"/>
      </w:r>
      <w:r w:rsidRPr="00564DB3">
        <w:rPr>
          <w:rFonts w:cs="Arial"/>
          <w:szCs w:val="18"/>
        </w:rPr>
        <w:t xml:space="preserve">, the Panels found it appropriate to follow the conceptual framework devised by the first compliance panel with respect to </w:t>
      </w:r>
      <w:r w:rsidRPr="00564DB3">
        <w:rPr>
          <w:rFonts w:cs="Arial"/>
          <w:i/>
          <w:szCs w:val="18"/>
        </w:rPr>
        <w:t>depth</w:t>
      </w:r>
      <w:r w:rsidRPr="00564DB3">
        <w:rPr>
          <w:rFonts w:cs="Arial"/>
          <w:szCs w:val="18"/>
        </w:rPr>
        <w:t xml:space="preserve">, </w:t>
      </w:r>
      <w:r w:rsidRPr="00564DB3">
        <w:rPr>
          <w:rFonts w:cs="Arial"/>
          <w:i/>
          <w:szCs w:val="18"/>
        </w:rPr>
        <w:t>accuracy</w:t>
      </w:r>
      <w:r w:rsidRPr="00564DB3">
        <w:rPr>
          <w:rFonts w:cs="Arial"/>
          <w:szCs w:val="18"/>
        </w:rPr>
        <w:t xml:space="preserve">, and </w:t>
      </w:r>
      <w:r w:rsidRPr="00564DB3">
        <w:rPr>
          <w:rFonts w:cs="Arial"/>
          <w:i/>
          <w:szCs w:val="18"/>
        </w:rPr>
        <w:t>degree of government oversight</w:t>
      </w:r>
      <w:r w:rsidRPr="00564DB3">
        <w:rPr>
          <w:rFonts w:cs="Arial"/>
          <w:szCs w:val="18"/>
        </w:rPr>
        <w:t>,</w:t>
      </w:r>
      <w:r w:rsidRPr="00564DB3">
        <w:rPr>
          <w:rFonts w:cs="Arial"/>
          <w:i/>
          <w:szCs w:val="18"/>
        </w:rPr>
        <w:t xml:space="preserve"> </w:t>
      </w:r>
      <w:r w:rsidRPr="00564DB3">
        <w:rPr>
          <w:rFonts w:cs="Arial"/>
          <w:szCs w:val="18"/>
        </w:rPr>
        <w:t>in assessing the 2016</w:t>
      </w:r>
      <w:r w:rsidRPr="00564DB3">
        <w:rPr>
          <w:rFonts w:cs="Arial"/>
          <w:i/>
          <w:szCs w:val="18"/>
        </w:rPr>
        <w:t xml:space="preserve"> </w:t>
      </w:r>
      <w:r w:rsidRPr="00564DB3">
        <w:rPr>
          <w:rFonts w:cs="Arial"/>
          <w:szCs w:val="18"/>
        </w:rPr>
        <w:t>Tuna Measure</w:t>
      </w:r>
      <w:r w:rsidRPr="00564DB3">
        <w:rPr>
          <w:rFonts w:cs="Arial"/>
          <w:i/>
          <w:szCs w:val="18"/>
        </w:rPr>
        <w:t>.</w:t>
      </w:r>
      <w:r w:rsidRPr="00564DB3">
        <w:rPr>
          <w:rStyle w:val="FootnoteReference"/>
          <w:rFonts w:cs="Arial"/>
          <w:szCs w:val="18"/>
        </w:rPr>
        <w:footnoteReference w:id="699"/>
      </w:r>
    </w:p>
    <w:p w:rsidR="00913A2E" w:rsidRPr="00564DB3" w:rsidRDefault="00913A2E" w:rsidP="00F70E38">
      <w:pPr>
        <w:pStyle w:val="BodyText"/>
        <w:rPr>
          <w:rFonts w:cs="Arial"/>
          <w:szCs w:val="18"/>
        </w:rPr>
      </w:pPr>
      <w:r w:rsidRPr="00564DB3">
        <w:rPr>
          <w:rFonts w:cs="Arial"/>
          <w:szCs w:val="18"/>
        </w:rPr>
        <w:t xml:space="preserve">Regarding </w:t>
      </w:r>
      <w:r w:rsidRPr="00564DB3">
        <w:rPr>
          <w:rFonts w:cs="Arial"/>
          <w:i/>
          <w:szCs w:val="18"/>
        </w:rPr>
        <w:t>depth</w:t>
      </w:r>
      <w:r w:rsidRPr="00564DB3">
        <w:rPr>
          <w:rFonts w:cs="Arial"/>
          <w:szCs w:val="18"/>
        </w:rPr>
        <w:t xml:space="preserve">, the Panels found that, like the 2013 Tuna Measure, the 2016 Tuna Measure subjects the tuna caught in </w:t>
      </w:r>
      <w:r w:rsidR="00B7639F" w:rsidRPr="00564DB3">
        <w:rPr>
          <w:rFonts w:cs="Arial"/>
          <w:szCs w:val="18"/>
        </w:rPr>
        <w:t xml:space="preserve">the </w:t>
      </w:r>
      <w:r w:rsidRPr="00564DB3">
        <w:rPr>
          <w:rFonts w:cs="Arial"/>
          <w:szCs w:val="18"/>
        </w:rPr>
        <w:t>ETP large purse seine fishery to the requirements of the AIDCP regime, whereby such tuna can be potentially traced back all the way to the particular set in which the tuna was caught and the particular well in which it was stored, or to a particular T</w:t>
      </w:r>
      <w:r w:rsidR="00B73EE5" w:rsidRPr="00564DB3">
        <w:rPr>
          <w:rFonts w:cs="Arial"/>
          <w:szCs w:val="18"/>
        </w:rPr>
        <w:t>TF</w:t>
      </w:r>
      <w:r w:rsidRPr="00564DB3">
        <w:rPr>
          <w:rFonts w:cs="Arial"/>
          <w:szCs w:val="18"/>
        </w:rPr>
        <w:t>, if the well or wells in which the tuna subject to the TTF was stored contained tuna from several sets. The Pa</w:t>
      </w:r>
      <w:r w:rsidR="007676C3" w:rsidRPr="00564DB3">
        <w:rPr>
          <w:rFonts w:cs="Arial"/>
          <w:szCs w:val="18"/>
        </w:rPr>
        <w:t>nels found that, under the NOAA </w:t>
      </w:r>
      <w:r w:rsidRPr="00564DB3">
        <w:rPr>
          <w:rFonts w:cs="Arial"/>
          <w:szCs w:val="18"/>
        </w:rPr>
        <w:t xml:space="preserve">regime, following the amendments introduced in the 2016 Tuna Measure regarding the new chain of custody record-keeping requirements, tuna can be traced back to one or more storage wells or other storage locations for a </w:t>
      </w:r>
      <w:proofErr w:type="gramStart"/>
      <w:r w:rsidRPr="00564DB3">
        <w:rPr>
          <w:rFonts w:cs="Arial"/>
          <w:szCs w:val="18"/>
        </w:rPr>
        <w:t>particular fishing</w:t>
      </w:r>
      <w:proofErr w:type="gramEnd"/>
      <w:r w:rsidRPr="00564DB3">
        <w:rPr>
          <w:rFonts w:cs="Arial"/>
          <w:szCs w:val="18"/>
        </w:rPr>
        <w:t xml:space="preserve"> trip. Thus, </w:t>
      </w:r>
      <w:proofErr w:type="gramStart"/>
      <w:r w:rsidRPr="00564DB3">
        <w:rPr>
          <w:rFonts w:cs="Arial"/>
          <w:szCs w:val="18"/>
        </w:rPr>
        <w:t>on the basis of</w:t>
      </w:r>
      <w:proofErr w:type="gramEnd"/>
      <w:r w:rsidRPr="00564DB3">
        <w:rPr>
          <w:rFonts w:cs="Arial"/>
          <w:szCs w:val="18"/>
        </w:rPr>
        <w:t xml:space="preserve"> the evidence on the record, it appeared to the Panels that</w:t>
      </w:r>
      <w:r w:rsidR="00B7639F" w:rsidRPr="00564DB3">
        <w:rPr>
          <w:rFonts w:cs="Arial"/>
          <w:szCs w:val="18"/>
        </w:rPr>
        <w:t>,</w:t>
      </w:r>
      <w:r w:rsidRPr="00564DB3">
        <w:rPr>
          <w:rFonts w:cs="Arial"/>
          <w:szCs w:val="18"/>
        </w:rPr>
        <w:t xml:space="preserve"> under both the AIDCP and the NOAA regimes, it is possible to trac</w:t>
      </w:r>
      <w:r w:rsidR="0001381F" w:rsidRPr="00564DB3">
        <w:rPr>
          <w:rFonts w:cs="Arial"/>
          <w:szCs w:val="18"/>
        </w:rPr>
        <w:t>e</w:t>
      </w:r>
      <w:r w:rsidRPr="00564DB3">
        <w:rPr>
          <w:rFonts w:cs="Arial"/>
          <w:szCs w:val="18"/>
        </w:rPr>
        <w:t xml:space="preserve"> tuna back to one or more wells in which it was stored. Accordingly, it seemed to the Panels that there is no longer any meaningful difference with respect to the depth of the requirements between the </w:t>
      </w:r>
      <w:r w:rsidR="00CB07A0" w:rsidRPr="00564DB3">
        <w:rPr>
          <w:rFonts w:cs="Arial"/>
          <w:szCs w:val="18"/>
        </w:rPr>
        <w:t xml:space="preserve">AIDCP </w:t>
      </w:r>
      <w:r w:rsidRPr="00564DB3">
        <w:rPr>
          <w:rFonts w:cs="Arial"/>
          <w:szCs w:val="18"/>
        </w:rPr>
        <w:t>regime and the NOAA regime.</w:t>
      </w:r>
      <w:r w:rsidRPr="00564DB3">
        <w:rPr>
          <w:rStyle w:val="FootnoteReference"/>
          <w:rFonts w:cs="Arial"/>
          <w:szCs w:val="18"/>
        </w:rPr>
        <w:footnoteReference w:id="700"/>
      </w:r>
    </w:p>
    <w:p w:rsidR="00913A2E" w:rsidRPr="00564DB3" w:rsidRDefault="00913A2E" w:rsidP="00F70E38">
      <w:pPr>
        <w:pStyle w:val="BodyText"/>
        <w:rPr>
          <w:rFonts w:cs="Arial"/>
          <w:szCs w:val="18"/>
        </w:rPr>
      </w:pPr>
      <w:bookmarkStart w:id="347" w:name="_Ref516139183"/>
      <w:bookmarkStart w:id="348" w:name="_Ref526525273"/>
      <w:proofErr w:type="gramStart"/>
      <w:r w:rsidRPr="00564DB3">
        <w:rPr>
          <w:rFonts w:cs="Arial"/>
          <w:szCs w:val="18"/>
        </w:rPr>
        <w:t>As regards</w:t>
      </w:r>
      <w:proofErr w:type="gramEnd"/>
      <w:r w:rsidRPr="00564DB3">
        <w:rPr>
          <w:rFonts w:cs="Arial"/>
          <w:szCs w:val="18"/>
        </w:rPr>
        <w:t xml:space="preserve"> </w:t>
      </w:r>
      <w:r w:rsidRPr="00564DB3">
        <w:rPr>
          <w:rFonts w:cs="Arial"/>
          <w:i/>
          <w:szCs w:val="18"/>
        </w:rPr>
        <w:t>accuracy</w:t>
      </w:r>
      <w:r w:rsidRPr="00564DB3">
        <w:rPr>
          <w:rFonts w:cs="Arial"/>
          <w:szCs w:val="18"/>
        </w:rPr>
        <w:t>, the Panels noted that</w:t>
      </w:r>
      <w:r w:rsidR="00B7639F" w:rsidRPr="00564DB3">
        <w:rPr>
          <w:rFonts w:cs="Arial"/>
          <w:szCs w:val="18"/>
        </w:rPr>
        <w:t>,</w:t>
      </w:r>
      <w:r w:rsidRPr="00564DB3">
        <w:rPr>
          <w:rFonts w:cs="Arial"/>
          <w:szCs w:val="18"/>
        </w:rPr>
        <w:t xml:space="preserve"> under the 2016 Tuna Measure, and</w:t>
      </w:r>
      <w:r w:rsidR="00B7639F" w:rsidRPr="00564DB3">
        <w:rPr>
          <w:rFonts w:cs="Arial"/>
          <w:szCs w:val="18"/>
        </w:rPr>
        <w:t>,</w:t>
      </w:r>
      <w:r w:rsidRPr="00564DB3">
        <w:rPr>
          <w:rFonts w:cs="Arial"/>
          <w:szCs w:val="18"/>
        </w:rPr>
        <w:t xml:space="preserve"> in particular, under the new NOAA regime chain of custody record-keeping requirement for tuna products produced from "other fisheries", US processors and importers of tuna or tuna products are now required to collect and retain, for two years, information on each point in the chain of custody of the tuna or tuna product. This information must be provided to the NMFS upon request and must be </w:t>
      </w:r>
      <w:proofErr w:type="gramStart"/>
      <w:r w:rsidRPr="00564DB3">
        <w:rPr>
          <w:rFonts w:cs="Arial"/>
          <w:szCs w:val="18"/>
        </w:rPr>
        <w:t>sufficient</w:t>
      </w:r>
      <w:proofErr w:type="gramEnd"/>
      <w:r w:rsidRPr="00564DB3">
        <w:rPr>
          <w:rFonts w:cs="Arial"/>
          <w:szCs w:val="18"/>
        </w:rPr>
        <w:t xml:space="preserve"> for the NMFS to conduct a trace-back of any product marketed as dolphin-safe to verify that the tuna product in fact meets the dolphin-safe labelling requirements. For the Panels, these modifications seem to directly address the first compliance panel's concern that, under </w:t>
      </w:r>
      <w:r w:rsidR="00B31446" w:rsidRPr="00564DB3">
        <w:rPr>
          <w:rFonts w:cs="Arial"/>
          <w:szCs w:val="18"/>
        </w:rPr>
        <w:t>the 2013 </w:t>
      </w:r>
      <w:r w:rsidRPr="00564DB3">
        <w:rPr>
          <w:rFonts w:cs="Arial"/>
          <w:szCs w:val="18"/>
        </w:rPr>
        <w:t>Tuna Measure, the accuracy attributable to the records required under the ETP large purse seine fishery had appeared to be much more robust</w:t>
      </w:r>
      <w:r w:rsidRPr="00564DB3">
        <w:rPr>
          <w:rFonts w:cs="Arial"/>
          <w:szCs w:val="18"/>
          <w:lang w:eastAsia="en-US"/>
        </w:rPr>
        <w:t xml:space="preserve"> than </w:t>
      </w:r>
      <w:r w:rsidRPr="00564DB3">
        <w:rPr>
          <w:rFonts w:cs="Arial"/>
          <w:szCs w:val="18"/>
        </w:rPr>
        <w:t xml:space="preserve">that of the records required </w:t>
      </w:r>
      <w:r w:rsidR="00E175AB" w:rsidRPr="00564DB3">
        <w:rPr>
          <w:rFonts w:cs="Arial"/>
          <w:szCs w:val="18"/>
        </w:rPr>
        <w:t>with respect to</w:t>
      </w:r>
      <w:r w:rsidRPr="00564DB3">
        <w:rPr>
          <w:rFonts w:cs="Arial"/>
          <w:szCs w:val="18"/>
        </w:rPr>
        <w:t xml:space="preserve"> all other fisheries.</w:t>
      </w:r>
      <w:bookmarkEnd w:id="347"/>
      <w:bookmarkEnd w:id="348"/>
      <w:r w:rsidRPr="00564DB3">
        <w:rPr>
          <w:rStyle w:val="FootnoteReference"/>
          <w:rFonts w:cs="Arial"/>
          <w:szCs w:val="18"/>
        </w:rPr>
        <w:footnoteReference w:id="701"/>
      </w:r>
    </w:p>
    <w:p w:rsidR="00913A2E" w:rsidRPr="00564DB3" w:rsidRDefault="00913A2E" w:rsidP="00FE6C87">
      <w:pPr>
        <w:pStyle w:val="BodyText"/>
        <w:keepNext/>
        <w:keepLines/>
        <w:rPr>
          <w:rFonts w:cs="Arial"/>
          <w:szCs w:val="18"/>
        </w:rPr>
      </w:pPr>
      <w:r w:rsidRPr="00564DB3">
        <w:rPr>
          <w:rFonts w:cs="Arial"/>
          <w:szCs w:val="18"/>
        </w:rPr>
        <w:t xml:space="preserve">Concerning </w:t>
      </w:r>
      <w:r w:rsidRPr="00564DB3">
        <w:rPr>
          <w:rFonts w:cs="Arial"/>
          <w:i/>
          <w:szCs w:val="18"/>
        </w:rPr>
        <w:t>government oversight</w:t>
      </w:r>
      <w:r w:rsidRPr="00564DB3">
        <w:rPr>
          <w:rFonts w:cs="Arial"/>
          <w:szCs w:val="18"/>
        </w:rPr>
        <w:t>, the Panels recalled that the first compliance panel had explained that</w:t>
      </w:r>
      <w:r w:rsidR="00B7639F" w:rsidRPr="00564DB3">
        <w:rPr>
          <w:rFonts w:cs="Arial"/>
          <w:szCs w:val="18"/>
        </w:rPr>
        <w:t>,</w:t>
      </w:r>
      <w:r w:rsidRPr="00564DB3">
        <w:rPr>
          <w:rFonts w:cs="Arial"/>
          <w:szCs w:val="18"/>
        </w:rPr>
        <w:t xml:space="preserve"> under the AIDCP regime, information concerning every stage of the tuna catch and canning process is made available to national and regional authorities, which must be sent copies of </w:t>
      </w:r>
      <w:r w:rsidR="00060A90" w:rsidRPr="00564DB3">
        <w:rPr>
          <w:rFonts w:cs="Arial"/>
          <w:szCs w:val="18"/>
        </w:rPr>
        <w:t>TTFs</w:t>
      </w:r>
      <w:r w:rsidRPr="00564DB3">
        <w:rPr>
          <w:rFonts w:cs="Arial"/>
          <w:szCs w:val="18"/>
        </w:rPr>
        <w:t xml:space="preserve"> and are thus able to verify at any stage of the catch and canning process whether a particular batch of tuna is dolphin-safe. By contrast, the first compliance panel had expressed concern with respect to the inability of the US government under the NOAA regime to go "behind the documents" </w:t>
      </w:r>
      <w:proofErr w:type="gramStart"/>
      <w:r w:rsidRPr="00564DB3">
        <w:rPr>
          <w:rFonts w:cs="Arial"/>
          <w:szCs w:val="18"/>
        </w:rPr>
        <w:t>in order to</w:t>
      </w:r>
      <w:proofErr w:type="gramEnd"/>
      <w:r w:rsidRPr="00564DB3">
        <w:rPr>
          <w:rFonts w:cs="Arial"/>
          <w:szCs w:val="18"/>
        </w:rPr>
        <w:t xml:space="preserve"> verify the movements of the tuna prior to </w:t>
      </w:r>
      <w:r w:rsidR="00B7639F" w:rsidRPr="00564DB3">
        <w:rPr>
          <w:rFonts w:cs="Arial"/>
          <w:szCs w:val="18"/>
        </w:rPr>
        <w:t>its</w:t>
      </w:r>
      <w:r w:rsidRPr="00564DB3">
        <w:rPr>
          <w:rFonts w:cs="Arial"/>
          <w:szCs w:val="18"/>
        </w:rPr>
        <w:t xml:space="preserve"> arrival </w:t>
      </w:r>
      <w:r w:rsidR="00B7639F" w:rsidRPr="00564DB3">
        <w:rPr>
          <w:rFonts w:cs="Arial"/>
          <w:szCs w:val="18"/>
        </w:rPr>
        <w:t>at</w:t>
      </w:r>
      <w:r w:rsidRPr="00564DB3">
        <w:rPr>
          <w:rFonts w:cs="Arial"/>
          <w:szCs w:val="18"/>
        </w:rPr>
        <w:t xml:space="preserve"> the cannery.</w:t>
      </w:r>
      <w:r w:rsidRPr="00564DB3">
        <w:rPr>
          <w:rStyle w:val="FootnoteReference"/>
          <w:rFonts w:cs="Arial"/>
          <w:szCs w:val="18"/>
        </w:rPr>
        <w:footnoteReference w:id="702"/>
      </w:r>
      <w:r w:rsidRPr="00564DB3">
        <w:rPr>
          <w:rFonts w:cs="Arial"/>
          <w:szCs w:val="18"/>
        </w:rPr>
        <w:t xml:space="preserve"> </w:t>
      </w:r>
    </w:p>
    <w:p w:rsidR="00913A2E" w:rsidRPr="00564DB3" w:rsidRDefault="00913A2E" w:rsidP="00F70E38">
      <w:pPr>
        <w:pStyle w:val="BodyText"/>
        <w:rPr>
          <w:rFonts w:cs="Arial"/>
          <w:szCs w:val="18"/>
        </w:rPr>
      </w:pPr>
      <w:r w:rsidRPr="00564DB3">
        <w:rPr>
          <w:rFonts w:cs="Arial"/>
          <w:szCs w:val="18"/>
        </w:rPr>
        <w:t xml:space="preserve">The Panels noted that the 2016 Tuna Measure maintains </w:t>
      </w:r>
      <w:r w:rsidR="00B31446" w:rsidRPr="00564DB3">
        <w:rPr>
          <w:rFonts w:cs="Arial"/>
          <w:szCs w:val="18"/>
        </w:rPr>
        <w:t>the requirement, under the 2013 </w:t>
      </w:r>
      <w:r w:rsidRPr="00564DB3">
        <w:rPr>
          <w:rFonts w:cs="Arial"/>
          <w:szCs w:val="18"/>
        </w:rPr>
        <w:t>Tuna Measure, that US tuna processors submit monthly reports to the US </w:t>
      </w:r>
      <w:r w:rsidR="00211CAB" w:rsidRPr="00564DB3">
        <w:rPr>
          <w:szCs w:val="18"/>
        </w:rPr>
        <w:t>Tuna Tracking and Verification Program</w:t>
      </w:r>
      <w:r w:rsidRPr="00564DB3">
        <w:rPr>
          <w:rFonts w:cs="Arial"/>
          <w:szCs w:val="18"/>
        </w:rPr>
        <w:t xml:space="preserve"> for all tuna received at their processing facilities. At the same time, the Panels noted that the new NOAA regime chain of custody record</w:t>
      </w:r>
      <w:r w:rsidRPr="00564DB3">
        <w:rPr>
          <w:rFonts w:cs="Arial"/>
          <w:szCs w:val="18"/>
        </w:rPr>
        <w:noBreakHyphen/>
        <w:t xml:space="preserve">keeping requirement for tuna products </w:t>
      </w:r>
      <w:r w:rsidR="007D5E73" w:rsidRPr="00564DB3">
        <w:rPr>
          <w:rFonts w:cs="Arial"/>
          <w:szCs w:val="18"/>
        </w:rPr>
        <w:t>harvested</w:t>
      </w:r>
      <w:r w:rsidRPr="00564DB3">
        <w:rPr>
          <w:rFonts w:cs="Arial"/>
          <w:szCs w:val="18"/>
        </w:rPr>
        <w:t xml:space="preserve"> from "other fisheries", referred to in paragraph</w:t>
      </w:r>
      <w:r w:rsidR="009670B7">
        <w:rPr>
          <w:rFonts w:cs="Arial"/>
          <w:szCs w:val="18"/>
        </w:rPr>
        <w:t xml:space="preserve"> 6.219 </w:t>
      </w:r>
      <w:r w:rsidRPr="00564DB3">
        <w:rPr>
          <w:rFonts w:cs="Arial"/>
          <w:szCs w:val="18"/>
        </w:rPr>
        <w:t>above, addresses the previous inability of the US government under the NOAA regime to go "behind the documents", because NMFS now has the ability to check the information on the movement of the tuna, even before it arrives at the cannery. For the Panels, this modification seems to bridge the previous existing difference between the AIDCP regime and the NOAA regime.</w:t>
      </w:r>
      <w:r w:rsidRPr="00564DB3">
        <w:rPr>
          <w:rStyle w:val="FootnoteReference"/>
          <w:rFonts w:cs="Arial"/>
          <w:szCs w:val="18"/>
        </w:rPr>
        <w:footnoteReference w:id="703"/>
      </w:r>
    </w:p>
    <w:p w:rsidR="00913A2E" w:rsidRPr="00564DB3" w:rsidRDefault="00913A2E" w:rsidP="00F70E38">
      <w:pPr>
        <w:pStyle w:val="BodyText"/>
        <w:rPr>
          <w:rFonts w:cs="Arial"/>
          <w:szCs w:val="18"/>
        </w:rPr>
      </w:pPr>
      <w:r w:rsidRPr="00564DB3">
        <w:rPr>
          <w:rFonts w:cs="Arial"/>
          <w:szCs w:val="18"/>
        </w:rPr>
        <w:t xml:space="preserve">However, with </w:t>
      </w:r>
      <w:proofErr w:type="gramStart"/>
      <w:r w:rsidRPr="00564DB3">
        <w:rPr>
          <w:rFonts w:cs="Arial"/>
          <w:szCs w:val="18"/>
        </w:rPr>
        <w:t>particular respect</w:t>
      </w:r>
      <w:proofErr w:type="gramEnd"/>
      <w:r w:rsidRPr="00564DB3">
        <w:rPr>
          <w:rFonts w:cs="Arial"/>
          <w:szCs w:val="18"/>
        </w:rPr>
        <w:t xml:space="preserve"> to the delegation of responsibility for developing tracking and verification systems, the Panels noted that differences remained between the two regimes. The Panels observed that</w:t>
      </w:r>
      <w:r w:rsidR="00B7639F" w:rsidRPr="00564DB3">
        <w:rPr>
          <w:rFonts w:cs="Arial"/>
          <w:szCs w:val="18"/>
        </w:rPr>
        <w:t>,</w:t>
      </w:r>
      <w:r w:rsidRPr="00564DB3">
        <w:rPr>
          <w:rFonts w:cs="Arial"/>
          <w:szCs w:val="18"/>
        </w:rPr>
        <w:t xml:space="preserve"> under the AIDCP regime, the Secretariat</w:t>
      </w:r>
      <w:r w:rsidR="00496950" w:rsidRPr="00564DB3">
        <w:rPr>
          <w:rStyle w:val="FootnoteReference"/>
          <w:rFonts w:cs="Arial"/>
          <w:szCs w:val="18"/>
        </w:rPr>
        <w:footnoteReference w:id="704"/>
      </w:r>
      <w:r w:rsidRPr="00564DB3">
        <w:rPr>
          <w:rFonts w:cs="Arial"/>
          <w:szCs w:val="18"/>
        </w:rPr>
        <w:t xml:space="preserve"> brokers requests for the data and documentation that would allow a party to obtain information from processors of another party sufficient to trace back </w:t>
      </w:r>
      <w:r w:rsidR="001771DC" w:rsidRPr="00564DB3">
        <w:rPr>
          <w:rFonts w:cs="Arial"/>
          <w:szCs w:val="18"/>
        </w:rPr>
        <w:t xml:space="preserve">a </w:t>
      </w:r>
      <w:r w:rsidRPr="00564DB3">
        <w:rPr>
          <w:rFonts w:cs="Arial"/>
          <w:szCs w:val="18"/>
        </w:rPr>
        <w:t>tuna product through its chain of custody to the harvesting vessel and trip.</w:t>
      </w:r>
      <w:r w:rsidRPr="00564DB3">
        <w:rPr>
          <w:rStyle w:val="FootnoteReference"/>
          <w:rFonts w:cs="Arial"/>
          <w:szCs w:val="18"/>
        </w:rPr>
        <w:footnoteReference w:id="705"/>
      </w:r>
      <w:r w:rsidRPr="00564DB3">
        <w:rPr>
          <w:rFonts w:cs="Arial"/>
          <w:szCs w:val="18"/>
        </w:rPr>
        <w:t xml:space="preserve"> By contrast, the Panels agreed with Mexico that the process of collecting and keeping the information under the NOAA regime still seems to rely heavily on importers and processors. Moreover, under the 2016 Tuna Measure, the degree of government oversight of the catch and processing operations that take place outside the United States seemed to the Panels to be somewhat limited.</w:t>
      </w:r>
      <w:r w:rsidRPr="00564DB3">
        <w:rPr>
          <w:rStyle w:val="FootnoteReference"/>
          <w:rFonts w:cs="Arial"/>
          <w:szCs w:val="18"/>
        </w:rPr>
        <w:footnoteReference w:id="706"/>
      </w:r>
    </w:p>
    <w:p w:rsidR="00913A2E" w:rsidRPr="00564DB3" w:rsidRDefault="00913A2E" w:rsidP="00F70E38">
      <w:pPr>
        <w:pStyle w:val="BodyText"/>
        <w:rPr>
          <w:rFonts w:cs="Arial"/>
          <w:szCs w:val="18"/>
        </w:rPr>
      </w:pPr>
      <w:r w:rsidRPr="00564DB3">
        <w:rPr>
          <w:rFonts w:cs="Arial"/>
          <w:szCs w:val="18"/>
        </w:rPr>
        <w:t>Thus, the Panels considered that</w:t>
      </w:r>
      <w:r w:rsidR="00B7639F" w:rsidRPr="00564DB3">
        <w:rPr>
          <w:rFonts w:cs="Arial"/>
          <w:szCs w:val="18"/>
        </w:rPr>
        <w:t>,</w:t>
      </w:r>
      <w:r w:rsidRPr="00564DB3">
        <w:rPr>
          <w:rFonts w:cs="Arial"/>
          <w:szCs w:val="18"/>
        </w:rPr>
        <w:t xml:space="preserve"> although the 2016 Tuna Measure had narrowed the differences between the AIDCP and the NOAA regimes in several aspects of the tracking and verification requirements, there were st</w:t>
      </w:r>
      <w:r w:rsidR="00B7639F" w:rsidRPr="00564DB3">
        <w:rPr>
          <w:rFonts w:cs="Arial"/>
          <w:szCs w:val="18"/>
        </w:rPr>
        <w:t>ill differences between the two </w:t>
      </w:r>
      <w:r w:rsidRPr="00564DB3">
        <w:rPr>
          <w:rFonts w:cs="Arial"/>
          <w:szCs w:val="18"/>
        </w:rPr>
        <w:t xml:space="preserve">regimes regarding the extent of government oversight. In assessing the legal significance of these differences, the Panels noted that the measure may be calibrated to the risks to dolphins where it uses a more sensitive mechanism in areas where risks are high but a less sensitive mechanism in areas where the risks are low. The Panels considered that, owing to the special risk profile of the ETP large purse seine fishery, "it is calibrated" for the 2016 Tuna Measure to apply less strict (i.e. less sensitive) requirements </w:t>
      </w:r>
      <w:r w:rsidR="00E175AB" w:rsidRPr="00564DB3">
        <w:rPr>
          <w:rFonts w:cs="Arial"/>
          <w:szCs w:val="18"/>
        </w:rPr>
        <w:t>with respect to</w:t>
      </w:r>
      <w:r w:rsidRPr="00564DB3">
        <w:rPr>
          <w:rFonts w:cs="Arial"/>
          <w:szCs w:val="18"/>
        </w:rPr>
        <w:t xml:space="preserve"> fisheries other than the ETP large purse seine fishery and to pose stricter (i.e. more sensitive) requirements inside the ETP large purse seine fishery.</w:t>
      </w:r>
      <w:r w:rsidR="0001381F" w:rsidRPr="00564DB3">
        <w:rPr>
          <w:rStyle w:val="FootnoteReference"/>
          <w:rFonts w:cs="Arial"/>
          <w:szCs w:val="18"/>
        </w:rPr>
        <w:footnoteReference w:id="707"/>
      </w:r>
      <w:r w:rsidRPr="00564DB3">
        <w:rPr>
          <w:rFonts w:cs="Arial"/>
          <w:szCs w:val="18"/>
        </w:rPr>
        <w:t xml:space="preserve"> For the Panels, the differences in the requirements are commensurate with the difference in the risks to dolphins arising from the use of different fishing methods in different areas of the ocean.</w:t>
      </w:r>
      <w:r w:rsidRPr="00564DB3">
        <w:rPr>
          <w:rStyle w:val="FootnoteReference"/>
          <w:rFonts w:cs="Arial"/>
          <w:szCs w:val="18"/>
        </w:rPr>
        <w:footnoteReference w:id="708"/>
      </w:r>
    </w:p>
    <w:p w:rsidR="00913A2E" w:rsidRPr="00564DB3" w:rsidRDefault="00913A2E" w:rsidP="00F70E38">
      <w:pPr>
        <w:pStyle w:val="BodyText"/>
        <w:rPr>
          <w:rFonts w:cs="Arial"/>
          <w:szCs w:val="18"/>
        </w:rPr>
      </w:pPr>
      <w:r w:rsidRPr="00564DB3">
        <w:rPr>
          <w:rFonts w:cs="Arial"/>
          <w:szCs w:val="18"/>
        </w:rPr>
        <w:t>Moreover, in the Panels' view, the determination provisions create flexibility that enables the 2016 Tuna Measure to treat similar situations similarly. According to the Panels, the determination provisions work together with the tracking and verification requirements to ensure that the 2016 Tuna Measure is calibrated to the risks to dolphins arising from the use of different fishing methods in different areas of the ocean.</w:t>
      </w:r>
      <w:r w:rsidRPr="00564DB3">
        <w:rPr>
          <w:rStyle w:val="FootnoteReference"/>
          <w:rFonts w:cs="Arial"/>
          <w:szCs w:val="18"/>
        </w:rPr>
        <w:footnoteReference w:id="709"/>
      </w:r>
    </w:p>
    <w:p w:rsidR="00913A2E" w:rsidRPr="00564DB3" w:rsidRDefault="00913A2E" w:rsidP="00F70E38">
      <w:pPr>
        <w:pStyle w:val="BodyText"/>
        <w:rPr>
          <w:rFonts w:cs="Arial"/>
          <w:szCs w:val="18"/>
        </w:rPr>
      </w:pPr>
      <w:bookmarkStart w:id="349" w:name="_Ref528839891"/>
      <w:r w:rsidRPr="00564DB3">
        <w:rPr>
          <w:rFonts w:cs="Arial"/>
          <w:szCs w:val="18"/>
        </w:rPr>
        <w:t xml:space="preserve">The Panels also took note of Mexico's contention that </w:t>
      </w:r>
      <w:proofErr w:type="gramStart"/>
      <w:r w:rsidRPr="00564DB3">
        <w:rPr>
          <w:rFonts w:cs="Arial"/>
          <w:szCs w:val="18"/>
        </w:rPr>
        <w:t>a number of</w:t>
      </w:r>
      <w:proofErr w:type="gramEnd"/>
      <w:r w:rsidRPr="00564DB3">
        <w:rPr>
          <w:rFonts w:cs="Arial"/>
          <w:szCs w:val="18"/>
        </w:rPr>
        <w:t xml:space="preserve"> the countries that are the largest suppliers of tuna and tuna products, such as </w:t>
      </w:r>
      <w:r w:rsidR="00496950" w:rsidRPr="00564DB3">
        <w:rPr>
          <w:rFonts w:cs="Arial"/>
          <w:szCs w:val="18"/>
        </w:rPr>
        <w:t xml:space="preserve">the Philippines, Chinese Taipei, and </w:t>
      </w:r>
      <w:r w:rsidRPr="00564DB3">
        <w:rPr>
          <w:rFonts w:cs="Arial"/>
          <w:szCs w:val="18"/>
        </w:rPr>
        <w:t xml:space="preserve">Thailand are significantly deficient in the control and monitoring of fishing activities and have been identified as extremely vulnerable to </w:t>
      </w:r>
      <w:r w:rsidR="00B73EE5" w:rsidRPr="00564DB3">
        <w:rPr>
          <w:rFonts w:cs="Arial"/>
          <w:szCs w:val="18"/>
        </w:rPr>
        <w:t>IUU</w:t>
      </w:r>
      <w:r w:rsidRPr="00564DB3">
        <w:rPr>
          <w:rFonts w:cs="Arial"/>
          <w:szCs w:val="18"/>
        </w:rPr>
        <w:t xml:space="preserve"> fishing. However, the Panels recalled that the NOAA regime provides that breaches of the tracking and verification requirements may lead to the imposition of sanctions. </w:t>
      </w:r>
      <w:proofErr w:type="gramStart"/>
      <w:r w:rsidRPr="00564DB3">
        <w:rPr>
          <w:rFonts w:cs="Arial"/>
          <w:szCs w:val="18"/>
        </w:rPr>
        <w:t>In particular, sanctions</w:t>
      </w:r>
      <w:proofErr w:type="gramEnd"/>
      <w:r w:rsidRPr="00564DB3">
        <w:rPr>
          <w:rFonts w:cs="Arial"/>
          <w:szCs w:val="18"/>
        </w:rPr>
        <w:t xml:space="preserve"> for offering for sale or export tuna products falsely labelled </w:t>
      </w:r>
      <w:r w:rsidR="00B7639F" w:rsidRPr="00564DB3">
        <w:rPr>
          <w:rFonts w:cs="Arial"/>
          <w:szCs w:val="18"/>
        </w:rPr>
        <w:t xml:space="preserve">as </w:t>
      </w:r>
      <w:r w:rsidRPr="00564DB3">
        <w:rPr>
          <w:rFonts w:cs="Arial"/>
          <w:szCs w:val="18"/>
        </w:rPr>
        <w:t>dolphin-safe may be assessed against any producer, importer, exporter, distributor, or seller who is subject to the jurisdiction of the United</w:t>
      </w:r>
      <w:r w:rsidR="00025CB6" w:rsidRPr="00564DB3">
        <w:rPr>
          <w:rFonts w:cs="Arial"/>
          <w:szCs w:val="18"/>
        </w:rPr>
        <w:t> States</w:t>
      </w:r>
      <w:r w:rsidRPr="00564DB3">
        <w:rPr>
          <w:rFonts w:cs="Arial"/>
          <w:szCs w:val="18"/>
        </w:rPr>
        <w:t>. Thus, even in the absence of jurisdiction by the US Department of Commerce to audit foreign fishing vessels, carrier vessels, and foreign processors</w:t>
      </w:r>
      <w:r w:rsidR="00B7639F" w:rsidRPr="00564DB3">
        <w:rPr>
          <w:rFonts w:cs="Arial"/>
          <w:szCs w:val="18"/>
        </w:rPr>
        <w:t>,</w:t>
      </w:r>
      <w:r w:rsidRPr="00564DB3">
        <w:rPr>
          <w:rFonts w:cs="Arial"/>
          <w:szCs w:val="18"/>
        </w:rPr>
        <w:t xml:space="preserve"> or vulnerability to IUU fishing in some countries, the Panels considered that the United States, through the 2016 Tuna Measure, has the necessary tools to induce compliance of US processors and importers.</w:t>
      </w:r>
      <w:bookmarkEnd w:id="349"/>
      <w:r w:rsidRPr="00564DB3">
        <w:rPr>
          <w:rStyle w:val="FootnoteReference"/>
          <w:rFonts w:cs="Arial"/>
          <w:szCs w:val="18"/>
        </w:rPr>
        <w:footnoteReference w:id="710"/>
      </w:r>
    </w:p>
    <w:p w:rsidR="00913A2E" w:rsidRPr="00564DB3" w:rsidRDefault="00913A2E" w:rsidP="00F70E38">
      <w:pPr>
        <w:pStyle w:val="BodyText"/>
        <w:rPr>
          <w:rFonts w:cs="Arial"/>
          <w:szCs w:val="18"/>
        </w:rPr>
      </w:pPr>
      <w:r w:rsidRPr="00564DB3">
        <w:rPr>
          <w:rFonts w:cs="Arial"/>
          <w:szCs w:val="18"/>
        </w:rPr>
        <w:t>For these reasons, the Panels found that</w:t>
      </w:r>
      <w:r w:rsidR="00B7639F" w:rsidRPr="00564DB3">
        <w:rPr>
          <w:rFonts w:cs="Arial"/>
          <w:szCs w:val="18"/>
        </w:rPr>
        <w:t>,</w:t>
      </w:r>
      <w:r w:rsidRPr="00564DB3">
        <w:rPr>
          <w:rFonts w:cs="Arial"/>
          <w:szCs w:val="18"/>
        </w:rPr>
        <w:t xml:space="preserve"> although there remained differences between the NOAA and AIDCP regimes with respect to tracking and verification, such differences had been considerably narrowed in the 2016 Tuna Measure. The Panels also found that these remaining differences are calibrated to the differences in the risk profile of the ETP large purse seine fishery compared to other fisheries.</w:t>
      </w:r>
      <w:r w:rsidRPr="00564DB3">
        <w:rPr>
          <w:rStyle w:val="FootnoteReference"/>
          <w:rFonts w:cs="Arial"/>
          <w:szCs w:val="18"/>
        </w:rPr>
        <w:footnoteReference w:id="711"/>
      </w:r>
      <w:r w:rsidRPr="00564DB3">
        <w:rPr>
          <w:rFonts w:cs="Arial"/>
          <w:szCs w:val="18"/>
        </w:rPr>
        <w:t xml:space="preserve"> </w:t>
      </w:r>
    </w:p>
    <w:p w:rsidR="00913A2E" w:rsidRPr="00564DB3" w:rsidRDefault="00913A2E" w:rsidP="00F70E38">
      <w:pPr>
        <w:pStyle w:val="Heading5"/>
        <w:rPr>
          <w:szCs w:val="18"/>
        </w:rPr>
      </w:pPr>
      <w:bookmarkStart w:id="350" w:name="_Ref528171286"/>
      <w:bookmarkStart w:id="351" w:name="_Toc531967494"/>
      <w:r w:rsidRPr="00564DB3">
        <w:rPr>
          <w:szCs w:val="18"/>
        </w:rPr>
        <w:t>Legal analysis</w:t>
      </w:r>
      <w:bookmarkEnd w:id="350"/>
      <w:bookmarkEnd w:id="351"/>
    </w:p>
    <w:p w:rsidR="00913A2E" w:rsidRPr="00564DB3" w:rsidRDefault="00913A2E" w:rsidP="00F70E38">
      <w:pPr>
        <w:pStyle w:val="BodyText"/>
        <w:rPr>
          <w:rFonts w:cs="Arial"/>
          <w:szCs w:val="18"/>
        </w:rPr>
      </w:pPr>
      <w:r w:rsidRPr="00564DB3">
        <w:rPr>
          <w:szCs w:val="18"/>
        </w:rPr>
        <w:t xml:space="preserve">Mexico contends that the Panels erred in their calibration analysis of the tracking and verification requirements: (i) by rejecting the reliability of reporting and fisheries management as relevant to evaluating the calibration of the tracking and verification requirements, and </w:t>
      </w:r>
      <w:r w:rsidR="00333264" w:rsidRPr="00564DB3">
        <w:rPr>
          <w:szCs w:val="18"/>
        </w:rPr>
        <w:t>by</w:t>
      </w:r>
      <w:r w:rsidR="00496950" w:rsidRPr="00564DB3">
        <w:rPr>
          <w:szCs w:val="18"/>
        </w:rPr>
        <w:t xml:space="preserve"> </w:t>
      </w:r>
      <w:r w:rsidRPr="00564DB3">
        <w:rPr>
          <w:szCs w:val="18"/>
        </w:rPr>
        <w:t>finding that the measure can be considered calibrated where it allows higher margins of error for certifications in all ocean areas other than the ETP</w:t>
      </w:r>
      <w:r w:rsidRPr="00564DB3">
        <w:rPr>
          <w:rStyle w:val="FootnoteReference"/>
          <w:szCs w:val="18"/>
        </w:rPr>
        <w:footnoteReference w:id="712"/>
      </w:r>
      <w:r w:rsidRPr="00564DB3">
        <w:rPr>
          <w:szCs w:val="18"/>
        </w:rPr>
        <w:t>; (ii) </w:t>
      </w:r>
      <w:r w:rsidR="00333264" w:rsidRPr="00564DB3">
        <w:rPr>
          <w:szCs w:val="18"/>
        </w:rPr>
        <w:t>by</w:t>
      </w:r>
      <w:r w:rsidR="00134A82" w:rsidRPr="00564DB3">
        <w:rPr>
          <w:szCs w:val="18"/>
        </w:rPr>
        <w:t> </w:t>
      </w:r>
      <w:r w:rsidRPr="00564DB3">
        <w:rPr>
          <w:szCs w:val="18"/>
        </w:rPr>
        <w:t>finding that the determination provisions contribute to the calibration of the measure</w:t>
      </w:r>
      <w:r w:rsidRPr="00564DB3">
        <w:rPr>
          <w:rStyle w:val="FootnoteReference"/>
          <w:szCs w:val="18"/>
        </w:rPr>
        <w:footnoteReference w:id="713"/>
      </w:r>
      <w:r w:rsidRPr="00564DB3">
        <w:rPr>
          <w:szCs w:val="18"/>
        </w:rPr>
        <w:t>; and (iii) by applying an incorrect analysis to conclude that differences between the requirements for the ETP large purse</w:t>
      </w:r>
      <w:r w:rsidR="00B7639F" w:rsidRPr="00564DB3">
        <w:rPr>
          <w:szCs w:val="18"/>
        </w:rPr>
        <w:t xml:space="preserve"> seine</w:t>
      </w:r>
      <w:r w:rsidRPr="00564DB3">
        <w:rPr>
          <w:szCs w:val="18"/>
        </w:rPr>
        <w:t xml:space="preserve"> fishery and other fisheries have been narrowed.</w:t>
      </w:r>
      <w:r w:rsidRPr="00564DB3">
        <w:rPr>
          <w:rStyle w:val="FootnoteReference"/>
          <w:szCs w:val="18"/>
        </w:rPr>
        <w:footnoteReference w:id="714"/>
      </w:r>
      <w:r w:rsidRPr="00564DB3">
        <w:rPr>
          <w:szCs w:val="18"/>
        </w:rPr>
        <w:t xml:space="preserve"> In addition, </w:t>
      </w:r>
      <w:bookmarkStart w:id="352" w:name="_Hlk527056031"/>
      <w:r w:rsidRPr="00564DB3">
        <w:rPr>
          <w:szCs w:val="18"/>
        </w:rPr>
        <w:t>Mexico contends that the Panels acted inconsistently with Article 11 of the DSU by refusing to give any consideration to evidence that, according to Mexico, was directly relevant and material to the outcome of the Panels' legal analysis</w:t>
      </w:r>
      <w:bookmarkEnd w:id="352"/>
      <w:r w:rsidRPr="00564DB3">
        <w:rPr>
          <w:szCs w:val="18"/>
        </w:rPr>
        <w:t>.</w:t>
      </w:r>
      <w:r w:rsidRPr="00564DB3">
        <w:rPr>
          <w:rStyle w:val="FootnoteReference"/>
          <w:szCs w:val="18"/>
        </w:rPr>
        <w:footnoteReference w:id="715"/>
      </w:r>
    </w:p>
    <w:p w:rsidR="00913A2E" w:rsidRPr="00564DB3" w:rsidRDefault="00913A2E" w:rsidP="00F70E38">
      <w:pPr>
        <w:pStyle w:val="BodyText"/>
        <w:rPr>
          <w:rFonts w:cs="Arial"/>
          <w:szCs w:val="18"/>
        </w:rPr>
      </w:pPr>
      <w:r w:rsidRPr="00564DB3">
        <w:rPr>
          <w:rFonts w:cs="Arial"/>
          <w:szCs w:val="18"/>
        </w:rPr>
        <w:t>The United States posits that Mexico's challenge to the Panels' evaluation of the tracking and verification requirements should be dismissed. The United States argues that: (i) the Panels did not omit any relevant factors in their assessment of whether the 2016 Tuna Measure is calibrated to the risk profiles of different fishing methods in different ocean areas</w:t>
      </w:r>
      <w:r w:rsidRPr="00564DB3">
        <w:rPr>
          <w:rStyle w:val="FootnoteReference"/>
          <w:rFonts w:cs="Arial"/>
          <w:szCs w:val="18"/>
        </w:rPr>
        <w:footnoteReference w:id="716"/>
      </w:r>
      <w:r w:rsidRPr="00564DB3">
        <w:rPr>
          <w:rFonts w:cs="Arial"/>
          <w:szCs w:val="18"/>
        </w:rPr>
        <w:t>; (ii) Mexico's claim against the Panels' reasoning concerning the determination provisions contributing to the calibration of the tracking and verification requirements should be rejected</w:t>
      </w:r>
      <w:r w:rsidRPr="00564DB3">
        <w:rPr>
          <w:rStyle w:val="FootnoteReference"/>
          <w:rFonts w:cs="Arial"/>
          <w:szCs w:val="18"/>
        </w:rPr>
        <w:footnoteReference w:id="717"/>
      </w:r>
      <w:r w:rsidRPr="00564DB3">
        <w:rPr>
          <w:rFonts w:cs="Arial"/>
          <w:szCs w:val="18"/>
        </w:rPr>
        <w:t>; and (iii) Mexico puts forward no reason as to why the Panels' analysis of the differences between the AIDCP and NOAA tracking and verification regimes constitutes legal error.</w:t>
      </w:r>
      <w:r w:rsidRPr="00564DB3">
        <w:rPr>
          <w:rStyle w:val="FootnoteReference"/>
          <w:rFonts w:cs="Arial"/>
          <w:szCs w:val="18"/>
        </w:rPr>
        <w:footnoteReference w:id="718"/>
      </w:r>
      <w:r w:rsidRPr="00564DB3">
        <w:rPr>
          <w:rFonts w:cs="Arial"/>
          <w:szCs w:val="18"/>
        </w:rPr>
        <w:t xml:space="preserve"> The United States further asserts that Mexico's claim under Article 11 of the DSU should be rejected.</w:t>
      </w:r>
      <w:r w:rsidRPr="00564DB3">
        <w:rPr>
          <w:rStyle w:val="FootnoteReference"/>
          <w:rFonts w:cs="Arial"/>
          <w:szCs w:val="18"/>
        </w:rPr>
        <w:footnoteReference w:id="719"/>
      </w:r>
    </w:p>
    <w:p w:rsidR="00913A2E" w:rsidRPr="00564DB3" w:rsidRDefault="00913A2E" w:rsidP="00F70E38">
      <w:pPr>
        <w:pStyle w:val="BodyText"/>
        <w:rPr>
          <w:rFonts w:cs="Arial"/>
          <w:szCs w:val="18"/>
        </w:rPr>
      </w:pPr>
      <w:r w:rsidRPr="00564DB3">
        <w:rPr>
          <w:rFonts w:cs="Arial"/>
          <w:szCs w:val="18"/>
        </w:rPr>
        <w:t xml:space="preserve">We begin with Mexico's allegation that the Panels erred in their calibration analysis by failing to take into account several relevant criteria including "the sufficiency of regulatory oversight, the reliability of reporting, the existence of IUU fishing and the existence of </w:t>
      </w:r>
      <w:proofErr w:type="spellStart"/>
      <w:r w:rsidRPr="00564DB3">
        <w:rPr>
          <w:rFonts w:cs="Arial"/>
          <w:szCs w:val="18"/>
        </w:rPr>
        <w:t>transshipment</w:t>
      </w:r>
      <w:proofErr w:type="spellEnd"/>
      <w:r w:rsidRPr="00564DB3">
        <w:rPr>
          <w:rFonts w:cs="Arial"/>
          <w:szCs w:val="18"/>
        </w:rPr>
        <w:t xml:space="preserve"> at sea".</w:t>
      </w:r>
      <w:r w:rsidRPr="00564DB3">
        <w:rPr>
          <w:rStyle w:val="FootnoteReference"/>
          <w:rFonts w:cs="Arial"/>
          <w:szCs w:val="18"/>
        </w:rPr>
        <w:footnoteReference w:id="720"/>
      </w:r>
      <w:r w:rsidRPr="00564DB3">
        <w:rPr>
          <w:rFonts w:cs="Arial"/>
          <w:szCs w:val="18"/>
        </w:rPr>
        <w:t xml:space="preserve"> Instead, according to Mexico, the Panels erroneously based their calibration analysis on "the likelihood of AIDCP-compliant setting on dolphins in the ETP producing dolphin-safe and non-dolphin safe tuna compared to the likelihood in all other fisheries</w:t>
      </w:r>
      <w:r w:rsidR="00F16717" w:rsidRPr="00564DB3">
        <w:rPr>
          <w:rFonts w:cs="Arial"/>
          <w:szCs w:val="18"/>
        </w:rPr>
        <w:t xml:space="preserve"> …</w:t>
      </w:r>
      <w:r w:rsidRPr="00564DB3">
        <w:rPr>
          <w:rFonts w:cs="Arial"/>
          <w:szCs w:val="18"/>
        </w:rPr>
        <w:t xml:space="preserve"> and the perceived 'margin of error' in the label associated with such likelihood".</w:t>
      </w:r>
      <w:r w:rsidRPr="00564DB3">
        <w:rPr>
          <w:rStyle w:val="FootnoteReference"/>
          <w:rFonts w:cs="Arial"/>
          <w:szCs w:val="18"/>
        </w:rPr>
        <w:footnoteReference w:id="721"/>
      </w:r>
    </w:p>
    <w:p w:rsidR="00913A2E" w:rsidRPr="00564DB3" w:rsidRDefault="00913A2E" w:rsidP="00F70E38">
      <w:pPr>
        <w:pStyle w:val="BodyText"/>
        <w:rPr>
          <w:rFonts w:cs="Arial"/>
          <w:szCs w:val="18"/>
        </w:rPr>
      </w:pPr>
      <w:r w:rsidRPr="00564DB3">
        <w:rPr>
          <w:rFonts w:cs="Arial"/>
          <w:szCs w:val="18"/>
        </w:rPr>
        <w:t xml:space="preserve">As a preliminary observation, we note that, by referring to "AIDCP-compliant setting on dolphins in the ETP", Mexico's argument seems to suggest that the Panels examined the tracking and verification requirements through the lens of the AIDCP regime. We recall that the AIDCP applies only to the ETP. While the 2016 Tuna Measure applies the AIDCP </w:t>
      </w:r>
      <w:r w:rsidR="00060A90" w:rsidRPr="00564DB3">
        <w:rPr>
          <w:rFonts w:cs="Arial"/>
          <w:szCs w:val="18"/>
        </w:rPr>
        <w:t>T</w:t>
      </w:r>
      <w:r w:rsidRPr="00564DB3">
        <w:rPr>
          <w:rFonts w:cs="Arial"/>
          <w:szCs w:val="18"/>
        </w:rPr>
        <w:t xml:space="preserve">racking and </w:t>
      </w:r>
      <w:r w:rsidR="00060A90" w:rsidRPr="00564DB3">
        <w:rPr>
          <w:rFonts w:cs="Arial"/>
          <w:szCs w:val="18"/>
        </w:rPr>
        <w:t>V</w:t>
      </w:r>
      <w:r w:rsidRPr="00564DB3">
        <w:rPr>
          <w:rFonts w:cs="Arial"/>
          <w:szCs w:val="18"/>
        </w:rPr>
        <w:t xml:space="preserve">erification </w:t>
      </w:r>
      <w:r w:rsidR="00060A90" w:rsidRPr="00564DB3">
        <w:rPr>
          <w:rFonts w:cs="Arial"/>
          <w:szCs w:val="18"/>
        </w:rPr>
        <w:t>S</w:t>
      </w:r>
      <w:r w:rsidRPr="00564DB3">
        <w:rPr>
          <w:rFonts w:cs="Arial"/>
          <w:szCs w:val="18"/>
        </w:rPr>
        <w:t>ystem to the ETP large purse seine fishery, the 2016 Tuna Measure does not apply the AIDCP system to the other fisheries in the ETP. Instead, the other fisheries are subject to the NOAA regime. Thus, the Panels were not focused on what distinctions manifested between AIDCP</w:t>
      </w:r>
      <w:r w:rsidRPr="00564DB3">
        <w:rPr>
          <w:rFonts w:cs="Arial"/>
          <w:szCs w:val="18"/>
        </w:rPr>
        <w:noBreakHyphen/>
        <w:t>compliant methods and non</w:t>
      </w:r>
      <w:r w:rsidRPr="00564DB3">
        <w:rPr>
          <w:rFonts w:cs="Arial"/>
          <w:szCs w:val="18"/>
        </w:rPr>
        <w:noBreakHyphen/>
        <w:t>AIDCP</w:t>
      </w:r>
      <w:r w:rsidR="00A10853" w:rsidRPr="00564DB3">
        <w:rPr>
          <w:rFonts w:cs="Arial"/>
          <w:szCs w:val="18"/>
        </w:rPr>
        <w:t>-</w:t>
      </w:r>
      <w:r w:rsidRPr="00564DB3">
        <w:rPr>
          <w:rFonts w:cs="Arial"/>
          <w:szCs w:val="18"/>
        </w:rPr>
        <w:t>complian</w:t>
      </w:r>
      <w:r w:rsidR="00A10853" w:rsidRPr="00564DB3">
        <w:rPr>
          <w:rFonts w:cs="Arial"/>
          <w:szCs w:val="18"/>
        </w:rPr>
        <w:t>t</w:t>
      </w:r>
      <w:r w:rsidRPr="00564DB3">
        <w:rPr>
          <w:rFonts w:cs="Arial"/>
          <w:szCs w:val="18"/>
        </w:rPr>
        <w:t xml:space="preserve"> methods. Rather, in our view, the Panels rightly focused their analysis on the distinctions in the tracking and verification requirements under the 2016 Tuna Measure, taking account of the differences in the risk profiles of the different fisheries. </w:t>
      </w:r>
      <w:r w:rsidRPr="00564DB3">
        <w:rPr>
          <w:szCs w:val="18"/>
        </w:rPr>
        <w:t>We recall that, having assessed the risk profiles of the individual fisheries, the Panels established</w:t>
      </w:r>
      <w:r w:rsidR="00DE196C" w:rsidRPr="00564DB3">
        <w:rPr>
          <w:szCs w:val="18"/>
        </w:rPr>
        <w:t xml:space="preserve"> that, when compared to the ETP </w:t>
      </w:r>
      <w:r w:rsidRPr="00564DB3">
        <w:rPr>
          <w:szCs w:val="18"/>
        </w:rPr>
        <w:t>large purse seine fishery, which has a "special risk profile", all the other fisheries are similar in their risk profiles insofar as in none of them is setting on dolphins practised consistently or systematically.</w:t>
      </w:r>
      <w:r w:rsidRPr="00564DB3">
        <w:rPr>
          <w:rStyle w:val="FootnoteReference"/>
          <w:szCs w:val="18"/>
        </w:rPr>
        <w:footnoteReference w:id="722"/>
      </w:r>
    </w:p>
    <w:p w:rsidR="00913A2E" w:rsidRPr="00564DB3" w:rsidRDefault="00913A2E" w:rsidP="00F70E38">
      <w:pPr>
        <w:pStyle w:val="BodyText"/>
        <w:rPr>
          <w:rFonts w:cs="Arial"/>
          <w:szCs w:val="18"/>
        </w:rPr>
      </w:pPr>
      <w:r w:rsidRPr="00564DB3">
        <w:rPr>
          <w:rFonts w:cs="Arial"/>
          <w:szCs w:val="18"/>
        </w:rPr>
        <w:t xml:space="preserve">Turning to Mexico's assertion that "[t]he Panels' reasoning regarding the margin of error suffered from the same errors identified above in respect of the risks of inaccurate information and the certification requirements", </w:t>
      </w:r>
      <w:bookmarkStart w:id="353" w:name="_Hlk526527320"/>
      <w:r w:rsidRPr="00564DB3">
        <w:rPr>
          <w:rFonts w:cs="Arial"/>
          <w:szCs w:val="18"/>
        </w:rPr>
        <w:t>we recall that we addressed these arguments in</w:t>
      </w:r>
      <w:r w:rsidR="009670B7">
        <w:rPr>
          <w:rFonts w:cs="Arial"/>
          <w:szCs w:val="18"/>
        </w:rPr>
        <w:t xml:space="preserve"> section 6.1.5.3 </w:t>
      </w:r>
      <w:r w:rsidR="00954430" w:rsidRPr="00564DB3">
        <w:rPr>
          <w:rFonts w:cs="Arial"/>
          <w:szCs w:val="18"/>
        </w:rPr>
        <w:t>above. Thus, our discussion in</w:t>
      </w:r>
      <w:r w:rsidRPr="00564DB3">
        <w:rPr>
          <w:rFonts w:cs="Arial"/>
          <w:szCs w:val="18"/>
        </w:rPr>
        <w:t xml:space="preserve"> paragraphs</w:t>
      </w:r>
      <w:r w:rsidR="009670B7">
        <w:rPr>
          <w:rFonts w:cs="Arial"/>
          <w:szCs w:val="18"/>
        </w:rPr>
        <w:t xml:space="preserve"> 6.187-6.189</w:t>
      </w:r>
      <w:r w:rsidR="00EA7331" w:rsidRPr="00564DB3">
        <w:rPr>
          <w:rFonts w:cs="Arial"/>
          <w:szCs w:val="18"/>
        </w:rPr>
        <w:t xml:space="preserve"> </w:t>
      </w:r>
      <w:r w:rsidRPr="00564DB3">
        <w:rPr>
          <w:rFonts w:cs="Arial"/>
          <w:szCs w:val="18"/>
        </w:rPr>
        <w:t>above applies equally to our review of the Panels' reasoning in their evaluation of the tracking and verification requirements.</w:t>
      </w:r>
      <w:bookmarkEnd w:id="353"/>
    </w:p>
    <w:p w:rsidR="00913A2E" w:rsidRPr="00564DB3" w:rsidRDefault="00913A2E" w:rsidP="00F70E38">
      <w:pPr>
        <w:pStyle w:val="BodyText"/>
        <w:rPr>
          <w:rFonts w:cs="Arial"/>
          <w:szCs w:val="18"/>
        </w:rPr>
      </w:pPr>
      <w:r w:rsidRPr="00564DB3">
        <w:rPr>
          <w:rFonts w:cs="Arial"/>
          <w:szCs w:val="18"/>
        </w:rPr>
        <w:t>Moreover, specifically in their evaluation of the tracking and verification requirements, the Panels explained that:</w:t>
      </w:r>
    </w:p>
    <w:p w:rsidR="00913A2E" w:rsidRPr="00564DB3" w:rsidRDefault="00913A2E" w:rsidP="00F70E38">
      <w:pPr>
        <w:pStyle w:val="Quotation"/>
      </w:pPr>
      <w:r w:rsidRPr="00564DB3">
        <w:t xml:space="preserve">In our view, the difference in the risk profile of the ETP large purse seine fishery compared to other fisheries indicates that there is a greater likelihood that a vessel in the ETP large purse seine fishery will produce both dolphin-safe and non-dolphin-safe tuna on any fishing trip, and that the two groups of tuna will have to be segregated and tracked. Conversely, there would be a lower likelihood </w:t>
      </w:r>
      <w:r w:rsidR="00DE196C" w:rsidRPr="00564DB3">
        <w:t>that a set produces non</w:t>
      </w:r>
      <w:r w:rsidR="00DE196C" w:rsidRPr="00564DB3">
        <w:noBreakHyphen/>
        <w:t>dolphin</w:t>
      </w:r>
      <w:r w:rsidR="00DE196C" w:rsidRPr="00564DB3">
        <w:noBreakHyphen/>
      </w:r>
      <w:r w:rsidRPr="00564DB3">
        <w:t xml:space="preserve">safe tuna in other fisheries that would need to be segregated </w:t>
      </w:r>
      <w:proofErr w:type="gramStart"/>
      <w:r w:rsidRPr="00564DB3">
        <w:t>as a consequence of</w:t>
      </w:r>
      <w:proofErr w:type="gramEnd"/>
      <w:r w:rsidRPr="00564DB3">
        <w:t xml:space="preserve"> this. This justifies, in our view, the need for a stricter regime of tracking and verification in the ETP large purse seine fishery. … We thus consider that it is reasonable for the United States to apply a more sensitive tracking and verification mechanism in respect of high-risk fisheries. Doing so is "commensurate with" the risks to dolphins arising from the use of different fishing methods i</w:t>
      </w:r>
      <w:r w:rsidR="007D5E73" w:rsidRPr="00564DB3">
        <w:t>n different areas of the ocean</w:t>
      </w:r>
      <w:r w:rsidRPr="00564DB3">
        <w:t>.</w:t>
      </w:r>
      <w:r w:rsidRPr="00564DB3">
        <w:rPr>
          <w:rStyle w:val="FootnoteReference"/>
        </w:rPr>
        <w:footnoteReference w:id="723"/>
      </w:r>
    </w:p>
    <w:p w:rsidR="00913A2E" w:rsidRPr="00564DB3" w:rsidRDefault="00913A2E" w:rsidP="00F70E38">
      <w:pPr>
        <w:pStyle w:val="BodyText"/>
        <w:rPr>
          <w:rFonts w:cs="Arial"/>
          <w:szCs w:val="18"/>
        </w:rPr>
      </w:pPr>
      <w:r w:rsidRPr="00564DB3">
        <w:rPr>
          <w:rFonts w:cs="Arial"/>
          <w:szCs w:val="18"/>
        </w:rPr>
        <w:t xml:space="preserve">We share the Panels' view as quoted above. </w:t>
      </w:r>
      <w:r w:rsidR="007D5E73" w:rsidRPr="00564DB3">
        <w:rPr>
          <w:rFonts w:cs="Arial"/>
          <w:szCs w:val="18"/>
        </w:rPr>
        <w:t>T</w:t>
      </w:r>
      <w:r w:rsidRPr="00564DB3">
        <w:rPr>
          <w:rFonts w:cs="Arial"/>
          <w:szCs w:val="18"/>
        </w:rPr>
        <w:t xml:space="preserve">he key question before the Panels was whether </w:t>
      </w:r>
      <w:r w:rsidR="007D5E73" w:rsidRPr="00564DB3">
        <w:rPr>
          <w:rFonts w:cs="Arial"/>
          <w:szCs w:val="18"/>
        </w:rPr>
        <w:t xml:space="preserve">the differences in the </w:t>
      </w:r>
      <w:r w:rsidRPr="00564DB3">
        <w:rPr>
          <w:rFonts w:cs="Arial"/>
          <w:szCs w:val="18"/>
        </w:rPr>
        <w:t>sensitivity</w:t>
      </w:r>
      <w:r w:rsidR="007D5E73" w:rsidRPr="00564DB3">
        <w:rPr>
          <w:rFonts w:cs="Arial"/>
          <w:szCs w:val="18"/>
        </w:rPr>
        <w:t xml:space="preserve"> of the labelling conditions</w:t>
      </w:r>
      <w:r w:rsidRPr="00564DB3">
        <w:rPr>
          <w:rFonts w:cs="Arial"/>
          <w:szCs w:val="18"/>
        </w:rPr>
        <w:t xml:space="preserve"> </w:t>
      </w:r>
      <w:r w:rsidR="007D5E73" w:rsidRPr="00564DB3">
        <w:rPr>
          <w:rFonts w:cs="Arial"/>
          <w:szCs w:val="18"/>
        </w:rPr>
        <w:t>are</w:t>
      </w:r>
      <w:r w:rsidRPr="00564DB3">
        <w:rPr>
          <w:rFonts w:cs="Arial"/>
          <w:szCs w:val="18"/>
        </w:rPr>
        <w:t xml:space="preserve"> properly calibrated to the differences in risk profiles of the fisheries. If the sensitivity of the labelling conditions is calibrated to the risks to dolphins arising from the use of different fishing methods in different areas of the ocean, then the 2016 Tuna Measure addresses these different levels of risks to dolphins in such a way as to ensure accurate labelling (i.e. </w:t>
      </w:r>
      <w:proofErr w:type="gramStart"/>
      <w:r w:rsidRPr="00564DB3">
        <w:rPr>
          <w:rFonts w:cs="Arial"/>
          <w:szCs w:val="18"/>
        </w:rPr>
        <w:t>less</w:t>
      </w:r>
      <w:proofErr w:type="gramEnd"/>
      <w:r w:rsidRPr="00564DB3">
        <w:rPr>
          <w:rFonts w:cs="Arial"/>
          <w:szCs w:val="18"/>
        </w:rPr>
        <w:t xml:space="preserve"> sensitive requirements in fisheries with lower risks, and more sensitive requirements in fisheries with higher risks).</w:t>
      </w:r>
    </w:p>
    <w:p w:rsidR="00913A2E" w:rsidRPr="00564DB3" w:rsidRDefault="00913A2E" w:rsidP="00F70E38">
      <w:pPr>
        <w:pStyle w:val="BodyText"/>
        <w:rPr>
          <w:rFonts w:cs="Arial"/>
          <w:szCs w:val="18"/>
        </w:rPr>
      </w:pPr>
      <w:r w:rsidRPr="00564DB3">
        <w:rPr>
          <w:rFonts w:cs="Arial"/>
          <w:szCs w:val="18"/>
        </w:rPr>
        <w:t xml:space="preserve">This leads us to Mexico's contention that the Panels erred by completely omitting the sufficiency of regulatory oversight, the reliability of </w:t>
      </w:r>
      <w:r w:rsidR="00962F01" w:rsidRPr="00564DB3">
        <w:rPr>
          <w:rFonts w:cs="Arial"/>
          <w:szCs w:val="18"/>
        </w:rPr>
        <w:t>reporting, the existence of IUU </w:t>
      </w:r>
      <w:r w:rsidRPr="00564DB3">
        <w:rPr>
          <w:rFonts w:cs="Arial"/>
          <w:szCs w:val="18"/>
        </w:rPr>
        <w:t>fishing</w:t>
      </w:r>
      <w:r w:rsidR="00A10853" w:rsidRPr="00564DB3">
        <w:rPr>
          <w:rFonts w:cs="Arial"/>
          <w:szCs w:val="18"/>
        </w:rPr>
        <w:t>,</w:t>
      </w:r>
      <w:r w:rsidRPr="00564DB3">
        <w:rPr>
          <w:rFonts w:cs="Arial"/>
          <w:szCs w:val="18"/>
        </w:rPr>
        <w:t xml:space="preserve"> and the existence of trans</w:t>
      </w:r>
      <w:r w:rsidRPr="00564DB3">
        <w:rPr>
          <w:rFonts w:cs="Arial"/>
          <w:szCs w:val="18"/>
        </w:rPr>
        <w:noBreakHyphen/>
        <w:t>shipment at sea as criteria for their calibration assessment.</w:t>
      </w:r>
      <w:r w:rsidRPr="00564DB3">
        <w:rPr>
          <w:rStyle w:val="FootnoteReference"/>
          <w:rFonts w:cs="Arial"/>
          <w:szCs w:val="18"/>
        </w:rPr>
        <w:footnoteReference w:id="724"/>
      </w:r>
      <w:r w:rsidRPr="00564DB3">
        <w:rPr>
          <w:rFonts w:cs="Arial"/>
          <w:szCs w:val="18"/>
        </w:rPr>
        <w:t xml:space="preserve"> As we explain below, Mexico's contention fails to </w:t>
      </w:r>
      <w:proofErr w:type="gramStart"/>
      <w:r w:rsidRPr="00564DB3">
        <w:rPr>
          <w:rFonts w:cs="Arial"/>
          <w:szCs w:val="18"/>
        </w:rPr>
        <w:t>take into account</w:t>
      </w:r>
      <w:proofErr w:type="gramEnd"/>
      <w:r w:rsidRPr="00564DB3">
        <w:rPr>
          <w:rFonts w:cs="Arial"/>
          <w:szCs w:val="18"/>
        </w:rPr>
        <w:t xml:space="preserve"> the Panels' explanations regarding these factors.</w:t>
      </w:r>
    </w:p>
    <w:p w:rsidR="00913A2E" w:rsidRPr="00564DB3" w:rsidRDefault="00913A2E" w:rsidP="00F70E38">
      <w:pPr>
        <w:pStyle w:val="BodyText"/>
        <w:rPr>
          <w:rFonts w:cs="Arial"/>
          <w:szCs w:val="18"/>
        </w:rPr>
      </w:pPr>
      <w:r w:rsidRPr="00564DB3">
        <w:rPr>
          <w:rFonts w:cs="Arial"/>
          <w:szCs w:val="18"/>
        </w:rPr>
        <w:t>First, concerning government oversight, the</w:t>
      </w:r>
      <w:r w:rsidR="00962F01" w:rsidRPr="00564DB3">
        <w:rPr>
          <w:rFonts w:cs="Arial"/>
          <w:szCs w:val="18"/>
        </w:rPr>
        <w:t xml:space="preserve"> Panels noted that the new NOAA </w:t>
      </w:r>
      <w:r w:rsidRPr="00564DB3">
        <w:rPr>
          <w:rFonts w:cs="Arial"/>
          <w:szCs w:val="18"/>
        </w:rPr>
        <w:t xml:space="preserve">regime chain of custody record-keeping requirement for tuna products </w:t>
      </w:r>
      <w:r w:rsidR="007D5E73" w:rsidRPr="00564DB3">
        <w:rPr>
          <w:rFonts w:cs="Arial"/>
          <w:szCs w:val="18"/>
        </w:rPr>
        <w:t>harveste</w:t>
      </w:r>
      <w:r w:rsidRPr="00564DB3">
        <w:rPr>
          <w:rFonts w:cs="Arial"/>
          <w:szCs w:val="18"/>
        </w:rPr>
        <w:t xml:space="preserve">d from other fisheries, referred to </w:t>
      </w:r>
      <w:r w:rsidR="00954430" w:rsidRPr="00564DB3">
        <w:rPr>
          <w:rFonts w:cs="Arial"/>
          <w:szCs w:val="18"/>
        </w:rPr>
        <w:t>in</w:t>
      </w:r>
      <w:r w:rsidRPr="00564DB3">
        <w:rPr>
          <w:rFonts w:cs="Arial"/>
          <w:szCs w:val="18"/>
        </w:rPr>
        <w:t xml:space="preserve"> paragraph</w:t>
      </w:r>
      <w:r w:rsidR="009670B7">
        <w:rPr>
          <w:rFonts w:cs="Arial"/>
          <w:szCs w:val="18"/>
        </w:rPr>
        <w:t xml:space="preserve"> 6.219</w:t>
      </w:r>
      <w:r w:rsidR="00EA7331" w:rsidRPr="00564DB3">
        <w:rPr>
          <w:rFonts w:cs="Arial"/>
          <w:szCs w:val="18"/>
        </w:rPr>
        <w:t xml:space="preserve"> </w:t>
      </w:r>
      <w:r w:rsidRPr="00564DB3">
        <w:rPr>
          <w:rFonts w:cs="Arial"/>
          <w:szCs w:val="18"/>
        </w:rPr>
        <w:t>above, addresses the previous inability of t</w:t>
      </w:r>
      <w:r w:rsidR="00DE196C" w:rsidRPr="00564DB3">
        <w:rPr>
          <w:rFonts w:cs="Arial"/>
          <w:szCs w:val="18"/>
        </w:rPr>
        <w:t>he US government under the NOAA </w:t>
      </w:r>
      <w:r w:rsidRPr="00564DB3">
        <w:rPr>
          <w:rFonts w:cs="Arial"/>
          <w:szCs w:val="18"/>
        </w:rPr>
        <w:t>regime to go "behind the documents", because NMFS now has the ability to check the information of the movement of the tuna, even before it arrives at the cannery. For the Panels, this modification seemed to bridge the previous existing difference between the AIDCP regime and the NOAA regime.</w:t>
      </w:r>
      <w:r w:rsidRPr="00564DB3">
        <w:rPr>
          <w:rStyle w:val="FootnoteReference"/>
          <w:rFonts w:cs="Arial"/>
          <w:szCs w:val="18"/>
        </w:rPr>
        <w:footnoteReference w:id="725"/>
      </w:r>
      <w:r w:rsidRPr="00564DB3">
        <w:rPr>
          <w:rFonts w:cs="Arial"/>
          <w:szCs w:val="18"/>
        </w:rPr>
        <w:t xml:space="preserve"> In response to questioning at the hearing, Mexico accepted that the new custody</w:t>
      </w:r>
      <w:r w:rsidRPr="00564DB3">
        <w:rPr>
          <w:rFonts w:cs="Arial"/>
          <w:szCs w:val="18"/>
        </w:rPr>
        <w:noBreakHyphen/>
        <w:t>keeping requirements under the 2016 Tuna Measure appeared to have narrowed the differences between the AIDCP regime and the NOAA regime. However, Mexico stressed that the differences had not been eliminated.</w:t>
      </w:r>
    </w:p>
    <w:p w:rsidR="00913A2E" w:rsidRPr="00564DB3" w:rsidRDefault="00913A2E" w:rsidP="00F70E38">
      <w:pPr>
        <w:pStyle w:val="BodyText"/>
        <w:rPr>
          <w:rFonts w:cs="Arial"/>
          <w:szCs w:val="18"/>
        </w:rPr>
      </w:pPr>
      <w:r w:rsidRPr="00564DB3">
        <w:rPr>
          <w:rFonts w:cs="Arial"/>
          <w:szCs w:val="18"/>
        </w:rPr>
        <w:t>We recall that the calibration analysis is not intended to test for uniformity in the requirements applicable to the different fisheries. Rather, the sensitivity of the labelling conditions under the 2016 Tuna Measure should be calibrated to the risks to dolphins arising from the use of different fishing methods in different areas of the ocean. Thus, requiring the 2016 Tuna Measure to be calibrated to the risks to dolphins does not mean that the differences between the AIDCP regime and the NOAA regime must be eliminated under the 2016 Tuna Measure, given that the ETP large purse seine fishery has a special risk profile that distinguishes it from other fisheries.</w:t>
      </w:r>
    </w:p>
    <w:p w:rsidR="00913A2E" w:rsidRPr="00564DB3" w:rsidRDefault="00913A2E" w:rsidP="00F70E38">
      <w:pPr>
        <w:pStyle w:val="BodyText"/>
        <w:rPr>
          <w:rFonts w:cs="Arial"/>
          <w:szCs w:val="18"/>
        </w:rPr>
      </w:pPr>
      <w:r w:rsidRPr="00564DB3">
        <w:rPr>
          <w:rFonts w:cs="Arial"/>
          <w:szCs w:val="18"/>
        </w:rPr>
        <w:t xml:space="preserve">Second, the Panels took note of Mexico's contention that a number of the countries that are the largest suppliers of tuna and tuna products, such as </w:t>
      </w:r>
      <w:r w:rsidR="004E727F" w:rsidRPr="00564DB3">
        <w:rPr>
          <w:rFonts w:cs="Arial"/>
          <w:szCs w:val="18"/>
        </w:rPr>
        <w:t xml:space="preserve">the Philippines, </w:t>
      </w:r>
      <w:r w:rsidRPr="00564DB3">
        <w:rPr>
          <w:rFonts w:cs="Arial"/>
          <w:szCs w:val="18"/>
        </w:rPr>
        <w:t xml:space="preserve">Chinese Taipei, </w:t>
      </w:r>
      <w:r w:rsidR="004E727F" w:rsidRPr="00564DB3">
        <w:rPr>
          <w:rFonts w:cs="Arial"/>
          <w:szCs w:val="18"/>
        </w:rPr>
        <w:t xml:space="preserve">and Thailand </w:t>
      </w:r>
      <w:r w:rsidRPr="00564DB3">
        <w:rPr>
          <w:rFonts w:cs="Arial"/>
          <w:szCs w:val="18"/>
        </w:rPr>
        <w:t xml:space="preserve">are significantly deficient in the control and monitoring of fishing </w:t>
      </w:r>
      <w:proofErr w:type="gramStart"/>
      <w:r w:rsidRPr="00564DB3">
        <w:rPr>
          <w:rFonts w:cs="Arial"/>
          <w:szCs w:val="18"/>
        </w:rPr>
        <w:t>activities, and</w:t>
      </w:r>
      <w:proofErr w:type="gramEnd"/>
      <w:r w:rsidRPr="00564DB3">
        <w:rPr>
          <w:rFonts w:cs="Arial"/>
          <w:szCs w:val="18"/>
        </w:rPr>
        <w:t xml:space="preserve"> have been identified as extremely vulnerable to IUU fishing. Mexico had also argued that the US Department of Commerce lacks jurisdiction to audit foreign fishing vessels, carrier vessels, and foreign processors. However, as indicated </w:t>
      </w:r>
      <w:r w:rsidRPr="009670B7">
        <w:rPr>
          <w:rFonts w:cs="Arial"/>
          <w:szCs w:val="18"/>
        </w:rPr>
        <w:t>in paragraph</w:t>
      </w:r>
      <w:r w:rsidR="009670B7" w:rsidRPr="009670B7">
        <w:rPr>
          <w:rFonts w:cs="Arial"/>
          <w:szCs w:val="18"/>
        </w:rPr>
        <w:t xml:space="preserve"> 6.225</w:t>
      </w:r>
      <w:r w:rsidR="00EA7331" w:rsidRPr="009670B7">
        <w:rPr>
          <w:rFonts w:cs="Arial"/>
          <w:szCs w:val="18"/>
        </w:rPr>
        <w:t xml:space="preserve"> </w:t>
      </w:r>
      <w:r w:rsidRPr="009670B7">
        <w:rPr>
          <w:rFonts w:cs="Arial"/>
          <w:szCs w:val="18"/>
        </w:rPr>
        <w:t>above</w:t>
      </w:r>
      <w:r w:rsidRPr="00564DB3">
        <w:rPr>
          <w:rFonts w:cs="Arial"/>
          <w:szCs w:val="18"/>
        </w:rPr>
        <w:t>, the Panels recalled that the NOAA regime provides that breaches of the tracking and verification requirements may lead to the imposition of sanctions. Thus, even in the absence of jurisdiction by the US Department of Commerce to audit foreign fishing vessels, carrier vessels, and foreign processors, or vulnerability to IUU fishing in some countries, the Panels considered that the United States, through the 2016 Tuna Measure, has the necessary tools to induce compliance of US processors and importers.</w:t>
      </w:r>
      <w:r w:rsidRPr="00564DB3">
        <w:rPr>
          <w:rStyle w:val="FootnoteReference"/>
          <w:rFonts w:cs="Arial"/>
          <w:szCs w:val="18"/>
        </w:rPr>
        <w:footnoteReference w:id="726"/>
      </w:r>
    </w:p>
    <w:p w:rsidR="00913A2E" w:rsidRPr="00564DB3" w:rsidRDefault="00913A2E" w:rsidP="00F70E38">
      <w:pPr>
        <w:pStyle w:val="BodyText"/>
        <w:rPr>
          <w:rFonts w:cs="Arial"/>
          <w:szCs w:val="18"/>
        </w:rPr>
      </w:pPr>
      <w:r w:rsidRPr="00564DB3">
        <w:rPr>
          <w:rFonts w:cs="Arial"/>
          <w:szCs w:val="18"/>
        </w:rPr>
        <w:t>Thus, contrary to Mexico's arguments, in their calibration analysis</w:t>
      </w:r>
      <w:r w:rsidR="005F27DE" w:rsidRPr="00564DB3">
        <w:rPr>
          <w:rFonts w:cs="Arial"/>
          <w:szCs w:val="18"/>
        </w:rPr>
        <w:t>,</w:t>
      </w:r>
      <w:r w:rsidRPr="00564DB3">
        <w:rPr>
          <w:rFonts w:cs="Arial"/>
          <w:szCs w:val="18"/>
        </w:rPr>
        <w:t xml:space="preserve"> </w:t>
      </w:r>
      <w:r w:rsidR="007020DE" w:rsidRPr="00564DB3">
        <w:rPr>
          <w:rFonts w:cs="Arial"/>
          <w:szCs w:val="18"/>
        </w:rPr>
        <w:t xml:space="preserve">the Panels </w:t>
      </w:r>
      <w:r w:rsidRPr="00564DB3">
        <w:rPr>
          <w:rFonts w:cs="Arial"/>
          <w:szCs w:val="18"/>
        </w:rPr>
        <w:t xml:space="preserve">did not "completely omit[] the sufficiency of regulatory oversight, the reliability of reporting, the existence of IUU fishing and the existence of </w:t>
      </w:r>
      <w:proofErr w:type="spellStart"/>
      <w:r w:rsidRPr="00564DB3">
        <w:rPr>
          <w:rFonts w:cs="Arial"/>
          <w:szCs w:val="18"/>
        </w:rPr>
        <w:t>transshipment</w:t>
      </w:r>
      <w:proofErr w:type="spellEnd"/>
      <w:r w:rsidRPr="00564DB3">
        <w:rPr>
          <w:rFonts w:cs="Arial"/>
          <w:szCs w:val="18"/>
        </w:rPr>
        <w:t xml:space="preserve"> at sea".</w:t>
      </w:r>
      <w:r w:rsidRPr="00564DB3">
        <w:rPr>
          <w:rStyle w:val="FootnoteReference"/>
          <w:rFonts w:cs="Arial"/>
          <w:szCs w:val="18"/>
        </w:rPr>
        <w:footnoteReference w:id="727"/>
      </w:r>
      <w:r w:rsidRPr="00564DB3">
        <w:rPr>
          <w:rFonts w:cs="Arial"/>
          <w:szCs w:val="18"/>
        </w:rPr>
        <w:t xml:space="preserve"> Still in this regard, </w:t>
      </w:r>
      <w:r w:rsidRPr="009670B7">
        <w:rPr>
          <w:rFonts w:cs="Arial"/>
          <w:szCs w:val="18"/>
        </w:rPr>
        <w:t xml:space="preserve">and as discussed in </w:t>
      </w:r>
      <w:r w:rsidR="007D5E73" w:rsidRPr="009670B7">
        <w:rPr>
          <w:rFonts w:cs="Arial"/>
          <w:szCs w:val="18"/>
        </w:rPr>
        <w:t>paragraph</w:t>
      </w:r>
      <w:r w:rsidR="009670B7" w:rsidRPr="009670B7">
        <w:rPr>
          <w:rFonts w:cs="Arial"/>
          <w:szCs w:val="18"/>
        </w:rPr>
        <w:t xml:space="preserve"> 6.147</w:t>
      </w:r>
      <w:r w:rsidR="00EA7331" w:rsidRPr="009670B7">
        <w:rPr>
          <w:rFonts w:cs="Arial"/>
          <w:szCs w:val="18"/>
        </w:rPr>
        <w:t xml:space="preserve"> </w:t>
      </w:r>
      <w:r w:rsidRPr="009670B7">
        <w:rPr>
          <w:rFonts w:cs="Arial"/>
          <w:szCs w:val="18"/>
        </w:rPr>
        <w:t xml:space="preserve">above, we do not exclude the possibility that </w:t>
      </w:r>
      <w:r w:rsidR="00EA4000" w:rsidRPr="009670B7">
        <w:rPr>
          <w:rFonts w:cs="Arial"/>
          <w:szCs w:val="18"/>
        </w:rPr>
        <w:t xml:space="preserve">the </w:t>
      </w:r>
      <w:r w:rsidRPr="009670B7">
        <w:rPr>
          <w:rFonts w:cs="Arial"/>
          <w:szCs w:val="18"/>
        </w:rPr>
        <w:t>above</w:t>
      </w:r>
      <w:r w:rsidRPr="009670B7">
        <w:rPr>
          <w:rFonts w:cs="Arial"/>
          <w:szCs w:val="18"/>
        </w:rPr>
        <w:noBreakHyphen/>
        <w:t>m</w:t>
      </w:r>
      <w:r w:rsidRPr="00564DB3">
        <w:rPr>
          <w:rFonts w:cs="Arial"/>
          <w:szCs w:val="18"/>
        </w:rPr>
        <w:t>entioned factors highlighted by Mexico may affect the ultimate accuracy of the dolphin</w:t>
      </w:r>
      <w:r w:rsidRPr="00564DB3">
        <w:rPr>
          <w:rFonts w:cs="Arial"/>
          <w:szCs w:val="18"/>
        </w:rPr>
        <w:noBreakHyphen/>
        <w:t>safe label. Such risks of inaccuracy are relevant to the assessment of whether the measure is calibrated to the risks to dolphins. However, as the United States suggests</w:t>
      </w:r>
      <w:r w:rsidRPr="00564DB3">
        <w:rPr>
          <w:rStyle w:val="FootnoteReference"/>
          <w:rFonts w:cs="Arial"/>
          <w:szCs w:val="18"/>
        </w:rPr>
        <w:footnoteReference w:id="728"/>
      </w:r>
      <w:r w:rsidRPr="00564DB3">
        <w:rPr>
          <w:rFonts w:cs="Arial"/>
          <w:szCs w:val="18"/>
        </w:rPr>
        <w:t>, it was incumbent upon Mexico to provide relevant evidence in support of its assertion that</w:t>
      </w:r>
      <w:r w:rsidR="00A10853" w:rsidRPr="00564DB3">
        <w:rPr>
          <w:rFonts w:cs="Arial"/>
          <w:szCs w:val="18"/>
        </w:rPr>
        <w:t>,</w:t>
      </w:r>
      <w:r w:rsidRPr="00564DB3">
        <w:rPr>
          <w:rFonts w:cs="Arial"/>
          <w:szCs w:val="18"/>
        </w:rPr>
        <w:t xml:space="preserve"> in fisheries where factors affecting regulatory reliability persist, there is an increased risk that the labels for tuna products would not accurately reflect the dolphin</w:t>
      </w:r>
      <w:r w:rsidRPr="00564DB3">
        <w:rPr>
          <w:rFonts w:cs="Arial"/>
          <w:szCs w:val="18"/>
        </w:rPr>
        <w:noBreakHyphen/>
        <w:t xml:space="preserve">safe nature of those products. Mexico has pointed to no evidence on the Panel record that pertains specifically to the risk of inaccurate labelling under the 2016 Tuna Measure, owing to "the sufficiency of regulatory oversight, the reliability of </w:t>
      </w:r>
      <w:r w:rsidR="00B31446" w:rsidRPr="00564DB3">
        <w:rPr>
          <w:rFonts w:cs="Arial"/>
          <w:szCs w:val="18"/>
        </w:rPr>
        <w:t>reporting, the existence of IUU </w:t>
      </w:r>
      <w:r w:rsidRPr="00564DB3">
        <w:rPr>
          <w:rFonts w:cs="Arial"/>
          <w:szCs w:val="18"/>
        </w:rPr>
        <w:t xml:space="preserve">fishing and the existence of </w:t>
      </w:r>
      <w:proofErr w:type="spellStart"/>
      <w:r w:rsidRPr="00564DB3">
        <w:rPr>
          <w:rFonts w:cs="Arial"/>
          <w:szCs w:val="18"/>
        </w:rPr>
        <w:t>transshipment</w:t>
      </w:r>
      <w:proofErr w:type="spellEnd"/>
      <w:r w:rsidRPr="00564DB3">
        <w:rPr>
          <w:rFonts w:cs="Arial"/>
          <w:szCs w:val="18"/>
        </w:rPr>
        <w:t xml:space="preserve"> at sea".</w:t>
      </w:r>
      <w:r w:rsidRPr="00564DB3">
        <w:rPr>
          <w:rStyle w:val="FootnoteReference"/>
          <w:rFonts w:cs="Arial"/>
          <w:szCs w:val="18"/>
        </w:rPr>
        <w:footnoteReference w:id="729"/>
      </w:r>
      <w:r w:rsidRPr="00564DB3">
        <w:rPr>
          <w:rFonts w:cs="Arial"/>
          <w:szCs w:val="18"/>
        </w:rPr>
        <w:t xml:space="preserve"> Nor has Mexico identified any evidence on the </w:t>
      </w:r>
      <w:r w:rsidR="005C7196" w:rsidRPr="00564DB3">
        <w:rPr>
          <w:rFonts w:cs="Arial"/>
          <w:szCs w:val="18"/>
        </w:rPr>
        <w:t xml:space="preserve">Panel </w:t>
      </w:r>
      <w:r w:rsidRPr="00564DB3">
        <w:rPr>
          <w:rFonts w:cs="Arial"/>
          <w:szCs w:val="18"/>
        </w:rPr>
        <w:t>record that would suggest that these fa</w:t>
      </w:r>
      <w:r w:rsidR="00962F01" w:rsidRPr="00564DB3">
        <w:rPr>
          <w:rFonts w:cs="Arial"/>
          <w:szCs w:val="18"/>
        </w:rPr>
        <w:t>ctors undermine the ability "of </w:t>
      </w:r>
      <w:r w:rsidR="00B31446" w:rsidRPr="00564DB3">
        <w:rPr>
          <w:rFonts w:cs="Arial"/>
          <w:szCs w:val="18"/>
        </w:rPr>
        <w:t>the US </w:t>
      </w:r>
      <w:r w:rsidRPr="00564DB3">
        <w:rPr>
          <w:rFonts w:cs="Arial"/>
          <w:szCs w:val="18"/>
        </w:rPr>
        <w:t>government under the NOAA regime to go 'behind the documents' in order to verify the movements of the tuna prior to the arrival to the cannery".</w:t>
      </w:r>
      <w:r w:rsidRPr="00564DB3">
        <w:rPr>
          <w:rStyle w:val="FootnoteReference"/>
          <w:rFonts w:cs="Arial"/>
          <w:szCs w:val="18"/>
        </w:rPr>
        <w:footnoteReference w:id="730"/>
      </w:r>
    </w:p>
    <w:p w:rsidR="00913A2E" w:rsidRPr="00564DB3" w:rsidRDefault="00913A2E" w:rsidP="00F70E38">
      <w:pPr>
        <w:pStyle w:val="BodyText"/>
        <w:rPr>
          <w:rFonts w:cs="Arial"/>
          <w:szCs w:val="18"/>
        </w:rPr>
      </w:pPr>
      <w:r w:rsidRPr="00564DB3">
        <w:rPr>
          <w:rFonts w:cs="Arial"/>
          <w:szCs w:val="18"/>
        </w:rPr>
        <w:t>With respect to the determination provisions, Mexico contends that the Panels erred in finding that the determination provisions create flexibility that enables the 2016 Tuna Measure to treat similar situations similarly. In support of its contention, Mexico relies on the arguments that it made in connection with the Panels' calibration analysis of the certification requirements.</w:t>
      </w:r>
      <w:r w:rsidRPr="00564DB3">
        <w:rPr>
          <w:rStyle w:val="FootnoteReference"/>
          <w:rFonts w:cs="Arial"/>
          <w:szCs w:val="18"/>
        </w:rPr>
        <w:footnoteReference w:id="731"/>
      </w:r>
      <w:r w:rsidR="00DE196C" w:rsidRPr="00564DB3">
        <w:rPr>
          <w:rFonts w:cs="Arial"/>
          <w:szCs w:val="18"/>
        </w:rPr>
        <w:t xml:space="preserve"> We </w:t>
      </w:r>
      <w:r w:rsidRPr="00564DB3">
        <w:rPr>
          <w:rFonts w:cs="Arial"/>
          <w:szCs w:val="18"/>
        </w:rPr>
        <w:t xml:space="preserve">recall that we addressed these arguments </w:t>
      </w:r>
      <w:r w:rsidRPr="009670B7">
        <w:rPr>
          <w:rFonts w:cs="Arial"/>
          <w:szCs w:val="18"/>
        </w:rPr>
        <w:t>in section</w:t>
      </w:r>
      <w:r w:rsidR="009670B7" w:rsidRPr="009670B7">
        <w:rPr>
          <w:rFonts w:cs="Arial"/>
          <w:szCs w:val="18"/>
        </w:rPr>
        <w:t xml:space="preserve"> 6.1.5.3</w:t>
      </w:r>
      <w:r w:rsidR="00954430" w:rsidRPr="00564DB3">
        <w:rPr>
          <w:rFonts w:cs="Arial"/>
          <w:szCs w:val="18"/>
        </w:rPr>
        <w:t xml:space="preserve"> above. Thus, our discussion in</w:t>
      </w:r>
      <w:r w:rsidRPr="00564DB3">
        <w:rPr>
          <w:rFonts w:cs="Arial"/>
          <w:szCs w:val="18"/>
        </w:rPr>
        <w:t xml:space="preserve"> </w:t>
      </w:r>
      <w:r w:rsidRPr="009670B7">
        <w:rPr>
          <w:rFonts w:cs="Arial"/>
          <w:szCs w:val="18"/>
        </w:rPr>
        <w:t>paragraphs</w:t>
      </w:r>
      <w:r w:rsidR="009670B7">
        <w:rPr>
          <w:rFonts w:cs="Arial"/>
          <w:szCs w:val="18"/>
        </w:rPr>
        <w:t xml:space="preserve"> 6.192-6.202</w:t>
      </w:r>
      <w:r w:rsidR="00EA7331" w:rsidRPr="009670B7">
        <w:rPr>
          <w:rFonts w:cs="Arial"/>
          <w:szCs w:val="18"/>
        </w:rPr>
        <w:t xml:space="preserve"> </w:t>
      </w:r>
      <w:r w:rsidRPr="009670B7">
        <w:rPr>
          <w:rFonts w:cs="Arial"/>
          <w:szCs w:val="18"/>
        </w:rPr>
        <w:t>above</w:t>
      </w:r>
      <w:r w:rsidRPr="00564DB3">
        <w:rPr>
          <w:rFonts w:cs="Arial"/>
          <w:szCs w:val="18"/>
        </w:rPr>
        <w:t xml:space="preserve"> applies equally to our review of the Panels' reasoning in their evaluation of the tracking and verification requirements. </w:t>
      </w:r>
      <w:proofErr w:type="gramStart"/>
      <w:r w:rsidRPr="00564DB3">
        <w:rPr>
          <w:rFonts w:cs="Arial"/>
          <w:szCs w:val="18"/>
        </w:rPr>
        <w:t>In particular, we</w:t>
      </w:r>
      <w:proofErr w:type="gramEnd"/>
      <w:r w:rsidRPr="00564DB3">
        <w:rPr>
          <w:rFonts w:cs="Arial"/>
          <w:szCs w:val="18"/>
        </w:rPr>
        <w:t xml:space="preserve"> note that Mexico relies on its argument regarding the relevance of PBR evidence, which we have rejected above. Furthermore, we do not share Mexico's view that the Panels relied on inconsistent sets of data in assessing the eligibility criteria, on the one hand, and the application of the determination provisions, on the other hand.</w:t>
      </w:r>
    </w:p>
    <w:p w:rsidR="00913A2E" w:rsidRPr="00564DB3" w:rsidRDefault="00913A2E" w:rsidP="00F70E38">
      <w:pPr>
        <w:pStyle w:val="BodyText"/>
        <w:rPr>
          <w:rFonts w:cs="Arial"/>
          <w:szCs w:val="18"/>
        </w:rPr>
      </w:pPr>
      <w:r w:rsidRPr="00564DB3">
        <w:rPr>
          <w:rFonts w:cs="Arial"/>
          <w:szCs w:val="18"/>
        </w:rPr>
        <w:t>We now turn to Mexico's argument that the Panels applied a faulty analysis to conclude that the 2016 Tuna Measure had narrowed the differences between the requirements for the ETP large purse seine fishery and the other fisheries.</w:t>
      </w:r>
      <w:r w:rsidRPr="00564DB3">
        <w:rPr>
          <w:rStyle w:val="FootnoteReference"/>
          <w:rFonts w:cs="Arial"/>
          <w:szCs w:val="18"/>
        </w:rPr>
        <w:footnoteReference w:id="732"/>
      </w:r>
      <w:r w:rsidRPr="00564DB3">
        <w:rPr>
          <w:rFonts w:cs="Arial"/>
          <w:szCs w:val="18"/>
        </w:rPr>
        <w:t xml:space="preserve"> Mexico relies heavily on the findings of the first compliance panel to argue that the different approach taken by the Panels in these compliance proceedings is faulty.</w:t>
      </w:r>
      <w:r w:rsidRPr="00564DB3">
        <w:rPr>
          <w:rStyle w:val="FootnoteReference"/>
          <w:rFonts w:cs="Arial"/>
          <w:szCs w:val="18"/>
        </w:rPr>
        <w:footnoteReference w:id="733"/>
      </w:r>
      <w:r w:rsidRPr="00564DB3">
        <w:rPr>
          <w:rFonts w:cs="Arial"/>
          <w:szCs w:val="18"/>
        </w:rPr>
        <w:t xml:space="preserve"> However, we note that the first compliance panel was addressing a different measure that did not incorporate: (i) the new custody record</w:t>
      </w:r>
      <w:r w:rsidRPr="00564DB3">
        <w:rPr>
          <w:rFonts w:cs="Arial"/>
          <w:szCs w:val="18"/>
        </w:rPr>
        <w:noBreakHyphen/>
        <w:t>keeping requirements that introduce a legal requirement that can be enforced through the sanctions exist</w:t>
      </w:r>
      <w:r w:rsidR="00F16717" w:rsidRPr="00564DB3">
        <w:rPr>
          <w:rFonts w:cs="Arial"/>
          <w:szCs w:val="18"/>
        </w:rPr>
        <w:t>ing</w:t>
      </w:r>
      <w:r w:rsidRPr="00564DB3">
        <w:rPr>
          <w:rFonts w:cs="Arial"/>
          <w:szCs w:val="18"/>
        </w:rPr>
        <w:t xml:space="preserve"> in the measure; (ii) the new Captain Training Course available online in nine languages; and (iii) the amended determination provisions.</w:t>
      </w:r>
    </w:p>
    <w:p w:rsidR="00913A2E" w:rsidRPr="00564DB3" w:rsidRDefault="00F16717" w:rsidP="00F70E38">
      <w:pPr>
        <w:pStyle w:val="BodyText"/>
        <w:rPr>
          <w:rFonts w:cs="Arial"/>
          <w:szCs w:val="18"/>
        </w:rPr>
      </w:pPr>
      <w:r w:rsidRPr="00564DB3">
        <w:rPr>
          <w:rFonts w:cs="Arial"/>
          <w:szCs w:val="18"/>
        </w:rPr>
        <w:t>Specifically</w:t>
      </w:r>
      <w:r w:rsidR="00913A2E" w:rsidRPr="00564DB3">
        <w:rPr>
          <w:rFonts w:cs="Arial"/>
          <w:szCs w:val="18"/>
        </w:rPr>
        <w:t>, Mexico highlights that the first compliance panel, in addressing the "accuracy" of the NOAA regime, found that the United States had "submitted no evidence showing that canneries actually do ensure that the tuna they receive matches a particular captain</w:t>
      </w:r>
      <w:r w:rsidR="001C019B" w:rsidRPr="00564DB3">
        <w:rPr>
          <w:rFonts w:cs="Arial"/>
          <w:szCs w:val="18"/>
        </w:rPr>
        <w:t>'</w:t>
      </w:r>
      <w:r w:rsidR="00913A2E" w:rsidRPr="00564DB3">
        <w:rPr>
          <w:rFonts w:cs="Arial"/>
          <w:szCs w:val="18"/>
        </w:rPr>
        <w:t>s statement".</w:t>
      </w:r>
      <w:r w:rsidR="00913A2E" w:rsidRPr="00564DB3">
        <w:rPr>
          <w:rStyle w:val="FootnoteReference"/>
          <w:rFonts w:cs="Arial"/>
          <w:szCs w:val="18"/>
        </w:rPr>
        <w:footnoteReference w:id="734"/>
      </w:r>
      <w:r w:rsidR="00913A2E" w:rsidRPr="00564DB3">
        <w:rPr>
          <w:rFonts w:cs="Arial"/>
          <w:szCs w:val="18"/>
        </w:rPr>
        <w:t xml:space="preserve"> The first compliance panel also considered that the United</w:t>
      </w:r>
      <w:r w:rsidR="00025CB6" w:rsidRPr="00564DB3">
        <w:rPr>
          <w:rFonts w:cs="Arial"/>
          <w:szCs w:val="18"/>
        </w:rPr>
        <w:t> States</w:t>
      </w:r>
      <w:r w:rsidR="00913A2E" w:rsidRPr="00564DB3">
        <w:rPr>
          <w:rFonts w:cs="Arial"/>
          <w:szCs w:val="18"/>
        </w:rPr>
        <w:t xml:space="preserve"> had "not provided any evidence explaining how canneries are able to ensure that captains' certifications remain with the tuna batches they identify throughout this process".</w:t>
      </w:r>
      <w:r w:rsidR="00913A2E" w:rsidRPr="00564DB3">
        <w:rPr>
          <w:rStyle w:val="FootnoteReference"/>
          <w:rFonts w:cs="Arial"/>
          <w:szCs w:val="18"/>
        </w:rPr>
        <w:footnoteReference w:id="735"/>
      </w:r>
      <w:r w:rsidR="00913A2E" w:rsidRPr="00564DB3">
        <w:rPr>
          <w:rFonts w:cs="Arial"/>
          <w:szCs w:val="18"/>
        </w:rPr>
        <w:t xml:space="preserve"> Moreover, the first compliance panel considered that, under the 2013 Tuna Measure, "there [did] not appear to be any legal requirement that the canneries verify the accuracy of the records, or that the records in fact correctly describe the particular batches of tuna to which they are assigned</w:t>
      </w:r>
      <w:r w:rsidR="00EA4000" w:rsidRPr="00564DB3">
        <w:rPr>
          <w:rFonts w:cs="Arial"/>
          <w:szCs w:val="18"/>
        </w:rPr>
        <w:t>.</w:t>
      </w:r>
      <w:r w:rsidR="00913A2E" w:rsidRPr="00564DB3">
        <w:rPr>
          <w:rFonts w:cs="Arial"/>
          <w:szCs w:val="18"/>
        </w:rPr>
        <w:t>"</w:t>
      </w:r>
      <w:r w:rsidR="00913A2E" w:rsidRPr="00564DB3">
        <w:rPr>
          <w:rStyle w:val="FootnoteReference"/>
          <w:rFonts w:cs="Arial"/>
          <w:szCs w:val="18"/>
        </w:rPr>
        <w:footnoteReference w:id="736"/>
      </w:r>
      <w:r w:rsidR="00913A2E" w:rsidRPr="00564DB3">
        <w:rPr>
          <w:rFonts w:cs="Arial"/>
          <w:szCs w:val="18"/>
        </w:rPr>
        <w:t xml:space="preserve"> Contrary to Mexico's suggestion that the Panels did not pay attention to the first compliance panel's findings, </w:t>
      </w:r>
      <w:bookmarkStart w:id="354" w:name="_Hlk526529279"/>
      <w:r w:rsidR="00913A2E" w:rsidRPr="00564DB3">
        <w:rPr>
          <w:rFonts w:cs="Arial"/>
          <w:szCs w:val="18"/>
        </w:rPr>
        <w:t>the Panels in these compliance proceedings explicitly took into account these findings identified by Mexico</w:t>
      </w:r>
      <w:r w:rsidR="00913A2E" w:rsidRPr="00564DB3">
        <w:rPr>
          <w:rStyle w:val="FootnoteReference"/>
          <w:rFonts w:cs="Arial"/>
          <w:szCs w:val="18"/>
        </w:rPr>
        <w:footnoteReference w:id="737"/>
      </w:r>
      <w:r w:rsidR="00913A2E" w:rsidRPr="00564DB3">
        <w:rPr>
          <w:rFonts w:cs="Arial"/>
          <w:szCs w:val="18"/>
        </w:rPr>
        <w:t xml:space="preserve"> and explained why the 2016 Tuna Measure addressed the first compliance panel's concerns.</w:t>
      </w:r>
      <w:bookmarkEnd w:id="354"/>
      <w:r w:rsidR="00913A2E" w:rsidRPr="00564DB3">
        <w:rPr>
          <w:rFonts w:cs="Arial"/>
          <w:szCs w:val="18"/>
        </w:rPr>
        <w:t xml:space="preserve"> The Panels stated:</w:t>
      </w:r>
    </w:p>
    <w:p w:rsidR="00913A2E" w:rsidRPr="00564DB3" w:rsidRDefault="00913A2E" w:rsidP="00F70E38">
      <w:pPr>
        <w:pStyle w:val="Quotation"/>
      </w:pPr>
      <w:r w:rsidRPr="00564DB3">
        <w:t xml:space="preserve">We note, however, that under the 2016 Tuna Measure, </w:t>
      </w:r>
      <w:proofErr w:type="gramStart"/>
      <w:r w:rsidRPr="00564DB3">
        <w:t>and in particular, under</w:t>
      </w:r>
      <w:proofErr w:type="gramEnd"/>
      <w:r w:rsidRPr="00564DB3">
        <w:t xml:space="preserve"> the new chain of custody record-keeping requirements for tuna products produced from "other fisheries", </w:t>
      </w:r>
      <w:r w:rsidRPr="00564DB3">
        <w:rPr>
          <w:i/>
        </w:rPr>
        <w:t>this situation has changed</w:t>
      </w:r>
      <w:r w:rsidRPr="00564DB3">
        <w:t>. Specifically, US processors and importers of tuna or tuna products are now required to collect and retain, for two years, information on each point in the chain of custody of the tuna or tuna product and this information must be provided to the NMFS upon request and must be sufficient for the N</w:t>
      </w:r>
      <w:r w:rsidR="00580D72" w:rsidRPr="00564DB3">
        <w:t>MFS to conduct a trace</w:t>
      </w:r>
      <w:r w:rsidR="00580D72" w:rsidRPr="00564DB3">
        <w:noBreakHyphen/>
      </w:r>
      <w:r w:rsidRPr="00564DB3">
        <w:t>back of any product marketed as dolphin-safe to verify that the tuna product in fact meets the dolphin-safe labelling requirements. Thus, these modifications seem to directly address the first compliance panel's concerns with the 201</w:t>
      </w:r>
      <w:r w:rsidR="00580D72" w:rsidRPr="00564DB3">
        <w:t>3 </w:t>
      </w:r>
      <w:r w:rsidRPr="00564DB3">
        <w:t>Tuna Measure</w:t>
      </w:r>
      <w:proofErr w:type="gramStart"/>
      <w:r w:rsidRPr="00564DB3">
        <w:t>, in particular, because</w:t>
      </w:r>
      <w:proofErr w:type="gramEnd"/>
      <w:r w:rsidRPr="00564DB3">
        <w:t xml:space="preserve"> they require US processors and importers of tuna or tuna products to collect and retain information on each point in the chain of custody of the tuna or tuna product.</w:t>
      </w:r>
      <w:r w:rsidRPr="00564DB3">
        <w:rPr>
          <w:rStyle w:val="FootnoteReference"/>
        </w:rPr>
        <w:footnoteReference w:id="738"/>
      </w:r>
    </w:p>
    <w:p w:rsidR="00913A2E" w:rsidRPr="00564DB3" w:rsidRDefault="00F16717" w:rsidP="00F70E38">
      <w:pPr>
        <w:pStyle w:val="BodyText"/>
        <w:rPr>
          <w:rFonts w:cs="Arial"/>
          <w:szCs w:val="18"/>
        </w:rPr>
      </w:pPr>
      <w:r w:rsidRPr="00564DB3">
        <w:rPr>
          <w:rFonts w:cs="Arial"/>
          <w:szCs w:val="18"/>
        </w:rPr>
        <w:t>In addition</w:t>
      </w:r>
      <w:r w:rsidR="00913A2E" w:rsidRPr="00564DB3">
        <w:rPr>
          <w:rFonts w:cs="Arial"/>
          <w:szCs w:val="18"/>
        </w:rPr>
        <w:t xml:space="preserve">, we note that Mexico refers to the first compliance panel's </w:t>
      </w:r>
      <w:r w:rsidRPr="00564DB3">
        <w:rPr>
          <w:rFonts w:cs="Arial"/>
          <w:szCs w:val="18"/>
        </w:rPr>
        <w:t xml:space="preserve">"government oversight" </w:t>
      </w:r>
      <w:r w:rsidR="00913A2E" w:rsidRPr="00564DB3">
        <w:rPr>
          <w:rFonts w:cs="Arial"/>
          <w:szCs w:val="18"/>
        </w:rPr>
        <w:t>findings.</w:t>
      </w:r>
      <w:r w:rsidR="00913A2E" w:rsidRPr="00564DB3">
        <w:rPr>
          <w:rStyle w:val="FootnoteReference"/>
          <w:rFonts w:cs="Arial"/>
          <w:szCs w:val="18"/>
        </w:rPr>
        <w:footnoteReference w:id="739"/>
      </w:r>
      <w:r w:rsidR="00913A2E" w:rsidRPr="00564DB3">
        <w:rPr>
          <w:rFonts w:cs="Arial"/>
          <w:szCs w:val="18"/>
        </w:rPr>
        <w:t xml:space="preserve"> Mexico points to the first compliance panel's statement that</w:t>
      </w:r>
      <w:r w:rsidR="00A10853" w:rsidRPr="00564DB3">
        <w:rPr>
          <w:rFonts w:cs="Arial"/>
          <w:szCs w:val="18"/>
        </w:rPr>
        <w:t>,</w:t>
      </w:r>
      <w:r w:rsidR="00B31446" w:rsidRPr="00564DB3">
        <w:rPr>
          <w:rFonts w:cs="Arial"/>
          <w:szCs w:val="18"/>
        </w:rPr>
        <w:t xml:space="preserve"> under the 2013 </w:t>
      </w:r>
      <w:r w:rsidR="00913A2E" w:rsidRPr="00564DB3">
        <w:rPr>
          <w:rFonts w:cs="Arial"/>
          <w:szCs w:val="18"/>
        </w:rPr>
        <w:t xml:space="preserve">Tuna Measure, the United States had to rely on the canneries for information about the movement of the tuna prior to </w:t>
      </w:r>
      <w:r w:rsidR="00A10853" w:rsidRPr="00564DB3">
        <w:rPr>
          <w:rFonts w:cs="Arial"/>
          <w:szCs w:val="18"/>
        </w:rPr>
        <w:t xml:space="preserve">its </w:t>
      </w:r>
      <w:r w:rsidR="00913A2E" w:rsidRPr="00564DB3">
        <w:rPr>
          <w:rFonts w:cs="Arial"/>
          <w:szCs w:val="18"/>
        </w:rPr>
        <w:t>arrival at the cannery and was not ab</w:t>
      </w:r>
      <w:r w:rsidR="00A10853" w:rsidRPr="00564DB3">
        <w:rPr>
          <w:rFonts w:cs="Arial"/>
          <w:szCs w:val="18"/>
        </w:rPr>
        <w:t>le to go "behind the documents"</w:t>
      </w:r>
      <w:r w:rsidR="00913A2E" w:rsidRPr="00564DB3">
        <w:rPr>
          <w:rFonts w:cs="Arial"/>
          <w:szCs w:val="18"/>
        </w:rPr>
        <w:t xml:space="preserve"> to v</w:t>
      </w:r>
      <w:r w:rsidR="00A10853" w:rsidRPr="00564DB3">
        <w:rPr>
          <w:rFonts w:cs="Arial"/>
          <w:szCs w:val="18"/>
        </w:rPr>
        <w:t>erify that a particular dolphin</w:t>
      </w:r>
      <w:r w:rsidR="00A10853" w:rsidRPr="00564DB3">
        <w:rPr>
          <w:rFonts w:cs="Arial"/>
          <w:szCs w:val="18"/>
        </w:rPr>
        <w:noBreakHyphen/>
      </w:r>
      <w:r w:rsidR="00913A2E" w:rsidRPr="00564DB3">
        <w:rPr>
          <w:rFonts w:cs="Arial"/>
          <w:szCs w:val="18"/>
        </w:rPr>
        <w:t>safe certification describes the batch of tuna with which it is associated.</w:t>
      </w:r>
      <w:r w:rsidR="00913A2E" w:rsidRPr="00564DB3">
        <w:rPr>
          <w:rStyle w:val="FootnoteReference"/>
          <w:rFonts w:cs="Arial"/>
          <w:szCs w:val="18"/>
        </w:rPr>
        <w:footnoteReference w:id="740"/>
      </w:r>
      <w:r w:rsidR="00913A2E" w:rsidRPr="00564DB3">
        <w:rPr>
          <w:rFonts w:cs="Arial"/>
          <w:szCs w:val="18"/>
        </w:rPr>
        <w:t xml:space="preserve"> However, the first compliance panel explained that it had seen "no evidence suggesting that canneries and other importers in fact do this, and, as </w:t>
      </w:r>
      <w:r w:rsidRPr="00564DB3">
        <w:rPr>
          <w:rFonts w:cs="Arial"/>
          <w:szCs w:val="18"/>
        </w:rPr>
        <w:t>[it understood]</w:t>
      </w:r>
      <w:r w:rsidR="00913A2E" w:rsidRPr="00564DB3">
        <w:rPr>
          <w:rFonts w:cs="Arial"/>
          <w:szCs w:val="18"/>
        </w:rPr>
        <w:t xml:space="preserve"> the measure, canneries and other importers are not </w:t>
      </w:r>
      <w:r w:rsidR="00913A2E" w:rsidRPr="00564DB3">
        <w:rPr>
          <w:rFonts w:cs="Arial"/>
          <w:i/>
          <w:szCs w:val="18"/>
        </w:rPr>
        <w:t>legally required</w:t>
      </w:r>
      <w:r w:rsidR="00913A2E" w:rsidRPr="00564DB3">
        <w:rPr>
          <w:rFonts w:cs="Arial"/>
          <w:szCs w:val="18"/>
        </w:rPr>
        <w:t xml:space="preserve"> to conduct such checks".</w:t>
      </w:r>
      <w:r w:rsidR="00913A2E" w:rsidRPr="00564DB3">
        <w:rPr>
          <w:rStyle w:val="FootnoteReference"/>
          <w:rFonts w:cs="Arial"/>
          <w:szCs w:val="18"/>
        </w:rPr>
        <w:footnoteReference w:id="741"/>
      </w:r>
    </w:p>
    <w:p w:rsidR="00913A2E" w:rsidRPr="00564DB3" w:rsidRDefault="00913A2E" w:rsidP="00F70E38">
      <w:pPr>
        <w:pStyle w:val="BodyText"/>
        <w:rPr>
          <w:rFonts w:cs="Arial"/>
          <w:szCs w:val="18"/>
        </w:rPr>
      </w:pPr>
      <w:r w:rsidRPr="00564DB3">
        <w:rPr>
          <w:rFonts w:cs="Arial"/>
          <w:szCs w:val="18"/>
        </w:rPr>
        <w:t>We observe that the Panels in these compliance proceedings expressly took account of the first compliance panel's findings in this regard.</w:t>
      </w:r>
      <w:r w:rsidRPr="00564DB3">
        <w:rPr>
          <w:rStyle w:val="FootnoteReference"/>
          <w:rFonts w:cs="Arial"/>
          <w:szCs w:val="18"/>
        </w:rPr>
        <w:footnoteReference w:id="742"/>
      </w:r>
      <w:r w:rsidRPr="00564DB3">
        <w:rPr>
          <w:rFonts w:cs="Arial"/>
          <w:szCs w:val="18"/>
        </w:rPr>
        <w:t xml:space="preserve"> The Panels identified the main concern of the first compliance panel with respect to government oversight as the inability of the US government under the NOAA regime to go "behind the documents" in order to verify the </w:t>
      </w:r>
      <w:r w:rsidR="00A10853" w:rsidRPr="00564DB3">
        <w:rPr>
          <w:rFonts w:cs="Arial"/>
          <w:szCs w:val="18"/>
        </w:rPr>
        <w:t>movements of the tuna prior to its</w:t>
      </w:r>
      <w:r w:rsidRPr="00564DB3">
        <w:rPr>
          <w:rFonts w:cs="Arial"/>
          <w:szCs w:val="18"/>
        </w:rPr>
        <w:t xml:space="preserve"> arrival </w:t>
      </w:r>
      <w:r w:rsidR="00A10853" w:rsidRPr="00564DB3">
        <w:rPr>
          <w:rFonts w:cs="Arial"/>
          <w:szCs w:val="18"/>
        </w:rPr>
        <w:t>at</w:t>
      </w:r>
      <w:r w:rsidRPr="00564DB3">
        <w:rPr>
          <w:rFonts w:cs="Arial"/>
          <w:szCs w:val="18"/>
        </w:rPr>
        <w:t xml:space="preserve"> the cannery.</w:t>
      </w:r>
      <w:r w:rsidRPr="00564DB3">
        <w:rPr>
          <w:rStyle w:val="FootnoteReference"/>
          <w:rFonts w:cs="Arial"/>
          <w:szCs w:val="18"/>
        </w:rPr>
        <w:footnoteReference w:id="743"/>
      </w:r>
      <w:r w:rsidRPr="00564DB3">
        <w:rPr>
          <w:rFonts w:cs="Arial"/>
          <w:szCs w:val="18"/>
        </w:rPr>
        <w:t xml:space="preserve"> The Panels then explained how, in their view, the modifications under the 2016 Tuna Measure addressed these concerns. Specifically, the Panels stated:</w:t>
      </w:r>
    </w:p>
    <w:p w:rsidR="00913A2E" w:rsidRPr="00564DB3" w:rsidRDefault="00913A2E" w:rsidP="00F70E38">
      <w:pPr>
        <w:pStyle w:val="Quotation"/>
      </w:pPr>
      <w:r w:rsidRPr="00564DB3">
        <w:t xml:space="preserve">Under the modifications in 50 CFR 216.91(a)(5), US processors and importers of tuna or tuna products from such "other fisheries" are now required to collect and retain, for two years, information on each point in the chain of custody of the tuna or tuna product ... This information must be provided to the NMFS upon request and must be </w:t>
      </w:r>
      <w:proofErr w:type="gramStart"/>
      <w:r w:rsidRPr="00564DB3">
        <w:t>sufficient</w:t>
      </w:r>
      <w:proofErr w:type="gramEnd"/>
      <w:r w:rsidRPr="00564DB3">
        <w:t xml:space="preserve"> for the NMFS to conduct a trace-back of any product marketed as dolphin-safe to verify that the tuna product in fact meets the dolphin-safe labelling requirements. To us, this addresses the previous inability of the US government under the NOAA regime to go "behind the documents", as NMFS will have the ability to check the information of the movement of the tuna, even before it arrives at the cannery. Indeed, these modifications require US processors and importers to have information relating to the storage facilities, trans-shippers, processors, and wholesalers/distributors of tuna, and such information must be </w:t>
      </w:r>
      <w:proofErr w:type="gramStart"/>
      <w:r w:rsidRPr="00564DB3">
        <w:t>sufficient</w:t>
      </w:r>
      <w:proofErr w:type="gramEnd"/>
      <w:r w:rsidRPr="00564DB3">
        <w:t xml:space="preserve"> for the NMFS to trace any non</w:t>
      </w:r>
      <w:r w:rsidRPr="00564DB3">
        <w:noBreakHyphen/>
        <w:t xml:space="preserve">dolphin-safe tuna loaded onto the harvesting vessel back to one or more storage wells or other storage locations. Therefore, </w:t>
      </w:r>
      <w:r w:rsidRPr="00564DB3">
        <w:rPr>
          <w:i/>
        </w:rPr>
        <w:t>the US government may now go behind the documents</w:t>
      </w:r>
      <w:r w:rsidRPr="00564DB3">
        <w:t xml:space="preserve"> and check the movements of the tuna along the various steps of the catch and processing of tuna.</w:t>
      </w:r>
      <w:r w:rsidRPr="00564DB3">
        <w:rPr>
          <w:rStyle w:val="FootnoteReference"/>
        </w:rPr>
        <w:footnoteReference w:id="744"/>
      </w:r>
    </w:p>
    <w:p w:rsidR="00913A2E" w:rsidRPr="00564DB3" w:rsidRDefault="00913A2E" w:rsidP="00F70E38">
      <w:pPr>
        <w:pStyle w:val="BodyText"/>
        <w:rPr>
          <w:rFonts w:cs="Arial"/>
          <w:szCs w:val="18"/>
        </w:rPr>
      </w:pPr>
      <w:r w:rsidRPr="00564DB3">
        <w:rPr>
          <w:rFonts w:cs="Arial"/>
          <w:szCs w:val="18"/>
        </w:rPr>
        <w:t>Thus, contrary to Mexico's arguments, we consider that the Panels in these compliance proceedings followed the Appellate</w:t>
      </w:r>
      <w:r w:rsidR="00025CB6" w:rsidRPr="00564DB3">
        <w:rPr>
          <w:rFonts w:cs="Arial"/>
          <w:szCs w:val="18"/>
        </w:rPr>
        <w:t> Body</w:t>
      </w:r>
      <w:r w:rsidRPr="00564DB3">
        <w:rPr>
          <w:rFonts w:cs="Arial"/>
          <w:szCs w:val="18"/>
        </w:rPr>
        <w:t xml:space="preserve">'s guidance by taking full account of the </w:t>
      </w:r>
      <w:r w:rsidR="00A10853" w:rsidRPr="00564DB3">
        <w:rPr>
          <w:rFonts w:cs="Arial"/>
          <w:szCs w:val="18"/>
        </w:rPr>
        <w:t>"</w:t>
      </w:r>
      <w:r w:rsidRPr="00564DB3">
        <w:rPr>
          <w:rFonts w:cs="Arial"/>
          <w:szCs w:val="18"/>
        </w:rPr>
        <w:t>particular circumstances" of this case, including "the manner in which similar circumstances" pertaining to the 2013 Tuna Measure had been assessed in the first compliance proceedings.</w:t>
      </w:r>
      <w:r w:rsidRPr="00564DB3">
        <w:rPr>
          <w:rStyle w:val="FootnoteReference"/>
          <w:rFonts w:cs="Arial"/>
          <w:szCs w:val="18"/>
        </w:rPr>
        <w:footnoteReference w:id="745"/>
      </w:r>
      <w:r w:rsidRPr="00564DB3">
        <w:rPr>
          <w:rFonts w:cs="Arial"/>
          <w:szCs w:val="18"/>
        </w:rPr>
        <w:t xml:space="preserve"> Moreover, on the basis of our above review of the Panels' reasoning, we share their view that the amendments incorporated in the 2016 Tuna Measure </w:t>
      </w:r>
      <w:r w:rsidR="00A10853" w:rsidRPr="00564DB3">
        <w:rPr>
          <w:rFonts w:cs="Arial"/>
          <w:szCs w:val="18"/>
        </w:rPr>
        <w:t xml:space="preserve">– </w:t>
      </w:r>
      <w:r w:rsidRPr="00564DB3">
        <w:rPr>
          <w:rFonts w:cs="Arial"/>
          <w:szCs w:val="18"/>
        </w:rPr>
        <w:t>including (i) the new custody record</w:t>
      </w:r>
      <w:r w:rsidRPr="00564DB3">
        <w:rPr>
          <w:rFonts w:cs="Arial"/>
          <w:szCs w:val="18"/>
        </w:rPr>
        <w:noBreakHyphen/>
        <w:t xml:space="preserve">keeping requirements that introduce a legal requirement that can be enforced through the sanctions </w:t>
      </w:r>
      <w:r w:rsidR="00F16717" w:rsidRPr="00564DB3">
        <w:rPr>
          <w:rFonts w:cs="Arial"/>
          <w:szCs w:val="18"/>
        </w:rPr>
        <w:t>existing</w:t>
      </w:r>
      <w:r w:rsidRPr="00564DB3">
        <w:rPr>
          <w:rFonts w:cs="Arial"/>
          <w:szCs w:val="18"/>
        </w:rPr>
        <w:t xml:space="preserve"> in the measure; (ii) the new Captain Training Course available online i</w:t>
      </w:r>
      <w:r w:rsidR="001B4DCA">
        <w:rPr>
          <w:rFonts w:cs="Arial"/>
          <w:szCs w:val="18"/>
        </w:rPr>
        <w:t>n nine languages; and (iii) the </w:t>
      </w:r>
      <w:r w:rsidRPr="00564DB3">
        <w:rPr>
          <w:rFonts w:cs="Arial"/>
          <w:szCs w:val="18"/>
        </w:rPr>
        <w:t>a</w:t>
      </w:r>
      <w:r w:rsidR="00A10853" w:rsidRPr="00564DB3">
        <w:rPr>
          <w:rFonts w:cs="Arial"/>
          <w:szCs w:val="18"/>
        </w:rPr>
        <w:t>mended determination provisions –</w:t>
      </w:r>
      <w:r w:rsidRPr="00564DB3">
        <w:rPr>
          <w:rFonts w:cs="Arial"/>
          <w:szCs w:val="18"/>
        </w:rPr>
        <w:t xml:space="preserve"> have narrowed the differences between the AIDCP and NOAA regimes.</w:t>
      </w:r>
      <w:r w:rsidRPr="00564DB3">
        <w:rPr>
          <w:rStyle w:val="FootnoteReference"/>
          <w:rFonts w:cs="Arial"/>
          <w:szCs w:val="18"/>
        </w:rPr>
        <w:footnoteReference w:id="746"/>
      </w:r>
    </w:p>
    <w:p w:rsidR="00913A2E" w:rsidRPr="00564DB3" w:rsidRDefault="00913A2E" w:rsidP="00F70E38">
      <w:pPr>
        <w:pStyle w:val="BodyText"/>
        <w:rPr>
          <w:rFonts w:cs="Arial"/>
          <w:szCs w:val="18"/>
        </w:rPr>
      </w:pPr>
      <w:r w:rsidRPr="00564DB3">
        <w:rPr>
          <w:rFonts w:cs="Arial"/>
          <w:szCs w:val="18"/>
        </w:rPr>
        <w:t>Finally, Mexico considers that the Panels' finding that the differences between t</w:t>
      </w:r>
      <w:r w:rsidR="00F16717" w:rsidRPr="00564DB3">
        <w:rPr>
          <w:rFonts w:cs="Arial"/>
          <w:szCs w:val="18"/>
        </w:rPr>
        <w:t xml:space="preserve">he AIDCP and NOAA regimes have </w:t>
      </w:r>
      <w:r w:rsidRPr="00564DB3">
        <w:rPr>
          <w:rFonts w:cs="Arial"/>
          <w:szCs w:val="18"/>
        </w:rPr>
        <w:t xml:space="preserve">been </w:t>
      </w:r>
      <w:r w:rsidR="00F16717" w:rsidRPr="00564DB3">
        <w:rPr>
          <w:rFonts w:cs="Arial"/>
          <w:szCs w:val="18"/>
        </w:rPr>
        <w:t>"</w:t>
      </w:r>
      <w:r w:rsidRPr="00564DB3">
        <w:rPr>
          <w:rFonts w:cs="Arial"/>
          <w:szCs w:val="18"/>
        </w:rPr>
        <w:t>narrowed" in the 2016 Tuna Measure is faulty because the Panels did not comply with their duty under Article 11 of the DSU by failing to take into account the evidence contained in Panel Exhibit MEX</w:t>
      </w:r>
      <w:r w:rsidRPr="00564DB3">
        <w:rPr>
          <w:rFonts w:cs="Arial"/>
          <w:szCs w:val="18"/>
        </w:rPr>
        <w:noBreakHyphen/>
        <w:t>127.</w:t>
      </w:r>
      <w:r w:rsidRPr="00564DB3">
        <w:rPr>
          <w:rStyle w:val="FootnoteReference"/>
          <w:rFonts w:cs="Arial"/>
          <w:szCs w:val="18"/>
        </w:rPr>
        <w:footnoteReference w:id="747"/>
      </w:r>
      <w:r w:rsidRPr="00564DB3">
        <w:rPr>
          <w:rFonts w:cs="Arial"/>
          <w:szCs w:val="18"/>
        </w:rPr>
        <w:t xml:space="preserve"> Specifically, Mexico challenges the following finding of the Panels, contained in the interim review section of their Reports:</w:t>
      </w:r>
    </w:p>
    <w:p w:rsidR="00913A2E" w:rsidRPr="00564DB3" w:rsidRDefault="00913A2E" w:rsidP="00F70E38">
      <w:pPr>
        <w:pStyle w:val="Quotation"/>
      </w:pPr>
      <w:r w:rsidRPr="00564DB3">
        <w:t>Mexico requests that a sentence be added … to better describe Mexico's argument regarding the complex supply chain for tuna by referring to evidence submitted by Mexico on this point, namely, a recent report of the International Seafood Sustainability Foundation. … We note that the argument that Mexico r</w:t>
      </w:r>
      <w:r w:rsidR="001B4DCA">
        <w:t>equests the Panels to reflect … </w:t>
      </w:r>
      <w:r w:rsidRPr="00564DB3">
        <w:t xml:space="preserve">pertains to the issue of whether tuna companies </w:t>
      </w:r>
      <w:proofErr w:type="gramStart"/>
      <w:r w:rsidRPr="00564DB3">
        <w:t>are able to</w:t>
      </w:r>
      <w:proofErr w:type="gramEnd"/>
      <w:r w:rsidRPr="00564DB3">
        <w:t xml:space="preserve"> track a particular catch to the individual vessel that caught it and to other points in the supply chain. The present proceedings, however, concern whether the 2016 Tuna Measure is calibrated to different levels of risks posed to dolphins by different fishing methods in different parts of the ocean, among others, in terms of its tracking and verification requirements. Therefore, the argument that Mexico requests us to reflect in the paragraph at issue is not directly relevant to our inquiry. We therefore deny Mexico's request.</w:t>
      </w:r>
      <w:r w:rsidRPr="00564DB3">
        <w:rPr>
          <w:rStyle w:val="FootnoteReference"/>
        </w:rPr>
        <w:footnoteReference w:id="748"/>
      </w:r>
    </w:p>
    <w:p w:rsidR="00913A2E" w:rsidRPr="00564DB3" w:rsidRDefault="00913A2E" w:rsidP="00F70E38">
      <w:pPr>
        <w:pStyle w:val="BodyText"/>
        <w:rPr>
          <w:rFonts w:cs="Arial"/>
          <w:szCs w:val="18"/>
        </w:rPr>
      </w:pPr>
      <w:r w:rsidRPr="00564DB3">
        <w:rPr>
          <w:rFonts w:cs="Arial"/>
          <w:szCs w:val="18"/>
        </w:rPr>
        <w:t>Article 11 of the DSU provides, in relevant part, that "a panel should make an objective assessment of the matter before it, including an objective assessment of the facts of the case</w:t>
      </w:r>
      <w:r w:rsidR="00EA4000" w:rsidRPr="00564DB3">
        <w:rPr>
          <w:rFonts w:cs="Arial"/>
          <w:szCs w:val="18"/>
        </w:rPr>
        <w:t>.</w:t>
      </w:r>
      <w:r w:rsidR="00DE196C" w:rsidRPr="00564DB3">
        <w:rPr>
          <w:rFonts w:cs="Arial"/>
          <w:szCs w:val="18"/>
        </w:rPr>
        <w:t>" As </w:t>
      </w:r>
      <w:r w:rsidRPr="00564DB3">
        <w:rPr>
          <w:rFonts w:cs="Arial"/>
          <w:szCs w:val="18"/>
        </w:rPr>
        <w:t>the Appellate</w:t>
      </w:r>
      <w:r w:rsidR="00025CB6" w:rsidRPr="00564DB3">
        <w:rPr>
          <w:rFonts w:cs="Arial"/>
          <w:szCs w:val="18"/>
        </w:rPr>
        <w:t> Body</w:t>
      </w:r>
      <w:r w:rsidRPr="00564DB3">
        <w:rPr>
          <w:rFonts w:cs="Arial"/>
          <w:szCs w:val="18"/>
        </w:rPr>
        <w:t xml:space="preserve"> has explained, in accordance with Article 11, a panel is required to "consider all the evidence presented to it, assess its credibility, determine its weight, and ensure that its factual</w:t>
      </w:r>
      <w:r w:rsidR="00FE6C87" w:rsidRPr="00564DB3">
        <w:rPr>
          <w:rFonts w:cs="Arial"/>
          <w:szCs w:val="18"/>
        </w:rPr>
        <w:br/>
      </w:r>
      <w:r w:rsidR="00FE6C87" w:rsidRPr="00564DB3">
        <w:rPr>
          <w:rFonts w:cs="Arial"/>
          <w:szCs w:val="18"/>
        </w:rPr>
        <w:br/>
      </w:r>
      <w:r w:rsidRPr="00564DB3">
        <w:rPr>
          <w:rFonts w:cs="Arial"/>
          <w:szCs w:val="18"/>
        </w:rPr>
        <w:t>findings have a proper basis in that evidence".</w:t>
      </w:r>
      <w:r w:rsidRPr="00564DB3">
        <w:rPr>
          <w:rStyle w:val="FootnoteReference"/>
          <w:rFonts w:cs="Arial"/>
          <w:szCs w:val="18"/>
        </w:rPr>
        <w:footnoteReference w:id="749"/>
      </w:r>
      <w:r w:rsidRPr="00564DB3">
        <w:rPr>
          <w:rFonts w:cs="Arial"/>
          <w:szCs w:val="18"/>
        </w:rPr>
        <w:t xml:space="preserve"> Within these parameters, "it is generally within the discretion of the [p]</w:t>
      </w:r>
      <w:proofErr w:type="spellStart"/>
      <w:r w:rsidRPr="00564DB3">
        <w:rPr>
          <w:rFonts w:cs="Arial"/>
          <w:szCs w:val="18"/>
        </w:rPr>
        <w:t>anel</w:t>
      </w:r>
      <w:proofErr w:type="spellEnd"/>
      <w:r w:rsidRPr="00564DB3">
        <w:rPr>
          <w:rFonts w:cs="Arial"/>
          <w:szCs w:val="18"/>
        </w:rPr>
        <w:t xml:space="preserve"> to decide which evidence it chooses to utilize in making findings"</w:t>
      </w:r>
      <w:r w:rsidRPr="00564DB3">
        <w:rPr>
          <w:rStyle w:val="FootnoteReference"/>
          <w:rFonts w:cs="Arial"/>
          <w:szCs w:val="18"/>
        </w:rPr>
        <w:footnoteReference w:id="750"/>
      </w:r>
      <w:r w:rsidRPr="00564DB3">
        <w:rPr>
          <w:rFonts w:cs="Arial"/>
          <w:szCs w:val="18"/>
        </w:rPr>
        <w:t>, and the mere fact that a panel did not explicitly refer to each and every piece of evidence in its reasoning is insufficient to establish that the panel applied an improper standard of review.</w:t>
      </w:r>
      <w:r w:rsidRPr="00564DB3">
        <w:rPr>
          <w:rStyle w:val="FootnoteReference"/>
          <w:rFonts w:cs="Arial"/>
          <w:szCs w:val="18"/>
        </w:rPr>
        <w:footnoteReference w:id="751"/>
      </w:r>
    </w:p>
    <w:p w:rsidR="00913A2E" w:rsidRPr="00564DB3" w:rsidRDefault="00913A2E" w:rsidP="00F70E38">
      <w:pPr>
        <w:pStyle w:val="BodyText"/>
        <w:rPr>
          <w:rFonts w:cs="Arial"/>
          <w:szCs w:val="18"/>
        </w:rPr>
      </w:pPr>
      <w:r w:rsidRPr="00564DB3">
        <w:rPr>
          <w:rFonts w:cs="Arial"/>
          <w:szCs w:val="18"/>
        </w:rPr>
        <w:t>Turning to the claim before us, we note that, on appeal, Mexico refers to the content of Panel Exhibit MEX</w:t>
      </w:r>
      <w:r w:rsidRPr="00564DB3">
        <w:rPr>
          <w:rFonts w:cs="Arial"/>
          <w:szCs w:val="18"/>
        </w:rPr>
        <w:noBreakHyphen/>
        <w:t>127</w:t>
      </w:r>
      <w:r w:rsidRPr="00564DB3">
        <w:rPr>
          <w:rStyle w:val="FootnoteReference"/>
          <w:rFonts w:cs="Arial"/>
          <w:szCs w:val="18"/>
        </w:rPr>
        <w:footnoteReference w:id="752"/>
      </w:r>
      <w:r w:rsidRPr="00564DB3">
        <w:rPr>
          <w:rFonts w:cs="Arial"/>
          <w:szCs w:val="18"/>
        </w:rPr>
        <w:t xml:space="preserve"> to argue that</w:t>
      </w:r>
      <w:r w:rsidR="00A10853" w:rsidRPr="00564DB3">
        <w:rPr>
          <w:rFonts w:cs="Arial"/>
          <w:szCs w:val="18"/>
        </w:rPr>
        <w:t>,</w:t>
      </w:r>
      <w:r w:rsidRPr="00564DB3">
        <w:rPr>
          <w:rFonts w:cs="Arial"/>
          <w:szCs w:val="18"/>
        </w:rPr>
        <w:t xml:space="preserve"> if market participants sourcing tu</w:t>
      </w:r>
      <w:r w:rsidR="00DE196C" w:rsidRPr="00564DB3">
        <w:rPr>
          <w:rFonts w:cs="Arial"/>
          <w:szCs w:val="18"/>
        </w:rPr>
        <w:t>na from the Western and Central </w:t>
      </w:r>
      <w:r w:rsidRPr="00564DB3">
        <w:rPr>
          <w:rFonts w:cs="Arial"/>
          <w:szCs w:val="18"/>
        </w:rPr>
        <w:t>Pacific and the Indian Ocean</w:t>
      </w:r>
      <w:r w:rsidR="00EA4000" w:rsidRPr="00564DB3">
        <w:rPr>
          <w:rFonts w:cs="Arial"/>
          <w:szCs w:val="18"/>
        </w:rPr>
        <w:t>s</w:t>
      </w:r>
      <w:r w:rsidRPr="00564DB3">
        <w:rPr>
          <w:rFonts w:cs="Arial"/>
          <w:szCs w:val="18"/>
        </w:rPr>
        <w:t xml:space="preserve"> are unable to track tuna to the vessel from which it was caught, the differences between the requirements for tuna sourced from large purse seine vessels in the ETP and tuna from those other ocean areas cannot, as the Panels found, have been "narrowed".</w:t>
      </w:r>
      <w:r w:rsidRPr="00564DB3">
        <w:rPr>
          <w:rStyle w:val="FootnoteReference"/>
          <w:rFonts w:cs="Arial"/>
          <w:szCs w:val="18"/>
        </w:rPr>
        <w:footnoteReference w:id="753"/>
      </w:r>
    </w:p>
    <w:p w:rsidR="00913A2E" w:rsidRPr="00564DB3" w:rsidRDefault="00913A2E" w:rsidP="00DE196C">
      <w:pPr>
        <w:pStyle w:val="BodyText"/>
        <w:rPr>
          <w:rFonts w:cs="Arial"/>
          <w:szCs w:val="18"/>
        </w:rPr>
      </w:pPr>
      <w:r w:rsidRPr="00564DB3">
        <w:rPr>
          <w:rFonts w:cs="Arial"/>
          <w:szCs w:val="18"/>
        </w:rPr>
        <w:t>We note that Panel Exhibit MEX</w:t>
      </w:r>
      <w:r w:rsidRPr="00564DB3">
        <w:rPr>
          <w:rFonts w:cs="Arial"/>
          <w:szCs w:val="18"/>
        </w:rPr>
        <w:noBreakHyphen/>
        <w:t xml:space="preserve">127 is a document produced by the </w:t>
      </w:r>
      <w:r w:rsidR="00F31547" w:rsidRPr="00564DB3">
        <w:rPr>
          <w:rFonts w:cs="Arial"/>
          <w:szCs w:val="18"/>
        </w:rPr>
        <w:t>International Seafood Sustainability Foundation (</w:t>
      </w:r>
      <w:r w:rsidRPr="00564DB3">
        <w:rPr>
          <w:rFonts w:cs="Arial"/>
          <w:szCs w:val="18"/>
        </w:rPr>
        <w:t>ISSF</w:t>
      </w:r>
      <w:r w:rsidR="00F31547" w:rsidRPr="00564DB3">
        <w:rPr>
          <w:rFonts w:cs="Arial"/>
          <w:szCs w:val="18"/>
        </w:rPr>
        <w:t>)</w:t>
      </w:r>
      <w:r w:rsidR="00EA4000" w:rsidRPr="00564DB3">
        <w:rPr>
          <w:rFonts w:cs="Arial"/>
          <w:szCs w:val="18"/>
        </w:rPr>
        <w:t xml:space="preserve"> entitled </w:t>
      </w:r>
      <w:r w:rsidR="00A63273" w:rsidRPr="00564DB3">
        <w:rPr>
          <w:rFonts w:cs="Arial"/>
          <w:i/>
          <w:szCs w:val="18"/>
        </w:rPr>
        <w:t>Regional Fishery Management Organization (</w:t>
      </w:r>
      <w:r w:rsidRPr="00564DB3">
        <w:rPr>
          <w:rFonts w:cs="Arial"/>
          <w:i/>
          <w:szCs w:val="18"/>
        </w:rPr>
        <w:t>RFMO</w:t>
      </w:r>
      <w:r w:rsidR="00A63273" w:rsidRPr="00564DB3">
        <w:rPr>
          <w:rFonts w:cs="Arial"/>
          <w:i/>
          <w:szCs w:val="18"/>
        </w:rPr>
        <w:t>)</w:t>
      </w:r>
      <w:r w:rsidR="00DE196C" w:rsidRPr="00564DB3">
        <w:rPr>
          <w:rFonts w:cs="Arial"/>
          <w:i/>
          <w:szCs w:val="18"/>
        </w:rPr>
        <w:t xml:space="preserve"> Catch </w:t>
      </w:r>
      <w:r w:rsidR="00962F01" w:rsidRPr="00564DB3">
        <w:rPr>
          <w:rFonts w:cs="Arial"/>
          <w:i/>
          <w:szCs w:val="18"/>
        </w:rPr>
        <w:t xml:space="preserve">Documentation Schemes: </w:t>
      </w:r>
      <w:r w:rsidR="00EA4000" w:rsidRPr="00564DB3">
        <w:rPr>
          <w:rFonts w:cs="Arial"/>
          <w:i/>
          <w:szCs w:val="18"/>
        </w:rPr>
        <w:t>A Summary</w:t>
      </w:r>
      <w:r w:rsidRPr="00564DB3">
        <w:rPr>
          <w:rFonts w:cs="Arial"/>
          <w:szCs w:val="18"/>
        </w:rPr>
        <w:t>. This document defines catch documentation schemes (CDSs) as:</w:t>
      </w:r>
    </w:p>
    <w:p w:rsidR="00913A2E" w:rsidRPr="00564DB3" w:rsidRDefault="00913A2E" w:rsidP="00F70E38">
      <w:pPr>
        <w:pStyle w:val="Quotation"/>
      </w:pPr>
      <w:r w:rsidRPr="00564DB3">
        <w:t>[G]lobal traceability systems that certify a unit of legal catch, providing a catch certificate (CC) to the legal owner of the fish (at the point of capture) and then trace the movement of this unit of catch from unloading through international trade (export and re-export), into the end market (the first point of sale/import).</w:t>
      </w:r>
      <w:r w:rsidRPr="00564DB3">
        <w:rPr>
          <w:rStyle w:val="FootnoteReference"/>
        </w:rPr>
        <w:footnoteReference w:id="754"/>
      </w:r>
    </w:p>
    <w:p w:rsidR="00913A2E" w:rsidRPr="00564DB3" w:rsidRDefault="00913A2E" w:rsidP="00F70E38">
      <w:pPr>
        <w:pStyle w:val="BodyText"/>
        <w:rPr>
          <w:rFonts w:cs="Arial"/>
          <w:szCs w:val="18"/>
        </w:rPr>
      </w:pPr>
      <w:r w:rsidRPr="00564DB3">
        <w:rPr>
          <w:rFonts w:cs="Arial"/>
          <w:szCs w:val="18"/>
        </w:rPr>
        <w:t>The document explicitly states that it "provides an overview of the current activities regarding the development, implementation, review and amendm</w:t>
      </w:r>
      <w:r w:rsidR="00DE196C" w:rsidRPr="00564DB3">
        <w:rPr>
          <w:rFonts w:cs="Arial"/>
          <w:szCs w:val="18"/>
        </w:rPr>
        <w:t>ent of CDS by RFMOs and the FAO </w:t>
      </w:r>
      <w:r w:rsidRPr="00564DB3">
        <w:rPr>
          <w:rFonts w:cs="Arial"/>
          <w:szCs w:val="18"/>
        </w:rPr>
        <w:t>Technical Consultation on the Development of Voluntary Guidelines for CDS".</w:t>
      </w:r>
      <w:r w:rsidRPr="00564DB3">
        <w:rPr>
          <w:rStyle w:val="FootnoteReference"/>
          <w:rFonts w:cs="Arial"/>
          <w:szCs w:val="18"/>
        </w:rPr>
        <w:footnoteReference w:id="755"/>
      </w:r>
      <w:r w:rsidRPr="00564DB3">
        <w:rPr>
          <w:rFonts w:cs="Arial"/>
          <w:szCs w:val="18"/>
        </w:rPr>
        <w:t xml:space="preserve"> Indeed, in opting not to rely on this exhibit, the Panels explained that Mexico's argument in connection with Panel Exhibit MEX</w:t>
      </w:r>
      <w:r w:rsidRPr="00564DB3">
        <w:rPr>
          <w:rFonts w:cs="Arial"/>
          <w:szCs w:val="18"/>
        </w:rPr>
        <w:noBreakHyphen/>
        <w:t xml:space="preserve">127 pertained to the </w:t>
      </w:r>
      <w:r w:rsidR="00A10853" w:rsidRPr="00564DB3">
        <w:rPr>
          <w:rFonts w:cs="Arial"/>
          <w:szCs w:val="18"/>
        </w:rPr>
        <w:t>"complex supply chain for tuna"</w:t>
      </w:r>
      <w:r w:rsidRPr="00564DB3">
        <w:rPr>
          <w:rFonts w:cs="Arial"/>
          <w:szCs w:val="18"/>
        </w:rPr>
        <w:t xml:space="preserve"> and "to the issue of whether tuna companies are able to track a particular catch to the individual vessel that caught it and to other points in the supply chain".</w:t>
      </w:r>
      <w:r w:rsidRPr="00564DB3">
        <w:rPr>
          <w:rStyle w:val="FootnoteReference"/>
          <w:rFonts w:cs="Arial"/>
          <w:szCs w:val="18"/>
        </w:rPr>
        <w:footnoteReference w:id="756"/>
      </w:r>
      <w:r w:rsidRPr="00564DB3">
        <w:rPr>
          <w:rFonts w:cs="Arial"/>
          <w:szCs w:val="18"/>
        </w:rPr>
        <w:t xml:space="preserve"> However, the Panels highlighted that these compliance proceedings concern whether the 2016 Tuna Measure, including the tracking and verification requirements, is calibrated to different levels of risks posed to dolphins by different fishing methods in different parts of the ocean. Therefore, the Panels considered that the information that Mexico sought to rely on in Panel Exhibit MEX</w:t>
      </w:r>
      <w:r w:rsidRPr="00564DB3">
        <w:rPr>
          <w:rFonts w:cs="Arial"/>
          <w:szCs w:val="18"/>
        </w:rPr>
        <w:noBreakHyphen/>
        <w:t>127 was not directly relevant to their inquiry.</w:t>
      </w:r>
      <w:r w:rsidRPr="00564DB3">
        <w:rPr>
          <w:rStyle w:val="FootnoteReference"/>
          <w:rFonts w:cs="Arial"/>
          <w:szCs w:val="18"/>
        </w:rPr>
        <w:footnoteReference w:id="757"/>
      </w:r>
    </w:p>
    <w:p w:rsidR="00913A2E" w:rsidRPr="00564DB3" w:rsidRDefault="00913A2E" w:rsidP="00F70E38">
      <w:pPr>
        <w:pStyle w:val="BodyText"/>
        <w:rPr>
          <w:rFonts w:cs="Arial"/>
          <w:szCs w:val="18"/>
        </w:rPr>
      </w:pPr>
      <w:r w:rsidRPr="00564DB3">
        <w:rPr>
          <w:rFonts w:cs="Arial"/>
          <w:szCs w:val="18"/>
        </w:rPr>
        <w:t>Mexico appears to draw a correlation between the experiences of CDSs recorded in Panel Exhibit MEX-127 and the potential operation of the 2016 tracking and verification requirements.</w:t>
      </w:r>
      <w:r w:rsidRPr="00564DB3">
        <w:rPr>
          <w:rStyle w:val="FootnoteReference"/>
          <w:rFonts w:cs="Arial"/>
          <w:szCs w:val="18"/>
        </w:rPr>
        <w:footnoteReference w:id="758"/>
      </w:r>
      <w:r w:rsidRPr="00564DB3">
        <w:rPr>
          <w:rFonts w:cs="Arial"/>
          <w:szCs w:val="18"/>
        </w:rPr>
        <w:t xml:space="preserve"> However, Mexico has provided no reasons for such a correlation, especially given that the data point for certification under a CDS, by "unit of legal catch", is not applicable to either the AIDCP or NOAA regimes.</w:t>
      </w:r>
      <w:r w:rsidRPr="00564DB3">
        <w:rPr>
          <w:rStyle w:val="FootnoteReference"/>
          <w:rFonts w:cs="Arial"/>
          <w:szCs w:val="18"/>
        </w:rPr>
        <w:footnoteReference w:id="759"/>
      </w:r>
      <w:r w:rsidRPr="00564DB3">
        <w:rPr>
          <w:rFonts w:cs="Arial"/>
          <w:szCs w:val="18"/>
        </w:rPr>
        <w:t xml:space="preserve"> Rather, as the Panels in these compliance proceedings found, unlike a CDS, both the AIDCP and NOAA regimes under the 2016 Tuna Measure require that the records that accompany the tuna from harvest through processing must be sufficient to allow the verification or "trace</w:t>
      </w:r>
      <w:r w:rsidRPr="00564DB3">
        <w:rPr>
          <w:rFonts w:cs="Arial"/>
          <w:szCs w:val="18"/>
        </w:rPr>
        <w:noBreakHyphen/>
        <w:t>back" of the tuna products to the storage wells of a particular vessel for each fishing trip.</w:t>
      </w:r>
      <w:r w:rsidRPr="00564DB3">
        <w:rPr>
          <w:rStyle w:val="FootnoteReference"/>
          <w:rFonts w:cs="Arial"/>
          <w:szCs w:val="18"/>
        </w:rPr>
        <w:footnoteReference w:id="760"/>
      </w:r>
      <w:r w:rsidRPr="00564DB3">
        <w:rPr>
          <w:rFonts w:cs="Arial"/>
          <w:szCs w:val="18"/>
        </w:rPr>
        <w:t xml:space="preserve"> Moreover, to the extent that the 2016 Tuna Measure applies the AIDCP </w:t>
      </w:r>
      <w:r w:rsidR="00060A90" w:rsidRPr="00564DB3">
        <w:rPr>
          <w:rFonts w:cs="Arial"/>
          <w:szCs w:val="18"/>
        </w:rPr>
        <w:t>T</w:t>
      </w:r>
      <w:r w:rsidRPr="00564DB3">
        <w:rPr>
          <w:rFonts w:cs="Arial"/>
          <w:szCs w:val="18"/>
        </w:rPr>
        <w:t xml:space="preserve">racking and </w:t>
      </w:r>
      <w:r w:rsidR="00060A90" w:rsidRPr="00564DB3">
        <w:rPr>
          <w:rFonts w:cs="Arial"/>
          <w:szCs w:val="18"/>
        </w:rPr>
        <w:t>V</w:t>
      </w:r>
      <w:r w:rsidRPr="00564DB3">
        <w:rPr>
          <w:rFonts w:cs="Arial"/>
          <w:szCs w:val="18"/>
        </w:rPr>
        <w:t xml:space="preserve">erification </w:t>
      </w:r>
      <w:r w:rsidR="00060A90" w:rsidRPr="00564DB3">
        <w:rPr>
          <w:rFonts w:cs="Arial"/>
          <w:szCs w:val="18"/>
        </w:rPr>
        <w:t>S</w:t>
      </w:r>
      <w:r w:rsidRPr="00564DB3">
        <w:rPr>
          <w:rFonts w:cs="Arial"/>
          <w:szCs w:val="18"/>
        </w:rPr>
        <w:t>ystem with respect to the ETP large purse seine fishery, we note that Panel Exhibit MEX</w:t>
      </w:r>
      <w:r w:rsidRPr="00564DB3">
        <w:rPr>
          <w:rFonts w:cs="Arial"/>
          <w:szCs w:val="18"/>
        </w:rPr>
        <w:noBreakHyphen/>
        <w:t>127 contains a discussion of the AIDCP. The document states that the AIDCP "does not track all yellowfin catch from all gears nor all parties fishing for yellowfin tuna in the eastern Pacific Ocean and as such is not a true CDS".</w:t>
      </w:r>
      <w:r w:rsidRPr="00564DB3">
        <w:rPr>
          <w:rStyle w:val="FootnoteReference"/>
          <w:rFonts w:cs="Arial"/>
          <w:szCs w:val="18"/>
        </w:rPr>
        <w:footnoteReference w:id="761"/>
      </w:r>
      <w:r w:rsidRPr="00564DB3">
        <w:rPr>
          <w:rFonts w:cs="Arial"/>
          <w:szCs w:val="18"/>
        </w:rPr>
        <w:t xml:space="preserve"> Thus, our review of the content of Panel Exhibit MEX</w:t>
      </w:r>
      <w:r w:rsidRPr="00564DB3">
        <w:rPr>
          <w:rFonts w:cs="Arial"/>
          <w:szCs w:val="18"/>
        </w:rPr>
        <w:noBreakHyphen/>
        <w:t>127 suppor</w:t>
      </w:r>
      <w:r w:rsidR="00145C22">
        <w:rPr>
          <w:rFonts w:cs="Arial"/>
          <w:szCs w:val="18"/>
        </w:rPr>
        <w:t>ts the Panels' </w:t>
      </w:r>
      <w:r w:rsidRPr="00564DB3">
        <w:rPr>
          <w:rFonts w:cs="Arial"/>
          <w:szCs w:val="18"/>
        </w:rPr>
        <w:t xml:space="preserve">view that </w:t>
      </w:r>
      <w:r w:rsidR="00F16717" w:rsidRPr="00564DB3">
        <w:rPr>
          <w:rFonts w:cs="Arial"/>
          <w:szCs w:val="18"/>
        </w:rPr>
        <w:t>Mexico's arguments</w:t>
      </w:r>
      <w:r w:rsidRPr="00564DB3">
        <w:rPr>
          <w:rFonts w:cs="Arial"/>
          <w:szCs w:val="18"/>
        </w:rPr>
        <w:t xml:space="preserve"> regarding CDSs, contained in this exhibit, was not relevant to the Panels' c</w:t>
      </w:r>
      <w:r w:rsidR="00962F01" w:rsidRPr="00564DB3">
        <w:rPr>
          <w:rFonts w:cs="Arial"/>
          <w:szCs w:val="18"/>
        </w:rPr>
        <w:t>alibration analysis of the 2016 </w:t>
      </w:r>
      <w:r w:rsidRPr="00564DB3">
        <w:rPr>
          <w:rFonts w:cs="Arial"/>
          <w:szCs w:val="18"/>
        </w:rPr>
        <w:t>Tuna Measure.</w:t>
      </w:r>
    </w:p>
    <w:p w:rsidR="00913A2E" w:rsidRPr="00564DB3" w:rsidRDefault="00913A2E" w:rsidP="00F70E38">
      <w:pPr>
        <w:pStyle w:val="BodyText"/>
        <w:rPr>
          <w:rFonts w:cs="Arial"/>
          <w:szCs w:val="18"/>
        </w:rPr>
      </w:pPr>
      <w:r w:rsidRPr="00564DB3">
        <w:rPr>
          <w:rFonts w:cs="Arial"/>
          <w:szCs w:val="18"/>
        </w:rPr>
        <w:t>For these reasons, we find that Mexico has not demonstrated that</w:t>
      </w:r>
      <w:r w:rsidRPr="00564DB3">
        <w:rPr>
          <w:rFonts w:cs="Arial"/>
          <w:szCs w:val="18"/>
          <w:lang w:eastAsia="en-US"/>
        </w:rPr>
        <w:t xml:space="preserve"> </w:t>
      </w:r>
      <w:r w:rsidRPr="00564DB3">
        <w:rPr>
          <w:rFonts w:cs="Arial"/>
          <w:szCs w:val="18"/>
        </w:rPr>
        <w:t>the Panels failed to make an objective assessment of the facts of the case as required under Article 11 of the DSU by omitting Panel Exhibit MEX</w:t>
      </w:r>
      <w:r w:rsidRPr="00564DB3">
        <w:rPr>
          <w:rFonts w:cs="Arial"/>
          <w:szCs w:val="18"/>
        </w:rPr>
        <w:noBreakHyphen/>
        <w:t>127 from their analysis of the tracking and verification requirements.</w:t>
      </w:r>
    </w:p>
    <w:p w:rsidR="00913A2E" w:rsidRPr="00564DB3" w:rsidRDefault="00913A2E" w:rsidP="00F70E38">
      <w:pPr>
        <w:pStyle w:val="Heading5"/>
        <w:rPr>
          <w:szCs w:val="18"/>
        </w:rPr>
      </w:pPr>
      <w:bookmarkStart w:id="355" w:name="_Toc531967495"/>
      <w:r w:rsidRPr="00564DB3">
        <w:rPr>
          <w:szCs w:val="18"/>
        </w:rPr>
        <w:t>Conclusion for tracking and verification requirements</w:t>
      </w:r>
      <w:bookmarkEnd w:id="355"/>
    </w:p>
    <w:p w:rsidR="00913A2E" w:rsidRPr="00564DB3" w:rsidRDefault="00913A2E" w:rsidP="00F70E38">
      <w:pPr>
        <w:pStyle w:val="BodyText"/>
        <w:rPr>
          <w:szCs w:val="18"/>
        </w:rPr>
      </w:pPr>
      <w:r w:rsidRPr="00564DB3">
        <w:rPr>
          <w:szCs w:val="18"/>
        </w:rPr>
        <w:t>As with the certification requirements, we have found that</w:t>
      </w:r>
      <w:r w:rsidR="00F145E9" w:rsidRPr="00564DB3">
        <w:rPr>
          <w:szCs w:val="18"/>
        </w:rPr>
        <w:t>,</w:t>
      </w:r>
      <w:r w:rsidRPr="00564DB3">
        <w:rPr>
          <w:szCs w:val="18"/>
        </w:rPr>
        <w:t xml:space="preserve"> with respect to the tracking and verification requirements, the Panels adopted the correct approach in comparing the risk profiles of individual fisheries, because these requirements make a distinction </w:t>
      </w:r>
      <w:proofErr w:type="gramStart"/>
      <w:r w:rsidRPr="00564DB3">
        <w:rPr>
          <w:szCs w:val="18"/>
        </w:rPr>
        <w:t>on the basis of</w:t>
      </w:r>
      <w:proofErr w:type="gramEnd"/>
      <w:r w:rsidRPr="00564DB3">
        <w:rPr>
          <w:szCs w:val="18"/>
        </w:rPr>
        <w:t xml:space="preserve"> both fishing method and ocean area. Having found no legal error in the Panels' assessment of risk profiles, we consider that the Panels did not err in finding that it is both the technical and legal possibilit</w:t>
      </w:r>
      <w:r w:rsidR="008F774D" w:rsidRPr="00564DB3">
        <w:rPr>
          <w:szCs w:val="18"/>
        </w:rPr>
        <w:t>ies</w:t>
      </w:r>
      <w:r w:rsidRPr="00564DB3">
        <w:rPr>
          <w:szCs w:val="18"/>
        </w:rPr>
        <w:t xml:space="preserve"> of setting on dolphins and the fact that dolphin sets occur in a consistent and systematic manner in the ETP large purse seine fishery that give this fishery its special risk profile. Moreover, we have rejected Mexico's claims that: (i) the Panels erred in their evaluation of the tracking and verification requirements</w:t>
      </w:r>
      <w:r w:rsidR="005E125C" w:rsidRPr="00564DB3">
        <w:rPr>
          <w:szCs w:val="18"/>
        </w:rPr>
        <w:t xml:space="preserve">, </w:t>
      </w:r>
      <w:r w:rsidR="005E125C" w:rsidRPr="00564DB3">
        <w:rPr>
          <w:rFonts w:cs="Arial"/>
          <w:szCs w:val="18"/>
        </w:rPr>
        <w:t xml:space="preserve">including the allegation that the Panels did not </w:t>
      </w:r>
      <w:proofErr w:type="gramStart"/>
      <w:r w:rsidR="005E125C" w:rsidRPr="00564DB3">
        <w:rPr>
          <w:rFonts w:cs="Arial"/>
          <w:szCs w:val="18"/>
        </w:rPr>
        <w:t>take into account</w:t>
      </w:r>
      <w:proofErr w:type="gramEnd"/>
      <w:r w:rsidR="005E125C" w:rsidRPr="00564DB3">
        <w:rPr>
          <w:rFonts w:cs="Arial"/>
          <w:szCs w:val="18"/>
        </w:rPr>
        <w:t xml:space="preserve"> the risks of inaccuracy</w:t>
      </w:r>
      <w:r w:rsidRPr="00564DB3">
        <w:rPr>
          <w:szCs w:val="18"/>
        </w:rPr>
        <w:t xml:space="preserve">; and (ii) the Panels failed to make an objective assessment of the facts of the case as required under Article 11 of the DSU. Consequently, we </w:t>
      </w:r>
      <w:r w:rsidR="001771DC" w:rsidRPr="00564DB3">
        <w:rPr>
          <w:szCs w:val="18"/>
          <w:u w:val="single"/>
        </w:rPr>
        <w:t>find</w:t>
      </w:r>
      <w:r w:rsidRPr="00564DB3">
        <w:rPr>
          <w:szCs w:val="18"/>
        </w:rPr>
        <w:t xml:space="preserve"> that Mexico has not demonstrated that the Panels erred in arriving at the intermediate finding that:</w:t>
      </w:r>
    </w:p>
    <w:p w:rsidR="00913A2E" w:rsidRPr="00564DB3" w:rsidRDefault="00913A2E" w:rsidP="00F70E38">
      <w:pPr>
        <w:pStyle w:val="Quotation"/>
      </w:pPr>
      <w:r w:rsidRPr="00564DB3">
        <w:t>[A]</w:t>
      </w:r>
      <w:proofErr w:type="spellStart"/>
      <w:r w:rsidRPr="00564DB3">
        <w:t>lthough</w:t>
      </w:r>
      <w:proofErr w:type="spellEnd"/>
      <w:r w:rsidRPr="00564DB3">
        <w:t xml:space="preserve"> there remain differences between the NOAA and AIDCP regimes with respect to tracking and verification, the Panels are of the view that such differences have been considerably narrowed in the 2016 Tuna Measure and the Panels find that the remaining differences are calibrated to the differences in the risk profile of the ETP large purse seine fishery compared to other fisheries.</w:t>
      </w:r>
      <w:r w:rsidRPr="00564DB3">
        <w:rPr>
          <w:rStyle w:val="FootnoteReference"/>
        </w:rPr>
        <w:footnoteReference w:id="762"/>
      </w:r>
    </w:p>
    <w:p w:rsidR="00913A2E" w:rsidRPr="00564DB3" w:rsidRDefault="00913A2E" w:rsidP="00F70E38">
      <w:pPr>
        <w:pStyle w:val="Heading4"/>
        <w:rPr>
          <w:szCs w:val="18"/>
        </w:rPr>
      </w:pPr>
      <w:bookmarkStart w:id="356" w:name="_Ref530389807"/>
      <w:bookmarkStart w:id="357" w:name="_Toc531967496"/>
      <w:r w:rsidRPr="00564DB3">
        <w:rPr>
          <w:szCs w:val="18"/>
        </w:rPr>
        <w:t>The 2016 Tuna Measure "as a whole"</w:t>
      </w:r>
      <w:bookmarkEnd w:id="356"/>
      <w:bookmarkEnd w:id="357"/>
    </w:p>
    <w:p w:rsidR="00913A2E" w:rsidRPr="00564DB3" w:rsidRDefault="00913A2E" w:rsidP="00F70E38">
      <w:pPr>
        <w:pStyle w:val="BodyText"/>
        <w:rPr>
          <w:rFonts w:cs="Arial"/>
          <w:szCs w:val="18"/>
        </w:rPr>
      </w:pPr>
      <w:r w:rsidRPr="00564DB3">
        <w:rPr>
          <w:szCs w:val="18"/>
        </w:rPr>
        <w:t xml:space="preserve">Mexico argues that, because the Panels' reasoning of the 2016 Tuna Measure </w:t>
      </w:r>
      <w:proofErr w:type="gramStart"/>
      <w:r w:rsidRPr="00564DB3">
        <w:rPr>
          <w:szCs w:val="18"/>
        </w:rPr>
        <w:t>as a whole was</w:t>
      </w:r>
      <w:proofErr w:type="gramEnd"/>
      <w:r w:rsidRPr="00564DB3">
        <w:rPr>
          <w:szCs w:val="18"/>
        </w:rPr>
        <w:t xml:space="preserve"> based </w:t>
      </w:r>
      <w:r w:rsidRPr="00564DB3">
        <w:rPr>
          <w:rFonts w:cs="Arial"/>
          <w:szCs w:val="18"/>
        </w:rPr>
        <w:t>entirely</w:t>
      </w:r>
      <w:r w:rsidRPr="00564DB3">
        <w:rPr>
          <w:szCs w:val="18"/>
        </w:rPr>
        <w:t xml:space="preserve"> on their findings and c</w:t>
      </w:r>
      <w:r w:rsidR="00F16717" w:rsidRPr="00564DB3">
        <w:rPr>
          <w:szCs w:val="18"/>
        </w:rPr>
        <w:t xml:space="preserve">onclusions with respect to the </w:t>
      </w:r>
      <w:r w:rsidRPr="00564DB3">
        <w:rPr>
          <w:szCs w:val="18"/>
        </w:rPr>
        <w:t>calibration of the eligibility criteria, the certification requirements, and the tracking and verification requirements, respectively, all of the erro</w:t>
      </w:r>
      <w:r w:rsidR="00F16717" w:rsidRPr="00564DB3">
        <w:rPr>
          <w:szCs w:val="18"/>
        </w:rPr>
        <w:t>neous findings</w:t>
      </w:r>
      <w:r w:rsidRPr="00564DB3">
        <w:rPr>
          <w:szCs w:val="18"/>
        </w:rPr>
        <w:t xml:space="preserve"> made in those assessments flowed through and were the exclusive basis for the Panels' assessment</w:t>
      </w:r>
      <w:r w:rsidR="00F16717" w:rsidRPr="00564DB3">
        <w:rPr>
          <w:szCs w:val="18"/>
        </w:rPr>
        <w:t xml:space="preserve"> of the measure as a whole</w:t>
      </w:r>
      <w:r w:rsidRPr="00564DB3">
        <w:rPr>
          <w:szCs w:val="18"/>
        </w:rPr>
        <w:t>. Accordingly, Mexico contends that the Panels incorrectly assessed the calibration and consistency with Article 2.1 of the TBT Agreement of the 2016 Tuna Measure as a whole.</w:t>
      </w:r>
      <w:r w:rsidRPr="00564DB3">
        <w:rPr>
          <w:rStyle w:val="FootnoteReference"/>
          <w:szCs w:val="18"/>
        </w:rPr>
        <w:footnoteReference w:id="763"/>
      </w:r>
    </w:p>
    <w:p w:rsidR="00913A2E" w:rsidRPr="00564DB3" w:rsidRDefault="00913A2E" w:rsidP="00F70E38">
      <w:pPr>
        <w:pStyle w:val="BodyText"/>
        <w:rPr>
          <w:rFonts w:cs="Arial"/>
          <w:szCs w:val="18"/>
        </w:rPr>
      </w:pPr>
      <w:r w:rsidRPr="00564DB3">
        <w:rPr>
          <w:szCs w:val="18"/>
        </w:rPr>
        <w:t xml:space="preserve">The United States posits that the Panels' intermediate conclusions concerning the eligibility criteria, certification requirements, and tracking and verification requirements were correct and not in error. In addition, the United States submits that, contrary to </w:t>
      </w:r>
      <w:r w:rsidR="00D04F30">
        <w:rPr>
          <w:szCs w:val="18"/>
        </w:rPr>
        <w:t>Mexico's arguments, the Panels' </w:t>
      </w:r>
      <w:r w:rsidRPr="00564DB3">
        <w:rPr>
          <w:szCs w:val="18"/>
        </w:rPr>
        <w:t xml:space="preserve">intermediate conclusions were not the exclusive basis for the Panels' overall assessment of the </w:t>
      </w:r>
      <w:proofErr w:type="gramStart"/>
      <w:r w:rsidRPr="00564DB3">
        <w:rPr>
          <w:szCs w:val="18"/>
        </w:rPr>
        <w:t>measure as a whole</w:t>
      </w:r>
      <w:proofErr w:type="gramEnd"/>
      <w:r w:rsidRPr="00564DB3">
        <w:rPr>
          <w:szCs w:val="18"/>
        </w:rPr>
        <w:t>. The United States indicates that the Panels also considered how the different parts of the measure interact to address the risk</w:t>
      </w:r>
      <w:r w:rsidR="00F145E9" w:rsidRPr="00564DB3">
        <w:rPr>
          <w:szCs w:val="18"/>
        </w:rPr>
        <w:t>s</w:t>
      </w:r>
      <w:r w:rsidRPr="00564DB3">
        <w:rPr>
          <w:szCs w:val="18"/>
        </w:rPr>
        <w:t xml:space="preserve"> to dolphins arising from different fishing methods in different ocean </w:t>
      </w:r>
      <w:proofErr w:type="gramStart"/>
      <w:r w:rsidRPr="00564DB3">
        <w:rPr>
          <w:szCs w:val="18"/>
        </w:rPr>
        <w:t>areas, and</w:t>
      </w:r>
      <w:proofErr w:type="gramEnd"/>
      <w:r w:rsidRPr="00564DB3">
        <w:rPr>
          <w:szCs w:val="18"/>
        </w:rPr>
        <w:t xml:space="preserve"> explained how the </w:t>
      </w:r>
      <w:r w:rsidR="00D04F30">
        <w:rPr>
          <w:szCs w:val="18"/>
        </w:rPr>
        <w:t>components of the measure "work </w:t>
      </w:r>
      <w:r w:rsidRPr="00564DB3">
        <w:rPr>
          <w:szCs w:val="18"/>
        </w:rPr>
        <w:t>together" to "achieve the objectives of the 2016 Tuna Measure".</w:t>
      </w:r>
      <w:r w:rsidRPr="00564DB3">
        <w:rPr>
          <w:rStyle w:val="FootnoteReference"/>
          <w:szCs w:val="18"/>
        </w:rPr>
        <w:footnoteReference w:id="764"/>
      </w:r>
    </w:p>
    <w:p w:rsidR="00913A2E" w:rsidRPr="00564DB3" w:rsidRDefault="00913A2E" w:rsidP="00F70E38">
      <w:pPr>
        <w:pStyle w:val="BodyText"/>
        <w:rPr>
          <w:szCs w:val="18"/>
        </w:rPr>
      </w:pPr>
      <w:r w:rsidRPr="00564DB3">
        <w:rPr>
          <w:szCs w:val="18"/>
        </w:rPr>
        <w:t xml:space="preserve">We have found above that Mexico has failed to demonstrate that the Panels erred in their evaluation leading to their intermediate findings regarding the calibration of </w:t>
      </w:r>
      <w:r w:rsidR="00F145E9" w:rsidRPr="00564DB3">
        <w:rPr>
          <w:szCs w:val="18"/>
        </w:rPr>
        <w:t xml:space="preserve">the </w:t>
      </w:r>
      <w:r w:rsidRPr="00564DB3">
        <w:rPr>
          <w:szCs w:val="18"/>
        </w:rPr>
        <w:t>eligibility criteria, certification requirements, and tracking and verification requirements. We recall that analysing the measure in a sequential manner does not</w:t>
      </w:r>
      <w:proofErr w:type="gramStart"/>
      <w:r w:rsidRPr="00564DB3">
        <w:rPr>
          <w:szCs w:val="18"/>
        </w:rPr>
        <w:t>, in itself, render</w:t>
      </w:r>
      <w:proofErr w:type="gramEnd"/>
      <w:r w:rsidRPr="00564DB3">
        <w:rPr>
          <w:szCs w:val="18"/>
        </w:rPr>
        <w:t xml:space="preserve"> the analysis erroneous, provided that such sequential analysis does not "lead to the isolated consideration of a particular element</w:t>
      </w:r>
      <w:r w:rsidR="008C1379" w:rsidRPr="00564DB3">
        <w:rPr>
          <w:szCs w:val="18"/>
        </w:rPr>
        <w:t>"</w:t>
      </w:r>
      <w:r w:rsidRPr="00564DB3">
        <w:rPr>
          <w:szCs w:val="18"/>
        </w:rPr>
        <w:t xml:space="preserve"> where the elements of a measure are closely interrelated.</w:t>
      </w:r>
      <w:r w:rsidRPr="00564DB3">
        <w:rPr>
          <w:rStyle w:val="FootnoteReference"/>
          <w:szCs w:val="18"/>
        </w:rPr>
        <w:footnoteReference w:id="765"/>
      </w:r>
    </w:p>
    <w:p w:rsidR="00913A2E" w:rsidRPr="00564DB3" w:rsidRDefault="00913A2E" w:rsidP="00F70E38">
      <w:pPr>
        <w:pStyle w:val="BodyText"/>
        <w:rPr>
          <w:szCs w:val="18"/>
        </w:rPr>
      </w:pPr>
      <w:bookmarkStart w:id="358" w:name="_Ref530581943"/>
      <w:r w:rsidRPr="00564DB3">
        <w:rPr>
          <w:szCs w:val="18"/>
        </w:rPr>
        <w:t xml:space="preserve">Based on a review of the Panels' examination of the 2016 Tuna Measure, we consider that the Panels </w:t>
      </w:r>
      <w:proofErr w:type="gramStart"/>
      <w:r w:rsidRPr="00564DB3">
        <w:rPr>
          <w:szCs w:val="18"/>
        </w:rPr>
        <w:t>took into account</w:t>
      </w:r>
      <w:proofErr w:type="gramEnd"/>
      <w:r w:rsidRPr="00564DB3">
        <w:rPr>
          <w:szCs w:val="18"/>
        </w:rPr>
        <w:t xml:space="preserve"> the "cumulative and highly interrelated" nature of the different aspects of the 2016 Tuna Measure. For instance, the Panels repeatedly noted that the determination provisions work together with and reinforce the certification and tracking and verification requirements. Therefore, the Panels' consideration of the certification and tracking and verification requirements included a consideration of the determination provisions.</w:t>
      </w:r>
      <w:r w:rsidRPr="00564DB3">
        <w:rPr>
          <w:rStyle w:val="FootnoteReference"/>
          <w:szCs w:val="18"/>
        </w:rPr>
        <w:footnoteReference w:id="766"/>
      </w:r>
      <w:r w:rsidRPr="00564DB3">
        <w:rPr>
          <w:szCs w:val="18"/>
        </w:rPr>
        <w:t xml:space="preserve"> As a second example, the Panels found that the certification requirements, including the newly introduced Captain Training Course, are "embedded within a sufficiently enforceable regulatory framework", referring to the tracking and verification requirements.</w:t>
      </w:r>
      <w:r w:rsidRPr="00564DB3">
        <w:rPr>
          <w:rStyle w:val="FootnoteReference"/>
          <w:szCs w:val="18"/>
        </w:rPr>
        <w:footnoteReference w:id="767"/>
      </w:r>
      <w:r w:rsidRPr="00564DB3">
        <w:rPr>
          <w:szCs w:val="18"/>
        </w:rPr>
        <w:t xml:space="preserve"> </w:t>
      </w:r>
      <w:r w:rsidR="008C1379" w:rsidRPr="00564DB3">
        <w:rPr>
          <w:szCs w:val="18"/>
        </w:rPr>
        <w:t>Furthermore</w:t>
      </w:r>
      <w:r w:rsidRPr="00564DB3">
        <w:rPr>
          <w:szCs w:val="18"/>
        </w:rPr>
        <w:t>, the Panels synthesized their findings about the various elements of the measure, "taking into account the important interlinkages among such elements".</w:t>
      </w:r>
      <w:r w:rsidRPr="00564DB3">
        <w:rPr>
          <w:rStyle w:val="FootnoteReference"/>
          <w:szCs w:val="18"/>
        </w:rPr>
        <w:footnoteReference w:id="768"/>
      </w:r>
      <w:r w:rsidRPr="00564DB3">
        <w:rPr>
          <w:szCs w:val="18"/>
        </w:rPr>
        <w:t xml:space="preserve"> In this regard, the Panels explained that:</w:t>
      </w:r>
      <w:bookmarkEnd w:id="358"/>
      <w:r w:rsidRPr="00564DB3">
        <w:rPr>
          <w:szCs w:val="18"/>
        </w:rPr>
        <w:t xml:space="preserve"> </w:t>
      </w:r>
    </w:p>
    <w:p w:rsidR="00913A2E" w:rsidRPr="00564DB3" w:rsidRDefault="00913A2E" w:rsidP="00F70E38">
      <w:pPr>
        <w:pStyle w:val="Quotation"/>
      </w:pPr>
      <w:r w:rsidRPr="00564DB3">
        <w:t>Without the certification, and tracking and verification requirements, as well as the determination provisions, however, the distinction made through the eligibility criteria would not have achieved the Measure's objective of dolphin protection. In our view, the interlinkage among these four elements of the Measure is so crucial that without one of them the 2016 Tuna Measure, as we know it, could not function. We see the certification, and the tracking and verification requirements, as well as the determination provisions, as tools that enforce the eligibility criteria with a view to achieving the objective of protecting dolphins from harmful fishing methods.</w:t>
      </w:r>
      <w:r w:rsidRPr="00564DB3">
        <w:rPr>
          <w:rStyle w:val="FootnoteReference"/>
        </w:rPr>
        <w:footnoteReference w:id="769"/>
      </w:r>
    </w:p>
    <w:p w:rsidR="00913A2E" w:rsidRPr="00564DB3" w:rsidRDefault="00913A2E" w:rsidP="00F70E38">
      <w:pPr>
        <w:pStyle w:val="BodyText"/>
        <w:rPr>
          <w:rFonts w:cs="Arial"/>
          <w:szCs w:val="18"/>
        </w:rPr>
      </w:pPr>
      <w:bookmarkStart w:id="359" w:name="_Ref530581946"/>
      <w:r w:rsidRPr="00564DB3">
        <w:rPr>
          <w:szCs w:val="18"/>
        </w:rPr>
        <w:t xml:space="preserve">We </w:t>
      </w:r>
      <w:r w:rsidR="008C1379" w:rsidRPr="00564DB3">
        <w:rPr>
          <w:szCs w:val="18"/>
        </w:rPr>
        <w:t>thus</w:t>
      </w:r>
      <w:r w:rsidRPr="00564DB3">
        <w:rPr>
          <w:szCs w:val="18"/>
        </w:rPr>
        <w:t xml:space="preserve"> consider that the Panels' analyses of e</w:t>
      </w:r>
      <w:r w:rsidR="00A93707" w:rsidRPr="00564DB3">
        <w:rPr>
          <w:szCs w:val="18"/>
        </w:rPr>
        <w:t>ach of the elements of the 2016 </w:t>
      </w:r>
      <w:r w:rsidRPr="00564DB3">
        <w:rPr>
          <w:szCs w:val="18"/>
        </w:rPr>
        <w:t xml:space="preserve">Tuna Measure, as well as </w:t>
      </w:r>
      <w:r w:rsidR="001771DC" w:rsidRPr="00564DB3">
        <w:rPr>
          <w:szCs w:val="18"/>
        </w:rPr>
        <w:t>their</w:t>
      </w:r>
      <w:r w:rsidRPr="00564DB3">
        <w:rPr>
          <w:szCs w:val="18"/>
        </w:rPr>
        <w:t xml:space="preserve"> examination of the </w:t>
      </w:r>
      <w:proofErr w:type="gramStart"/>
      <w:r w:rsidRPr="00564DB3">
        <w:rPr>
          <w:szCs w:val="18"/>
        </w:rPr>
        <w:t>measure as a whole</w:t>
      </w:r>
      <w:r w:rsidR="00F145E9" w:rsidRPr="00564DB3">
        <w:rPr>
          <w:szCs w:val="18"/>
        </w:rPr>
        <w:t>,</w:t>
      </w:r>
      <w:r w:rsidRPr="00564DB3">
        <w:rPr>
          <w:szCs w:val="18"/>
        </w:rPr>
        <w:t xml:space="preserve"> were</w:t>
      </w:r>
      <w:proofErr w:type="gramEnd"/>
      <w:r w:rsidRPr="00564DB3">
        <w:rPr>
          <w:szCs w:val="18"/>
        </w:rPr>
        <w:t xml:space="preserve"> properly informed by the interlinkages between these elements and the fact that they operate together to regulate access to the dolphin-safe label. Furthermore, we recall that Mexico's appeal in this regard is consequential upon its challenge of the Panels' assessment of the eligibility criteria, certification requirements, and tracking and verification requirements. </w:t>
      </w:r>
      <w:bookmarkStart w:id="360" w:name="_Hlk527055524"/>
      <w:r w:rsidRPr="00564DB3">
        <w:rPr>
          <w:szCs w:val="18"/>
        </w:rPr>
        <w:t>Having reviewed and rejected Mexico's arguments against the Panels' assessment of each of these elements of the 2016 Tuna Measure, we find that Mexico has not demonstrated that the Panels erred in their assessment of the 2016 Tuna Measure, as a whole, or in finding that</w:t>
      </w:r>
      <w:bookmarkEnd w:id="360"/>
      <w:r w:rsidRPr="00564DB3">
        <w:rPr>
          <w:szCs w:val="18"/>
        </w:rPr>
        <w:t xml:space="preserve"> the 2016 Tuna Measure, as a whole, is calibrated to the risks to dolphins arising from the use of different fishing methods in different areas of the ocean.</w:t>
      </w:r>
      <w:r w:rsidRPr="00564DB3">
        <w:rPr>
          <w:rStyle w:val="FootnoteReference"/>
          <w:szCs w:val="18"/>
        </w:rPr>
        <w:footnoteReference w:id="770"/>
      </w:r>
      <w:bookmarkEnd w:id="359"/>
    </w:p>
    <w:p w:rsidR="00913A2E" w:rsidRPr="00564DB3" w:rsidRDefault="00913A2E" w:rsidP="00F70E38">
      <w:pPr>
        <w:pStyle w:val="Heading3"/>
        <w:rPr>
          <w:szCs w:val="18"/>
        </w:rPr>
      </w:pPr>
      <w:bookmarkStart w:id="361" w:name="_Toc531967497"/>
      <w:r w:rsidRPr="00564DB3">
        <w:rPr>
          <w:szCs w:val="18"/>
        </w:rPr>
        <w:t>Conclusion under Article 2.1 of the TBT Agreement</w:t>
      </w:r>
      <w:bookmarkEnd w:id="361"/>
    </w:p>
    <w:p w:rsidR="00913A2E" w:rsidRPr="00564DB3" w:rsidRDefault="00913A2E" w:rsidP="00F70E38">
      <w:pPr>
        <w:pStyle w:val="BodyText"/>
        <w:rPr>
          <w:rFonts w:cs="Arial"/>
          <w:szCs w:val="18"/>
        </w:rPr>
      </w:pPr>
      <w:r w:rsidRPr="00564DB3">
        <w:rPr>
          <w:szCs w:val="18"/>
        </w:rPr>
        <w:t>Based on our analyses and findings in</w:t>
      </w:r>
      <w:r w:rsidR="009670B7">
        <w:rPr>
          <w:szCs w:val="18"/>
        </w:rPr>
        <w:t xml:space="preserve"> sections </w:t>
      </w:r>
      <w:r w:rsidR="009670B7" w:rsidRPr="009670B7">
        <w:rPr>
          <w:szCs w:val="18"/>
        </w:rPr>
        <w:t xml:space="preserve">6.1.1 to 6.1.5 </w:t>
      </w:r>
      <w:r w:rsidRPr="009670B7">
        <w:rPr>
          <w:szCs w:val="18"/>
        </w:rPr>
        <w:t>above</w:t>
      </w:r>
      <w:r w:rsidRPr="009670B7">
        <w:rPr>
          <w:rFonts w:cs="Arial"/>
          <w:szCs w:val="18"/>
        </w:rPr>
        <w:t>, we</w:t>
      </w:r>
      <w:r w:rsidRPr="00564DB3">
        <w:rPr>
          <w:rFonts w:cs="Arial"/>
          <w:szCs w:val="18"/>
        </w:rPr>
        <w:t xml:space="preserve"> </w:t>
      </w:r>
      <w:r w:rsidRPr="00564DB3">
        <w:rPr>
          <w:rFonts w:cs="Arial"/>
          <w:szCs w:val="18"/>
          <w:u w:val="single"/>
        </w:rPr>
        <w:t>uphold</w:t>
      </w:r>
      <w:r w:rsidR="00145C22">
        <w:rPr>
          <w:rFonts w:cs="Arial"/>
          <w:szCs w:val="18"/>
        </w:rPr>
        <w:t xml:space="preserve"> the Panels' </w:t>
      </w:r>
      <w:r w:rsidRPr="00564DB3">
        <w:rPr>
          <w:rFonts w:cs="Arial"/>
          <w:szCs w:val="18"/>
        </w:rPr>
        <w:t>conclusion that the 2016 Tuna Measure accords to Mexican tuna products treatment no less favourable than that accorded to like products from the United States and other countries and therefore is consistent with Article 2.1 of the TBT Agreement.</w:t>
      </w:r>
      <w:r w:rsidRPr="00564DB3">
        <w:rPr>
          <w:rStyle w:val="FootnoteReference"/>
          <w:rFonts w:cs="Arial"/>
          <w:szCs w:val="18"/>
        </w:rPr>
        <w:footnoteReference w:id="771"/>
      </w:r>
    </w:p>
    <w:p w:rsidR="00B07A35" w:rsidRPr="00564DB3" w:rsidRDefault="00083DFC" w:rsidP="00F70E38">
      <w:pPr>
        <w:pStyle w:val="Heading2"/>
        <w:rPr>
          <w:szCs w:val="18"/>
        </w:rPr>
      </w:pPr>
      <w:bookmarkStart w:id="362" w:name="_Toc531967498"/>
      <w:r w:rsidRPr="00564DB3">
        <w:rPr>
          <w:szCs w:val="18"/>
        </w:rPr>
        <w:t>Article </w:t>
      </w:r>
      <w:r w:rsidR="00B07A35" w:rsidRPr="00564DB3">
        <w:rPr>
          <w:szCs w:val="18"/>
        </w:rPr>
        <w:t>XX of the GATT</w:t>
      </w:r>
      <w:r w:rsidR="00025CB6" w:rsidRPr="00564DB3">
        <w:rPr>
          <w:szCs w:val="18"/>
        </w:rPr>
        <w:t> 1994</w:t>
      </w:r>
      <w:bookmarkEnd w:id="362"/>
    </w:p>
    <w:p w:rsidR="00432E5C" w:rsidRPr="00564DB3" w:rsidRDefault="00432E5C" w:rsidP="00F70E38">
      <w:pPr>
        <w:pStyle w:val="BodyText"/>
        <w:rPr>
          <w:szCs w:val="18"/>
        </w:rPr>
      </w:pPr>
      <w:bookmarkStart w:id="363" w:name="_Ref529196660"/>
      <w:r w:rsidRPr="00564DB3">
        <w:rPr>
          <w:szCs w:val="18"/>
        </w:rPr>
        <w:t xml:space="preserve">At the outset of their analysis, </w:t>
      </w:r>
      <w:r w:rsidR="00A705D6" w:rsidRPr="00564DB3">
        <w:rPr>
          <w:szCs w:val="18"/>
        </w:rPr>
        <w:t xml:space="preserve">and </w:t>
      </w:r>
      <w:r w:rsidRPr="00564DB3">
        <w:rPr>
          <w:szCs w:val="18"/>
        </w:rPr>
        <w:t>noting the parties' agreement in this regard, the Panels found that the 2016 Tuna Measure is inconsistent with Articles I:1 and III:4 of the GATT 1994</w:t>
      </w:r>
      <w:r w:rsidR="005B1CE4" w:rsidRPr="00564DB3">
        <w:rPr>
          <w:rStyle w:val="FootnoteReference"/>
          <w:szCs w:val="18"/>
        </w:rPr>
        <w:footnoteReference w:id="772"/>
      </w:r>
      <w:r w:rsidR="00741836" w:rsidRPr="00564DB3">
        <w:rPr>
          <w:szCs w:val="18"/>
        </w:rPr>
        <w:t xml:space="preserve">, </w:t>
      </w:r>
      <w:r w:rsidR="00A705D6" w:rsidRPr="00564DB3">
        <w:rPr>
          <w:szCs w:val="18"/>
        </w:rPr>
        <w:t>but</w:t>
      </w:r>
      <w:r w:rsidRPr="00564DB3">
        <w:rPr>
          <w:szCs w:val="18"/>
        </w:rPr>
        <w:t xml:space="preserve"> is provisionally justified under </w:t>
      </w:r>
      <w:r w:rsidR="00741836" w:rsidRPr="00564DB3">
        <w:rPr>
          <w:szCs w:val="18"/>
        </w:rPr>
        <w:t xml:space="preserve">subparagraph (g) of </w:t>
      </w:r>
      <w:r w:rsidR="00083DFC" w:rsidRPr="00564DB3">
        <w:rPr>
          <w:szCs w:val="18"/>
        </w:rPr>
        <w:t>Article </w:t>
      </w:r>
      <w:r w:rsidRPr="00564DB3">
        <w:rPr>
          <w:szCs w:val="18"/>
        </w:rPr>
        <w:t>XX</w:t>
      </w:r>
      <w:r w:rsidR="001D4B63" w:rsidRPr="00564DB3">
        <w:rPr>
          <w:szCs w:val="18"/>
        </w:rPr>
        <w:t xml:space="preserve"> </w:t>
      </w:r>
      <w:r w:rsidR="00F145E9" w:rsidRPr="00564DB3">
        <w:rPr>
          <w:szCs w:val="18"/>
        </w:rPr>
        <w:t>of the GATT 1994</w:t>
      </w:r>
      <w:r w:rsidRPr="00564DB3">
        <w:rPr>
          <w:szCs w:val="18"/>
        </w:rPr>
        <w:t>.</w:t>
      </w:r>
      <w:r w:rsidR="005B1CE4" w:rsidRPr="00564DB3">
        <w:rPr>
          <w:rStyle w:val="FootnoteReference"/>
          <w:szCs w:val="18"/>
        </w:rPr>
        <w:footnoteReference w:id="773"/>
      </w:r>
      <w:r w:rsidRPr="00564DB3">
        <w:rPr>
          <w:szCs w:val="18"/>
        </w:rPr>
        <w:t xml:space="preserve"> The Panels hence focused their analysis on the disagreement between the</w:t>
      </w:r>
      <w:r w:rsidR="00D04F30">
        <w:rPr>
          <w:szCs w:val="18"/>
        </w:rPr>
        <w:t xml:space="preserve"> parties as to whether the 2016 Tuna </w:t>
      </w:r>
      <w:r w:rsidRPr="00564DB3">
        <w:rPr>
          <w:szCs w:val="18"/>
        </w:rPr>
        <w:t xml:space="preserve">Measure meets the requirement of the </w:t>
      </w:r>
      <w:r w:rsidRPr="00564DB3">
        <w:rPr>
          <w:i/>
          <w:szCs w:val="18"/>
        </w:rPr>
        <w:t>chapeau</w:t>
      </w:r>
      <w:r w:rsidRPr="00564DB3">
        <w:rPr>
          <w:szCs w:val="18"/>
        </w:rPr>
        <w:t xml:space="preserve"> of </w:t>
      </w:r>
      <w:r w:rsidR="00083DFC" w:rsidRPr="00564DB3">
        <w:rPr>
          <w:szCs w:val="18"/>
        </w:rPr>
        <w:t>Article </w:t>
      </w:r>
      <w:r w:rsidRPr="00564DB3">
        <w:rPr>
          <w:szCs w:val="18"/>
        </w:rPr>
        <w:t>XX</w:t>
      </w:r>
      <w:r w:rsidR="00741836" w:rsidRPr="00564DB3">
        <w:rPr>
          <w:szCs w:val="18"/>
        </w:rPr>
        <w:t>,</w:t>
      </w:r>
      <w:r w:rsidRPr="00564DB3">
        <w:rPr>
          <w:szCs w:val="18"/>
        </w:rPr>
        <w:t xml:space="preserve"> and concluded:</w:t>
      </w:r>
      <w:bookmarkEnd w:id="363"/>
    </w:p>
    <w:p w:rsidR="00432E5C" w:rsidRPr="00564DB3" w:rsidRDefault="00AB3C5F" w:rsidP="00F70E38">
      <w:pPr>
        <w:pStyle w:val="Quotation"/>
      </w:pPr>
      <w:r w:rsidRPr="00564DB3">
        <w:t>[H]</w:t>
      </w:r>
      <w:proofErr w:type="spellStart"/>
      <w:r w:rsidR="00432E5C" w:rsidRPr="00564DB3">
        <w:t>aving</w:t>
      </w:r>
      <w:proofErr w:type="spellEnd"/>
      <w:r w:rsidR="00432E5C" w:rsidRPr="00564DB3">
        <w:t xml:space="preserve"> found, in our analysis under </w:t>
      </w:r>
      <w:r w:rsidR="00083DFC" w:rsidRPr="00564DB3">
        <w:t>Article </w:t>
      </w:r>
      <w:r w:rsidR="00432E5C" w:rsidRPr="00564DB3">
        <w:t xml:space="preserve">2.1 of the </w:t>
      </w:r>
      <w:r w:rsidR="00083DFC" w:rsidRPr="00564DB3">
        <w:t>TBT Agreement</w:t>
      </w:r>
      <w:r w:rsidR="00432E5C" w:rsidRPr="00564DB3">
        <w:t xml:space="preserve">, that the Measure is calibrated to different levels of risks posed to dolphins by different fishing methods in different areas of the ocean, we also find that the Measure is not applied in a manner that constitutes a means of arbitrary or unjustifiable discrimination, and is therefore justified under </w:t>
      </w:r>
      <w:r w:rsidR="00083DFC" w:rsidRPr="00564DB3">
        <w:t>Article </w:t>
      </w:r>
      <w:r w:rsidR="00432E5C" w:rsidRPr="00564DB3">
        <w:t>XX of the GATT</w:t>
      </w:r>
      <w:r w:rsidR="00025CB6" w:rsidRPr="00564DB3">
        <w:t> 1994</w:t>
      </w:r>
      <w:r w:rsidR="00432E5C" w:rsidRPr="00564DB3">
        <w:t>.</w:t>
      </w:r>
      <w:r w:rsidR="005B1CE4" w:rsidRPr="00564DB3">
        <w:rPr>
          <w:rStyle w:val="FootnoteReference"/>
        </w:rPr>
        <w:footnoteReference w:id="774"/>
      </w:r>
    </w:p>
    <w:p w:rsidR="00432E5C" w:rsidRPr="00564DB3" w:rsidRDefault="00432E5C" w:rsidP="00F70E38">
      <w:pPr>
        <w:pStyle w:val="BodyText"/>
        <w:rPr>
          <w:szCs w:val="18"/>
          <w:lang w:eastAsia="zh-CN"/>
        </w:rPr>
      </w:pPr>
      <w:bookmarkStart w:id="364" w:name="_Ref529196661"/>
      <w:r w:rsidRPr="00564DB3">
        <w:rPr>
          <w:szCs w:val="18"/>
        </w:rPr>
        <w:t xml:space="preserve">Mexico appeals the above conclusion, arguing that the Panels erred in relying on their reasoning developed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and thereby failed to consider whether the discrimination caused by the measure is rationally related to its objectives as required by the applicable legal standard under the </w:t>
      </w:r>
      <w:r w:rsidRPr="00564DB3">
        <w:rPr>
          <w:i/>
          <w:szCs w:val="18"/>
        </w:rPr>
        <w:t>chapeau</w:t>
      </w:r>
      <w:r w:rsidRPr="00564DB3">
        <w:rPr>
          <w:szCs w:val="18"/>
        </w:rPr>
        <w:t xml:space="preserve"> of </w:t>
      </w:r>
      <w:r w:rsidR="00083DFC" w:rsidRPr="00564DB3">
        <w:rPr>
          <w:szCs w:val="18"/>
        </w:rPr>
        <w:t>Article </w:t>
      </w:r>
      <w:r w:rsidRPr="00564DB3">
        <w:rPr>
          <w:szCs w:val="18"/>
        </w:rPr>
        <w:t>XX of the GATT</w:t>
      </w:r>
      <w:r w:rsidR="00025CB6" w:rsidRPr="00564DB3">
        <w:rPr>
          <w:szCs w:val="18"/>
        </w:rPr>
        <w:t> 1994</w:t>
      </w:r>
      <w:r w:rsidRPr="00564DB3">
        <w:rPr>
          <w:szCs w:val="18"/>
        </w:rPr>
        <w:t>.</w:t>
      </w:r>
      <w:r w:rsidR="00A705D6" w:rsidRPr="00564DB3">
        <w:rPr>
          <w:rStyle w:val="FootnoteReference"/>
          <w:szCs w:val="18"/>
        </w:rPr>
        <w:footnoteReference w:id="775"/>
      </w:r>
      <w:r w:rsidRPr="00564DB3">
        <w:rPr>
          <w:szCs w:val="18"/>
        </w:rPr>
        <w:t xml:space="preserve"> We begin by recalling the relevant findings by the Panels, before analysing the issues raised by Mexico's appeal.</w:t>
      </w:r>
      <w:bookmarkEnd w:id="364"/>
    </w:p>
    <w:p w:rsidR="00432E5C" w:rsidRPr="00564DB3" w:rsidRDefault="006631EE" w:rsidP="00F70E38">
      <w:pPr>
        <w:pStyle w:val="Heading3"/>
        <w:numPr>
          <w:ilvl w:val="2"/>
          <w:numId w:val="21"/>
        </w:numPr>
        <w:rPr>
          <w:szCs w:val="18"/>
        </w:rPr>
      </w:pPr>
      <w:bookmarkStart w:id="365" w:name="_Toc524699534"/>
      <w:bookmarkStart w:id="366" w:name="_Toc531967499"/>
      <w:r w:rsidRPr="00564DB3">
        <w:rPr>
          <w:szCs w:val="18"/>
        </w:rPr>
        <w:t xml:space="preserve">The </w:t>
      </w:r>
      <w:r w:rsidR="00432E5C" w:rsidRPr="00564DB3">
        <w:rPr>
          <w:szCs w:val="18"/>
        </w:rPr>
        <w:t>Panels' findings</w:t>
      </w:r>
      <w:bookmarkEnd w:id="365"/>
      <w:bookmarkEnd w:id="366"/>
    </w:p>
    <w:p w:rsidR="00432E5C" w:rsidRPr="00564DB3" w:rsidRDefault="00432E5C" w:rsidP="00F70E38">
      <w:pPr>
        <w:pStyle w:val="BodyText"/>
        <w:rPr>
          <w:szCs w:val="18"/>
        </w:rPr>
      </w:pPr>
      <w:bookmarkStart w:id="367" w:name="_Ref529197533"/>
      <w:bookmarkStart w:id="368" w:name="_Toc328640715"/>
      <w:bookmarkStart w:id="369" w:name="_Toc333317656"/>
      <w:bookmarkStart w:id="370" w:name="_Toc333331250"/>
      <w:bookmarkStart w:id="371" w:name="_Toc333395241"/>
      <w:bookmarkStart w:id="372" w:name="_Toc333510527"/>
      <w:bookmarkStart w:id="373" w:name="_Toc333510634"/>
      <w:r w:rsidRPr="00564DB3">
        <w:rPr>
          <w:szCs w:val="18"/>
        </w:rPr>
        <w:t xml:space="preserve">The Panels recalled that three analytical elements must be demonstrated </w:t>
      </w:r>
      <w:r w:rsidR="00E175AB" w:rsidRPr="00564DB3">
        <w:rPr>
          <w:szCs w:val="18"/>
        </w:rPr>
        <w:t>with respect to</w:t>
      </w:r>
      <w:r w:rsidRPr="00564DB3">
        <w:rPr>
          <w:szCs w:val="18"/>
        </w:rPr>
        <w:t xml:space="preserve"> arbitrary or unjustifiable discrimination under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namely: (i) the </w:t>
      </w:r>
      <w:r w:rsidR="00AF7E8C" w:rsidRPr="00564DB3">
        <w:rPr>
          <w:szCs w:val="18"/>
        </w:rPr>
        <w:t xml:space="preserve">application of the measure results in </w:t>
      </w:r>
      <w:r w:rsidRPr="00564DB3">
        <w:rPr>
          <w:szCs w:val="18"/>
        </w:rPr>
        <w:t>discrimination; (ii) the conditions prevailing between countries are the same; and (iii) the discrimination is arbitrary or unjustifiable.</w:t>
      </w:r>
      <w:r w:rsidR="005B1CE4" w:rsidRPr="00564DB3">
        <w:rPr>
          <w:rStyle w:val="FootnoteReference"/>
          <w:szCs w:val="18"/>
        </w:rPr>
        <w:footnoteReference w:id="776"/>
      </w:r>
      <w:r w:rsidRPr="00564DB3">
        <w:rPr>
          <w:szCs w:val="18"/>
        </w:rPr>
        <w:t xml:space="preserve"> With respect to the existence of discrimination, the Panels noted the Appellate</w:t>
      </w:r>
      <w:r w:rsidR="00025CB6" w:rsidRPr="00564DB3">
        <w:rPr>
          <w:szCs w:val="18"/>
        </w:rPr>
        <w:t> Body</w:t>
      </w:r>
      <w:r w:rsidRPr="00564DB3">
        <w:rPr>
          <w:szCs w:val="18"/>
        </w:rPr>
        <w:t>'s finding in the first compliance proceedings that</w:t>
      </w:r>
      <w:r w:rsidR="00F145E9" w:rsidRPr="00564DB3">
        <w:rPr>
          <w:szCs w:val="18"/>
        </w:rPr>
        <w:t>,</w:t>
      </w:r>
      <w:r w:rsidRPr="00564DB3">
        <w:rPr>
          <w:szCs w:val="18"/>
        </w:rPr>
        <w:t xml:space="preserve"> by excluding most Mexican tuna products from acc</w:t>
      </w:r>
      <w:r w:rsidR="00F145E9" w:rsidRPr="00564DB3">
        <w:rPr>
          <w:szCs w:val="18"/>
        </w:rPr>
        <w:t>ess to the "dolphin</w:t>
      </w:r>
      <w:r w:rsidR="00F145E9" w:rsidRPr="00564DB3">
        <w:rPr>
          <w:szCs w:val="18"/>
        </w:rPr>
        <w:noBreakHyphen/>
        <w:t>safe" label</w:t>
      </w:r>
      <w:r w:rsidRPr="00564DB3">
        <w:rPr>
          <w:szCs w:val="18"/>
        </w:rPr>
        <w:t xml:space="preserve"> while granting conditional access to such label to like products from the </w:t>
      </w:r>
      <w:r w:rsidR="00083DFC" w:rsidRPr="00564DB3">
        <w:rPr>
          <w:szCs w:val="18"/>
        </w:rPr>
        <w:t>United States</w:t>
      </w:r>
      <w:r w:rsidR="00A93707" w:rsidRPr="00564DB3">
        <w:rPr>
          <w:szCs w:val="18"/>
        </w:rPr>
        <w:t xml:space="preserve"> and other countries, the 2013 </w:t>
      </w:r>
      <w:r w:rsidRPr="00564DB3">
        <w:rPr>
          <w:szCs w:val="18"/>
        </w:rPr>
        <w:t>Tuna Measure, similar to the original Tuna Measure, modified the conditions of competition to the detriment of Mexican tuna products in the US market.</w:t>
      </w:r>
      <w:r w:rsidR="005B1CE4" w:rsidRPr="00564DB3">
        <w:rPr>
          <w:rStyle w:val="FootnoteReference"/>
          <w:szCs w:val="18"/>
        </w:rPr>
        <w:footnoteReference w:id="777"/>
      </w:r>
      <w:r w:rsidR="00A93707" w:rsidRPr="00564DB3">
        <w:rPr>
          <w:szCs w:val="18"/>
        </w:rPr>
        <w:t xml:space="preserve"> Since the 2016 </w:t>
      </w:r>
      <w:r w:rsidRPr="00564DB3">
        <w:rPr>
          <w:szCs w:val="18"/>
        </w:rPr>
        <w:t>Tuna Measure maintains the overall architecture and structure of the original and 2013</w:t>
      </w:r>
      <w:r w:rsidR="00A93707" w:rsidRPr="00564DB3">
        <w:rPr>
          <w:szCs w:val="18"/>
        </w:rPr>
        <w:t> </w:t>
      </w:r>
      <w:r w:rsidRPr="00564DB3">
        <w:rPr>
          <w:szCs w:val="18"/>
        </w:rPr>
        <w:t xml:space="preserve">Tuna Measures, the Panels found that </w:t>
      </w:r>
      <w:r w:rsidR="00F43B09" w:rsidRPr="00564DB3">
        <w:rPr>
          <w:szCs w:val="18"/>
        </w:rPr>
        <w:t>"</w:t>
      </w:r>
      <w:r w:rsidRPr="00564DB3">
        <w:rPr>
          <w:szCs w:val="18"/>
        </w:rPr>
        <w:t>the 2016 Tuna Measure continues to cause the same detrimental impact resulting from the discriminatory treatment between tuna products containing tuna caught in the ETP large purse</w:t>
      </w:r>
      <w:r w:rsidR="00025CB6" w:rsidRPr="00564DB3">
        <w:rPr>
          <w:szCs w:val="18"/>
        </w:rPr>
        <w:t xml:space="preserve"> </w:t>
      </w:r>
      <w:r w:rsidRPr="00564DB3">
        <w:rPr>
          <w:szCs w:val="18"/>
        </w:rPr>
        <w:t>seine fishery and those containing tuna caught in other fisheries.</w:t>
      </w:r>
      <w:r w:rsidR="00F43B09" w:rsidRPr="00564DB3">
        <w:rPr>
          <w:szCs w:val="18"/>
        </w:rPr>
        <w:t>"</w:t>
      </w:r>
      <w:r w:rsidR="005B1CE4" w:rsidRPr="00564DB3">
        <w:rPr>
          <w:rStyle w:val="FootnoteReference"/>
          <w:szCs w:val="18"/>
        </w:rPr>
        <w:footnoteReference w:id="778"/>
      </w:r>
      <w:bookmarkEnd w:id="367"/>
      <w:r w:rsidRPr="00564DB3">
        <w:rPr>
          <w:szCs w:val="18"/>
        </w:rPr>
        <w:t xml:space="preserve"> </w:t>
      </w:r>
    </w:p>
    <w:p w:rsidR="00432E5C" w:rsidRPr="00564DB3" w:rsidRDefault="00432E5C" w:rsidP="00F70E38">
      <w:pPr>
        <w:pStyle w:val="BodyText"/>
        <w:rPr>
          <w:szCs w:val="18"/>
        </w:rPr>
      </w:pPr>
      <w:bookmarkStart w:id="374" w:name="_Ref529197537"/>
      <w:r w:rsidRPr="00564DB3">
        <w:rPr>
          <w:szCs w:val="18"/>
        </w:rPr>
        <w:t>With respect to the second element, the Panels recalled that</w:t>
      </w:r>
      <w:r w:rsidR="00832345" w:rsidRPr="00564DB3">
        <w:rPr>
          <w:szCs w:val="18"/>
        </w:rPr>
        <w:t>,</w:t>
      </w:r>
      <w:r w:rsidRPr="00564DB3">
        <w:rPr>
          <w:szCs w:val="18"/>
        </w:rPr>
        <w:t xml:space="preserve"> </w:t>
      </w:r>
      <w:r w:rsidR="00832345" w:rsidRPr="00564DB3">
        <w:rPr>
          <w:szCs w:val="18"/>
        </w:rPr>
        <w:t xml:space="preserve">in the first compliance proceedings, </w:t>
      </w:r>
      <w:r w:rsidRPr="00564DB3">
        <w:rPr>
          <w:szCs w:val="18"/>
        </w:rPr>
        <w:t>the Appellate</w:t>
      </w:r>
      <w:r w:rsidR="00025CB6" w:rsidRPr="00564DB3">
        <w:rPr>
          <w:szCs w:val="18"/>
        </w:rPr>
        <w:t> Body</w:t>
      </w:r>
      <w:r w:rsidRPr="00564DB3">
        <w:rPr>
          <w:szCs w:val="18"/>
        </w:rPr>
        <w:t xml:space="preserve"> found that</w:t>
      </w:r>
      <w:r w:rsidR="00F43B09" w:rsidRPr="00564DB3">
        <w:rPr>
          <w:szCs w:val="18"/>
        </w:rPr>
        <w:t>, in this dispute,</w:t>
      </w:r>
      <w:r w:rsidRPr="00564DB3">
        <w:rPr>
          <w:szCs w:val="18"/>
        </w:rPr>
        <w:t xml:space="preserve"> the conditions prevailing between countries are the same </w:t>
      </w:r>
      <w:r w:rsidR="00FF1995" w:rsidRPr="00564DB3">
        <w:rPr>
          <w:szCs w:val="18"/>
        </w:rPr>
        <w:t xml:space="preserve">for the purpose of </w:t>
      </w:r>
      <w:r w:rsidRPr="00564DB3">
        <w:rPr>
          <w:szCs w:val="18"/>
        </w:rPr>
        <w:t xml:space="preserve">the </w:t>
      </w:r>
      <w:r w:rsidRPr="00564DB3">
        <w:rPr>
          <w:i/>
          <w:szCs w:val="18"/>
        </w:rPr>
        <w:t>chapeau</w:t>
      </w:r>
      <w:r w:rsidRPr="00564DB3">
        <w:rPr>
          <w:szCs w:val="18"/>
        </w:rPr>
        <w:t xml:space="preserve"> of </w:t>
      </w:r>
      <w:r w:rsidR="00083DFC" w:rsidRPr="00564DB3">
        <w:rPr>
          <w:szCs w:val="18"/>
        </w:rPr>
        <w:t>Article </w:t>
      </w:r>
      <w:r w:rsidRPr="00564DB3">
        <w:rPr>
          <w:szCs w:val="18"/>
        </w:rPr>
        <w:t>XX, namely, "the risks of adverse effects on dolphins arising from tuna fishing practices".</w:t>
      </w:r>
      <w:r w:rsidR="005B1CE4" w:rsidRPr="00564DB3">
        <w:rPr>
          <w:rStyle w:val="FootnoteReference"/>
          <w:szCs w:val="18"/>
        </w:rPr>
        <w:footnoteReference w:id="779"/>
      </w:r>
      <w:r w:rsidRPr="00564DB3">
        <w:rPr>
          <w:szCs w:val="18"/>
        </w:rPr>
        <w:t xml:space="preserve"> The Panels noted that, with regard to the first two elements, neither of the parties had argued otherwise before them.</w:t>
      </w:r>
      <w:r w:rsidR="005B1CE4" w:rsidRPr="00564DB3">
        <w:rPr>
          <w:rStyle w:val="FootnoteReference"/>
          <w:szCs w:val="18"/>
        </w:rPr>
        <w:footnoteReference w:id="780"/>
      </w:r>
      <w:bookmarkEnd w:id="374"/>
      <w:r w:rsidRPr="00564DB3">
        <w:rPr>
          <w:szCs w:val="18"/>
        </w:rPr>
        <w:t xml:space="preserve"> </w:t>
      </w:r>
    </w:p>
    <w:p w:rsidR="00432E5C" w:rsidRPr="00564DB3" w:rsidRDefault="00432E5C" w:rsidP="00F70E38">
      <w:pPr>
        <w:pStyle w:val="BodyText"/>
        <w:rPr>
          <w:szCs w:val="18"/>
        </w:rPr>
      </w:pPr>
      <w:r w:rsidRPr="00564DB3">
        <w:rPr>
          <w:szCs w:val="18"/>
        </w:rPr>
        <w:t xml:space="preserve">With respect to the third element, that is, whether the measure is applied in a manner that constitutes a means of "arbitrary or unjustifiable discrimination", the Panels found that, based on the guidance provided by the </w:t>
      </w:r>
      <w:r w:rsidRPr="00564DB3">
        <w:rPr>
          <w:szCs w:val="18"/>
          <w:lang w:eastAsia="zh-CN"/>
        </w:rPr>
        <w:t>Appellate</w:t>
      </w:r>
      <w:r w:rsidR="00025CB6" w:rsidRPr="00564DB3">
        <w:rPr>
          <w:szCs w:val="18"/>
        </w:rPr>
        <w:t> Body</w:t>
      </w:r>
      <w:r w:rsidRPr="00564DB3">
        <w:rPr>
          <w:szCs w:val="18"/>
        </w:rPr>
        <w:t xml:space="preserve"> in the first compliance proceedings, "so long as the similarities and differences between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and </w:t>
      </w:r>
      <w:r w:rsidR="00083DFC" w:rsidRPr="00564DB3">
        <w:rPr>
          <w:szCs w:val="18"/>
        </w:rPr>
        <w:t>Article </w:t>
      </w:r>
      <w:r w:rsidRPr="00564DB3">
        <w:rPr>
          <w:szCs w:val="18"/>
        </w:rPr>
        <w:t>XX of the GATT</w:t>
      </w:r>
      <w:r w:rsidR="00025CB6" w:rsidRPr="00564DB3">
        <w:rPr>
          <w:szCs w:val="18"/>
        </w:rPr>
        <w:t> 1994</w:t>
      </w:r>
      <w:r w:rsidRPr="00564DB3">
        <w:rPr>
          <w:szCs w:val="18"/>
        </w:rPr>
        <w:t xml:space="preserve"> are taken into account, it may be permissible to rely on reasoning developed in the context of one agreement for purposes of conducting an analysis under the other".</w:t>
      </w:r>
      <w:r w:rsidR="005B1CE4" w:rsidRPr="00564DB3">
        <w:rPr>
          <w:rStyle w:val="FootnoteReference"/>
          <w:szCs w:val="18"/>
        </w:rPr>
        <w:footnoteReference w:id="781"/>
      </w:r>
      <w:r w:rsidRPr="00564DB3">
        <w:rPr>
          <w:szCs w:val="18"/>
        </w:rPr>
        <w:t xml:space="preserve"> The Panels then recalled that, following the guidance provided by the Appellate</w:t>
      </w:r>
      <w:r w:rsidR="00025CB6" w:rsidRPr="00564DB3">
        <w:rPr>
          <w:szCs w:val="18"/>
        </w:rPr>
        <w:t> Body</w:t>
      </w:r>
      <w:r w:rsidRPr="00564DB3">
        <w:rPr>
          <w:szCs w:val="18"/>
        </w:rPr>
        <w:t xml:space="preserve"> in the first compliance proceedings, they had conducted their analysis under </w:t>
      </w:r>
      <w:r w:rsidR="00083DFC" w:rsidRPr="00564DB3">
        <w:rPr>
          <w:szCs w:val="18"/>
        </w:rPr>
        <w:t>Article </w:t>
      </w:r>
      <w:r w:rsidRPr="00564DB3">
        <w:rPr>
          <w:szCs w:val="18"/>
        </w:rPr>
        <w:t xml:space="preserve">2.1 </w:t>
      </w:r>
      <w:r w:rsidR="00F43B09" w:rsidRPr="00564DB3">
        <w:rPr>
          <w:szCs w:val="18"/>
        </w:rPr>
        <w:t>"</w:t>
      </w:r>
      <w:r w:rsidRPr="00564DB3">
        <w:rPr>
          <w:szCs w:val="18"/>
        </w:rPr>
        <w:t>on the basis of the concept of calibration, and found that the 2016 Tuna Measure is calibrated to different risks to dolphins arising from the use of different fishing methods in different areas of the ocean</w:t>
      </w:r>
      <w:r w:rsidR="00F43B09" w:rsidRPr="00564DB3">
        <w:rPr>
          <w:szCs w:val="18"/>
        </w:rPr>
        <w:t>"</w:t>
      </w:r>
      <w:r w:rsidRPr="00564DB3">
        <w:rPr>
          <w:szCs w:val="18"/>
        </w:rPr>
        <w:t>.</w:t>
      </w:r>
      <w:r w:rsidR="005B1CE4" w:rsidRPr="00564DB3">
        <w:rPr>
          <w:rStyle w:val="FootnoteReference"/>
          <w:szCs w:val="18"/>
        </w:rPr>
        <w:footnoteReference w:id="782"/>
      </w:r>
      <w:r w:rsidRPr="00564DB3">
        <w:rPr>
          <w:szCs w:val="18"/>
        </w:rPr>
        <w:t xml:space="preserve"> On this basis, the Panels recalled that they had concluded that the detrimental impact caused by the 2016 Tuna Measure "stems exclusively from legitimate regulatory distinctions, and that, therefore, the Measure is 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w:t>
      </w:r>
      <w:r w:rsidR="005B1CE4" w:rsidRPr="00564DB3">
        <w:rPr>
          <w:rStyle w:val="FootnoteReference"/>
          <w:szCs w:val="18"/>
        </w:rPr>
        <w:footnoteReference w:id="783"/>
      </w:r>
      <w:r w:rsidRPr="00564DB3">
        <w:rPr>
          <w:szCs w:val="18"/>
        </w:rPr>
        <w:t xml:space="preserve"> </w:t>
      </w:r>
    </w:p>
    <w:p w:rsidR="00432E5C" w:rsidRPr="00564DB3" w:rsidRDefault="00432E5C" w:rsidP="00F70E38">
      <w:pPr>
        <w:pStyle w:val="BodyText"/>
        <w:rPr>
          <w:szCs w:val="18"/>
        </w:rPr>
      </w:pPr>
      <w:r w:rsidRPr="00564DB3">
        <w:rPr>
          <w:szCs w:val="18"/>
        </w:rPr>
        <w:t>The Panels found that, in the circumstances of the present compliance proceedings, and in light of the Appellate</w:t>
      </w:r>
      <w:r w:rsidR="00025CB6" w:rsidRPr="00564DB3">
        <w:rPr>
          <w:szCs w:val="18"/>
        </w:rPr>
        <w:t> Body</w:t>
      </w:r>
      <w:r w:rsidRPr="00564DB3">
        <w:rPr>
          <w:szCs w:val="18"/>
        </w:rPr>
        <w:t xml:space="preserve">'s guidance in the first compliance proceedings, it was appropriate to use their factual and legal findings under </w:t>
      </w:r>
      <w:r w:rsidR="00083DFC" w:rsidRPr="00564DB3">
        <w:rPr>
          <w:szCs w:val="18"/>
        </w:rPr>
        <w:t>Article </w:t>
      </w:r>
      <w:r w:rsidRPr="00564DB3">
        <w:rPr>
          <w:szCs w:val="18"/>
        </w:rPr>
        <w:t xml:space="preserve">2.1 in their assessment of whether the 2016 Tuna Measure is applied in a manner that constitutes arbitrary or unjustifiable discrimination within the meaning of the </w:t>
      </w:r>
      <w:r w:rsidRPr="00564DB3">
        <w:rPr>
          <w:i/>
          <w:szCs w:val="18"/>
        </w:rPr>
        <w:t>chapeau</w:t>
      </w:r>
      <w:r w:rsidRPr="00564DB3">
        <w:rPr>
          <w:szCs w:val="18"/>
        </w:rPr>
        <w:t xml:space="preserve"> of </w:t>
      </w:r>
      <w:r w:rsidR="00083DFC" w:rsidRPr="00564DB3">
        <w:rPr>
          <w:szCs w:val="18"/>
        </w:rPr>
        <w:t>Article </w:t>
      </w:r>
      <w:r w:rsidRPr="00564DB3">
        <w:rPr>
          <w:szCs w:val="18"/>
        </w:rPr>
        <w:t>XX.</w:t>
      </w:r>
      <w:r w:rsidR="005B1CE4" w:rsidRPr="00564DB3">
        <w:rPr>
          <w:rStyle w:val="FootnoteReference"/>
          <w:szCs w:val="18"/>
        </w:rPr>
        <w:footnoteReference w:id="784"/>
      </w:r>
      <w:r w:rsidRPr="00564DB3">
        <w:rPr>
          <w:szCs w:val="18"/>
        </w:rPr>
        <w:t xml:space="preserve"> In this regard, the Panels</w:t>
      </w:r>
      <w:r w:rsidR="00B31446" w:rsidRPr="00564DB3">
        <w:rPr>
          <w:szCs w:val="18"/>
        </w:rPr>
        <w:t xml:space="preserve"> did not consider that the 2016 </w:t>
      </w:r>
      <w:r w:rsidRPr="00564DB3">
        <w:rPr>
          <w:szCs w:val="18"/>
        </w:rPr>
        <w:t>Tuna Measure, "which is tailored to and commensurate with the relevant risks, can be said to applied in a manner that constitutes a means of 'arbitrary or unjustifiable discrimination'"</w:t>
      </w:r>
      <w:r w:rsidR="005116C0" w:rsidRPr="00564DB3">
        <w:rPr>
          <w:szCs w:val="18"/>
        </w:rPr>
        <w:t xml:space="preserve"> within the meaning of Article XX of the GATT 1994</w:t>
      </w:r>
      <w:r w:rsidRPr="00564DB3">
        <w:rPr>
          <w:szCs w:val="18"/>
        </w:rPr>
        <w:t>.</w:t>
      </w:r>
      <w:r w:rsidR="005B1CE4" w:rsidRPr="00564DB3">
        <w:rPr>
          <w:rStyle w:val="FootnoteReference"/>
          <w:szCs w:val="18"/>
        </w:rPr>
        <w:footnoteReference w:id="785"/>
      </w:r>
      <w:r w:rsidRPr="00564DB3">
        <w:rPr>
          <w:szCs w:val="18"/>
        </w:rPr>
        <w:t xml:space="preserve"> Therefore, in light of their finding under </w:t>
      </w:r>
      <w:r w:rsidR="00083DFC" w:rsidRPr="00564DB3">
        <w:rPr>
          <w:szCs w:val="18"/>
        </w:rPr>
        <w:t>Article </w:t>
      </w:r>
      <w:r w:rsidRPr="00564DB3">
        <w:rPr>
          <w:szCs w:val="18"/>
        </w:rPr>
        <w:t xml:space="preserve">2.1, the Panels concluded that the 2016 Tuna Measure is not applied in a manner that constitutes a means of arbitrary or </w:t>
      </w:r>
      <w:r w:rsidRPr="00564DB3">
        <w:rPr>
          <w:szCs w:val="18"/>
          <w:lang w:eastAsia="zh-CN"/>
        </w:rPr>
        <w:t>unjustifiable</w:t>
      </w:r>
      <w:r w:rsidRPr="00564DB3">
        <w:rPr>
          <w:szCs w:val="18"/>
        </w:rPr>
        <w:t xml:space="preserve"> discrimination within the meaning of the </w:t>
      </w:r>
      <w:r w:rsidRPr="00564DB3">
        <w:rPr>
          <w:i/>
          <w:szCs w:val="18"/>
        </w:rPr>
        <w:t>chapeau</w:t>
      </w:r>
      <w:r w:rsidRPr="00564DB3">
        <w:rPr>
          <w:szCs w:val="18"/>
        </w:rPr>
        <w:t xml:space="preserve"> and is therefore justified under </w:t>
      </w:r>
      <w:r w:rsidR="00083DFC" w:rsidRPr="00564DB3">
        <w:rPr>
          <w:szCs w:val="18"/>
        </w:rPr>
        <w:t>Article </w:t>
      </w:r>
      <w:r w:rsidRPr="00564DB3">
        <w:rPr>
          <w:szCs w:val="18"/>
        </w:rPr>
        <w:t>XX</w:t>
      </w:r>
      <w:r w:rsidR="00F145E9" w:rsidRPr="00564DB3">
        <w:rPr>
          <w:szCs w:val="18"/>
        </w:rPr>
        <w:t xml:space="preserve"> of the GATT 1994</w:t>
      </w:r>
      <w:r w:rsidRPr="00564DB3">
        <w:rPr>
          <w:szCs w:val="18"/>
        </w:rPr>
        <w:t>.</w:t>
      </w:r>
      <w:r w:rsidR="005B1CE4" w:rsidRPr="00564DB3">
        <w:rPr>
          <w:rStyle w:val="FootnoteReference"/>
          <w:szCs w:val="18"/>
        </w:rPr>
        <w:footnoteReference w:id="786"/>
      </w:r>
    </w:p>
    <w:p w:rsidR="00432E5C" w:rsidRPr="00564DB3" w:rsidRDefault="00432E5C" w:rsidP="00F70E38">
      <w:pPr>
        <w:pStyle w:val="Heading3"/>
        <w:rPr>
          <w:szCs w:val="18"/>
        </w:rPr>
      </w:pPr>
      <w:bookmarkStart w:id="375" w:name="_Toc524699536"/>
      <w:bookmarkStart w:id="376" w:name="_Toc531967500"/>
      <w:r w:rsidRPr="00564DB3">
        <w:rPr>
          <w:szCs w:val="18"/>
        </w:rPr>
        <w:t xml:space="preserve">Whether the Panels erred in finding that the 2016 Tuna Measure complies with the requirements of the </w:t>
      </w:r>
      <w:r w:rsidRPr="00564DB3">
        <w:rPr>
          <w:i/>
          <w:szCs w:val="18"/>
        </w:rPr>
        <w:t>chapeau</w:t>
      </w:r>
      <w:r w:rsidRPr="00564DB3">
        <w:rPr>
          <w:szCs w:val="18"/>
        </w:rPr>
        <w:t xml:space="preserve"> of </w:t>
      </w:r>
      <w:r w:rsidR="00083DFC" w:rsidRPr="00564DB3">
        <w:rPr>
          <w:szCs w:val="18"/>
        </w:rPr>
        <w:t>Article </w:t>
      </w:r>
      <w:r w:rsidRPr="00564DB3">
        <w:rPr>
          <w:szCs w:val="18"/>
        </w:rPr>
        <w:t>XX</w:t>
      </w:r>
      <w:bookmarkEnd w:id="375"/>
      <w:r w:rsidRPr="00564DB3">
        <w:rPr>
          <w:szCs w:val="18"/>
        </w:rPr>
        <w:t xml:space="preserve"> of the GATT</w:t>
      </w:r>
      <w:r w:rsidR="00025CB6" w:rsidRPr="00564DB3">
        <w:rPr>
          <w:szCs w:val="18"/>
        </w:rPr>
        <w:t> 1994</w:t>
      </w:r>
      <w:bookmarkEnd w:id="376"/>
    </w:p>
    <w:p w:rsidR="00432E5C" w:rsidRPr="00564DB3" w:rsidRDefault="00432E5C" w:rsidP="00F70E38">
      <w:pPr>
        <w:pStyle w:val="BodyText"/>
        <w:rPr>
          <w:szCs w:val="18"/>
        </w:rPr>
      </w:pPr>
      <w:r w:rsidRPr="00564DB3">
        <w:rPr>
          <w:szCs w:val="18"/>
        </w:rPr>
        <w:t xml:space="preserve">Mexico claims on appeal that the Panels erred in relying on their analysis under </w:t>
      </w:r>
      <w:r w:rsidR="00083DFC" w:rsidRPr="00564DB3">
        <w:rPr>
          <w:szCs w:val="18"/>
        </w:rPr>
        <w:t>Article </w:t>
      </w:r>
      <w:r w:rsidRPr="00564DB3">
        <w:rPr>
          <w:szCs w:val="18"/>
        </w:rPr>
        <w:t xml:space="preserve">2.1 </w:t>
      </w:r>
      <w:r w:rsidR="00F43B09" w:rsidRPr="00564DB3">
        <w:rPr>
          <w:szCs w:val="18"/>
        </w:rPr>
        <w:t>to conclude</w:t>
      </w:r>
      <w:r w:rsidRPr="00564DB3">
        <w:rPr>
          <w:szCs w:val="18"/>
        </w:rPr>
        <w:t xml:space="preserve"> that the 2016 Tuna Measure is not inconsistent with the requirements of the </w:t>
      </w:r>
      <w:r w:rsidRPr="00564DB3">
        <w:rPr>
          <w:i/>
          <w:szCs w:val="18"/>
        </w:rPr>
        <w:t xml:space="preserve">chapeau </w:t>
      </w:r>
      <w:r w:rsidRPr="00564DB3">
        <w:rPr>
          <w:szCs w:val="18"/>
        </w:rPr>
        <w:t xml:space="preserve">of </w:t>
      </w:r>
      <w:r w:rsidR="00083DFC" w:rsidRPr="00564DB3">
        <w:rPr>
          <w:szCs w:val="18"/>
        </w:rPr>
        <w:t>Article </w:t>
      </w:r>
      <w:r w:rsidRPr="00564DB3">
        <w:rPr>
          <w:szCs w:val="18"/>
        </w:rPr>
        <w:t xml:space="preserve">XX. Mexico submits that, to examine whether a measure is applied in a manner that constitutes arbitrary or unjustifiable discrimination under the </w:t>
      </w:r>
      <w:r w:rsidRPr="00564DB3">
        <w:rPr>
          <w:i/>
          <w:szCs w:val="18"/>
        </w:rPr>
        <w:t>chapeau</w:t>
      </w:r>
      <w:r w:rsidRPr="00564DB3">
        <w:rPr>
          <w:szCs w:val="18"/>
        </w:rPr>
        <w:t xml:space="preserve">, a panel must consider </w:t>
      </w:r>
      <w:r w:rsidR="00F43B09" w:rsidRPr="00564DB3">
        <w:rPr>
          <w:szCs w:val="18"/>
        </w:rPr>
        <w:t>"</w:t>
      </w:r>
      <w:r w:rsidRPr="00564DB3">
        <w:rPr>
          <w:szCs w:val="18"/>
        </w:rPr>
        <w:t xml:space="preserve">whether the detrimental impact caused by the measure can be reconciled with, or rationally </w:t>
      </w:r>
      <w:r w:rsidR="00F43B09" w:rsidRPr="00564DB3">
        <w:rPr>
          <w:szCs w:val="18"/>
        </w:rPr>
        <w:t>connect</w:t>
      </w:r>
      <w:r w:rsidRPr="00564DB3">
        <w:rPr>
          <w:szCs w:val="18"/>
        </w:rPr>
        <w:t>ed to, the policy objective</w:t>
      </w:r>
      <w:r w:rsidR="00F43B09" w:rsidRPr="00564DB3">
        <w:rPr>
          <w:szCs w:val="18"/>
        </w:rPr>
        <w:t xml:space="preserve"> … that was </w:t>
      </w:r>
      <w:r w:rsidRPr="00564DB3">
        <w:rPr>
          <w:szCs w:val="18"/>
        </w:rPr>
        <w:t xml:space="preserve">provisionally </w:t>
      </w:r>
      <w:r w:rsidR="00F43B09" w:rsidRPr="00564DB3">
        <w:rPr>
          <w:szCs w:val="18"/>
        </w:rPr>
        <w:t xml:space="preserve">found to </w:t>
      </w:r>
      <w:r w:rsidRPr="00564DB3">
        <w:rPr>
          <w:szCs w:val="18"/>
        </w:rPr>
        <w:t>justif</w:t>
      </w:r>
      <w:r w:rsidR="00F43B09" w:rsidRPr="00564DB3">
        <w:rPr>
          <w:szCs w:val="18"/>
        </w:rPr>
        <w:t xml:space="preserve">y the measure" </w:t>
      </w:r>
      <w:r w:rsidRPr="00564DB3">
        <w:rPr>
          <w:szCs w:val="18"/>
        </w:rPr>
        <w:t xml:space="preserve">under one of the subparagraphs of </w:t>
      </w:r>
      <w:r w:rsidR="00083DFC" w:rsidRPr="00564DB3">
        <w:rPr>
          <w:szCs w:val="18"/>
        </w:rPr>
        <w:t>Article </w:t>
      </w:r>
      <w:r w:rsidRPr="00564DB3">
        <w:rPr>
          <w:szCs w:val="18"/>
        </w:rPr>
        <w:t>XX.</w:t>
      </w:r>
      <w:r w:rsidR="005B1CE4" w:rsidRPr="00564DB3">
        <w:rPr>
          <w:rStyle w:val="FootnoteReference"/>
          <w:szCs w:val="18"/>
        </w:rPr>
        <w:footnoteReference w:id="787"/>
      </w:r>
      <w:r w:rsidRPr="00564DB3">
        <w:rPr>
          <w:szCs w:val="18"/>
        </w:rPr>
        <w:t xml:space="preserve"> Mexico contends that the Panels made no substantive findings, under </w:t>
      </w:r>
      <w:r w:rsidR="00083DFC" w:rsidRPr="00564DB3">
        <w:rPr>
          <w:szCs w:val="18"/>
        </w:rPr>
        <w:t>Article </w:t>
      </w:r>
      <w:r w:rsidRPr="00564DB3">
        <w:rPr>
          <w:szCs w:val="18"/>
        </w:rPr>
        <w:t xml:space="preserve">2.1, with respect to </w:t>
      </w:r>
      <w:r w:rsidR="00497710" w:rsidRPr="00564DB3">
        <w:rPr>
          <w:szCs w:val="18"/>
        </w:rPr>
        <w:t>arbitrary or unjustifiable discrimination</w:t>
      </w:r>
      <w:r w:rsidRPr="00564DB3">
        <w:rPr>
          <w:szCs w:val="18"/>
        </w:rPr>
        <w:t xml:space="preserve">. Thus, according to Mexico, by relying on their analysis under </w:t>
      </w:r>
      <w:r w:rsidR="00083DFC" w:rsidRPr="00564DB3">
        <w:rPr>
          <w:szCs w:val="18"/>
        </w:rPr>
        <w:t>Article </w:t>
      </w:r>
      <w:r w:rsidRPr="00564DB3">
        <w:rPr>
          <w:szCs w:val="18"/>
        </w:rPr>
        <w:t xml:space="preserve">2.1 </w:t>
      </w:r>
      <w:proofErr w:type="gramStart"/>
      <w:r w:rsidR="00FF1995" w:rsidRPr="00564DB3">
        <w:rPr>
          <w:szCs w:val="18"/>
        </w:rPr>
        <w:t>for the purpose of</w:t>
      </w:r>
      <w:proofErr w:type="gramEnd"/>
      <w:r w:rsidR="00FF1995" w:rsidRPr="00564DB3">
        <w:rPr>
          <w:szCs w:val="18"/>
        </w:rPr>
        <w:t xml:space="preserve"> </w:t>
      </w:r>
      <w:r w:rsidRPr="00564DB3">
        <w:rPr>
          <w:szCs w:val="18"/>
        </w:rPr>
        <w:t xml:space="preserve">the </w:t>
      </w:r>
      <w:r w:rsidRPr="00564DB3">
        <w:rPr>
          <w:i/>
          <w:szCs w:val="18"/>
        </w:rPr>
        <w:t>chapeau</w:t>
      </w:r>
      <w:r w:rsidRPr="00564DB3">
        <w:rPr>
          <w:szCs w:val="18"/>
        </w:rPr>
        <w:t xml:space="preserve"> of </w:t>
      </w:r>
      <w:r w:rsidR="00083DFC" w:rsidRPr="00564DB3">
        <w:rPr>
          <w:szCs w:val="18"/>
        </w:rPr>
        <w:t>Article </w:t>
      </w:r>
      <w:r w:rsidRPr="00564DB3">
        <w:rPr>
          <w:szCs w:val="18"/>
        </w:rPr>
        <w:t>XX, the Panels did not properly take into account the differences between the legal analyses required under these provisions.</w:t>
      </w:r>
      <w:r w:rsidR="005B1CE4" w:rsidRPr="00564DB3">
        <w:rPr>
          <w:rStyle w:val="FootnoteReference"/>
          <w:szCs w:val="18"/>
        </w:rPr>
        <w:footnoteReference w:id="788"/>
      </w:r>
      <w:r w:rsidRPr="00564DB3">
        <w:rPr>
          <w:szCs w:val="18"/>
        </w:rPr>
        <w:t xml:space="preserve"> </w:t>
      </w:r>
    </w:p>
    <w:p w:rsidR="00432E5C" w:rsidRPr="00564DB3" w:rsidRDefault="00432E5C" w:rsidP="00F70E38">
      <w:pPr>
        <w:pStyle w:val="BodyText"/>
        <w:rPr>
          <w:szCs w:val="18"/>
        </w:rPr>
      </w:pPr>
      <w:r w:rsidRPr="00564DB3">
        <w:rPr>
          <w:szCs w:val="18"/>
        </w:rPr>
        <w:t>Mexico recalls the Appellate</w:t>
      </w:r>
      <w:r w:rsidR="00025CB6" w:rsidRPr="00564DB3">
        <w:rPr>
          <w:szCs w:val="18"/>
        </w:rPr>
        <w:t> Body</w:t>
      </w:r>
      <w:r w:rsidRPr="00564DB3">
        <w:rPr>
          <w:szCs w:val="18"/>
        </w:rPr>
        <w:t xml:space="preserve">'s finding in the first compliance proceedings that, if the similarities and differences between </w:t>
      </w:r>
      <w:r w:rsidR="00083DFC" w:rsidRPr="00564DB3">
        <w:rPr>
          <w:szCs w:val="18"/>
        </w:rPr>
        <w:t>Article </w:t>
      </w:r>
      <w:r w:rsidRPr="00564DB3">
        <w:rPr>
          <w:szCs w:val="18"/>
        </w:rPr>
        <w:t xml:space="preserve">2.1 and </w:t>
      </w:r>
      <w:r w:rsidR="00083DFC" w:rsidRPr="00564DB3">
        <w:rPr>
          <w:szCs w:val="18"/>
        </w:rPr>
        <w:t>Article </w:t>
      </w:r>
      <w:r w:rsidRPr="00564DB3">
        <w:rPr>
          <w:szCs w:val="18"/>
        </w:rPr>
        <w:t>XX are taken into account, it may be permissible to rely on reasoning developed under one provision for the analysis under the other.</w:t>
      </w:r>
      <w:r w:rsidR="005B1CE4" w:rsidRPr="00564DB3">
        <w:rPr>
          <w:rStyle w:val="FootnoteReference"/>
          <w:szCs w:val="18"/>
        </w:rPr>
        <w:footnoteReference w:id="789"/>
      </w:r>
      <w:r w:rsidRPr="00564DB3">
        <w:rPr>
          <w:szCs w:val="18"/>
        </w:rPr>
        <w:t xml:space="preserve"> Mexico highlights that, in the first compliance proceedings, the panel conducted its analyses under </w:t>
      </w:r>
      <w:r w:rsidR="00083DFC" w:rsidRPr="00564DB3">
        <w:rPr>
          <w:szCs w:val="18"/>
        </w:rPr>
        <w:t>Article </w:t>
      </w:r>
      <w:r w:rsidRPr="00564DB3">
        <w:rPr>
          <w:szCs w:val="18"/>
        </w:rPr>
        <w:t xml:space="preserve">2.1 and </w:t>
      </w:r>
      <w:r w:rsidR="00083DFC" w:rsidRPr="00564DB3">
        <w:rPr>
          <w:szCs w:val="18"/>
        </w:rPr>
        <w:t>Article </w:t>
      </w:r>
      <w:r w:rsidRPr="00564DB3">
        <w:rPr>
          <w:szCs w:val="18"/>
        </w:rPr>
        <w:t xml:space="preserve">XX on the basis of the same legal test, that is, whether the </w:t>
      </w:r>
      <w:r w:rsidR="00F43B09" w:rsidRPr="00564DB3">
        <w:rPr>
          <w:szCs w:val="18"/>
        </w:rPr>
        <w:t>measure at issue was designed and applied in a manner that constitutes arbitrary or unjustifiable discrimination</w:t>
      </w:r>
      <w:r w:rsidRPr="00564DB3">
        <w:rPr>
          <w:szCs w:val="18"/>
        </w:rPr>
        <w:t>.</w:t>
      </w:r>
      <w:r w:rsidR="00F43B09" w:rsidRPr="00564DB3">
        <w:rPr>
          <w:rStyle w:val="FootnoteReference"/>
          <w:szCs w:val="18"/>
        </w:rPr>
        <w:footnoteReference w:id="790"/>
      </w:r>
      <w:r w:rsidR="00530EB8" w:rsidRPr="00564DB3">
        <w:rPr>
          <w:szCs w:val="18"/>
        </w:rPr>
        <w:t xml:space="preserve"> In </w:t>
      </w:r>
      <w:r w:rsidRPr="00564DB3">
        <w:rPr>
          <w:szCs w:val="18"/>
        </w:rPr>
        <w:t xml:space="preserve">Mexico's view, </w:t>
      </w:r>
      <w:r w:rsidR="006B3226" w:rsidRPr="00564DB3">
        <w:rPr>
          <w:szCs w:val="18"/>
        </w:rPr>
        <w:t xml:space="preserve">due to </w:t>
      </w:r>
      <w:r w:rsidRPr="00564DB3">
        <w:rPr>
          <w:szCs w:val="18"/>
        </w:rPr>
        <w:t xml:space="preserve">the Panels' failure to examine the rational relationship between the regulatory distinctions of the 2016 Tuna Measure and its objectives under </w:t>
      </w:r>
      <w:r w:rsidR="00083DFC" w:rsidRPr="00564DB3">
        <w:rPr>
          <w:szCs w:val="18"/>
        </w:rPr>
        <w:t>Article </w:t>
      </w:r>
      <w:r w:rsidRPr="00564DB3">
        <w:rPr>
          <w:szCs w:val="18"/>
        </w:rPr>
        <w:t>2.1</w:t>
      </w:r>
      <w:r w:rsidR="006B3226" w:rsidRPr="00564DB3">
        <w:rPr>
          <w:szCs w:val="18"/>
        </w:rPr>
        <w:t>,</w:t>
      </w:r>
      <w:r w:rsidRPr="00564DB3">
        <w:rPr>
          <w:szCs w:val="18"/>
        </w:rPr>
        <w:t xml:space="preserve"> </w:t>
      </w:r>
      <w:r w:rsidR="006B3226" w:rsidRPr="00564DB3">
        <w:rPr>
          <w:szCs w:val="18"/>
        </w:rPr>
        <w:t>the Panels'</w:t>
      </w:r>
      <w:r w:rsidR="00145C22">
        <w:rPr>
          <w:szCs w:val="18"/>
        </w:rPr>
        <w:t> </w:t>
      </w:r>
      <w:r w:rsidR="006B3226" w:rsidRPr="00564DB3">
        <w:rPr>
          <w:szCs w:val="18"/>
        </w:rPr>
        <w:t>findings under Article 2.1 could not be used to resolve the assessment of arbitrary or unjustifiable discrimination under Article XX</w:t>
      </w:r>
      <w:r w:rsidRPr="00564DB3">
        <w:rPr>
          <w:szCs w:val="18"/>
        </w:rPr>
        <w:t>.</w:t>
      </w:r>
      <w:r w:rsidR="005B1CE4" w:rsidRPr="00564DB3">
        <w:rPr>
          <w:rStyle w:val="FootnoteReference"/>
          <w:szCs w:val="18"/>
        </w:rPr>
        <w:footnoteReference w:id="791"/>
      </w:r>
      <w:r w:rsidRPr="00564DB3">
        <w:rPr>
          <w:szCs w:val="18"/>
        </w:rPr>
        <w:t xml:space="preserve"> </w:t>
      </w:r>
    </w:p>
    <w:p w:rsidR="00432E5C" w:rsidRPr="00564DB3" w:rsidRDefault="00432E5C" w:rsidP="00F70E38">
      <w:pPr>
        <w:pStyle w:val="BodyText"/>
        <w:rPr>
          <w:szCs w:val="18"/>
        </w:rPr>
      </w:pPr>
      <w:r w:rsidRPr="00564DB3">
        <w:rPr>
          <w:szCs w:val="18"/>
        </w:rPr>
        <w:t xml:space="preserve">The </w:t>
      </w:r>
      <w:r w:rsidR="00083DFC" w:rsidRPr="00564DB3">
        <w:rPr>
          <w:szCs w:val="18"/>
        </w:rPr>
        <w:t>United States</w:t>
      </w:r>
      <w:r w:rsidRPr="00564DB3">
        <w:rPr>
          <w:szCs w:val="18"/>
        </w:rPr>
        <w:t xml:space="preserve"> argues that the Panels did not err in relying on their findings under </w:t>
      </w:r>
      <w:r w:rsidR="00083DFC" w:rsidRPr="00564DB3">
        <w:rPr>
          <w:szCs w:val="18"/>
        </w:rPr>
        <w:t>Article </w:t>
      </w:r>
      <w:r w:rsidRPr="00564DB3">
        <w:rPr>
          <w:szCs w:val="18"/>
        </w:rPr>
        <w:t xml:space="preserve">2.1 for their analysis under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The </w:t>
      </w:r>
      <w:r w:rsidR="00083DFC" w:rsidRPr="00564DB3">
        <w:rPr>
          <w:szCs w:val="18"/>
        </w:rPr>
        <w:t>United States</w:t>
      </w:r>
      <w:r w:rsidRPr="00564DB3">
        <w:rPr>
          <w:szCs w:val="18"/>
        </w:rPr>
        <w:t xml:space="preserve"> submits that, as the Appellate</w:t>
      </w:r>
      <w:r w:rsidR="00025CB6" w:rsidRPr="00564DB3">
        <w:rPr>
          <w:szCs w:val="18"/>
        </w:rPr>
        <w:t> Body</w:t>
      </w:r>
      <w:r w:rsidRPr="00564DB3">
        <w:rPr>
          <w:szCs w:val="18"/>
        </w:rPr>
        <w:t xml:space="preserve"> indicated in the first compliance proceedings, the analysis of whether the requirements under the </w:t>
      </w:r>
      <w:r w:rsidR="006B3226" w:rsidRPr="00564DB3">
        <w:rPr>
          <w:szCs w:val="18"/>
        </w:rPr>
        <w:t>2016 Tuna M</w:t>
      </w:r>
      <w:r w:rsidRPr="00564DB3">
        <w:rPr>
          <w:szCs w:val="18"/>
        </w:rPr>
        <w:t xml:space="preserve">easure are calibrated to the risks to dolphins posed by tuna fishing is "relevant for an analysis of arbitrary or unjustifiable discrimination under the chapeau of </w:t>
      </w:r>
      <w:r w:rsidR="00083DFC" w:rsidRPr="00564DB3">
        <w:rPr>
          <w:szCs w:val="18"/>
        </w:rPr>
        <w:t>Article </w:t>
      </w:r>
      <w:r w:rsidRPr="00564DB3">
        <w:rPr>
          <w:szCs w:val="18"/>
        </w:rPr>
        <w:t>XX".</w:t>
      </w:r>
      <w:r w:rsidR="005B1CE4" w:rsidRPr="00564DB3">
        <w:rPr>
          <w:rStyle w:val="FootnoteReference"/>
          <w:szCs w:val="18"/>
        </w:rPr>
        <w:footnoteReference w:id="792"/>
      </w:r>
      <w:r w:rsidRPr="00564DB3">
        <w:rPr>
          <w:szCs w:val="18"/>
        </w:rPr>
        <w:t xml:space="preserve"> Moreover, the </w:t>
      </w:r>
      <w:r w:rsidR="00083DFC" w:rsidRPr="00564DB3">
        <w:rPr>
          <w:szCs w:val="18"/>
        </w:rPr>
        <w:t>United States</w:t>
      </w:r>
      <w:r w:rsidRPr="00564DB3">
        <w:rPr>
          <w:szCs w:val="18"/>
        </w:rPr>
        <w:t xml:space="preserve"> recalls that the Appellate</w:t>
      </w:r>
      <w:r w:rsidR="00025CB6" w:rsidRPr="00564DB3">
        <w:rPr>
          <w:szCs w:val="18"/>
        </w:rPr>
        <w:t> Body</w:t>
      </w:r>
      <w:r w:rsidRPr="00564DB3">
        <w:rPr>
          <w:szCs w:val="18"/>
        </w:rPr>
        <w:t xml:space="preserve"> reversed the </w:t>
      </w:r>
      <w:r w:rsidR="006B3226" w:rsidRPr="00564DB3">
        <w:rPr>
          <w:szCs w:val="18"/>
        </w:rPr>
        <w:t>first compliance panel's analyse</w:t>
      </w:r>
      <w:r w:rsidRPr="00564DB3">
        <w:rPr>
          <w:szCs w:val="18"/>
        </w:rPr>
        <w:t xml:space="preserve">s under both </w:t>
      </w:r>
      <w:r w:rsidR="00083DFC" w:rsidRPr="00564DB3">
        <w:rPr>
          <w:szCs w:val="18"/>
        </w:rPr>
        <w:t>Article </w:t>
      </w:r>
      <w:r w:rsidRPr="00564DB3">
        <w:rPr>
          <w:szCs w:val="18"/>
        </w:rPr>
        <w:t xml:space="preserve">2.1 and </w:t>
      </w:r>
      <w:r w:rsidR="00083DFC" w:rsidRPr="00564DB3">
        <w:rPr>
          <w:szCs w:val="18"/>
        </w:rPr>
        <w:t>Article </w:t>
      </w:r>
      <w:r w:rsidRPr="00564DB3">
        <w:rPr>
          <w:szCs w:val="18"/>
        </w:rPr>
        <w:t xml:space="preserve">XX </w:t>
      </w:r>
      <w:r w:rsidR="006B3226" w:rsidRPr="00564DB3">
        <w:rPr>
          <w:szCs w:val="18"/>
        </w:rPr>
        <w:t xml:space="preserve">for identical reasons, namely, </w:t>
      </w:r>
      <w:r w:rsidRPr="00564DB3">
        <w:rPr>
          <w:szCs w:val="18"/>
        </w:rPr>
        <w:t>because the panel had conducted a segmented analysis that</w:t>
      </w:r>
      <w:r w:rsidRPr="00564DB3" w:rsidDel="00393383">
        <w:rPr>
          <w:szCs w:val="18"/>
        </w:rPr>
        <w:t xml:space="preserve"> </w:t>
      </w:r>
      <w:r w:rsidRPr="00564DB3">
        <w:rPr>
          <w:szCs w:val="18"/>
        </w:rPr>
        <w:t>failed to assess whether the measure, as a whole, was calibrated to the risk</w:t>
      </w:r>
      <w:r w:rsidR="00E7192D" w:rsidRPr="00564DB3">
        <w:rPr>
          <w:szCs w:val="18"/>
        </w:rPr>
        <w:t>s</w:t>
      </w:r>
      <w:r w:rsidRPr="00564DB3">
        <w:rPr>
          <w:szCs w:val="18"/>
        </w:rPr>
        <w:t xml:space="preserve"> to dolphins posed by different fishing methods in different ocean areas.</w:t>
      </w:r>
      <w:r w:rsidR="005B1CE4" w:rsidRPr="00564DB3">
        <w:rPr>
          <w:rStyle w:val="FootnoteReference"/>
          <w:szCs w:val="18"/>
        </w:rPr>
        <w:footnoteReference w:id="793"/>
      </w:r>
      <w:r w:rsidRPr="00564DB3">
        <w:rPr>
          <w:szCs w:val="18"/>
        </w:rPr>
        <w:t xml:space="preserve"> Given that the Panels conducted a proper calibration analysis under </w:t>
      </w:r>
      <w:r w:rsidR="00083DFC" w:rsidRPr="00564DB3">
        <w:rPr>
          <w:szCs w:val="18"/>
        </w:rPr>
        <w:t>Article </w:t>
      </w:r>
      <w:r w:rsidRPr="00564DB3">
        <w:rPr>
          <w:szCs w:val="18"/>
        </w:rPr>
        <w:t xml:space="preserve">2.1, the </w:t>
      </w:r>
      <w:r w:rsidR="00083DFC" w:rsidRPr="00564DB3">
        <w:rPr>
          <w:szCs w:val="18"/>
        </w:rPr>
        <w:t>United States</w:t>
      </w:r>
      <w:r w:rsidRPr="00564DB3">
        <w:rPr>
          <w:szCs w:val="18"/>
        </w:rPr>
        <w:t xml:space="preserve"> contends that the differences between the Panels' assessment and the first compliance panel's assessment only "confirm that the Panels did not err in relying on their analysis and conclusions under </w:t>
      </w:r>
      <w:r w:rsidR="00083DFC" w:rsidRPr="00564DB3">
        <w:rPr>
          <w:szCs w:val="18"/>
        </w:rPr>
        <w:t>Article </w:t>
      </w:r>
      <w:r w:rsidR="006B3226" w:rsidRPr="00564DB3">
        <w:rPr>
          <w:szCs w:val="18"/>
        </w:rPr>
        <w:t>2.1</w:t>
      </w:r>
      <w:r w:rsidRPr="00564DB3">
        <w:rPr>
          <w:szCs w:val="18"/>
        </w:rPr>
        <w:t>"</w:t>
      </w:r>
      <w:r w:rsidR="006B3226" w:rsidRPr="00564DB3">
        <w:rPr>
          <w:szCs w:val="18"/>
        </w:rPr>
        <w:t>.</w:t>
      </w:r>
      <w:r w:rsidR="005B1CE4" w:rsidRPr="00564DB3">
        <w:rPr>
          <w:rStyle w:val="FootnoteReference"/>
          <w:szCs w:val="18"/>
        </w:rPr>
        <w:footnoteReference w:id="794"/>
      </w:r>
      <w:r w:rsidRPr="00564DB3">
        <w:rPr>
          <w:szCs w:val="18"/>
        </w:rPr>
        <w:t xml:space="preserve"> </w:t>
      </w:r>
    </w:p>
    <w:p w:rsidR="00432E5C" w:rsidRPr="00564DB3" w:rsidRDefault="00432E5C" w:rsidP="00F70E38">
      <w:pPr>
        <w:pStyle w:val="BodyText"/>
        <w:rPr>
          <w:szCs w:val="18"/>
        </w:rPr>
      </w:pPr>
      <w:r w:rsidRPr="00564DB3">
        <w:rPr>
          <w:szCs w:val="18"/>
        </w:rPr>
        <w:t xml:space="preserve">The </w:t>
      </w:r>
      <w:r w:rsidR="00083DFC" w:rsidRPr="00564DB3">
        <w:rPr>
          <w:szCs w:val="18"/>
        </w:rPr>
        <w:t>United States</w:t>
      </w:r>
      <w:r w:rsidRPr="00564DB3">
        <w:rPr>
          <w:szCs w:val="18"/>
        </w:rPr>
        <w:t xml:space="preserve"> further contends that, contrary to Mexico's arguments, the Panels' analysis under </w:t>
      </w:r>
      <w:r w:rsidR="00083DFC" w:rsidRPr="00564DB3">
        <w:rPr>
          <w:szCs w:val="18"/>
        </w:rPr>
        <w:t>Article </w:t>
      </w:r>
      <w:r w:rsidRPr="00564DB3">
        <w:rPr>
          <w:szCs w:val="18"/>
        </w:rPr>
        <w:t>2.1 encompassed an assessment of whether the regulatory distinctions of the 2016 Tuna Measure were rationally related to the objectives of the measure. This is because the Panels explained that the objectives of the measure inform both the form and the content of the calibration analysis, and thus the rational relation</w:t>
      </w:r>
      <w:r w:rsidR="006B3226" w:rsidRPr="00564DB3">
        <w:rPr>
          <w:szCs w:val="18"/>
        </w:rPr>
        <w:t>ship</w:t>
      </w:r>
      <w:r w:rsidRPr="00564DB3">
        <w:rPr>
          <w:szCs w:val="18"/>
        </w:rPr>
        <w:t xml:space="preserve"> test does not exist as a separate legal step, but </w:t>
      </w:r>
      <w:r w:rsidR="005116C0" w:rsidRPr="00564DB3">
        <w:rPr>
          <w:szCs w:val="18"/>
        </w:rPr>
        <w:t xml:space="preserve">rather </w:t>
      </w:r>
      <w:r w:rsidRPr="00564DB3">
        <w:rPr>
          <w:szCs w:val="18"/>
        </w:rPr>
        <w:t>is assessed through the calibration analysis itself.</w:t>
      </w:r>
      <w:r w:rsidR="005B1CE4" w:rsidRPr="00564DB3">
        <w:rPr>
          <w:rStyle w:val="FootnoteReference"/>
          <w:szCs w:val="18"/>
        </w:rPr>
        <w:footnoteReference w:id="795"/>
      </w:r>
      <w:r w:rsidRPr="00564DB3">
        <w:rPr>
          <w:szCs w:val="18"/>
        </w:rPr>
        <w:t xml:space="preserve"> The </w:t>
      </w:r>
      <w:r w:rsidR="00083DFC" w:rsidRPr="00564DB3">
        <w:rPr>
          <w:szCs w:val="18"/>
        </w:rPr>
        <w:t>United States</w:t>
      </w:r>
      <w:r w:rsidRPr="00564DB3">
        <w:rPr>
          <w:szCs w:val="18"/>
        </w:rPr>
        <w:t xml:space="preserve"> adds that the Appellate</w:t>
      </w:r>
      <w:r w:rsidR="00025CB6" w:rsidRPr="00564DB3">
        <w:rPr>
          <w:szCs w:val="18"/>
        </w:rPr>
        <w:t> Body</w:t>
      </w:r>
      <w:r w:rsidRPr="00564DB3">
        <w:rPr>
          <w:szCs w:val="18"/>
        </w:rPr>
        <w:t>'s analysis in the two previous proceedings confirms that the calibration assessment, "done correctly, … reflects the relationship between the distinctions of the measure and the measure's objective that renders the measure not discriminatory".</w:t>
      </w:r>
      <w:r w:rsidR="005B1CE4" w:rsidRPr="00564DB3">
        <w:rPr>
          <w:rStyle w:val="FootnoteReference"/>
          <w:szCs w:val="18"/>
        </w:rPr>
        <w:footnoteReference w:id="796"/>
      </w:r>
    </w:p>
    <w:p w:rsidR="00432E5C" w:rsidRPr="00564DB3" w:rsidRDefault="00432E5C" w:rsidP="00F70E38">
      <w:pPr>
        <w:pStyle w:val="BodyText"/>
        <w:rPr>
          <w:szCs w:val="18"/>
        </w:rPr>
      </w:pPr>
      <w:r w:rsidRPr="00564DB3">
        <w:rPr>
          <w:szCs w:val="18"/>
        </w:rPr>
        <w:t xml:space="preserve">The participants' disagreement on appeal </w:t>
      </w:r>
      <w:r w:rsidR="00AF7E8C" w:rsidRPr="00564DB3">
        <w:rPr>
          <w:szCs w:val="18"/>
        </w:rPr>
        <w:t>centres</w:t>
      </w:r>
      <w:r w:rsidRPr="00564DB3">
        <w:rPr>
          <w:szCs w:val="18"/>
        </w:rPr>
        <w:t xml:space="preserve"> on whether it was permissible for the Panels, in the circumstances of these compliance proceedings, to rely on their calibration analysis under </w:t>
      </w:r>
      <w:r w:rsidR="00083DFC" w:rsidRPr="00564DB3">
        <w:rPr>
          <w:szCs w:val="18"/>
        </w:rPr>
        <w:t>Article </w:t>
      </w:r>
      <w:r w:rsidRPr="00564DB3">
        <w:rPr>
          <w:szCs w:val="18"/>
        </w:rPr>
        <w:t xml:space="preserve">2.1 in reaching their conclusion that the 2016 Tuna Measure is not applied in a manner that constitutes arbitrary or unjustifiable discrimination within the meaning of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The </w:t>
      </w:r>
      <w:r w:rsidRPr="00564DB3">
        <w:rPr>
          <w:i/>
          <w:szCs w:val="18"/>
        </w:rPr>
        <w:t>chapeau</w:t>
      </w:r>
      <w:r w:rsidRPr="00564DB3">
        <w:rPr>
          <w:szCs w:val="18"/>
        </w:rPr>
        <w:t xml:space="preserve"> of </w:t>
      </w:r>
      <w:r w:rsidR="00083DFC" w:rsidRPr="00564DB3">
        <w:rPr>
          <w:szCs w:val="18"/>
        </w:rPr>
        <w:t>Article </w:t>
      </w:r>
      <w:r w:rsidRPr="00564DB3">
        <w:rPr>
          <w:szCs w:val="18"/>
        </w:rPr>
        <w:t>XX provides, in relevant part</w:t>
      </w:r>
      <w:r w:rsidR="005116C0" w:rsidRPr="00564DB3">
        <w:rPr>
          <w:szCs w:val="18"/>
        </w:rPr>
        <w:t>, that</w:t>
      </w:r>
      <w:r w:rsidRPr="00564DB3">
        <w:rPr>
          <w:szCs w:val="18"/>
        </w:rPr>
        <w:t>:</w:t>
      </w:r>
    </w:p>
    <w:p w:rsidR="002C0438" w:rsidRPr="00564DB3" w:rsidRDefault="00432E5C" w:rsidP="00F70E38">
      <w:pPr>
        <w:pStyle w:val="Quotation"/>
      </w:pPr>
      <w:r w:rsidRPr="00564DB3">
        <w:t>Subject to the requirement that such measures are not applied in a manner which would constitute a means of arbitrary or unjustifiable discrimination between countries where the same conditions prevail … nothing in this Agreement shall be construed to prevent the adoption or enforcement by any contracting party of measures</w:t>
      </w:r>
      <w:r w:rsidR="002C0438" w:rsidRPr="00564DB3">
        <w:t>.</w:t>
      </w:r>
    </w:p>
    <w:p w:rsidR="00432E5C" w:rsidRPr="00564DB3" w:rsidRDefault="00432E5C" w:rsidP="00F70E38">
      <w:pPr>
        <w:pStyle w:val="BodyText"/>
        <w:rPr>
          <w:szCs w:val="18"/>
        </w:rPr>
      </w:pPr>
      <w:r w:rsidRPr="00564DB3">
        <w:rPr>
          <w:szCs w:val="18"/>
        </w:rPr>
        <w:t xml:space="preserve">By its terms,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is concerned with the "manner" in which a measure that falls under one of the subparagraphs of </w:t>
      </w:r>
      <w:r w:rsidR="00083DFC" w:rsidRPr="00564DB3">
        <w:rPr>
          <w:szCs w:val="18"/>
        </w:rPr>
        <w:t>Article </w:t>
      </w:r>
      <w:r w:rsidRPr="00564DB3">
        <w:rPr>
          <w:szCs w:val="18"/>
        </w:rPr>
        <w:t>XX is "applied".</w:t>
      </w:r>
      <w:r w:rsidR="005B1CE4" w:rsidRPr="00564DB3">
        <w:rPr>
          <w:rStyle w:val="FootnoteReference"/>
          <w:szCs w:val="18"/>
        </w:rPr>
        <w:footnoteReference w:id="797"/>
      </w:r>
      <w:r w:rsidRPr="00564DB3">
        <w:rPr>
          <w:szCs w:val="18"/>
        </w:rPr>
        <w:t xml:space="preserve"> The Appellate</w:t>
      </w:r>
      <w:r w:rsidR="00025CB6" w:rsidRPr="00564DB3">
        <w:rPr>
          <w:szCs w:val="18"/>
        </w:rPr>
        <w:t> Body</w:t>
      </w:r>
      <w:r w:rsidRPr="00564DB3">
        <w:rPr>
          <w:szCs w:val="18"/>
        </w:rPr>
        <w:t xml:space="preserve"> has noted that the manner in which a measure is </w:t>
      </w:r>
      <w:r w:rsidRPr="00564DB3">
        <w:rPr>
          <w:i/>
          <w:szCs w:val="18"/>
        </w:rPr>
        <w:t>applied</w:t>
      </w:r>
      <w:r w:rsidRPr="00564DB3">
        <w:rPr>
          <w:szCs w:val="18"/>
        </w:rPr>
        <w:t xml:space="preserve"> "can most often be discerned from [its] design,</w:t>
      </w:r>
      <w:r w:rsidR="00B70078" w:rsidRPr="00564DB3">
        <w:rPr>
          <w:szCs w:val="18"/>
        </w:rPr>
        <w:t> … and … </w:t>
      </w:r>
      <w:r w:rsidRPr="00564DB3">
        <w:rPr>
          <w:szCs w:val="18"/>
        </w:rPr>
        <w:t>revealing structure".</w:t>
      </w:r>
      <w:r w:rsidR="005B1CE4" w:rsidRPr="00564DB3">
        <w:rPr>
          <w:rStyle w:val="FootnoteReference"/>
          <w:szCs w:val="18"/>
        </w:rPr>
        <w:footnoteReference w:id="798"/>
      </w:r>
      <w:r w:rsidRPr="00564DB3">
        <w:rPr>
          <w:szCs w:val="18"/>
        </w:rPr>
        <w:t xml:space="preserve"> The Appellate Body </w:t>
      </w:r>
      <w:r w:rsidR="00DA100B" w:rsidRPr="00564DB3">
        <w:rPr>
          <w:szCs w:val="18"/>
        </w:rPr>
        <w:t xml:space="preserve">has </w:t>
      </w:r>
      <w:r w:rsidRPr="00564DB3">
        <w:rPr>
          <w:szCs w:val="18"/>
        </w:rPr>
        <w:t>explained that there are three constitutive elements in assessing the requirement</w:t>
      </w:r>
      <w:r w:rsidR="00473C4F" w:rsidRPr="00564DB3">
        <w:rPr>
          <w:szCs w:val="18"/>
        </w:rPr>
        <w:t>s</w:t>
      </w:r>
      <w:r w:rsidRPr="00564DB3">
        <w:rPr>
          <w:szCs w:val="18"/>
        </w:rPr>
        <w:t xml:space="preserve"> under the </w:t>
      </w:r>
      <w:r w:rsidRPr="00564DB3">
        <w:rPr>
          <w:i/>
          <w:szCs w:val="18"/>
        </w:rPr>
        <w:t>chapeau</w:t>
      </w:r>
      <w:r w:rsidRPr="00564DB3">
        <w:rPr>
          <w:szCs w:val="18"/>
        </w:rPr>
        <w:t>: (i) the application of the measure must result in discrimination; (ii) the discrimination must occur between countries where the same conditions prevail; and (iii) the discrimination must be arbitrary or unjustifiable in character.</w:t>
      </w:r>
      <w:r w:rsidR="005B1CE4" w:rsidRPr="00564DB3">
        <w:rPr>
          <w:rStyle w:val="FootnoteReference"/>
          <w:szCs w:val="18"/>
        </w:rPr>
        <w:footnoteReference w:id="799"/>
      </w:r>
      <w:r w:rsidRPr="00564DB3">
        <w:rPr>
          <w:szCs w:val="18"/>
        </w:rPr>
        <w:t xml:space="preserve"> </w:t>
      </w:r>
    </w:p>
    <w:p w:rsidR="00432E5C" w:rsidRPr="00564DB3" w:rsidRDefault="00432E5C" w:rsidP="00F70E38">
      <w:pPr>
        <w:pStyle w:val="BodyText"/>
        <w:rPr>
          <w:szCs w:val="18"/>
        </w:rPr>
      </w:pPr>
      <w:bookmarkStart w:id="377" w:name="_Ref529198641"/>
      <w:r w:rsidRPr="00564DB3">
        <w:rPr>
          <w:szCs w:val="18"/>
        </w:rPr>
        <w:t>The Appellate</w:t>
      </w:r>
      <w:r w:rsidR="00025CB6" w:rsidRPr="00564DB3">
        <w:rPr>
          <w:szCs w:val="18"/>
        </w:rPr>
        <w:t> Body</w:t>
      </w:r>
      <w:r w:rsidRPr="00564DB3">
        <w:rPr>
          <w:szCs w:val="18"/>
        </w:rPr>
        <w:t xml:space="preserve"> has found that "the analysis of whether discrimination is arbitrary or unjustifiable 'should focus on the cause of the discrimination, or the rationale put forward to explain its existence'."</w:t>
      </w:r>
      <w:r w:rsidR="005B1CE4" w:rsidRPr="00564DB3">
        <w:rPr>
          <w:rStyle w:val="FootnoteReference"/>
          <w:szCs w:val="18"/>
        </w:rPr>
        <w:footnoteReference w:id="800"/>
      </w:r>
      <w:r w:rsidRPr="00564DB3">
        <w:rPr>
          <w:szCs w:val="18"/>
        </w:rPr>
        <w:t xml:space="preserve"> Such analysis "'should be made in the light of the</w:t>
      </w:r>
      <w:r w:rsidR="00B70078" w:rsidRPr="00564DB3">
        <w:rPr>
          <w:szCs w:val="18"/>
        </w:rPr>
        <w:t xml:space="preserve"> objective of the measure', and … </w:t>
      </w:r>
      <w:r w:rsidRPr="00564DB3">
        <w:rPr>
          <w:szCs w:val="18"/>
        </w:rPr>
        <w:t>discrimination will be arbitrary or unjustifiable when the reasons given for the discrimination 'bear no rational connection to the objective' or 'would go against that objective'"</w:t>
      </w:r>
      <w:r w:rsidR="00473C4F" w:rsidRPr="00564DB3">
        <w:rPr>
          <w:szCs w:val="18"/>
        </w:rPr>
        <w:t>.</w:t>
      </w:r>
      <w:r w:rsidR="005B1CE4" w:rsidRPr="00564DB3">
        <w:rPr>
          <w:rStyle w:val="FootnoteReference"/>
          <w:szCs w:val="18"/>
        </w:rPr>
        <w:footnoteReference w:id="801"/>
      </w:r>
      <w:r w:rsidRPr="00564DB3">
        <w:rPr>
          <w:szCs w:val="18"/>
        </w:rPr>
        <w:t xml:space="preserve"> Thus, "'[o]</w:t>
      </w:r>
      <w:proofErr w:type="spellStart"/>
      <w:r w:rsidRPr="00564DB3">
        <w:rPr>
          <w:szCs w:val="18"/>
        </w:rPr>
        <w:t>ne</w:t>
      </w:r>
      <w:proofErr w:type="spellEnd"/>
      <w:r w:rsidRPr="00564DB3">
        <w:rPr>
          <w:szCs w:val="18"/>
        </w:rPr>
        <w:t xml:space="preserve"> of the most important factors' in the assessment of arbitrary or unjustifiable discrimination is the question of whether the discrimination can be reconciled with, or is rationally related to, the policy objective with respect to which the measure has been provisionally justified under one of the subparagraphs of </w:t>
      </w:r>
      <w:r w:rsidR="00083DFC" w:rsidRPr="00564DB3">
        <w:rPr>
          <w:szCs w:val="18"/>
        </w:rPr>
        <w:t>Article </w:t>
      </w:r>
      <w:r w:rsidRPr="00564DB3">
        <w:rPr>
          <w:szCs w:val="18"/>
        </w:rPr>
        <w:t>XX."</w:t>
      </w:r>
      <w:r w:rsidR="005B1CE4" w:rsidRPr="00564DB3">
        <w:rPr>
          <w:rStyle w:val="FootnoteReference"/>
          <w:szCs w:val="18"/>
        </w:rPr>
        <w:footnoteReference w:id="802"/>
      </w:r>
      <w:bookmarkEnd w:id="377"/>
      <w:r w:rsidRPr="00564DB3">
        <w:rPr>
          <w:szCs w:val="18"/>
        </w:rPr>
        <w:t xml:space="preserve"> </w:t>
      </w:r>
    </w:p>
    <w:p w:rsidR="00432E5C" w:rsidRPr="00564DB3" w:rsidRDefault="00432E5C" w:rsidP="00F70E38">
      <w:pPr>
        <w:pStyle w:val="BodyText"/>
        <w:rPr>
          <w:szCs w:val="18"/>
        </w:rPr>
      </w:pPr>
      <w:r w:rsidRPr="00564DB3">
        <w:rPr>
          <w:szCs w:val="18"/>
        </w:rPr>
        <w:t>The Appellate</w:t>
      </w:r>
      <w:r w:rsidR="00025CB6" w:rsidRPr="00564DB3">
        <w:rPr>
          <w:szCs w:val="18"/>
        </w:rPr>
        <w:t> Body</w:t>
      </w:r>
      <w:r w:rsidRPr="00564DB3">
        <w:rPr>
          <w:szCs w:val="18"/>
        </w:rPr>
        <w:t xml:space="preserve"> has further found that there are important parallels between the analyses under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and </w:t>
      </w:r>
      <w:r w:rsidR="00083DFC" w:rsidRPr="00564DB3">
        <w:rPr>
          <w:szCs w:val="18"/>
        </w:rPr>
        <w:t>Article </w:t>
      </w:r>
      <w:r w:rsidRPr="00564DB3">
        <w:rPr>
          <w:szCs w:val="18"/>
        </w:rPr>
        <w:t>2.1. In particular, the Appellate</w:t>
      </w:r>
      <w:r w:rsidR="00025CB6" w:rsidRPr="00564DB3">
        <w:rPr>
          <w:szCs w:val="18"/>
        </w:rPr>
        <w:t> Body</w:t>
      </w:r>
      <w:r w:rsidRPr="00564DB3">
        <w:rPr>
          <w:szCs w:val="18"/>
        </w:rPr>
        <w:t xml:space="preserve"> has noted that the concept of "arbitrary or unjustifiable discrimination between countries where the same conditions prevail" is found both in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and in the sixth recital of the preamble of the </w:t>
      </w:r>
      <w:r w:rsidR="00083DFC" w:rsidRPr="00564DB3">
        <w:rPr>
          <w:szCs w:val="18"/>
        </w:rPr>
        <w:t>TBT Agreement</w:t>
      </w:r>
      <w:r w:rsidRPr="00564DB3">
        <w:rPr>
          <w:szCs w:val="18"/>
        </w:rPr>
        <w:t>, which the Appellate</w:t>
      </w:r>
      <w:r w:rsidR="00025CB6" w:rsidRPr="00564DB3">
        <w:rPr>
          <w:szCs w:val="18"/>
        </w:rPr>
        <w:t> Body</w:t>
      </w:r>
      <w:r w:rsidRPr="00564DB3">
        <w:rPr>
          <w:szCs w:val="18"/>
        </w:rPr>
        <w:t xml:space="preserve"> has found to provide relevant context for the interpretation of </w:t>
      </w:r>
      <w:r w:rsidR="00083DFC" w:rsidRPr="00564DB3">
        <w:rPr>
          <w:szCs w:val="18"/>
        </w:rPr>
        <w:t>Article </w:t>
      </w:r>
      <w:r w:rsidRPr="00564DB3">
        <w:rPr>
          <w:szCs w:val="18"/>
        </w:rPr>
        <w:t>2.1.</w:t>
      </w:r>
      <w:r w:rsidR="005B1CE4" w:rsidRPr="00564DB3">
        <w:rPr>
          <w:rStyle w:val="FootnoteReference"/>
          <w:szCs w:val="18"/>
        </w:rPr>
        <w:footnoteReference w:id="803"/>
      </w:r>
      <w:r w:rsidRPr="00564DB3">
        <w:rPr>
          <w:szCs w:val="18"/>
        </w:rPr>
        <w:t xml:space="preserve"> At the same time, the Appellate</w:t>
      </w:r>
      <w:r w:rsidR="00025CB6" w:rsidRPr="00564DB3">
        <w:rPr>
          <w:szCs w:val="18"/>
        </w:rPr>
        <w:t> Body</w:t>
      </w:r>
      <w:r w:rsidRPr="00564DB3">
        <w:rPr>
          <w:szCs w:val="18"/>
        </w:rPr>
        <w:t xml:space="preserve"> has cautioned that there are also differences between these provisions</w:t>
      </w:r>
      <w:r w:rsidR="00DA100B" w:rsidRPr="00564DB3">
        <w:rPr>
          <w:szCs w:val="18"/>
        </w:rPr>
        <w:t>,</w:t>
      </w:r>
      <w:r w:rsidRPr="00564DB3">
        <w:rPr>
          <w:szCs w:val="18"/>
        </w:rPr>
        <w:t xml:space="preserve"> </w:t>
      </w:r>
      <w:r w:rsidRPr="00564DB3">
        <w:rPr>
          <w:i/>
          <w:szCs w:val="18"/>
        </w:rPr>
        <w:t xml:space="preserve">inter </w:t>
      </w:r>
      <w:r w:rsidRPr="00564DB3">
        <w:rPr>
          <w:szCs w:val="18"/>
        </w:rPr>
        <w:t>alia, in terms of their legal standards</w:t>
      </w:r>
      <w:r w:rsidR="005B1CE4" w:rsidRPr="00564DB3">
        <w:rPr>
          <w:rStyle w:val="FootnoteReference"/>
          <w:szCs w:val="18"/>
        </w:rPr>
        <w:footnoteReference w:id="804"/>
      </w:r>
      <w:r w:rsidRPr="00564DB3">
        <w:rPr>
          <w:szCs w:val="18"/>
        </w:rPr>
        <w:t xml:space="preserve">, as well as their main function and scope. </w:t>
      </w:r>
      <w:proofErr w:type="gramStart"/>
      <w:r w:rsidRPr="00564DB3">
        <w:rPr>
          <w:szCs w:val="18"/>
        </w:rPr>
        <w:t>In particular, the</w:t>
      </w:r>
      <w:proofErr w:type="gramEnd"/>
      <w:r w:rsidRPr="00564DB3">
        <w:rPr>
          <w:szCs w:val="18"/>
        </w:rPr>
        <w:t xml:space="preserve"> Appellate</w:t>
      </w:r>
      <w:r w:rsidR="00025CB6" w:rsidRPr="00564DB3">
        <w:rPr>
          <w:szCs w:val="18"/>
        </w:rPr>
        <w:t> Body</w:t>
      </w:r>
      <w:r w:rsidRPr="00564DB3">
        <w:rPr>
          <w:szCs w:val="18"/>
        </w:rPr>
        <w:t xml:space="preserve"> has noted that, while the analysis under </w:t>
      </w:r>
      <w:r w:rsidR="00083DFC" w:rsidRPr="00564DB3">
        <w:rPr>
          <w:szCs w:val="18"/>
        </w:rPr>
        <w:t>Article </w:t>
      </w:r>
      <w:r w:rsidRPr="00564DB3">
        <w:rPr>
          <w:szCs w:val="18"/>
        </w:rPr>
        <w:t xml:space="preserve">2.1 concerns the regulatory distinction that accounts for the detrimental impact on imported products, the discrimination examined under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is not necessarily the same as the discrimination </w:t>
      </w:r>
      <w:bookmarkStart w:id="378" w:name="_Hlk527126818"/>
      <w:r w:rsidRPr="00564DB3">
        <w:rPr>
          <w:szCs w:val="18"/>
        </w:rPr>
        <w:t>found to be inconsistent with the relevant provisions of the GATT</w:t>
      </w:r>
      <w:r w:rsidR="00025CB6" w:rsidRPr="00564DB3">
        <w:rPr>
          <w:szCs w:val="18"/>
        </w:rPr>
        <w:t> 1994</w:t>
      </w:r>
      <w:r w:rsidR="00DA100B" w:rsidRPr="00564DB3">
        <w:rPr>
          <w:szCs w:val="18"/>
        </w:rPr>
        <w:t>,</w:t>
      </w:r>
      <w:r w:rsidRPr="00564DB3">
        <w:rPr>
          <w:szCs w:val="18"/>
        </w:rPr>
        <w:t xml:space="preserve"> </w:t>
      </w:r>
      <w:r w:rsidR="00473C4F" w:rsidRPr="00564DB3">
        <w:rPr>
          <w:szCs w:val="18"/>
        </w:rPr>
        <w:t>"</w:t>
      </w:r>
      <w:r w:rsidRPr="00564DB3">
        <w:rPr>
          <w:szCs w:val="18"/>
        </w:rPr>
        <w:t>such as Articles I and III</w:t>
      </w:r>
      <w:bookmarkEnd w:id="378"/>
      <w:r w:rsidR="00473C4F" w:rsidRPr="00564DB3">
        <w:rPr>
          <w:szCs w:val="18"/>
        </w:rPr>
        <w:t>"</w:t>
      </w:r>
      <w:r w:rsidRPr="00564DB3">
        <w:rPr>
          <w:szCs w:val="18"/>
        </w:rPr>
        <w:t>.</w:t>
      </w:r>
      <w:r w:rsidR="005B1CE4" w:rsidRPr="00564DB3">
        <w:rPr>
          <w:rStyle w:val="FootnoteReference"/>
          <w:szCs w:val="18"/>
        </w:rPr>
        <w:footnoteReference w:id="805"/>
      </w:r>
    </w:p>
    <w:p w:rsidR="00432E5C" w:rsidRPr="00564DB3" w:rsidRDefault="00432E5C" w:rsidP="00F70E38">
      <w:pPr>
        <w:pStyle w:val="BodyText"/>
        <w:rPr>
          <w:szCs w:val="18"/>
        </w:rPr>
      </w:pPr>
      <w:r w:rsidRPr="00564DB3">
        <w:rPr>
          <w:szCs w:val="18"/>
        </w:rPr>
        <w:t>In the first compliance proceedings, the Appellate</w:t>
      </w:r>
      <w:r w:rsidR="00025CB6" w:rsidRPr="00564DB3">
        <w:rPr>
          <w:szCs w:val="18"/>
        </w:rPr>
        <w:t> Body</w:t>
      </w:r>
      <w:r w:rsidRPr="00564DB3">
        <w:rPr>
          <w:szCs w:val="18"/>
        </w:rPr>
        <w:t xml:space="preserve"> stated that, "so long as the similarities and differences between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and </w:t>
      </w:r>
      <w:r w:rsidR="00083DFC" w:rsidRPr="00564DB3">
        <w:rPr>
          <w:szCs w:val="18"/>
        </w:rPr>
        <w:t>Article </w:t>
      </w:r>
      <w:r w:rsidR="00B70078" w:rsidRPr="00564DB3">
        <w:rPr>
          <w:szCs w:val="18"/>
        </w:rPr>
        <w:t>XX of the GATT </w:t>
      </w:r>
      <w:r w:rsidRPr="00564DB3">
        <w:rPr>
          <w:szCs w:val="18"/>
        </w:rPr>
        <w:t>1994 are taken into account, it may be permissible to rely on reasoning developed in the context of one agreement for purposes of conducting an analysis under the other."</w:t>
      </w:r>
      <w:r w:rsidR="005B1CE4" w:rsidRPr="00564DB3">
        <w:rPr>
          <w:rStyle w:val="FootnoteReference"/>
          <w:szCs w:val="18"/>
        </w:rPr>
        <w:footnoteReference w:id="806"/>
      </w:r>
      <w:r w:rsidRPr="00564DB3">
        <w:rPr>
          <w:szCs w:val="18"/>
        </w:rPr>
        <w:t xml:space="preserve"> The Appellate</w:t>
      </w:r>
      <w:r w:rsidR="00025CB6" w:rsidRPr="00564DB3">
        <w:rPr>
          <w:szCs w:val="18"/>
        </w:rPr>
        <w:t> Body</w:t>
      </w:r>
      <w:r w:rsidRPr="00564DB3">
        <w:rPr>
          <w:szCs w:val="18"/>
        </w:rPr>
        <w:t xml:space="preserve"> noted that the first compliance panel </w:t>
      </w:r>
      <w:r w:rsidRPr="00564DB3">
        <w:rPr>
          <w:szCs w:val="18"/>
          <w:lang w:eastAsia="zh-CN"/>
        </w:rPr>
        <w:t xml:space="preserve">had conducted its analyses under both </w:t>
      </w:r>
      <w:r w:rsidR="00083DFC" w:rsidRPr="00564DB3">
        <w:rPr>
          <w:szCs w:val="18"/>
          <w:lang w:eastAsia="zh-CN"/>
        </w:rPr>
        <w:t>Article </w:t>
      </w:r>
      <w:r w:rsidRPr="00564DB3">
        <w:rPr>
          <w:szCs w:val="18"/>
          <w:lang w:eastAsia="zh-CN"/>
        </w:rPr>
        <w:t xml:space="preserve">2.1 and </w:t>
      </w:r>
      <w:r w:rsidR="00083DFC" w:rsidRPr="00564DB3">
        <w:rPr>
          <w:szCs w:val="18"/>
          <w:lang w:eastAsia="zh-CN"/>
        </w:rPr>
        <w:t>Article </w:t>
      </w:r>
      <w:r w:rsidRPr="00564DB3">
        <w:rPr>
          <w:szCs w:val="18"/>
          <w:lang w:eastAsia="zh-CN"/>
        </w:rPr>
        <w:t xml:space="preserve">XX </w:t>
      </w:r>
      <w:r w:rsidR="001D22FB" w:rsidRPr="00564DB3">
        <w:rPr>
          <w:szCs w:val="18"/>
          <w:lang w:eastAsia="zh-CN"/>
        </w:rPr>
        <w:t>"</w:t>
      </w:r>
      <w:r w:rsidRPr="00564DB3">
        <w:rPr>
          <w:szCs w:val="18"/>
          <w:lang w:eastAsia="zh-CN"/>
        </w:rPr>
        <w:t>on the basis of a legal test developed in the context of assessing arbitrary or unjustifiable discrimination, namely</w:t>
      </w:r>
      <w:r w:rsidR="00DA100B" w:rsidRPr="00564DB3">
        <w:rPr>
          <w:szCs w:val="18"/>
          <w:lang w:eastAsia="zh-CN"/>
        </w:rPr>
        <w:t>,</w:t>
      </w:r>
      <w:r w:rsidRPr="00564DB3">
        <w:rPr>
          <w:szCs w:val="18"/>
          <w:lang w:eastAsia="zh-CN"/>
        </w:rPr>
        <w:t xml:space="preserve"> whether the discrimination can be reconciled with, or is rationally related to, the policy objective with respect to which the measure has been provisionally justified</w:t>
      </w:r>
      <w:r w:rsidR="001D22FB" w:rsidRPr="00564DB3">
        <w:rPr>
          <w:szCs w:val="18"/>
          <w:lang w:eastAsia="zh-CN"/>
        </w:rPr>
        <w:t>"</w:t>
      </w:r>
      <w:r w:rsidRPr="00564DB3">
        <w:rPr>
          <w:szCs w:val="18"/>
          <w:lang w:eastAsia="zh-CN"/>
        </w:rPr>
        <w:t>.</w:t>
      </w:r>
      <w:r w:rsidR="005B1CE4" w:rsidRPr="00564DB3">
        <w:rPr>
          <w:rStyle w:val="FootnoteReference"/>
          <w:szCs w:val="18"/>
          <w:lang w:eastAsia="zh-CN"/>
        </w:rPr>
        <w:footnoteReference w:id="807"/>
      </w:r>
      <w:r w:rsidRPr="00564DB3">
        <w:rPr>
          <w:szCs w:val="18"/>
        </w:rPr>
        <w:t xml:space="preserve"> In these circumstances, the Appellate</w:t>
      </w:r>
      <w:r w:rsidR="00025CB6" w:rsidRPr="00564DB3">
        <w:rPr>
          <w:szCs w:val="18"/>
        </w:rPr>
        <w:t> Body</w:t>
      </w:r>
      <w:r w:rsidRPr="00564DB3">
        <w:rPr>
          <w:szCs w:val="18"/>
        </w:rPr>
        <w:t xml:space="preserve"> considered that it was appropriate for the first compliance panel, "in principle, to have referred to and relied on" the reasoning it had developed in the context of </w:t>
      </w:r>
      <w:r w:rsidR="00083DFC" w:rsidRPr="00564DB3">
        <w:rPr>
          <w:szCs w:val="18"/>
        </w:rPr>
        <w:t>Article </w:t>
      </w:r>
      <w:r w:rsidRPr="00564DB3">
        <w:rPr>
          <w:szCs w:val="18"/>
        </w:rPr>
        <w:t xml:space="preserve">2.1 in its analysis under the </w:t>
      </w:r>
      <w:r w:rsidRPr="00564DB3">
        <w:rPr>
          <w:i/>
          <w:szCs w:val="18"/>
        </w:rPr>
        <w:t>chapeau</w:t>
      </w:r>
      <w:r w:rsidRPr="00564DB3">
        <w:rPr>
          <w:szCs w:val="18"/>
        </w:rPr>
        <w:t xml:space="preserve"> of </w:t>
      </w:r>
      <w:r w:rsidR="00083DFC" w:rsidRPr="00564DB3">
        <w:rPr>
          <w:szCs w:val="18"/>
        </w:rPr>
        <w:t>Article </w:t>
      </w:r>
      <w:r w:rsidRPr="00564DB3">
        <w:rPr>
          <w:szCs w:val="18"/>
        </w:rPr>
        <w:t>XX.</w:t>
      </w:r>
      <w:r w:rsidR="005B1CE4" w:rsidRPr="00564DB3">
        <w:rPr>
          <w:rStyle w:val="FootnoteReference"/>
          <w:szCs w:val="18"/>
        </w:rPr>
        <w:footnoteReference w:id="808"/>
      </w:r>
    </w:p>
    <w:p w:rsidR="00432E5C" w:rsidRPr="00564DB3" w:rsidRDefault="00432E5C" w:rsidP="00F70E38">
      <w:pPr>
        <w:pStyle w:val="BodyText"/>
        <w:rPr>
          <w:szCs w:val="18"/>
        </w:rPr>
      </w:pPr>
      <w:r w:rsidRPr="00564DB3">
        <w:rPr>
          <w:szCs w:val="18"/>
        </w:rPr>
        <w:t>The Appellate</w:t>
      </w:r>
      <w:r w:rsidR="00025CB6" w:rsidRPr="00564DB3">
        <w:rPr>
          <w:szCs w:val="18"/>
        </w:rPr>
        <w:t> Body</w:t>
      </w:r>
      <w:r w:rsidRPr="00564DB3">
        <w:rPr>
          <w:szCs w:val="18"/>
        </w:rPr>
        <w:t xml:space="preserve"> emphasized that, in th</w:t>
      </w:r>
      <w:r w:rsidR="00DC1603" w:rsidRPr="00564DB3">
        <w:rPr>
          <w:szCs w:val="18"/>
        </w:rPr>
        <w:t>e circumstances of this dispute</w:t>
      </w:r>
      <w:r w:rsidRPr="00564DB3">
        <w:rPr>
          <w:szCs w:val="18"/>
        </w:rPr>
        <w:t xml:space="preserve">, "an assessment of whether the requirements of the amended tuna measure are calibrated to the likelihood that dolphins would be adversely affected in the course of tuna fishing operations in the respective conditions" </w:t>
      </w:r>
      <w:r w:rsidR="001D22FB" w:rsidRPr="00564DB3">
        <w:rPr>
          <w:szCs w:val="18"/>
        </w:rPr>
        <w:t>wa</w:t>
      </w:r>
      <w:r w:rsidRPr="00564DB3">
        <w:rPr>
          <w:szCs w:val="18"/>
        </w:rPr>
        <w:t>s "</w:t>
      </w:r>
      <w:r w:rsidRPr="00564DB3">
        <w:rPr>
          <w:i/>
          <w:szCs w:val="18"/>
        </w:rPr>
        <w:t>relevant</w:t>
      </w:r>
      <w:r w:rsidRPr="00564DB3">
        <w:rPr>
          <w:szCs w:val="18"/>
        </w:rPr>
        <w:t xml:space="preserve"> for an analysis of arbitrary or unjustifiable discrimination under the chapeau of </w:t>
      </w:r>
      <w:r w:rsidR="00083DFC" w:rsidRPr="00564DB3">
        <w:rPr>
          <w:szCs w:val="18"/>
        </w:rPr>
        <w:t>Article </w:t>
      </w:r>
      <w:r w:rsidRPr="00564DB3">
        <w:rPr>
          <w:szCs w:val="18"/>
        </w:rPr>
        <w:t>XX".</w:t>
      </w:r>
      <w:r w:rsidR="005B1CE4" w:rsidRPr="00564DB3">
        <w:rPr>
          <w:rStyle w:val="FootnoteReference"/>
          <w:szCs w:val="18"/>
        </w:rPr>
        <w:footnoteReference w:id="809"/>
      </w:r>
      <w:r w:rsidRPr="00564DB3">
        <w:rPr>
          <w:szCs w:val="18"/>
        </w:rPr>
        <w:t xml:space="preserve"> This was because the first compliance panel was required to examine the </w:t>
      </w:r>
      <w:r w:rsidR="00083DFC" w:rsidRPr="00564DB3">
        <w:rPr>
          <w:szCs w:val="18"/>
        </w:rPr>
        <w:t>United States</w:t>
      </w:r>
      <w:r w:rsidRPr="00564DB3">
        <w:rPr>
          <w:szCs w:val="18"/>
        </w:rPr>
        <w:t xml:space="preserve">' claim that "any differences in the regulatory requirements of the [2013 Tuna Measure] are justified by reference to the objective of dolphin protection because such differences reflect the differences in risks" to dolphins arising from </w:t>
      </w:r>
      <w:r w:rsidR="001D22FB" w:rsidRPr="00564DB3">
        <w:rPr>
          <w:szCs w:val="18"/>
        </w:rPr>
        <w:t xml:space="preserve">the use of </w:t>
      </w:r>
      <w:r w:rsidRPr="00564DB3">
        <w:rPr>
          <w:szCs w:val="18"/>
        </w:rPr>
        <w:t>different fishing methods in different ocean areas.</w:t>
      </w:r>
      <w:r w:rsidR="005B1CE4" w:rsidRPr="00564DB3">
        <w:rPr>
          <w:rStyle w:val="FootnoteReference"/>
          <w:szCs w:val="18"/>
        </w:rPr>
        <w:footnoteReference w:id="810"/>
      </w:r>
      <w:r w:rsidRPr="00564DB3">
        <w:rPr>
          <w:szCs w:val="18"/>
        </w:rPr>
        <w:t xml:space="preserve"> However, the Appellate</w:t>
      </w:r>
      <w:r w:rsidR="00025CB6" w:rsidRPr="00564DB3">
        <w:rPr>
          <w:szCs w:val="18"/>
        </w:rPr>
        <w:t> Body</w:t>
      </w:r>
      <w:r w:rsidRPr="00564DB3">
        <w:rPr>
          <w:szCs w:val="18"/>
        </w:rPr>
        <w:t xml:space="preserve"> recalled its criticism of the first compliance panel's findings under </w:t>
      </w:r>
      <w:r w:rsidR="00083DFC" w:rsidRPr="00564DB3">
        <w:rPr>
          <w:szCs w:val="18"/>
        </w:rPr>
        <w:t>Article </w:t>
      </w:r>
      <w:r w:rsidRPr="00564DB3">
        <w:rPr>
          <w:szCs w:val="18"/>
        </w:rPr>
        <w:t>2.1, including that the first compliance panel had failed to conduct a proper calibration analysis, and that</w:t>
      </w:r>
      <w:r w:rsidR="001D22FB" w:rsidRPr="00564DB3">
        <w:rPr>
          <w:szCs w:val="18"/>
        </w:rPr>
        <w:t xml:space="preserve"> the first compliance panel's "decision to adopt a segmented analytical approach prevented it from properly applying the legal standard that it </w:t>
      </w:r>
      <w:r w:rsidR="00357218" w:rsidRPr="00564DB3">
        <w:rPr>
          <w:szCs w:val="18"/>
        </w:rPr>
        <w:t xml:space="preserve">had </w:t>
      </w:r>
      <w:r w:rsidR="001D22FB" w:rsidRPr="00564DB3">
        <w:rPr>
          <w:szCs w:val="18"/>
        </w:rPr>
        <w:t>articulated"</w:t>
      </w:r>
      <w:r w:rsidR="00324418" w:rsidRPr="00564DB3">
        <w:rPr>
          <w:rStyle w:val="FootnoteReference"/>
          <w:szCs w:val="18"/>
        </w:rPr>
        <w:footnoteReference w:id="811"/>
      </w:r>
      <w:r w:rsidR="00324418" w:rsidRPr="00564DB3">
        <w:rPr>
          <w:szCs w:val="18"/>
        </w:rPr>
        <w:t xml:space="preserve">, </w:t>
      </w:r>
      <w:r w:rsidRPr="00564DB3">
        <w:rPr>
          <w:szCs w:val="18"/>
        </w:rPr>
        <w:t>namely, "whether the detrimental treatment can be reconciled with, or is rationally related to, the policy pursued by the measure at issue".</w:t>
      </w:r>
      <w:r w:rsidR="005B1CE4" w:rsidRPr="00564DB3">
        <w:rPr>
          <w:rStyle w:val="FootnoteReference"/>
          <w:szCs w:val="18"/>
        </w:rPr>
        <w:footnoteReference w:id="812"/>
      </w:r>
      <w:r w:rsidRPr="00564DB3">
        <w:rPr>
          <w:szCs w:val="18"/>
        </w:rPr>
        <w:t xml:space="preserve"> In the Appellate Body's view, "these criticisms concern aspects of the [first compliance panel's] reasoning and findings that </w:t>
      </w:r>
      <w:r w:rsidR="00406203" w:rsidRPr="00564DB3">
        <w:rPr>
          <w:szCs w:val="18"/>
        </w:rPr>
        <w:t>it</w:t>
      </w:r>
      <w:r w:rsidRPr="00564DB3">
        <w:rPr>
          <w:szCs w:val="18"/>
        </w:rPr>
        <w:t xml:space="preserve"> also relied upon in the context of its analysis under the chapeau of </w:t>
      </w:r>
      <w:r w:rsidR="00083DFC" w:rsidRPr="00564DB3">
        <w:rPr>
          <w:szCs w:val="18"/>
        </w:rPr>
        <w:t>Article </w:t>
      </w:r>
      <w:r w:rsidRPr="00564DB3">
        <w:rPr>
          <w:szCs w:val="18"/>
        </w:rPr>
        <w:t>XX" of the GATT</w:t>
      </w:r>
      <w:r w:rsidR="00025CB6" w:rsidRPr="00564DB3">
        <w:rPr>
          <w:szCs w:val="18"/>
        </w:rPr>
        <w:t> 1994</w:t>
      </w:r>
      <w:r w:rsidRPr="00564DB3">
        <w:rPr>
          <w:szCs w:val="18"/>
        </w:rPr>
        <w:t>.</w:t>
      </w:r>
      <w:r w:rsidR="005B1CE4" w:rsidRPr="00564DB3">
        <w:rPr>
          <w:rStyle w:val="FootnoteReference"/>
          <w:szCs w:val="18"/>
        </w:rPr>
        <w:footnoteReference w:id="813"/>
      </w:r>
      <w:r w:rsidRPr="00564DB3">
        <w:rPr>
          <w:szCs w:val="18"/>
        </w:rPr>
        <w:t xml:space="preserve"> </w:t>
      </w:r>
      <w:r w:rsidR="009D482B" w:rsidRPr="00564DB3">
        <w:rPr>
          <w:szCs w:val="18"/>
        </w:rPr>
        <w:t>In light of these errors</w:t>
      </w:r>
      <w:r w:rsidR="009D482B" w:rsidRPr="00564DB3">
        <w:rPr>
          <w:rStyle w:val="FootnoteReference"/>
          <w:szCs w:val="18"/>
        </w:rPr>
        <w:footnoteReference w:id="814"/>
      </w:r>
      <w:r w:rsidRPr="00564DB3">
        <w:rPr>
          <w:szCs w:val="18"/>
        </w:rPr>
        <w:t>, the Appellate</w:t>
      </w:r>
      <w:r w:rsidR="00025CB6" w:rsidRPr="00564DB3">
        <w:rPr>
          <w:szCs w:val="18"/>
        </w:rPr>
        <w:t> Body</w:t>
      </w:r>
      <w:r w:rsidRPr="00564DB3">
        <w:rPr>
          <w:szCs w:val="18"/>
        </w:rPr>
        <w:t xml:space="preserve"> reversed the first compliance panel's finding</w:t>
      </w:r>
      <w:r w:rsidR="00357218" w:rsidRPr="00564DB3">
        <w:rPr>
          <w:szCs w:val="18"/>
        </w:rPr>
        <w:t>s</w:t>
      </w:r>
      <w:r w:rsidRPr="00564DB3">
        <w:rPr>
          <w:szCs w:val="18"/>
        </w:rPr>
        <w:t xml:space="preserve"> under the </w:t>
      </w:r>
      <w:r w:rsidRPr="00564DB3">
        <w:rPr>
          <w:i/>
          <w:szCs w:val="18"/>
        </w:rPr>
        <w:t>chapeau</w:t>
      </w:r>
      <w:r w:rsidRPr="00564DB3">
        <w:rPr>
          <w:szCs w:val="18"/>
        </w:rPr>
        <w:t xml:space="preserve"> of </w:t>
      </w:r>
      <w:r w:rsidR="00083DFC" w:rsidRPr="00564DB3">
        <w:rPr>
          <w:szCs w:val="18"/>
        </w:rPr>
        <w:t>Article </w:t>
      </w:r>
      <w:r w:rsidRPr="00564DB3">
        <w:rPr>
          <w:szCs w:val="18"/>
        </w:rPr>
        <w:t>XX.</w:t>
      </w:r>
      <w:r w:rsidR="005B1CE4" w:rsidRPr="00564DB3">
        <w:rPr>
          <w:rStyle w:val="FootnoteReference"/>
          <w:szCs w:val="18"/>
        </w:rPr>
        <w:footnoteReference w:id="815"/>
      </w:r>
    </w:p>
    <w:p w:rsidR="00432E5C" w:rsidRPr="00564DB3" w:rsidRDefault="00432E5C" w:rsidP="00F70E38">
      <w:pPr>
        <w:pStyle w:val="BodyText"/>
        <w:rPr>
          <w:szCs w:val="18"/>
        </w:rPr>
      </w:pPr>
      <w:r w:rsidRPr="00564DB3">
        <w:rPr>
          <w:szCs w:val="18"/>
        </w:rPr>
        <w:t>The above findings indicate that, in the circumstances of this dispute, it was appropriate for the first compliance panel to "</w:t>
      </w:r>
      <w:proofErr w:type="spellStart"/>
      <w:r w:rsidRPr="00564DB3">
        <w:rPr>
          <w:szCs w:val="18"/>
        </w:rPr>
        <w:t>rel</w:t>
      </w:r>
      <w:proofErr w:type="spellEnd"/>
      <w:r w:rsidRPr="00564DB3">
        <w:rPr>
          <w:szCs w:val="18"/>
        </w:rPr>
        <w:t xml:space="preserve">[y] on a similar analytical process under" both </w:t>
      </w:r>
      <w:r w:rsidR="00083DFC" w:rsidRPr="00564DB3">
        <w:rPr>
          <w:szCs w:val="18"/>
        </w:rPr>
        <w:t>Article </w:t>
      </w:r>
      <w:r w:rsidRPr="00564DB3">
        <w:rPr>
          <w:szCs w:val="18"/>
        </w:rPr>
        <w:t xml:space="preserve">2.1 and the </w:t>
      </w:r>
      <w:r w:rsidRPr="00564DB3">
        <w:rPr>
          <w:i/>
          <w:szCs w:val="18"/>
        </w:rPr>
        <w:t>chapeau</w:t>
      </w:r>
      <w:r w:rsidRPr="00564DB3">
        <w:rPr>
          <w:szCs w:val="18"/>
        </w:rPr>
        <w:t xml:space="preserve"> of </w:t>
      </w:r>
      <w:r w:rsidR="00083DFC" w:rsidRPr="00564DB3">
        <w:rPr>
          <w:szCs w:val="18"/>
        </w:rPr>
        <w:t>Article </w:t>
      </w:r>
      <w:r w:rsidRPr="00564DB3">
        <w:rPr>
          <w:szCs w:val="18"/>
        </w:rPr>
        <w:t>XX.</w:t>
      </w:r>
      <w:r w:rsidR="005B1CE4" w:rsidRPr="00564DB3">
        <w:rPr>
          <w:rStyle w:val="FootnoteReference"/>
          <w:szCs w:val="18"/>
        </w:rPr>
        <w:footnoteReference w:id="816"/>
      </w:r>
      <w:r w:rsidRPr="00564DB3">
        <w:rPr>
          <w:szCs w:val="18"/>
        </w:rPr>
        <w:t xml:space="preserve"> This process sho</w:t>
      </w:r>
      <w:r w:rsidR="009458E7" w:rsidRPr="00564DB3">
        <w:rPr>
          <w:szCs w:val="18"/>
        </w:rPr>
        <w:t xml:space="preserve">uld have involved ascertaining </w:t>
      </w:r>
      <w:r w:rsidRPr="00564DB3">
        <w:rPr>
          <w:szCs w:val="18"/>
        </w:rPr>
        <w:t xml:space="preserve">the existence of arbitrary or unjustifiable discrimination through an examination of </w:t>
      </w:r>
      <w:r w:rsidRPr="00564DB3">
        <w:rPr>
          <w:szCs w:val="18"/>
          <w:lang w:eastAsia="zh-CN"/>
        </w:rPr>
        <w:t>whether such discrimination can be reconciled with, or is rationally related to, the measure's policy objective</w:t>
      </w:r>
      <w:r w:rsidRPr="00564DB3">
        <w:rPr>
          <w:szCs w:val="18"/>
        </w:rPr>
        <w:t>.</w:t>
      </w:r>
      <w:r w:rsidR="005B1CE4" w:rsidRPr="00564DB3">
        <w:rPr>
          <w:rStyle w:val="FootnoteReference"/>
          <w:szCs w:val="18"/>
        </w:rPr>
        <w:footnoteReference w:id="817"/>
      </w:r>
      <w:r w:rsidRPr="00564DB3">
        <w:rPr>
          <w:szCs w:val="18"/>
        </w:rPr>
        <w:t xml:space="preserve"> Furthermore, for t</w:t>
      </w:r>
      <w:r w:rsidR="00357218" w:rsidRPr="00564DB3">
        <w:rPr>
          <w:szCs w:val="18"/>
        </w:rPr>
        <w:t xml:space="preserve">his analytical process, it was </w:t>
      </w:r>
      <w:r w:rsidRPr="00564DB3">
        <w:rPr>
          <w:szCs w:val="18"/>
        </w:rPr>
        <w:t>relevant to examine whether the regulatory distinctions under the measure at issue were calibrated to different risks to dolphins arising from the use of different fishing methods in different areas of the ocean.</w:t>
      </w:r>
      <w:r w:rsidR="005B1CE4" w:rsidRPr="00564DB3">
        <w:rPr>
          <w:rStyle w:val="FootnoteReference"/>
          <w:szCs w:val="18"/>
        </w:rPr>
        <w:footnoteReference w:id="818"/>
      </w:r>
      <w:r w:rsidRPr="00564DB3">
        <w:rPr>
          <w:szCs w:val="18"/>
        </w:rPr>
        <w:t xml:space="preserve"> However, because the first compliance panel had failed to conduct a proper calibration analysis under </w:t>
      </w:r>
      <w:r w:rsidR="00083DFC" w:rsidRPr="00564DB3">
        <w:rPr>
          <w:szCs w:val="18"/>
        </w:rPr>
        <w:t>Article </w:t>
      </w:r>
      <w:r w:rsidRPr="00564DB3">
        <w:rPr>
          <w:szCs w:val="18"/>
        </w:rPr>
        <w:t xml:space="preserve">2.1, and had adopted a segmented approach to analysing the requirements under the measure, the panel had also failed to examine </w:t>
      </w:r>
      <w:r w:rsidR="00DC1603" w:rsidRPr="00564DB3">
        <w:rPr>
          <w:szCs w:val="18"/>
        </w:rPr>
        <w:t xml:space="preserve">properly </w:t>
      </w:r>
      <w:r w:rsidRPr="00564DB3">
        <w:rPr>
          <w:szCs w:val="18"/>
        </w:rPr>
        <w:t xml:space="preserve">the rational relationship between the measure's objectives and </w:t>
      </w:r>
      <w:r w:rsidR="0048341A" w:rsidRPr="00564DB3">
        <w:rPr>
          <w:szCs w:val="18"/>
        </w:rPr>
        <w:t>the</w:t>
      </w:r>
      <w:r w:rsidRPr="00564DB3">
        <w:rPr>
          <w:szCs w:val="18"/>
        </w:rPr>
        <w:t xml:space="preserve"> regulatory distinctions giving rise to the discrimination. As a result, the first compliance panel's findings under </w:t>
      </w:r>
      <w:r w:rsidR="00083DFC" w:rsidRPr="00564DB3">
        <w:rPr>
          <w:szCs w:val="18"/>
        </w:rPr>
        <w:t>Article </w:t>
      </w:r>
      <w:r w:rsidRPr="00564DB3">
        <w:rPr>
          <w:szCs w:val="18"/>
        </w:rPr>
        <w:t xml:space="preserve">2.1 </w:t>
      </w:r>
      <w:r w:rsidR="00357218" w:rsidRPr="00564DB3">
        <w:rPr>
          <w:szCs w:val="18"/>
        </w:rPr>
        <w:t>ha</w:t>
      </w:r>
      <w:r w:rsidRPr="00564DB3">
        <w:rPr>
          <w:szCs w:val="18"/>
        </w:rPr>
        <w:t>d not in fact ascertain</w:t>
      </w:r>
      <w:r w:rsidR="00357218" w:rsidRPr="00564DB3">
        <w:rPr>
          <w:szCs w:val="18"/>
        </w:rPr>
        <w:t>ed</w:t>
      </w:r>
      <w:r w:rsidRPr="00564DB3">
        <w:rPr>
          <w:szCs w:val="18"/>
        </w:rPr>
        <w:t xml:space="preserve"> the existence of arbitrary or unjustifiable discrimination. Thus, by relying on the same reasoning and analysis developed under </w:t>
      </w:r>
      <w:r w:rsidR="00083DFC" w:rsidRPr="00564DB3">
        <w:rPr>
          <w:szCs w:val="18"/>
        </w:rPr>
        <w:t>Article </w:t>
      </w:r>
      <w:r w:rsidRPr="00564DB3">
        <w:rPr>
          <w:szCs w:val="18"/>
        </w:rPr>
        <w:t xml:space="preserve">2.1, the errors committed by the first compliance panel therein also undermined its finding regarding arbitrary or unjustifiable discrimination under the </w:t>
      </w:r>
      <w:r w:rsidRPr="00564DB3">
        <w:rPr>
          <w:i/>
          <w:szCs w:val="18"/>
        </w:rPr>
        <w:t>chapeau</w:t>
      </w:r>
      <w:r w:rsidRPr="00564DB3">
        <w:rPr>
          <w:szCs w:val="18"/>
        </w:rPr>
        <w:t xml:space="preserve"> of </w:t>
      </w:r>
      <w:r w:rsidR="00083DFC" w:rsidRPr="00564DB3">
        <w:rPr>
          <w:szCs w:val="18"/>
        </w:rPr>
        <w:t>Article </w:t>
      </w:r>
      <w:r w:rsidRPr="00564DB3">
        <w:rPr>
          <w:szCs w:val="18"/>
        </w:rPr>
        <w:t>XX.</w:t>
      </w:r>
    </w:p>
    <w:p w:rsidR="00432E5C" w:rsidRPr="00564DB3" w:rsidRDefault="00432E5C" w:rsidP="00F70E38">
      <w:pPr>
        <w:pStyle w:val="BodyText"/>
        <w:rPr>
          <w:szCs w:val="18"/>
        </w:rPr>
      </w:pPr>
      <w:r w:rsidRPr="00564DB3">
        <w:rPr>
          <w:szCs w:val="18"/>
          <w:lang w:eastAsia="zh-CN"/>
        </w:rPr>
        <w:t xml:space="preserve">Turning to Mexico's appeal in these compliance proceedings, we recall that its claim under the </w:t>
      </w:r>
      <w:r w:rsidRPr="00564DB3">
        <w:rPr>
          <w:i/>
          <w:szCs w:val="18"/>
          <w:lang w:eastAsia="zh-CN"/>
        </w:rPr>
        <w:t xml:space="preserve">chapeau </w:t>
      </w:r>
      <w:r w:rsidRPr="00564DB3">
        <w:rPr>
          <w:szCs w:val="18"/>
          <w:lang w:eastAsia="zh-CN"/>
        </w:rPr>
        <w:t xml:space="preserve">of </w:t>
      </w:r>
      <w:r w:rsidR="00083DFC" w:rsidRPr="00564DB3">
        <w:rPr>
          <w:szCs w:val="18"/>
          <w:lang w:eastAsia="zh-CN"/>
        </w:rPr>
        <w:t>Article </w:t>
      </w:r>
      <w:r w:rsidRPr="00564DB3">
        <w:rPr>
          <w:szCs w:val="18"/>
          <w:lang w:eastAsia="zh-CN"/>
        </w:rPr>
        <w:t xml:space="preserve">XX </w:t>
      </w:r>
      <w:r w:rsidR="00357218" w:rsidRPr="00564DB3">
        <w:rPr>
          <w:szCs w:val="18"/>
          <w:lang w:eastAsia="zh-CN"/>
        </w:rPr>
        <w:t>is</w:t>
      </w:r>
      <w:r w:rsidRPr="00564DB3">
        <w:rPr>
          <w:szCs w:val="18"/>
          <w:lang w:eastAsia="zh-CN"/>
        </w:rPr>
        <w:t xml:space="preserve"> premised on its view that the calibration analysis conducted by the Panels </w:t>
      </w:r>
      <w:r w:rsidR="0048341A" w:rsidRPr="00564DB3">
        <w:rPr>
          <w:szCs w:val="18"/>
          <w:lang w:eastAsia="zh-CN"/>
        </w:rPr>
        <w:t xml:space="preserve">under Article 2.1 of the TBT Agreement </w:t>
      </w:r>
      <w:r w:rsidR="00C0669C" w:rsidRPr="00564DB3">
        <w:rPr>
          <w:szCs w:val="18"/>
          <w:lang w:eastAsia="zh-CN"/>
        </w:rPr>
        <w:t xml:space="preserve">did not encompass </w:t>
      </w:r>
      <w:r w:rsidRPr="00564DB3">
        <w:rPr>
          <w:szCs w:val="18"/>
          <w:lang w:eastAsia="zh-CN"/>
        </w:rPr>
        <w:t>consideration of the rational relationship between the regulatory distinctions of the 2016 Tuna Measure and its objectives.</w:t>
      </w:r>
      <w:r w:rsidR="005B1CE4" w:rsidRPr="00564DB3">
        <w:rPr>
          <w:rStyle w:val="FootnoteReference"/>
          <w:szCs w:val="18"/>
          <w:lang w:eastAsia="zh-CN"/>
        </w:rPr>
        <w:footnoteReference w:id="819"/>
      </w:r>
      <w:r w:rsidRPr="00564DB3">
        <w:rPr>
          <w:szCs w:val="18"/>
          <w:lang w:eastAsia="zh-CN"/>
        </w:rPr>
        <w:t xml:space="preserve"> According to Mexico, because an assessment of such </w:t>
      </w:r>
      <w:r w:rsidR="0048341A" w:rsidRPr="00564DB3">
        <w:rPr>
          <w:szCs w:val="18"/>
          <w:lang w:eastAsia="zh-CN"/>
        </w:rPr>
        <w:t xml:space="preserve">a </w:t>
      </w:r>
      <w:r w:rsidRPr="00564DB3">
        <w:rPr>
          <w:szCs w:val="18"/>
          <w:lang w:eastAsia="zh-CN"/>
        </w:rPr>
        <w:t xml:space="preserve">relationship is required for examining arbitrary or unjustifiable discrimination under the </w:t>
      </w:r>
      <w:r w:rsidRPr="00564DB3">
        <w:rPr>
          <w:i/>
          <w:szCs w:val="18"/>
          <w:lang w:eastAsia="zh-CN"/>
        </w:rPr>
        <w:t>chapeau</w:t>
      </w:r>
      <w:r w:rsidRPr="00564DB3">
        <w:rPr>
          <w:szCs w:val="18"/>
          <w:lang w:eastAsia="zh-CN"/>
        </w:rPr>
        <w:t xml:space="preserve"> of </w:t>
      </w:r>
      <w:r w:rsidR="00083DFC" w:rsidRPr="00564DB3">
        <w:rPr>
          <w:szCs w:val="18"/>
          <w:lang w:eastAsia="zh-CN"/>
        </w:rPr>
        <w:t>Article </w:t>
      </w:r>
      <w:r w:rsidRPr="00564DB3">
        <w:rPr>
          <w:szCs w:val="18"/>
          <w:lang w:eastAsia="zh-CN"/>
        </w:rPr>
        <w:t xml:space="preserve">XX, </w:t>
      </w:r>
      <w:r w:rsidR="0048341A" w:rsidRPr="00564DB3">
        <w:rPr>
          <w:szCs w:val="18"/>
          <w:lang w:eastAsia="zh-CN"/>
        </w:rPr>
        <w:t xml:space="preserve">the Panels erred </w:t>
      </w:r>
      <w:r w:rsidRPr="00564DB3">
        <w:rPr>
          <w:szCs w:val="18"/>
        </w:rPr>
        <w:t>by relying on th</w:t>
      </w:r>
      <w:r w:rsidR="0048341A" w:rsidRPr="00564DB3">
        <w:rPr>
          <w:szCs w:val="18"/>
        </w:rPr>
        <w:t>eir</w:t>
      </w:r>
      <w:r w:rsidRPr="00564DB3">
        <w:rPr>
          <w:szCs w:val="18"/>
        </w:rPr>
        <w:t xml:space="preserve"> findings</w:t>
      </w:r>
      <w:r w:rsidR="00357218" w:rsidRPr="00564DB3">
        <w:rPr>
          <w:szCs w:val="18"/>
        </w:rPr>
        <w:t>,</w:t>
      </w:r>
      <w:r w:rsidRPr="00564DB3">
        <w:rPr>
          <w:szCs w:val="18"/>
        </w:rPr>
        <w:t xml:space="preserve"> </w:t>
      </w:r>
      <w:r w:rsidR="00357218" w:rsidRPr="00564DB3">
        <w:rPr>
          <w:szCs w:val="18"/>
        </w:rPr>
        <w:t>made under Article </w:t>
      </w:r>
      <w:r w:rsidR="0048341A" w:rsidRPr="00564DB3">
        <w:rPr>
          <w:szCs w:val="18"/>
        </w:rPr>
        <w:t>2.1</w:t>
      </w:r>
      <w:r w:rsidR="00357218" w:rsidRPr="00564DB3">
        <w:rPr>
          <w:szCs w:val="18"/>
        </w:rPr>
        <w:t>,</w:t>
      </w:r>
      <w:r w:rsidR="0048341A" w:rsidRPr="00564DB3">
        <w:rPr>
          <w:szCs w:val="18"/>
        </w:rPr>
        <w:t xml:space="preserve"> for </w:t>
      </w:r>
      <w:r w:rsidRPr="00564DB3">
        <w:rPr>
          <w:szCs w:val="18"/>
        </w:rPr>
        <w:t xml:space="preserve">their analysis under the </w:t>
      </w:r>
      <w:r w:rsidRPr="00564DB3">
        <w:rPr>
          <w:i/>
          <w:szCs w:val="18"/>
        </w:rPr>
        <w:t>chapeau</w:t>
      </w:r>
      <w:r w:rsidRPr="00564DB3">
        <w:rPr>
          <w:szCs w:val="18"/>
        </w:rPr>
        <w:t xml:space="preserve"> of </w:t>
      </w:r>
      <w:r w:rsidR="00083DFC" w:rsidRPr="00564DB3">
        <w:rPr>
          <w:szCs w:val="18"/>
        </w:rPr>
        <w:t>Article </w:t>
      </w:r>
      <w:r w:rsidRPr="00564DB3">
        <w:rPr>
          <w:szCs w:val="18"/>
        </w:rPr>
        <w:t>XX.</w:t>
      </w:r>
      <w:r w:rsidR="005B1CE4" w:rsidRPr="00564DB3">
        <w:rPr>
          <w:rStyle w:val="FootnoteReference"/>
          <w:szCs w:val="18"/>
        </w:rPr>
        <w:footnoteReference w:id="820"/>
      </w:r>
      <w:r w:rsidRPr="00564DB3">
        <w:rPr>
          <w:szCs w:val="18"/>
        </w:rPr>
        <w:t xml:space="preserve"> </w:t>
      </w:r>
    </w:p>
    <w:p w:rsidR="00432E5C" w:rsidRPr="00564DB3" w:rsidRDefault="00357218" w:rsidP="00F70E38">
      <w:pPr>
        <w:pStyle w:val="BodyText"/>
        <w:rPr>
          <w:szCs w:val="18"/>
        </w:rPr>
      </w:pPr>
      <w:bookmarkStart w:id="379" w:name="_Ref529196596"/>
      <w:r w:rsidRPr="00564DB3">
        <w:rPr>
          <w:szCs w:val="18"/>
        </w:rPr>
        <w:t>W</w:t>
      </w:r>
      <w:r w:rsidR="00432E5C" w:rsidRPr="00564DB3">
        <w:rPr>
          <w:szCs w:val="18"/>
        </w:rPr>
        <w:t>e</w:t>
      </w:r>
      <w:bookmarkStart w:id="380" w:name="_Hlk526430908"/>
      <w:r w:rsidR="00432E5C" w:rsidRPr="00564DB3">
        <w:rPr>
          <w:szCs w:val="18"/>
          <w:lang w:eastAsia="zh-CN"/>
        </w:rPr>
        <w:t xml:space="preserve"> recall that</w:t>
      </w:r>
      <w:r w:rsidRPr="00564DB3">
        <w:rPr>
          <w:szCs w:val="18"/>
          <w:lang w:eastAsia="zh-CN"/>
        </w:rPr>
        <w:t>, in this dispute,</w:t>
      </w:r>
      <w:r w:rsidR="00432E5C" w:rsidRPr="00564DB3">
        <w:rPr>
          <w:szCs w:val="18"/>
          <w:lang w:eastAsia="zh-CN"/>
        </w:rPr>
        <w:t xml:space="preserve"> </w:t>
      </w:r>
      <w:r w:rsidR="00432E5C" w:rsidRPr="00564DB3">
        <w:rPr>
          <w:szCs w:val="18"/>
        </w:rPr>
        <w:t xml:space="preserve">the "discrimination between countries where the same conditions prevail" </w:t>
      </w:r>
      <w:r w:rsidR="00FF1995" w:rsidRPr="00564DB3">
        <w:rPr>
          <w:szCs w:val="18"/>
        </w:rPr>
        <w:t xml:space="preserve">for the purpose of </w:t>
      </w:r>
      <w:r w:rsidR="00432E5C" w:rsidRPr="00564DB3">
        <w:rPr>
          <w:szCs w:val="18"/>
        </w:rPr>
        <w:t xml:space="preserve">the </w:t>
      </w:r>
      <w:r w:rsidR="00432E5C" w:rsidRPr="00564DB3">
        <w:rPr>
          <w:i/>
          <w:szCs w:val="18"/>
        </w:rPr>
        <w:t>chapeau</w:t>
      </w:r>
      <w:r w:rsidR="00432E5C" w:rsidRPr="00564DB3">
        <w:rPr>
          <w:szCs w:val="18"/>
        </w:rPr>
        <w:t xml:space="preserve"> of </w:t>
      </w:r>
      <w:r w:rsidR="00083DFC" w:rsidRPr="00564DB3">
        <w:rPr>
          <w:szCs w:val="18"/>
        </w:rPr>
        <w:t>Article </w:t>
      </w:r>
      <w:r w:rsidR="00432E5C" w:rsidRPr="00564DB3">
        <w:rPr>
          <w:szCs w:val="18"/>
        </w:rPr>
        <w:t>XX ar</w:t>
      </w:r>
      <w:r w:rsidR="0048341A" w:rsidRPr="00564DB3">
        <w:rPr>
          <w:szCs w:val="18"/>
        </w:rPr>
        <w:t>ises</w:t>
      </w:r>
      <w:r w:rsidR="00A1588F" w:rsidRPr="00564DB3">
        <w:rPr>
          <w:szCs w:val="18"/>
        </w:rPr>
        <w:t xml:space="preserve"> from the fact that "the 2016 </w:t>
      </w:r>
      <w:r w:rsidR="00432E5C" w:rsidRPr="00564DB3">
        <w:rPr>
          <w:szCs w:val="18"/>
        </w:rPr>
        <w:t>Tuna Measure continues to cause the same detrimental impact resulting from the discriminatory treatment between tuna products containing tuna caught in the ETP large purse-seine fishery and those containing tuna caught in other fisheries</w:t>
      </w:r>
      <w:r w:rsidR="00DC1603" w:rsidRPr="00564DB3">
        <w:rPr>
          <w:szCs w:val="18"/>
        </w:rPr>
        <w:t>.</w:t>
      </w:r>
      <w:r w:rsidR="00432E5C" w:rsidRPr="00564DB3">
        <w:rPr>
          <w:szCs w:val="18"/>
        </w:rPr>
        <w:t>"</w:t>
      </w:r>
      <w:r w:rsidR="005B1CE4" w:rsidRPr="00564DB3">
        <w:rPr>
          <w:rStyle w:val="FootnoteReference"/>
          <w:szCs w:val="18"/>
        </w:rPr>
        <w:footnoteReference w:id="821"/>
      </w:r>
      <w:r w:rsidR="00432E5C" w:rsidRPr="00564DB3">
        <w:rPr>
          <w:szCs w:val="18"/>
        </w:rPr>
        <w:t xml:space="preserve"> Thus, while</w:t>
      </w:r>
      <w:r w:rsidR="0048341A" w:rsidRPr="00564DB3">
        <w:rPr>
          <w:szCs w:val="18"/>
        </w:rPr>
        <w:t xml:space="preserve"> </w:t>
      </w:r>
      <w:r w:rsidR="00432E5C" w:rsidRPr="00564DB3">
        <w:rPr>
          <w:szCs w:val="18"/>
        </w:rPr>
        <w:t xml:space="preserve">the discrimination examined under the </w:t>
      </w:r>
      <w:r w:rsidR="00432E5C" w:rsidRPr="00564DB3">
        <w:rPr>
          <w:i/>
          <w:szCs w:val="18"/>
        </w:rPr>
        <w:t xml:space="preserve">chapeau </w:t>
      </w:r>
      <w:r w:rsidR="00432E5C" w:rsidRPr="00564DB3">
        <w:rPr>
          <w:szCs w:val="18"/>
        </w:rPr>
        <w:t xml:space="preserve">of </w:t>
      </w:r>
      <w:r w:rsidR="00083DFC" w:rsidRPr="00564DB3">
        <w:rPr>
          <w:szCs w:val="18"/>
        </w:rPr>
        <w:t>Article </w:t>
      </w:r>
      <w:r w:rsidR="00432E5C" w:rsidRPr="00564DB3">
        <w:rPr>
          <w:szCs w:val="18"/>
        </w:rPr>
        <w:t>XX may not be the same as the discrimination found to be inconsistent with the relevant provisions of the GATT</w:t>
      </w:r>
      <w:r w:rsidR="00025CB6" w:rsidRPr="00564DB3">
        <w:rPr>
          <w:szCs w:val="18"/>
        </w:rPr>
        <w:t> 1994</w:t>
      </w:r>
      <w:r w:rsidR="00432E5C" w:rsidRPr="00564DB3">
        <w:rPr>
          <w:szCs w:val="18"/>
        </w:rPr>
        <w:t xml:space="preserve">, in the present </w:t>
      </w:r>
      <w:r w:rsidRPr="00564DB3">
        <w:rPr>
          <w:szCs w:val="18"/>
        </w:rPr>
        <w:t>dispute</w:t>
      </w:r>
      <w:r w:rsidR="00432E5C" w:rsidRPr="00564DB3">
        <w:rPr>
          <w:szCs w:val="18"/>
        </w:rPr>
        <w:t xml:space="preserve">, the relevant discrimination for the analysis under the </w:t>
      </w:r>
      <w:r w:rsidR="00432E5C" w:rsidRPr="00564DB3">
        <w:rPr>
          <w:i/>
          <w:szCs w:val="18"/>
        </w:rPr>
        <w:t>chapeau</w:t>
      </w:r>
      <w:r w:rsidR="00432E5C" w:rsidRPr="00564DB3">
        <w:rPr>
          <w:szCs w:val="18"/>
        </w:rPr>
        <w:t xml:space="preserve"> of </w:t>
      </w:r>
      <w:r w:rsidR="00083DFC" w:rsidRPr="00564DB3">
        <w:rPr>
          <w:szCs w:val="18"/>
        </w:rPr>
        <w:t>Article </w:t>
      </w:r>
      <w:r w:rsidR="00432E5C" w:rsidRPr="00564DB3">
        <w:rPr>
          <w:szCs w:val="18"/>
        </w:rPr>
        <w:t xml:space="preserve">XX is the same as the detrimental impact caused by the relevant regulatory distinctions examined by the Panels in the context of </w:t>
      </w:r>
      <w:r w:rsidR="00083DFC" w:rsidRPr="00564DB3">
        <w:rPr>
          <w:szCs w:val="18"/>
        </w:rPr>
        <w:t>Article </w:t>
      </w:r>
      <w:r w:rsidR="00432E5C" w:rsidRPr="00564DB3">
        <w:rPr>
          <w:szCs w:val="18"/>
        </w:rPr>
        <w:t xml:space="preserve">2.1. Furthermore, we recall that two elements of the legal test under the </w:t>
      </w:r>
      <w:r w:rsidR="00432E5C" w:rsidRPr="00564DB3">
        <w:rPr>
          <w:i/>
          <w:szCs w:val="18"/>
        </w:rPr>
        <w:t>chapeau</w:t>
      </w:r>
      <w:r w:rsidR="0048341A" w:rsidRPr="00564DB3">
        <w:rPr>
          <w:szCs w:val="18"/>
        </w:rPr>
        <w:t xml:space="preserve"> </w:t>
      </w:r>
      <w:r w:rsidR="00432E5C" w:rsidRPr="00564DB3">
        <w:rPr>
          <w:szCs w:val="18"/>
        </w:rPr>
        <w:t>– namely, the existence of discrimination</w:t>
      </w:r>
      <w:r w:rsidR="00DF7B27" w:rsidRPr="00564DB3">
        <w:rPr>
          <w:szCs w:val="18"/>
        </w:rPr>
        <w:t xml:space="preserve"> between countries</w:t>
      </w:r>
      <w:r w:rsidR="00432E5C" w:rsidRPr="00564DB3">
        <w:rPr>
          <w:szCs w:val="18"/>
        </w:rPr>
        <w:t xml:space="preserve">, and whether the same conditions prevail </w:t>
      </w:r>
      <w:r w:rsidR="00DF7B27" w:rsidRPr="00564DB3">
        <w:rPr>
          <w:szCs w:val="18"/>
        </w:rPr>
        <w:t>in those</w:t>
      </w:r>
      <w:r w:rsidR="00432E5C" w:rsidRPr="00564DB3">
        <w:rPr>
          <w:szCs w:val="18"/>
        </w:rPr>
        <w:t xml:space="preserve"> countries</w:t>
      </w:r>
      <w:r w:rsidR="00530EB8" w:rsidRPr="00564DB3">
        <w:rPr>
          <w:szCs w:val="18"/>
        </w:rPr>
        <w:t> – </w:t>
      </w:r>
      <w:r w:rsidR="00432E5C" w:rsidRPr="00564DB3">
        <w:rPr>
          <w:szCs w:val="18"/>
        </w:rPr>
        <w:t>are not at issue between the parti</w:t>
      </w:r>
      <w:r w:rsidR="009458E7" w:rsidRPr="00564DB3">
        <w:rPr>
          <w:szCs w:val="18"/>
        </w:rPr>
        <w:t>e</w:t>
      </w:r>
      <w:r w:rsidR="00432E5C" w:rsidRPr="00564DB3">
        <w:rPr>
          <w:szCs w:val="18"/>
        </w:rPr>
        <w:t>s.</w:t>
      </w:r>
      <w:r w:rsidR="005B1CE4" w:rsidRPr="00564DB3">
        <w:rPr>
          <w:rStyle w:val="FootnoteReference"/>
          <w:szCs w:val="18"/>
        </w:rPr>
        <w:footnoteReference w:id="822"/>
      </w:r>
      <w:r w:rsidR="00432E5C" w:rsidRPr="00564DB3">
        <w:rPr>
          <w:szCs w:val="18"/>
        </w:rPr>
        <w:t xml:space="preserve"> This means that the issue before us concerns</w:t>
      </w:r>
      <w:r w:rsidRPr="00564DB3">
        <w:rPr>
          <w:szCs w:val="18"/>
        </w:rPr>
        <w:t>,</w:t>
      </w:r>
      <w:r w:rsidR="00432E5C" w:rsidRPr="00564DB3">
        <w:rPr>
          <w:szCs w:val="18"/>
        </w:rPr>
        <w:t xml:space="preserve"> exclusively</w:t>
      </w:r>
      <w:r w:rsidRPr="00564DB3">
        <w:rPr>
          <w:szCs w:val="18"/>
        </w:rPr>
        <w:t>,</w:t>
      </w:r>
      <w:r w:rsidR="00432E5C" w:rsidRPr="00564DB3">
        <w:rPr>
          <w:szCs w:val="18"/>
        </w:rPr>
        <w:t xml:space="preserve"> whether the </w:t>
      </w:r>
      <w:r w:rsidRPr="00564DB3">
        <w:rPr>
          <w:szCs w:val="18"/>
        </w:rPr>
        <w:t>2016 Tuna M</w:t>
      </w:r>
      <w:r w:rsidR="00432E5C" w:rsidRPr="00564DB3">
        <w:rPr>
          <w:szCs w:val="18"/>
        </w:rPr>
        <w:t>easure is applied in a manner that constitute</w:t>
      </w:r>
      <w:r w:rsidR="00DF7B27" w:rsidRPr="00564DB3">
        <w:rPr>
          <w:szCs w:val="18"/>
        </w:rPr>
        <w:t>s</w:t>
      </w:r>
      <w:r w:rsidR="00432E5C" w:rsidRPr="00564DB3">
        <w:rPr>
          <w:szCs w:val="18"/>
        </w:rPr>
        <w:t xml:space="preserve"> a means of arbitrary or unjustifiable discrimination.</w:t>
      </w:r>
      <w:bookmarkEnd w:id="379"/>
    </w:p>
    <w:p w:rsidR="00432E5C" w:rsidRPr="00564DB3" w:rsidRDefault="00357218" w:rsidP="00F70E38">
      <w:pPr>
        <w:pStyle w:val="BodyText"/>
        <w:rPr>
          <w:szCs w:val="18"/>
        </w:rPr>
      </w:pPr>
      <w:r w:rsidRPr="00564DB3">
        <w:rPr>
          <w:szCs w:val="18"/>
        </w:rPr>
        <w:t>In this regard, we recall</w:t>
      </w:r>
      <w:r w:rsidR="00432E5C" w:rsidRPr="00564DB3">
        <w:rPr>
          <w:szCs w:val="18"/>
        </w:rPr>
        <w:t xml:space="preserve"> that </w:t>
      </w:r>
      <w:r w:rsidR="00DF7B27" w:rsidRPr="00564DB3">
        <w:rPr>
          <w:szCs w:val="18"/>
        </w:rPr>
        <w:t>"</w:t>
      </w:r>
      <w:r w:rsidR="00432E5C" w:rsidRPr="00564DB3">
        <w:rPr>
          <w:szCs w:val="18"/>
        </w:rPr>
        <w:t>'[o]</w:t>
      </w:r>
      <w:proofErr w:type="spellStart"/>
      <w:r w:rsidR="00432E5C" w:rsidRPr="00564DB3">
        <w:rPr>
          <w:szCs w:val="18"/>
        </w:rPr>
        <w:t>ne</w:t>
      </w:r>
      <w:proofErr w:type="spellEnd"/>
      <w:r w:rsidR="00432E5C" w:rsidRPr="00564DB3">
        <w:rPr>
          <w:szCs w:val="18"/>
        </w:rPr>
        <w:t xml:space="preserve"> of the most important factors' in the assessment of arbitrary or unjustifiable discrimination is the question of whether the discrimination can be reconciled with, or is rationally related to, the policy objective with respect to which the measure </w:t>
      </w:r>
      <w:r w:rsidR="00432E5C" w:rsidRPr="00DB7FD3">
        <w:rPr>
          <w:szCs w:val="18"/>
        </w:rPr>
        <w:t xml:space="preserve">has been provisionally justified under one of the subparagraphs of </w:t>
      </w:r>
      <w:r w:rsidR="00083DFC" w:rsidRPr="00DB7FD3">
        <w:rPr>
          <w:szCs w:val="18"/>
        </w:rPr>
        <w:t>Article </w:t>
      </w:r>
      <w:r w:rsidR="00432E5C" w:rsidRPr="00DB7FD3">
        <w:rPr>
          <w:szCs w:val="18"/>
        </w:rPr>
        <w:t>XX."</w:t>
      </w:r>
      <w:r w:rsidR="005B1CE4" w:rsidRPr="00DB7FD3">
        <w:rPr>
          <w:rStyle w:val="FootnoteReference"/>
          <w:szCs w:val="18"/>
        </w:rPr>
        <w:footnoteReference w:id="823"/>
      </w:r>
      <w:r w:rsidR="00432E5C" w:rsidRPr="00DB7FD3">
        <w:rPr>
          <w:szCs w:val="18"/>
        </w:rPr>
        <w:t xml:space="preserve"> As discussed</w:t>
      </w:r>
      <w:r w:rsidR="00432E5C" w:rsidRPr="00DB7FD3">
        <w:rPr>
          <w:szCs w:val="18"/>
          <w:lang w:eastAsia="zh-CN"/>
        </w:rPr>
        <w:t xml:space="preserve"> in section</w:t>
      </w:r>
      <w:r w:rsidR="00DB7FD3" w:rsidRPr="00DB7FD3">
        <w:rPr>
          <w:szCs w:val="18"/>
          <w:lang w:eastAsia="zh-CN"/>
        </w:rPr>
        <w:t xml:space="preserve"> 6.1.3.1</w:t>
      </w:r>
      <w:r w:rsidR="00EA7331" w:rsidRPr="00DB7FD3">
        <w:rPr>
          <w:szCs w:val="18"/>
          <w:lang w:eastAsia="zh-CN"/>
        </w:rPr>
        <w:t xml:space="preserve"> </w:t>
      </w:r>
      <w:r w:rsidR="00432E5C" w:rsidRPr="00DB7FD3">
        <w:rPr>
          <w:szCs w:val="18"/>
          <w:lang w:eastAsia="zh-CN"/>
        </w:rPr>
        <w:t xml:space="preserve">above, </w:t>
      </w:r>
      <w:r w:rsidR="00432E5C" w:rsidRPr="00DB7FD3">
        <w:rPr>
          <w:szCs w:val="18"/>
        </w:rPr>
        <w:t>considerations of the rational relationship between the regulatory distinctions causing</w:t>
      </w:r>
      <w:r w:rsidR="00432E5C" w:rsidRPr="00564DB3">
        <w:rPr>
          <w:szCs w:val="18"/>
        </w:rPr>
        <w:t xml:space="preserve"> such detrimental impact and the objectives of the 2016 Tuna Measure, rather than being a separate inquiry, are </w:t>
      </w:r>
      <w:r w:rsidR="00DF7B27" w:rsidRPr="00564DB3">
        <w:rPr>
          <w:szCs w:val="18"/>
        </w:rPr>
        <w:t>encompassed in</w:t>
      </w:r>
      <w:r w:rsidR="00432E5C" w:rsidRPr="00564DB3">
        <w:rPr>
          <w:szCs w:val="18"/>
        </w:rPr>
        <w:t xml:space="preserve"> a proper calibration analysis under </w:t>
      </w:r>
      <w:r w:rsidR="00083DFC" w:rsidRPr="00564DB3">
        <w:rPr>
          <w:szCs w:val="18"/>
        </w:rPr>
        <w:t>Article </w:t>
      </w:r>
      <w:r w:rsidR="00432E5C" w:rsidRPr="00564DB3">
        <w:rPr>
          <w:szCs w:val="18"/>
        </w:rPr>
        <w:t xml:space="preserve">2.1. This is because, where the calibration </w:t>
      </w:r>
      <w:r w:rsidR="00DF7B27" w:rsidRPr="00564DB3">
        <w:rPr>
          <w:szCs w:val="18"/>
        </w:rPr>
        <w:t>analysis</w:t>
      </w:r>
      <w:r w:rsidR="00432E5C" w:rsidRPr="00564DB3">
        <w:rPr>
          <w:szCs w:val="18"/>
        </w:rPr>
        <w:t xml:space="preserve"> is </w:t>
      </w:r>
      <w:r w:rsidR="00DF7B27" w:rsidRPr="00564DB3">
        <w:rPr>
          <w:szCs w:val="18"/>
        </w:rPr>
        <w:t>conducted properly</w:t>
      </w:r>
      <w:r w:rsidR="00432E5C" w:rsidRPr="00564DB3">
        <w:rPr>
          <w:szCs w:val="18"/>
        </w:rPr>
        <w:t xml:space="preserve">, </w:t>
      </w:r>
      <w:r w:rsidRPr="00564DB3">
        <w:rPr>
          <w:szCs w:val="18"/>
        </w:rPr>
        <w:t>it</w:t>
      </w:r>
      <w:r w:rsidR="00432E5C" w:rsidRPr="00564DB3">
        <w:rPr>
          <w:szCs w:val="18"/>
        </w:rPr>
        <w:t xml:space="preserve"> </w:t>
      </w:r>
      <w:r w:rsidR="00DF7B27" w:rsidRPr="00564DB3">
        <w:rPr>
          <w:szCs w:val="18"/>
        </w:rPr>
        <w:t>would</w:t>
      </w:r>
      <w:r w:rsidR="00432E5C" w:rsidRPr="00564DB3">
        <w:rPr>
          <w:szCs w:val="18"/>
        </w:rPr>
        <w:t xml:space="preserve"> also ascertain whether the label granted under the measure at issue convey</w:t>
      </w:r>
      <w:r w:rsidR="00DF7B27" w:rsidRPr="00564DB3">
        <w:rPr>
          <w:szCs w:val="18"/>
        </w:rPr>
        <w:t>s</w:t>
      </w:r>
      <w:r w:rsidR="00432E5C" w:rsidRPr="00564DB3">
        <w:rPr>
          <w:szCs w:val="18"/>
        </w:rPr>
        <w:t xml:space="preserve"> the information regarding the dolphin-safe nature of the tuna products to consumers. Thus, as explained, we consider that </w:t>
      </w:r>
      <w:r w:rsidR="007C6482" w:rsidRPr="00564DB3">
        <w:rPr>
          <w:szCs w:val="18"/>
        </w:rPr>
        <w:t xml:space="preserve">a proper assessment of whether the measure is calibrated </w:t>
      </w:r>
      <w:r w:rsidR="00432E5C" w:rsidRPr="00564DB3">
        <w:rPr>
          <w:szCs w:val="18"/>
        </w:rPr>
        <w:t xml:space="preserve">to the risks to dolphins arising from the use of different fishing methods in different areas of the ocean </w:t>
      </w:r>
      <w:r w:rsidR="007C6482" w:rsidRPr="00564DB3">
        <w:rPr>
          <w:szCs w:val="18"/>
        </w:rPr>
        <w:t xml:space="preserve">would take </w:t>
      </w:r>
      <w:r w:rsidR="00432E5C" w:rsidRPr="00564DB3">
        <w:rPr>
          <w:szCs w:val="18"/>
        </w:rPr>
        <w:t>into account the objectives of the 2016 Tuna Measure regarding dolphin protection and consumer information</w:t>
      </w:r>
      <w:r w:rsidR="00A572EA" w:rsidRPr="00564DB3">
        <w:rPr>
          <w:szCs w:val="18"/>
        </w:rPr>
        <w:t>.</w:t>
      </w:r>
      <w:r w:rsidR="005B1CE4" w:rsidRPr="00564DB3">
        <w:rPr>
          <w:rStyle w:val="FootnoteReference"/>
          <w:szCs w:val="18"/>
        </w:rPr>
        <w:footnoteReference w:id="824"/>
      </w:r>
      <w:r w:rsidR="00432E5C" w:rsidRPr="00564DB3">
        <w:rPr>
          <w:szCs w:val="18"/>
        </w:rPr>
        <w:t xml:space="preserve"> Such </w:t>
      </w:r>
      <w:r w:rsidR="007C6482" w:rsidRPr="00564DB3">
        <w:rPr>
          <w:szCs w:val="18"/>
        </w:rPr>
        <w:t>an assessment would</w:t>
      </w:r>
      <w:r w:rsidR="00432E5C" w:rsidRPr="00564DB3">
        <w:rPr>
          <w:szCs w:val="18"/>
        </w:rPr>
        <w:t xml:space="preserve"> also help to ascertain the nexus between such objectives and the regulatory distinctions</w:t>
      </w:r>
      <w:r w:rsidR="00083DFC" w:rsidRPr="00564DB3">
        <w:rPr>
          <w:szCs w:val="18"/>
        </w:rPr>
        <w:t xml:space="preserve"> </w:t>
      </w:r>
      <w:r w:rsidR="00432E5C" w:rsidRPr="00564DB3">
        <w:rPr>
          <w:szCs w:val="18"/>
        </w:rPr>
        <w:t>drawn under the measure.</w:t>
      </w:r>
    </w:p>
    <w:bookmarkEnd w:id="380"/>
    <w:p w:rsidR="00432E5C" w:rsidRPr="00564DB3" w:rsidRDefault="00432E5C" w:rsidP="00F70E38">
      <w:pPr>
        <w:pStyle w:val="BodyText"/>
        <w:rPr>
          <w:szCs w:val="18"/>
        </w:rPr>
      </w:pPr>
      <w:r w:rsidRPr="00564DB3">
        <w:rPr>
          <w:szCs w:val="18"/>
        </w:rPr>
        <w:t xml:space="preserve">Furthermore, </w:t>
      </w:r>
      <w:r w:rsidRPr="00DB7FD3">
        <w:rPr>
          <w:szCs w:val="18"/>
        </w:rPr>
        <w:t>in section</w:t>
      </w:r>
      <w:r w:rsidR="00AD73C5" w:rsidRPr="00DB7FD3">
        <w:rPr>
          <w:szCs w:val="18"/>
        </w:rPr>
        <w:t>s</w:t>
      </w:r>
      <w:r w:rsidR="00DB7FD3" w:rsidRPr="00DB7FD3">
        <w:rPr>
          <w:szCs w:val="18"/>
        </w:rPr>
        <w:t xml:space="preserve"> 6.1.4 and 6.1.5 </w:t>
      </w:r>
      <w:r w:rsidR="00357218" w:rsidRPr="00DB7FD3">
        <w:rPr>
          <w:szCs w:val="18"/>
        </w:rPr>
        <w:t>above</w:t>
      </w:r>
      <w:r w:rsidRPr="00DB7FD3">
        <w:rPr>
          <w:szCs w:val="18"/>
        </w:rPr>
        <w:t>, we</w:t>
      </w:r>
      <w:r w:rsidRPr="00564DB3">
        <w:rPr>
          <w:szCs w:val="18"/>
        </w:rPr>
        <w:t xml:space="preserve"> </w:t>
      </w:r>
      <w:r w:rsidR="00357218" w:rsidRPr="00564DB3">
        <w:rPr>
          <w:szCs w:val="18"/>
        </w:rPr>
        <w:t xml:space="preserve">have </w:t>
      </w:r>
      <w:r w:rsidRPr="00564DB3">
        <w:rPr>
          <w:szCs w:val="18"/>
        </w:rPr>
        <w:t>found that t</w:t>
      </w:r>
      <w:r w:rsidRPr="00564DB3">
        <w:rPr>
          <w:szCs w:val="18"/>
          <w:lang w:eastAsia="zh-CN"/>
        </w:rPr>
        <w:t>he Panels conducted a proper calibration analysis of the 2016 Tuna Measure by assessing whether the regulatory distinctions of the 2016 Tuna Measure are calibrated to</w:t>
      </w:r>
      <w:r w:rsidR="00AD73C5" w:rsidRPr="00564DB3">
        <w:rPr>
          <w:szCs w:val="18"/>
          <w:lang w:eastAsia="zh-CN"/>
        </w:rPr>
        <w:t xml:space="preserve"> </w:t>
      </w:r>
      <w:r w:rsidRPr="00564DB3">
        <w:rPr>
          <w:szCs w:val="18"/>
        </w:rPr>
        <w:t xml:space="preserve">different risks to dolphins arising from the use of different fishing methods in different areas of the ocean. </w:t>
      </w:r>
      <w:r w:rsidR="00145C22">
        <w:rPr>
          <w:szCs w:val="18"/>
        </w:rPr>
        <w:t>We consider that the Panels' </w:t>
      </w:r>
      <w:r w:rsidR="00497710" w:rsidRPr="00564DB3">
        <w:rPr>
          <w:szCs w:val="18"/>
        </w:rPr>
        <w:t xml:space="preserve">sequential analyses of each of the elements of the 2016 Tuna Measure, as well as </w:t>
      </w:r>
      <w:r w:rsidR="001771DC" w:rsidRPr="00564DB3">
        <w:rPr>
          <w:szCs w:val="18"/>
        </w:rPr>
        <w:t>their</w:t>
      </w:r>
      <w:r w:rsidR="00497710" w:rsidRPr="00564DB3">
        <w:rPr>
          <w:szCs w:val="18"/>
        </w:rPr>
        <w:t xml:space="preserve"> examination of the measure as a whole, were properly informed by the interlinkages between these elements and the fact that they operate together to regulate access to the dolphin-safe label.</w:t>
      </w:r>
      <w:r w:rsidR="00AD73C5" w:rsidRPr="00564DB3">
        <w:rPr>
          <w:rStyle w:val="FootnoteReference"/>
          <w:szCs w:val="18"/>
        </w:rPr>
        <w:footnoteReference w:id="825"/>
      </w:r>
      <w:r w:rsidRPr="00564DB3">
        <w:rPr>
          <w:szCs w:val="18"/>
        </w:rPr>
        <w:t xml:space="preserve"> </w:t>
      </w:r>
      <w:r w:rsidR="00D04F30">
        <w:rPr>
          <w:szCs w:val="18"/>
          <w:lang w:eastAsia="zh-CN"/>
        </w:rPr>
        <w:t>We </w:t>
      </w:r>
      <w:r w:rsidRPr="00564DB3">
        <w:rPr>
          <w:szCs w:val="18"/>
          <w:lang w:eastAsia="zh-CN"/>
        </w:rPr>
        <w:t xml:space="preserve">thus agree with the Panels that </w:t>
      </w:r>
      <w:r w:rsidRPr="00564DB3">
        <w:rPr>
          <w:szCs w:val="18"/>
        </w:rPr>
        <w:t xml:space="preserve">they </w:t>
      </w:r>
      <w:r w:rsidR="00AD73C5" w:rsidRPr="00564DB3">
        <w:rPr>
          <w:szCs w:val="18"/>
        </w:rPr>
        <w:t>were</w:t>
      </w:r>
      <w:r w:rsidRPr="00564DB3">
        <w:rPr>
          <w:szCs w:val="18"/>
        </w:rPr>
        <w:t xml:space="preserve"> "mindful" of the Appellate</w:t>
      </w:r>
      <w:r w:rsidR="00025CB6" w:rsidRPr="00564DB3">
        <w:rPr>
          <w:szCs w:val="18"/>
        </w:rPr>
        <w:t> Body</w:t>
      </w:r>
      <w:r w:rsidRPr="00564DB3">
        <w:rPr>
          <w:szCs w:val="18"/>
        </w:rPr>
        <w:t>'s guidance in the previous compliance proceedings, and that they conducted their calibration analysis accordingly.</w:t>
      </w:r>
      <w:r w:rsidR="005B1CE4" w:rsidRPr="00564DB3">
        <w:rPr>
          <w:rStyle w:val="FootnoteReference"/>
          <w:szCs w:val="18"/>
        </w:rPr>
        <w:footnoteReference w:id="826"/>
      </w:r>
      <w:r w:rsidRPr="00564DB3">
        <w:rPr>
          <w:szCs w:val="18"/>
        </w:rPr>
        <w:t xml:space="preserve"> In our view, unlike the first compliance panel's assessment of the</w:t>
      </w:r>
      <w:r w:rsidR="00D04F30">
        <w:rPr>
          <w:szCs w:val="18"/>
        </w:rPr>
        <w:t xml:space="preserve"> 2013 Tuna Measure, the Panels' </w:t>
      </w:r>
      <w:r w:rsidRPr="00564DB3">
        <w:rPr>
          <w:szCs w:val="18"/>
        </w:rPr>
        <w:t xml:space="preserve">calibration analysis under </w:t>
      </w:r>
      <w:r w:rsidR="00083DFC" w:rsidRPr="00564DB3">
        <w:rPr>
          <w:szCs w:val="18"/>
        </w:rPr>
        <w:t>Article </w:t>
      </w:r>
      <w:r w:rsidRPr="00564DB3">
        <w:rPr>
          <w:szCs w:val="18"/>
        </w:rPr>
        <w:t>2.1 encompassed consideration of the rational relationship between the regulatory distinctions of the 2016 Tuna Measure and its objectives. Th</w:t>
      </w:r>
      <w:r w:rsidR="00C41BC8" w:rsidRPr="00564DB3">
        <w:rPr>
          <w:szCs w:val="18"/>
        </w:rPr>
        <w:t>us</w:t>
      </w:r>
      <w:r w:rsidR="00D04F30">
        <w:rPr>
          <w:szCs w:val="18"/>
        </w:rPr>
        <w:t>, the Panels' </w:t>
      </w:r>
      <w:r w:rsidR="00C41BC8" w:rsidRPr="00564DB3">
        <w:rPr>
          <w:szCs w:val="18"/>
        </w:rPr>
        <w:t>analysis</w:t>
      </w:r>
      <w:r w:rsidRPr="00564DB3">
        <w:rPr>
          <w:szCs w:val="18"/>
        </w:rPr>
        <w:t xml:space="preserve"> under </w:t>
      </w:r>
      <w:r w:rsidR="00083DFC" w:rsidRPr="00564DB3">
        <w:rPr>
          <w:szCs w:val="18"/>
        </w:rPr>
        <w:t>Article </w:t>
      </w:r>
      <w:r w:rsidRPr="00564DB3">
        <w:rPr>
          <w:szCs w:val="18"/>
        </w:rPr>
        <w:t>2.1 also demonstrate</w:t>
      </w:r>
      <w:r w:rsidR="00AF19B2" w:rsidRPr="00564DB3">
        <w:rPr>
          <w:szCs w:val="18"/>
        </w:rPr>
        <w:t>s</w:t>
      </w:r>
      <w:r w:rsidRPr="00564DB3">
        <w:rPr>
          <w:szCs w:val="18"/>
        </w:rPr>
        <w:t xml:space="preserve"> that the 2016 Tuna Measure is not designed or applied in a manner that constitutes arbitrary or unjustifiable discrimination within the meaning of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w:t>
      </w:r>
    </w:p>
    <w:p w:rsidR="00432E5C" w:rsidRPr="00564DB3" w:rsidRDefault="00432E5C" w:rsidP="00F70E38">
      <w:pPr>
        <w:pStyle w:val="BodyText"/>
        <w:rPr>
          <w:szCs w:val="18"/>
        </w:rPr>
      </w:pPr>
      <w:r w:rsidRPr="00564DB3">
        <w:rPr>
          <w:szCs w:val="18"/>
        </w:rPr>
        <w:t xml:space="preserve">In </w:t>
      </w:r>
      <w:r w:rsidR="00AD73C5" w:rsidRPr="00564DB3">
        <w:rPr>
          <w:szCs w:val="18"/>
        </w:rPr>
        <w:t>sum</w:t>
      </w:r>
      <w:r w:rsidRPr="00564DB3">
        <w:rPr>
          <w:szCs w:val="18"/>
        </w:rPr>
        <w:t xml:space="preserve">, the calibration analysis is the tool in the circumstances of this dispute to assess whether the 2016 Tuna Measure is consistent with </w:t>
      </w:r>
      <w:r w:rsidR="00083DFC" w:rsidRPr="00564DB3">
        <w:rPr>
          <w:szCs w:val="18"/>
        </w:rPr>
        <w:t>Article </w:t>
      </w:r>
      <w:r w:rsidRPr="00564DB3">
        <w:rPr>
          <w:szCs w:val="18"/>
        </w:rPr>
        <w:t xml:space="preserve">2.1. It follows that, if the </w:t>
      </w:r>
      <w:r w:rsidR="00D04F30">
        <w:rPr>
          <w:szCs w:val="18"/>
        </w:rPr>
        <w:t>2016 Tuna </w:t>
      </w:r>
      <w:r w:rsidR="00C41BC8" w:rsidRPr="00564DB3">
        <w:rPr>
          <w:szCs w:val="18"/>
        </w:rPr>
        <w:t>M</w:t>
      </w:r>
      <w:r w:rsidRPr="00564DB3">
        <w:rPr>
          <w:szCs w:val="18"/>
        </w:rPr>
        <w:t xml:space="preserve">easure is </w:t>
      </w:r>
      <w:r w:rsidRPr="00564DB3">
        <w:rPr>
          <w:i/>
          <w:iCs/>
          <w:szCs w:val="18"/>
        </w:rPr>
        <w:t>properly</w:t>
      </w:r>
      <w:r w:rsidRPr="00564DB3">
        <w:rPr>
          <w:szCs w:val="18"/>
        </w:rPr>
        <w:t xml:space="preserve"> calibrated and hence not inconsistent with </w:t>
      </w:r>
      <w:r w:rsidR="00083DFC" w:rsidRPr="00564DB3">
        <w:rPr>
          <w:szCs w:val="18"/>
        </w:rPr>
        <w:t>Article </w:t>
      </w:r>
      <w:r w:rsidRPr="00564DB3">
        <w:rPr>
          <w:szCs w:val="18"/>
        </w:rPr>
        <w:t>2.1, it will also not be found to be applied in a manner that constitutes arbitrary or unjustifiable discrimination. Furthermore, given the "important parallel</w:t>
      </w:r>
      <w:r w:rsidR="00AD73C5" w:rsidRPr="00564DB3">
        <w:rPr>
          <w:szCs w:val="18"/>
        </w:rPr>
        <w:t>s</w:t>
      </w:r>
      <w:r w:rsidRPr="00564DB3">
        <w:rPr>
          <w:szCs w:val="18"/>
        </w:rPr>
        <w:t xml:space="preserve">" between the analyses under </w:t>
      </w:r>
      <w:r w:rsidR="00083DFC" w:rsidRPr="00564DB3">
        <w:rPr>
          <w:szCs w:val="18"/>
        </w:rPr>
        <w:t>Article </w:t>
      </w:r>
      <w:r w:rsidRPr="00564DB3">
        <w:rPr>
          <w:szCs w:val="18"/>
        </w:rPr>
        <w:t xml:space="preserve">2.1 and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discussed above, </w:t>
      </w:r>
      <w:r w:rsidR="00AD73C5" w:rsidRPr="00564DB3">
        <w:rPr>
          <w:szCs w:val="18"/>
        </w:rPr>
        <w:t>the 2016 Tuna Measure, which</w:t>
      </w:r>
      <w:r w:rsidRPr="00564DB3">
        <w:rPr>
          <w:szCs w:val="18"/>
        </w:rPr>
        <w:t xml:space="preserve"> is not applied in a manner that amounts to arbitrary or unjustifiable discrimination under the former</w:t>
      </w:r>
      <w:r w:rsidR="00EB04A8" w:rsidRPr="00564DB3">
        <w:rPr>
          <w:szCs w:val="18"/>
        </w:rPr>
        <w:t>,</w:t>
      </w:r>
      <w:r w:rsidRPr="00564DB3">
        <w:rPr>
          <w:szCs w:val="18"/>
        </w:rPr>
        <w:t xml:space="preserve"> </w:t>
      </w:r>
      <w:r w:rsidR="00AD73C5" w:rsidRPr="00564DB3">
        <w:rPr>
          <w:szCs w:val="18"/>
        </w:rPr>
        <w:t>would</w:t>
      </w:r>
      <w:r w:rsidRPr="00564DB3">
        <w:rPr>
          <w:szCs w:val="18"/>
        </w:rPr>
        <w:t xml:space="preserve"> also be found not to amount to such discrimination under the latter. </w:t>
      </w:r>
      <w:r w:rsidR="00C41BC8" w:rsidRPr="00564DB3">
        <w:rPr>
          <w:szCs w:val="18"/>
        </w:rPr>
        <w:t>Hence</w:t>
      </w:r>
      <w:r w:rsidRPr="00564DB3">
        <w:rPr>
          <w:szCs w:val="18"/>
        </w:rPr>
        <w:t xml:space="preserve">, in the circumstances of this dispute, a proper calibration analysis is </w:t>
      </w:r>
      <w:r w:rsidR="00C41BC8" w:rsidRPr="00564DB3">
        <w:rPr>
          <w:szCs w:val="18"/>
        </w:rPr>
        <w:t>a</w:t>
      </w:r>
      <w:r w:rsidRPr="00564DB3">
        <w:rPr>
          <w:szCs w:val="18"/>
        </w:rPr>
        <w:t xml:space="preserve"> tool that also serves to determine whether the measure is applied in a manner that does not constitute arbitrary or unjustifiable discrimination </w:t>
      </w:r>
      <w:proofErr w:type="gramStart"/>
      <w:r w:rsidR="00FF1995" w:rsidRPr="00564DB3">
        <w:rPr>
          <w:szCs w:val="18"/>
        </w:rPr>
        <w:t>for the purpose of</w:t>
      </w:r>
      <w:proofErr w:type="gramEnd"/>
      <w:r w:rsidR="00FF1995" w:rsidRPr="00564DB3">
        <w:rPr>
          <w:szCs w:val="18"/>
        </w:rPr>
        <w:t xml:space="preserve"> </w:t>
      </w:r>
      <w:r w:rsidRPr="00564DB3">
        <w:rPr>
          <w:szCs w:val="18"/>
        </w:rPr>
        <w:t xml:space="preserve">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w:t>
      </w:r>
    </w:p>
    <w:p w:rsidR="00432E5C" w:rsidRPr="00564DB3" w:rsidRDefault="00432E5C" w:rsidP="00F70E38">
      <w:pPr>
        <w:pStyle w:val="BodyText"/>
        <w:rPr>
          <w:szCs w:val="18"/>
        </w:rPr>
      </w:pPr>
      <w:r w:rsidRPr="00564DB3">
        <w:rPr>
          <w:szCs w:val="18"/>
        </w:rPr>
        <w:t xml:space="preserve">In light of the above considerations, we share the Panels' view that, because "the 2016 Tuna Measure is 'tailored to', and 'commensurate with', the different risks to dolphins caused by different fishing methods in different parts of the ocean", this also demonstrates that the discrimination under the measure "can[not] be said to be applied in a manner that constitutes a means of 'arbitrary or unjustifiable discrimination' within the meaning of </w:t>
      </w:r>
      <w:r w:rsidR="00083DFC" w:rsidRPr="00564DB3">
        <w:rPr>
          <w:szCs w:val="18"/>
        </w:rPr>
        <w:t>Article </w:t>
      </w:r>
      <w:r w:rsidRPr="00564DB3">
        <w:rPr>
          <w:szCs w:val="18"/>
        </w:rPr>
        <w:t>XX".</w:t>
      </w:r>
      <w:r w:rsidR="005B1CE4" w:rsidRPr="00564DB3">
        <w:rPr>
          <w:rStyle w:val="FootnoteReference"/>
          <w:szCs w:val="18"/>
        </w:rPr>
        <w:footnoteReference w:id="827"/>
      </w:r>
      <w:r w:rsidRPr="00564DB3">
        <w:rPr>
          <w:szCs w:val="18"/>
        </w:rPr>
        <w:t xml:space="preserve"> Therefore</w:t>
      </w:r>
      <w:r w:rsidRPr="00564DB3">
        <w:rPr>
          <w:szCs w:val="18"/>
          <w:lang w:eastAsia="zh-CN"/>
        </w:rPr>
        <w:t>, we disagree with Mexico that the Panels "</w:t>
      </w:r>
      <w:proofErr w:type="spellStart"/>
      <w:r w:rsidRPr="00564DB3">
        <w:rPr>
          <w:szCs w:val="18"/>
          <w:lang w:eastAsia="zh-CN"/>
        </w:rPr>
        <w:t>declin</w:t>
      </w:r>
      <w:proofErr w:type="spellEnd"/>
      <w:r w:rsidRPr="00564DB3">
        <w:rPr>
          <w:szCs w:val="18"/>
          <w:lang w:eastAsia="zh-CN"/>
        </w:rPr>
        <w:t xml:space="preserve">[ed] to conduct, either under </w:t>
      </w:r>
      <w:r w:rsidR="00083DFC" w:rsidRPr="00564DB3">
        <w:rPr>
          <w:szCs w:val="18"/>
          <w:lang w:eastAsia="zh-CN"/>
        </w:rPr>
        <w:t>Article </w:t>
      </w:r>
      <w:r w:rsidRPr="00564DB3">
        <w:rPr>
          <w:szCs w:val="18"/>
          <w:lang w:eastAsia="zh-CN"/>
        </w:rPr>
        <w:t xml:space="preserve">2.1 or the </w:t>
      </w:r>
      <w:r w:rsidRPr="00564DB3">
        <w:rPr>
          <w:i/>
          <w:szCs w:val="18"/>
          <w:lang w:eastAsia="zh-CN"/>
        </w:rPr>
        <w:t>chapeau</w:t>
      </w:r>
      <w:r w:rsidRPr="00564DB3">
        <w:rPr>
          <w:szCs w:val="18"/>
          <w:lang w:eastAsia="zh-CN"/>
        </w:rPr>
        <w:t xml:space="preserve"> of </w:t>
      </w:r>
      <w:r w:rsidR="00083DFC" w:rsidRPr="00564DB3">
        <w:rPr>
          <w:szCs w:val="18"/>
          <w:lang w:eastAsia="zh-CN"/>
        </w:rPr>
        <w:t>Article </w:t>
      </w:r>
      <w:r w:rsidRPr="00564DB3">
        <w:rPr>
          <w:szCs w:val="18"/>
          <w:lang w:eastAsia="zh-CN"/>
        </w:rPr>
        <w:t>XX, a full assessment of whether the [2016 Tuna Measure] is designed or applied in a manner that constitutes arbitrary or unjustifiable discrimination".</w:t>
      </w:r>
      <w:r w:rsidR="005B1CE4" w:rsidRPr="00564DB3">
        <w:rPr>
          <w:rStyle w:val="FootnoteReference"/>
          <w:szCs w:val="18"/>
          <w:lang w:eastAsia="zh-CN"/>
        </w:rPr>
        <w:footnoteReference w:id="828"/>
      </w:r>
      <w:r w:rsidRPr="00564DB3">
        <w:rPr>
          <w:szCs w:val="18"/>
          <w:lang w:eastAsia="zh-CN"/>
        </w:rPr>
        <w:t xml:space="preserve"> </w:t>
      </w:r>
    </w:p>
    <w:p w:rsidR="00432E5C" w:rsidRPr="00564DB3" w:rsidRDefault="00432E5C" w:rsidP="00F70E38">
      <w:pPr>
        <w:pStyle w:val="BodyText"/>
        <w:rPr>
          <w:szCs w:val="18"/>
        </w:rPr>
      </w:pPr>
      <w:r w:rsidRPr="00564DB3">
        <w:rPr>
          <w:szCs w:val="18"/>
        </w:rPr>
        <w:t xml:space="preserve">Mexico additionally contends that there is "an apparent conflict" </w:t>
      </w:r>
      <w:r w:rsidR="00AF19B2" w:rsidRPr="00564DB3">
        <w:rPr>
          <w:szCs w:val="18"/>
        </w:rPr>
        <w:t>in</w:t>
      </w:r>
      <w:r w:rsidRPr="00564DB3">
        <w:rPr>
          <w:szCs w:val="18"/>
        </w:rPr>
        <w:t xml:space="preserve"> the Panels' </w:t>
      </w:r>
      <w:r w:rsidR="00AD73C5" w:rsidRPr="00564DB3">
        <w:rPr>
          <w:szCs w:val="18"/>
        </w:rPr>
        <w:t>reasoning.</w:t>
      </w:r>
      <w:r w:rsidR="00AD73C5" w:rsidRPr="00564DB3">
        <w:rPr>
          <w:rStyle w:val="FootnoteReference"/>
          <w:szCs w:val="18"/>
        </w:rPr>
        <w:footnoteReference w:id="829"/>
      </w:r>
      <w:r w:rsidR="00AD73C5" w:rsidRPr="00564DB3">
        <w:rPr>
          <w:szCs w:val="18"/>
        </w:rPr>
        <w:t xml:space="preserve"> This is because, on the one hand, </w:t>
      </w:r>
      <w:r w:rsidRPr="00564DB3">
        <w:rPr>
          <w:szCs w:val="18"/>
        </w:rPr>
        <w:t xml:space="preserve">the 2016 Tuna Measure is provisionally justified as relating to "conservation of exhaustible natural resources" under </w:t>
      </w:r>
      <w:r w:rsidR="00083DFC" w:rsidRPr="00564DB3">
        <w:rPr>
          <w:szCs w:val="18"/>
        </w:rPr>
        <w:t>Article </w:t>
      </w:r>
      <w:r w:rsidRPr="00564DB3">
        <w:rPr>
          <w:szCs w:val="18"/>
        </w:rPr>
        <w:t>XX</w:t>
      </w:r>
      <w:r w:rsidR="00C41BC8" w:rsidRPr="00564DB3">
        <w:rPr>
          <w:szCs w:val="18"/>
        </w:rPr>
        <w:t>(g).</w:t>
      </w:r>
      <w:r w:rsidR="005B1CE4" w:rsidRPr="00564DB3">
        <w:rPr>
          <w:rStyle w:val="FootnoteReference"/>
          <w:szCs w:val="18"/>
        </w:rPr>
        <w:footnoteReference w:id="830"/>
      </w:r>
      <w:r w:rsidR="00C41BC8" w:rsidRPr="00564DB3">
        <w:rPr>
          <w:szCs w:val="18"/>
        </w:rPr>
        <w:t xml:space="preserve"> O</w:t>
      </w:r>
      <w:r w:rsidR="009E5666" w:rsidRPr="00564DB3">
        <w:rPr>
          <w:szCs w:val="18"/>
        </w:rPr>
        <w:t>n the other hand</w:t>
      </w:r>
      <w:r w:rsidRPr="00564DB3">
        <w:rPr>
          <w:szCs w:val="18"/>
        </w:rPr>
        <w:t xml:space="preserve">, </w:t>
      </w:r>
      <w:r w:rsidR="00C41BC8" w:rsidRPr="00564DB3">
        <w:rPr>
          <w:szCs w:val="18"/>
        </w:rPr>
        <w:t xml:space="preserve">according to Mexico, </w:t>
      </w:r>
      <w:r w:rsidRPr="00564DB3">
        <w:rPr>
          <w:szCs w:val="18"/>
        </w:rPr>
        <w:t>the Panels "</w:t>
      </w:r>
      <w:proofErr w:type="spellStart"/>
      <w:r w:rsidRPr="00564DB3">
        <w:rPr>
          <w:szCs w:val="18"/>
        </w:rPr>
        <w:t>refus</w:t>
      </w:r>
      <w:proofErr w:type="spellEnd"/>
      <w:r w:rsidRPr="00564DB3">
        <w:rPr>
          <w:szCs w:val="18"/>
        </w:rPr>
        <w:t xml:space="preserve">[ed] to consider", in their calibration analysis under </w:t>
      </w:r>
      <w:r w:rsidR="00083DFC" w:rsidRPr="00564DB3">
        <w:rPr>
          <w:szCs w:val="18"/>
        </w:rPr>
        <w:t>Article </w:t>
      </w:r>
      <w:r w:rsidR="00145C22">
        <w:rPr>
          <w:szCs w:val="18"/>
        </w:rPr>
        <w:t>2.1, "PBR </w:t>
      </w:r>
      <w:r w:rsidRPr="00564DB3">
        <w:rPr>
          <w:szCs w:val="18"/>
        </w:rPr>
        <w:t>data and evidence demonstrating that certain fishing methods in certain areas of the oceans are causing adverse effects that threaten the collapse of dolphin populations".</w:t>
      </w:r>
      <w:r w:rsidR="005B1CE4" w:rsidRPr="00564DB3">
        <w:rPr>
          <w:rStyle w:val="FootnoteReference"/>
          <w:szCs w:val="18"/>
        </w:rPr>
        <w:footnoteReference w:id="831"/>
      </w:r>
      <w:r w:rsidRPr="00564DB3">
        <w:rPr>
          <w:szCs w:val="18"/>
        </w:rPr>
        <w:t xml:space="preserve"> Mexico argues</w:t>
      </w:r>
      <w:r w:rsidR="009E5666" w:rsidRPr="00564DB3">
        <w:rPr>
          <w:szCs w:val="18"/>
        </w:rPr>
        <w:t xml:space="preserve"> </w:t>
      </w:r>
      <w:r w:rsidR="00A1588F" w:rsidRPr="00564DB3">
        <w:rPr>
          <w:szCs w:val="18"/>
        </w:rPr>
        <w:br/>
      </w:r>
      <w:r w:rsidR="009E5666" w:rsidRPr="00564DB3">
        <w:rPr>
          <w:szCs w:val="18"/>
        </w:rPr>
        <w:t>that t</w:t>
      </w:r>
      <w:r w:rsidRPr="00564DB3">
        <w:rPr>
          <w:szCs w:val="18"/>
        </w:rPr>
        <w:t>he Panels' calibration analysis focuses on the risks to indiv</w:t>
      </w:r>
      <w:r w:rsidR="00A1588F" w:rsidRPr="00564DB3">
        <w:rPr>
          <w:szCs w:val="18"/>
        </w:rPr>
        <w:t>idual dolphins and "overlook[s] … </w:t>
      </w:r>
      <w:r w:rsidRPr="00564DB3">
        <w:rPr>
          <w:szCs w:val="18"/>
        </w:rPr>
        <w:t>mortalities that do endanger the population of dolphins in [three longline] fisheries".</w:t>
      </w:r>
      <w:r w:rsidR="009E5666" w:rsidRPr="00564DB3">
        <w:rPr>
          <w:rStyle w:val="FootnoteReference"/>
          <w:szCs w:val="18"/>
        </w:rPr>
        <w:footnoteReference w:id="832"/>
      </w:r>
      <w:r w:rsidRPr="00564DB3">
        <w:rPr>
          <w:szCs w:val="18"/>
        </w:rPr>
        <w:t xml:space="preserve"> Thus, </w:t>
      </w:r>
      <w:r w:rsidR="008B35FB" w:rsidRPr="00564DB3">
        <w:rPr>
          <w:szCs w:val="18"/>
        </w:rPr>
        <w:t xml:space="preserve">to Mexico, </w:t>
      </w:r>
      <w:r w:rsidRPr="00564DB3">
        <w:rPr>
          <w:szCs w:val="18"/>
        </w:rPr>
        <w:t xml:space="preserve">by relying on their erroneous calibration analysis </w:t>
      </w:r>
      <w:r w:rsidR="00FF1995" w:rsidRPr="00564DB3">
        <w:rPr>
          <w:szCs w:val="18"/>
        </w:rPr>
        <w:t xml:space="preserve">for the purpose of </w:t>
      </w:r>
      <w:r w:rsidRPr="00564DB3">
        <w:rPr>
          <w:szCs w:val="18"/>
        </w:rPr>
        <w:t xml:space="preserve">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the Panels failed to properly examine whether the discrimination under the </w:t>
      </w:r>
      <w:r w:rsidR="00F165CD" w:rsidRPr="00564DB3">
        <w:rPr>
          <w:szCs w:val="18"/>
        </w:rPr>
        <w:t>2016 Tuna M</w:t>
      </w:r>
      <w:r w:rsidRPr="00564DB3">
        <w:rPr>
          <w:szCs w:val="18"/>
        </w:rPr>
        <w:t xml:space="preserve">easure can be reconciled with, or is rationally related to, the policy objective of conserving exhaustible natural resources, with respect to which the measure has been provisionally justified under </w:t>
      </w:r>
      <w:r w:rsidR="00F165CD" w:rsidRPr="00564DB3">
        <w:rPr>
          <w:szCs w:val="18"/>
        </w:rPr>
        <w:t>Article XX</w:t>
      </w:r>
      <w:r w:rsidRPr="00564DB3">
        <w:rPr>
          <w:szCs w:val="18"/>
        </w:rPr>
        <w:t>(g).</w:t>
      </w:r>
      <w:r w:rsidR="005B1CE4" w:rsidRPr="00564DB3">
        <w:rPr>
          <w:rStyle w:val="FootnoteReference"/>
          <w:szCs w:val="18"/>
        </w:rPr>
        <w:footnoteReference w:id="833"/>
      </w:r>
      <w:r w:rsidRPr="00564DB3">
        <w:rPr>
          <w:szCs w:val="18"/>
        </w:rPr>
        <w:t xml:space="preserve"> </w:t>
      </w:r>
      <w:r w:rsidR="009E5666" w:rsidRPr="00564DB3">
        <w:rPr>
          <w:szCs w:val="18"/>
        </w:rPr>
        <w:t>In Mexico's view, this conflict in the Panels' reasoning shows that their refusal to consider "PBR data and evidence demonstrating that certain fishing methods in certain areas of the oceans are causing adverse effects that threaten the collapse of dolphin populations is not objective and is legally incorrect".</w:t>
      </w:r>
      <w:r w:rsidR="009E5666" w:rsidRPr="00564DB3">
        <w:rPr>
          <w:rStyle w:val="FootnoteReference"/>
          <w:szCs w:val="18"/>
        </w:rPr>
        <w:footnoteReference w:id="834"/>
      </w:r>
    </w:p>
    <w:p w:rsidR="00432E5C" w:rsidRPr="00564DB3" w:rsidRDefault="00432E5C" w:rsidP="00F70E38">
      <w:pPr>
        <w:pStyle w:val="BodyText"/>
        <w:rPr>
          <w:szCs w:val="18"/>
        </w:rPr>
      </w:pPr>
      <w:r w:rsidRPr="00564DB3">
        <w:rPr>
          <w:szCs w:val="18"/>
        </w:rPr>
        <w:t>We recall that, in the first compliance proceedings, the Appellate</w:t>
      </w:r>
      <w:r w:rsidR="00025CB6" w:rsidRPr="00564DB3">
        <w:rPr>
          <w:szCs w:val="18"/>
        </w:rPr>
        <w:t> Body</w:t>
      </w:r>
      <w:r w:rsidRPr="00564DB3">
        <w:rPr>
          <w:szCs w:val="18"/>
        </w:rPr>
        <w:t xml:space="preserve"> rejected Mexico's argument that the panel erred in articulating the legal standard </w:t>
      </w:r>
      <w:r w:rsidR="00C41BC8" w:rsidRPr="00564DB3">
        <w:rPr>
          <w:szCs w:val="18"/>
        </w:rPr>
        <w:t xml:space="preserve">under the chapeau of Article XX </w:t>
      </w:r>
      <w:r w:rsidRPr="00564DB3">
        <w:rPr>
          <w:szCs w:val="18"/>
        </w:rPr>
        <w:t xml:space="preserve">as </w:t>
      </w:r>
      <w:r w:rsidR="003A0D1A" w:rsidRPr="00564DB3">
        <w:rPr>
          <w:szCs w:val="18"/>
        </w:rPr>
        <w:t xml:space="preserve">consisting of a </w:t>
      </w:r>
      <w:r w:rsidRPr="00564DB3">
        <w:rPr>
          <w:szCs w:val="18"/>
        </w:rPr>
        <w:t xml:space="preserve">focus on whether there is a rational connection with the objectives of the 2013 Tuna Measure, rather than the objective reflected in </w:t>
      </w:r>
      <w:r w:rsidR="00083DFC" w:rsidRPr="00564DB3">
        <w:rPr>
          <w:szCs w:val="18"/>
        </w:rPr>
        <w:t>Article </w:t>
      </w:r>
      <w:r w:rsidRPr="00564DB3">
        <w:rPr>
          <w:szCs w:val="18"/>
        </w:rPr>
        <w:t>XX(g).</w:t>
      </w:r>
      <w:r w:rsidR="005B1CE4" w:rsidRPr="00564DB3">
        <w:rPr>
          <w:rStyle w:val="FootnoteReference"/>
          <w:szCs w:val="18"/>
        </w:rPr>
        <w:footnoteReference w:id="835"/>
      </w:r>
      <w:r w:rsidRPr="00564DB3">
        <w:rPr>
          <w:szCs w:val="18"/>
        </w:rPr>
        <w:t xml:space="preserve"> The Appellate</w:t>
      </w:r>
      <w:r w:rsidR="00025CB6" w:rsidRPr="00564DB3">
        <w:rPr>
          <w:szCs w:val="18"/>
        </w:rPr>
        <w:t> Body</w:t>
      </w:r>
      <w:r w:rsidRPr="00564DB3">
        <w:rPr>
          <w:szCs w:val="18"/>
        </w:rPr>
        <w:t xml:space="preserve"> considered such a distinction to be "somewhat artificial" given that, </w:t>
      </w:r>
      <w:r w:rsidR="003A0D1A" w:rsidRPr="00564DB3">
        <w:rPr>
          <w:szCs w:val="18"/>
        </w:rPr>
        <w:t>"</w:t>
      </w:r>
      <w:r w:rsidRPr="00564DB3">
        <w:rPr>
          <w:szCs w:val="18"/>
        </w:rPr>
        <w:t xml:space="preserve">by virtue of an examination of whether a measure is provisionally justified under one of the subparagraphs, the objective of the measure will already have been tested against, and will have been found to be aligned with, one of the objectives set out in </w:t>
      </w:r>
      <w:r w:rsidR="00083DFC" w:rsidRPr="00564DB3">
        <w:rPr>
          <w:szCs w:val="18"/>
        </w:rPr>
        <w:t>Article </w:t>
      </w:r>
      <w:r w:rsidRPr="00564DB3">
        <w:rPr>
          <w:szCs w:val="18"/>
        </w:rPr>
        <w:t>XX.</w:t>
      </w:r>
      <w:r w:rsidR="003A0D1A" w:rsidRPr="00564DB3">
        <w:rPr>
          <w:szCs w:val="18"/>
        </w:rPr>
        <w:t>"</w:t>
      </w:r>
      <w:r w:rsidR="003A0D1A" w:rsidRPr="00564DB3">
        <w:rPr>
          <w:rStyle w:val="FootnoteReference"/>
          <w:szCs w:val="18"/>
        </w:rPr>
        <w:footnoteReference w:id="836"/>
      </w:r>
      <w:r w:rsidRPr="00564DB3">
        <w:rPr>
          <w:szCs w:val="18"/>
        </w:rPr>
        <w:t xml:space="preserve"> The Appellate</w:t>
      </w:r>
      <w:r w:rsidR="00025CB6" w:rsidRPr="00564DB3">
        <w:rPr>
          <w:szCs w:val="18"/>
        </w:rPr>
        <w:t> Body</w:t>
      </w:r>
      <w:r w:rsidRPr="00564DB3">
        <w:rPr>
          <w:szCs w:val="18"/>
        </w:rPr>
        <w:t xml:space="preserve"> did not understand how, in the circumstances of th</w:t>
      </w:r>
      <w:r w:rsidR="003A0D1A" w:rsidRPr="00564DB3">
        <w:rPr>
          <w:szCs w:val="18"/>
        </w:rPr>
        <w:t>is</w:t>
      </w:r>
      <w:r w:rsidRPr="00564DB3">
        <w:rPr>
          <w:szCs w:val="18"/>
        </w:rPr>
        <w:t xml:space="preserve"> dispute, where the first compliance panel found that the objective of dolphin protection relates to the conservation of exhaustible natural resources, </w:t>
      </w:r>
      <w:r w:rsidR="003A0D1A" w:rsidRPr="00564DB3">
        <w:rPr>
          <w:szCs w:val="18"/>
        </w:rPr>
        <w:t>"</w:t>
      </w:r>
      <w:r w:rsidRPr="00564DB3">
        <w:rPr>
          <w:szCs w:val="18"/>
        </w:rPr>
        <w:t xml:space="preserve">reliance on the objective of </w:t>
      </w:r>
      <w:r w:rsidR="00083DFC" w:rsidRPr="00564DB3">
        <w:rPr>
          <w:szCs w:val="18"/>
        </w:rPr>
        <w:t>Article </w:t>
      </w:r>
      <w:r w:rsidRPr="00564DB3">
        <w:rPr>
          <w:szCs w:val="18"/>
        </w:rPr>
        <w:t>XX(g), rather than that of the measure, would yield a different analytical result</w:t>
      </w:r>
      <w:r w:rsidR="003A0D1A" w:rsidRPr="00564DB3">
        <w:rPr>
          <w:szCs w:val="18"/>
        </w:rPr>
        <w:t>"</w:t>
      </w:r>
      <w:r w:rsidRPr="00564DB3">
        <w:rPr>
          <w:szCs w:val="18"/>
        </w:rPr>
        <w:t>.</w:t>
      </w:r>
      <w:r w:rsidR="005B1CE4" w:rsidRPr="00564DB3">
        <w:rPr>
          <w:rStyle w:val="FootnoteReference"/>
          <w:szCs w:val="18"/>
        </w:rPr>
        <w:footnoteReference w:id="837"/>
      </w:r>
    </w:p>
    <w:p w:rsidR="00432E5C" w:rsidRPr="00564DB3" w:rsidRDefault="00432E5C" w:rsidP="00F70E38">
      <w:pPr>
        <w:pStyle w:val="BodyText"/>
        <w:rPr>
          <w:szCs w:val="18"/>
        </w:rPr>
      </w:pPr>
      <w:r w:rsidRPr="00564DB3">
        <w:rPr>
          <w:szCs w:val="18"/>
        </w:rPr>
        <w:t>We consider that Mexico's argument in the present compliance proceedings introduces a</w:t>
      </w:r>
      <w:r w:rsidR="00CF0EDB" w:rsidRPr="00564DB3">
        <w:rPr>
          <w:szCs w:val="18"/>
        </w:rPr>
        <w:t xml:space="preserve"> similar</w:t>
      </w:r>
      <w:r w:rsidRPr="00564DB3">
        <w:rPr>
          <w:szCs w:val="18"/>
        </w:rPr>
        <w:t xml:space="preserve"> artificial distinction between the objective of the 2016 Tuna Measure </w:t>
      </w:r>
      <w:r w:rsidR="003A0D1A" w:rsidRPr="00564DB3">
        <w:rPr>
          <w:szCs w:val="18"/>
        </w:rPr>
        <w:t xml:space="preserve">of protecting individual dolphins </w:t>
      </w:r>
      <w:r w:rsidRPr="00564DB3">
        <w:rPr>
          <w:szCs w:val="18"/>
        </w:rPr>
        <w:t xml:space="preserve">and the objective of "conservation of exhaustible natural resources" within the meaning of </w:t>
      </w:r>
      <w:r w:rsidR="00083DFC" w:rsidRPr="00564DB3">
        <w:rPr>
          <w:szCs w:val="18"/>
        </w:rPr>
        <w:t>Article </w:t>
      </w:r>
      <w:r w:rsidRPr="00564DB3">
        <w:rPr>
          <w:szCs w:val="18"/>
        </w:rPr>
        <w:t>XX(g). In</w:t>
      </w:r>
      <w:r w:rsidR="00EE061A">
        <w:rPr>
          <w:szCs w:val="18"/>
        </w:rPr>
        <w:t xml:space="preserve"> section 6.1.4.4</w:t>
      </w:r>
      <w:r w:rsidR="00EA7331" w:rsidRPr="00564DB3">
        <w:rPr>
          <w:szCs w:val="18"/>
        </w:rPr>
        <w:t xml:space="preserve"> </w:t>
      </w:r>
      <w:r w:rsidRPr="00564DB3">
        <w:rPr>
          <w:szCs w:val="18"/>
        </w:rPr>
        <w:t xml:space="preserve">above, we reviewed Mexico's argument that the Panels erred in not relying on PBR </w:t>
      </w:r>
      <w:r w:rsidR="007D646F" w:rsidRPr="00564DB3">
        <w:rPr>
          <w:szCs w:val="18"/>
        </w:rPr>
        <w:t xml:space="preserve">evidence </w:t>
      </w:r>
      <w:r w:rsidRPr="00564DB3">
        <w:rPr>
          <w:szCs w:val="18"/>
        </w:rPr>
        <w:t xml:space="preserve">for assessing the risks to dolphins arising from the use of different fishing methods in different ocean areas. We agreed with the Panels' assessment that the PBR methodology prioritizes the sustainability of the population in a way that would have prevented the Panels from adequately assessing whether the measure is calibrated to different risks that a dolphin was killed </w:t>
      </w:r>
      <w:r w:rsidR="003A0D1A" w:rsidRPr="00564DB3">
        <w:rPr>
          <w:szCs w:val="18"/>
        </w:rPr>
        <w:t xml:space="preserve">or seriously injured </w:t>
      </w:r>
      <w:r w:rsidRPr="00564DB3">
        <w:rPr>
          <w:szCs w:val="18"/>
        </w:rPr>
        <w:t xml:space="preserve">in the </w:t>
      </w:r>
      <w:r w:rsidR="003A0D1A" w:rsidRPr="00564DB3">
        <w:rPr>
          <w:szCs w:val="18"/>
        </w:rPr>
        <w:t>fishing process</w:t>
      </w:r>
      <w:r w:rsidRPr="00564DB3">
        <w:rPr>
          <w:szCs w:val="18"/>
        </w:rPr>
        <w:t>.</w:t>
      </w:r>
      <w:r w:rsidR="005B1CE4" w:rsidRPr="00564DB3">
        <w:rPr>
          <w:rStyle w:val="FootnoteReference"/>
          <w:szCs w:val="18"/>
        </w:rPr>
        <w:footnoteReference w:id="838"/>
      </w:r>
      <w:r w:rsidRPr="00564DB3">
        <w:rPr>
          <w:szCs w:val="18"/>
        </w:rPr>
        <w:t xml:space="preserve"> Th</w:t>
      </w:r>
      <w:r w:rsidR="003A0D1A" w:rsidRPr="00564DB3">
        <w:rPr>
          <w:szCs w:val="18"/>
        </w:rPr>
        <w:t>at</w:t>
      </w:r>
      <w:r w:rsidRPr="00564DB3">
        <w:rPr>
          <w:szCs w:val="18"/>
        </w:rPr>
        <w:t xml:space="preserve"> said, the fact that the Panels sought to examine whether the measure is calibrated to risks to individual dolphins does not mean that their calibration analysis failed to take into account the rational connection between the regulatory distinctions giving rise to the discrimination and the goal of conserv</w:t>
      </w:r>
      <w:r w:rsidR="003A0D1A" w:rsidRPr="00564DB3">
        <w:rPr>
          <w:szCs w:val="18"/>
        </w:rPr>
        <w:t>ing</w:t>
      </w:r>
      <w:r w:rsidRPr="00564DB3">
        <w:rPr>
          <w:szCs w:val="18"/>
        </w:rPr>
        <w:t xml:space="preserve"> exhaustible natural resources. </w:t>
      </w:r>
    </w:p>
    <w:p w:rsidR="00432E5C" w:rsidRPr="00564DB3" w:rsidRDefault="00432E5C" w:rsidP="00F70E38">
      <w:pPr>
        <w:pStyle w:val="BodyText"/>
        <w:rPr>
          <w:szCs w:val="18"/>
        </w:rPr>
      </w:pPr>
      <w:r w:rsidRPr="00564DB3">
        <w:rPr>
          <w:szCs w:val="18"/>
        </w:rPr>
        <w:t xml:space="preserve">We </w:t>
      </w:r>
      <w:r w:rsidR="0055419B" w:rsidRPr="00564DB3">
        <w:rPr>
          <w:szCs w:val="18"/>
        </w:rPr>
        <w:t xml:space="preserve">also </w:t>
      </w:r>
      <w:r w:rsidRPr="00564DB3">
        <w:rPr>
          <w:szCs w:val="18"/>
        </w:rPr>
        <w:t xml:space="preserve">recall that the Panels </w:t>
      </w:r>
      <w:r w:rsidR="007007D3">
        <w:rPr>
          <w:szCs w:val="18"/>
        </w:rPr>
        <w:t>noted</w:t>
      </w:r>
      <w:r w:rsidR="00CA3CB5" w:rsidRPr="00564DB3">
        <w:rPr>
          <w:szCs w:val="18"/>
        </w:rPr>
        <w:t xml:space="preserve"> </w:t>
      </w:r>
      <w:r w:rsidR="008F7524" w:rsidRPr="00564DB3">
        <w:rPr>
          <w:szCs w:val="18"/>
        </w:rPr>
        <w:t>the original and first compliance panel's findings</w:t>
      </w:r>
      <w:r w:rsidRPr="00564DB3">
        <w:rPr>
          <w:szCs w:val="18"/>
        </w:rPr>
        <w:t xml:space="preserve"> that the </w:t>
      </w:r>
      <w:r w:rsidR="008F7524" w:rsidRPr="00564DB3">
        <w:rPr>
          <w:szCs w:val="18"/>
        </w:rPr>
        <w:t xml:space="preserve">Tuna Measure </w:t>
      </w:r>
      <w:r w:rsidR="0055419B" w:rsidRPr="00564DB3">
        <w:rPr>
          <w:szCs w:val="18"/>
        </w:rPr>
        <w:t>i</w:t>
      </w:r>
      <w:r w:rsidRPr="00564DB3">
        <w:rPr>
          <w:szCs w:val="18"/>
        </w:rPr>
        <w:t>s "more concerned with the 'well-being of individual dolphins'"</w:t>
      </w:r>
      <w:r w:rsidR="005B1CE4" w:rsidRPr="00564DB3">
        <w:rPr>
          <w:rStyle w:val="FootnoteReference"/>
          <w:szCs w:val="18"/>
        </w:rPr>
        <w:footnoteReference w:id="839"/>
      </w:r>
      <w:r w:rsidR="00962F01" w:rsidRPr="00564DB3">
        <w:rPr>
          <w:szCs w:val="18"/>
        </w:rPr>
        <w:t>, and the dolphin</w:t>
      </w:r>
      <w:r w:rsidR="00962F01" w:rsidRPr="00564DB3">
        <w:rPr>
          <w:szCs w:val="18"/>
        </w:rPr>
        <w:noBreakHyphen/>
      </w:r>
      <w:r w:rsidRPr="00564DB3">
        <w:rPr>
          <w:szCs w:val="18"/>
        </w:rPr>
        <w:t xml:space="preserve">protection objective thereof is not to </w:t>
      </w:r>
      <w:r w:rsidR="001973D0" w:rsidRPr="00564DB3">
        <w:rPr>
          <w:szCs w:val="18"/>
        </w:rPr>
        <w:t>"</w:t>
      </w:r>
      <w:r w:rsidRPr="00564DB3">
        <w:rPr>
          <w:szCs w:val="18"/>
        </w:rPr>
        <w:t>be understood exclusively, or even primarily, in terms of dolphin population recovery</w:t>
      </w:r>
      <w:r w:rsidR="001973D0" w:rsidRPr="00564DB3">
        <w:rPr>
          <w:szCs w:val="18"/>
        </w:rPr>
        <w:t>"</w:t>
      </w:r>
      <w:r w:rsidR="008F7524" w:rsidRPr="00564DB3">
        <w:rPr>
          <w:szCs w:val="18"/>
        </w:rPr>
        <w:t>.</w:t>
      </w:r>
      <w:r w:rsidR="005B1CE4" w:rsidRPr="00564DB3">
        <w:rPr>
          <w:rStyle w:val="FootnoteReference"/>
          <w:szCs w:val="18"/>
        </w:rPr>
        <w:footnoteReference w:id="840"/>
      </w:r>
      <w:r w:rsidR="008F7524" w:rsidRPr="00564DB3">
        <w:rPr>
          <w:szCs w:val="18"/>
        </w:rPr>
        <w:t xml:space="preserve"> Th</w:t>
      </w:r>
      <w:r w:rsidRPr="00564DB3">
        <w:rPr>
          <w:szCs w:val="18"/>
        </w:rPr>
        <w:t xml:space="preserve">e Panels </w:t>
      </w:r>
      <w:r w:rsidR="008F7524" w:rsidRPr="00564DB3">
        <w:rPr>
          <w:szCs w:val="18"/>
        </w:rPr>
        <w:t>further</w:t>
      </w:r>
      <w:r w:rsidRPr="00564DB3">
        <w:rPr>
          <w:szCs w:val="18"/>
        </w:rPr>
        <w:t xml:space="preserve"> noted that addressing adverse effects to individual dolphins "might also be considered as seeking to conserve dolphin populations" and that, consequently, the objectives of the measure "also incorporate" considerations regarding conservation.</w:t>
      </w:r>
      <w:r w:rsidR="005B1CE4" w:rsidRPr="00564DB3">
        <w:rPr>
          <w:rStyle w:val="FootnoteReference"/>
          <w:szCs w:val="18"/>
        </w:rPr>
        <w:footnoteReference w:id="841"/>
      </w:r>
      <w:r w:rsidRPr="00564DB3">
        <w:rPr>
          <w:szCs w:val="18"/>
        </w:rPr>
        <w:t xml:space="preserve"> The Panels highlighted that "mortality or serious injury suffered by individual dolphins may also have population-level consequences</w:t>
      </w:r>
      <w:r w:rsidR="00B344DA" w:rsidRPr="00564DB3">
        <w:rPr>
          <w:szCs w:val="18"/>
        </w:rPr>
        <w:t>.</w:t>
      </w:r>
      <w:r w:rsidRPr="00564DB3">
        <w:rPr>
          <w:szCs w:val="18"/>
        </w:rPr>
        <w:t>"</w:t>
      </w:r>
      <w:r w:rsidR="005B1CE4" w:rsidRPr="00564DB3">
        <w:rPr>
          <w:rStyle w:val="FootnoteReference"/>
          <w:szCs w:val="18"/>
        </w:rPr>
        <w:footnoteReference w:id="842"/>
      </w:r>
      <w:r w:rsidRPr="00564DB3">
        <w:rPr>
          <w:szCs w:val="18"/>
        </w:rPr>
        <w:t xml:space="preserve"> We further recall that, </w:t>
      </w:r>
      <w:r w:rsidR="0055419B" w:rsidRPr="00564DB3">
        <w:rPr>
          <w:szCs w:val="18"/>
        </w:rPr>
        <w:t>as</w:t>
      </w:r>
      <w:r w:rsidRPr="00564DB3">
        <w:rPr>
          <w:szCs w:val="18"/>
        </w:rPr>
        <w:t xml:space="preserve"> the first compliance panel</w:t>
      </w:r>
      <w:r w:rsidR="0055419B" w:rsidRPr="00564DB3">
        <w:rPr>
          <w:szCs w:val="18"/>
        </w:rPr>
        <w:t xml:space="preserve"> found</w:t>
      </w:r>
      <w:r w:rsidRPr="00564DB3">
        <w:rPr>
          <w:szCs w:val="18"/>
        </w:rPr>
        <w:t>, "the preservation of individual dolphin lives is just as much an act of conservation as is a program to encourage recovery of a particular population", and that "there is an essential and inextricable link between the protection of dolphins on an individual scale and the 'replenishment of [an] endangered species', for it is only through protecting individual dolphins that a population itself can be protected, replenished, and maintained."</w:t>
      </w:r>
      <w:r w:rsidR="005B1CE4" w:rsidRPr="00564DB3">
        <w:rPr>
          <w:rStyle w:val="FootnoteReference"/>
          <w:szCs w:val="18"/>
        </w:rPr>
        <w:footnoteReference w:id="843"/>
      </w:r>
      <w:r w:rsidRPr="00564DB3">
        <w:rPr>
          <w:szCs w:val="18"/>
        </w:rPr>
        <w:t xml:space="preserve"> </w:t>
      </w:r>
    </w:p>
    <w:p w:rsidR="00432E5C" w:rsidRPr="00564DB3" w:rsidRDefault="00432E5C" w:rsidP="00F70E38">
      <w:pPr>
        <w:pStyle w:val="BodyText"/>
        <w:rPr>
          <w:szCs w:val="18"/>
        </w:rPr>
      </w:pPr>
      <w:r w:rsidRPr="00564DB3">
        <w:rPr>
          <w:szCs w:val="18"/>
        </w:rPr>
        <w:t xml:space="preserve">We therefore disagree with Mexico's assertion that, because tuna harvested in three fisheries with low PBR levels </w:t>
      </w:r>
      <w:r w:rsidR="008F7524" w:rsidRPr="00564DB3">
        <w:rPr>
          <w:szCs w:val="18"/>
        </w:rPr>
        <w:t>may be</w:t>
      </w:r>
      <w:r w:rsidRPr="00564DB3">
        <w:rPr>
          <w:szCs w:val="18"/>
        </w:rPr>
        <w:t xml:space="preserve"> eligible to receive "dolphin-safe" labels under the 2016 Tuna Measure, the measure is "not concerned" with the risks related to fishing methods that threaten the sustainability of dolphin populations.</w:t>
      </w:r>
      <w:r w:rsidR="005B1CE4" w:rsidRPr="00564DB3">
        <w:rPr>
          <w:rStyle w:val="FootnoteReference"/>
          <w:szCs w:val="18"/>
        </w:rPr>
        <w:footnoteReference w:id="844"/>
      </w:r>
      <w:r w:rsidRPr="00564DB3">
        <w:rPr>
          <w:szCs w:val="18"/>
        </w:rPr>
        <w:t xml:space="preserve"> </w:t>
      </w:r>
      <w:r w:rsidR="008F7524" w:rsidRPr="00564DB3">
        <w:rPr>
          <w:szCs w:val="18"/>
        </w:rPr>
        <w:t>As explained above, findings by the original and first compliance panels, as well as the present Panels, indicate that, w</w:t>
      </w:r>
      <w:r w:rsidRPr="00564DB3">
        <w:rPr>
          <w:szCs w:val="18"/>
        </w:rPr>
        <w:t>hile the 2016 Tuna Measure may, first and foremost, be "concerned" with the protection of individual dolphins, the measure also</w:t>
      </w:r>
      <w:r w:rsidRPr="00564DB3" w:rsidDel="00E95525">
        <w:rPr>
          <w:szCs w:val="18"/>
        </w:rPr>
        <w:t xml:space="preserve"> </w:t>
      </w:r>
      <w:r w:rsidRPr="00564DB3">
        <w:rPr>
          <w:szCs w:val="18"/>
        </w:rPr>
        <w:t>protects dolphin populations by ensuring that tuna producers who seek to have access to the "dolphin-safe" label are deterred from harvesting tuna in a manner that harms dolphins.</w:t>
      </w:r>
      <w:r w:rsidR="005B1CE4" w:rsidRPr="00564DB3">
        <w:rPr>
          <w:rStyle w:val="FootnoteReference"/>
          <w:szCs w:val="18"/>
        </w:rPr>
        <w:footnoteReference w:id="845"/>
      </w:r>
      <w:r w:rsidRPr="00564DB3">
        <w:rPr>
          <w:szCs w:val="18"/>
        </w:rPr>
        <w:t xml:space="preserve"> Therefore, the fact that the 2016 Tuna Measure does not disqualify tuna caught in the three fisheries concerned from accessing the dolphin-safe label does not mean that it fails to address the conservation of dolphin populations. Rather, by seeking to ensure that individual dolphins are not being harmed in the </w:t>
      </w:r>
      <w:r w:rsidR="008F7524" w:rsidRPr="00564DB3">
        <w:rPr>
          <w:szCs w:val="18"/>
        </w:rPr>
        <w:t>fishing process</w:t>
      </w:r>
      <w:r w:rsidRPr="00564DB3">
        <w:rPr>
          <w:szCs w:val="18"/>
        </w:rPr>
        <w:t xml:space="preserve">, the </w:t>
      </w:r>
      <w:r w:rsidR="0055419B" w:rsidRPr="00564DB3">
        <w:rPr>
          <w:szCs w:val="18"/>
        </w:rPr>
        <w:t>2016 Tuna M</w:t>
      </w:r>
      <w:r w:rsidRPr="00564DB3">
        <w:rPr>
          <w:szCs w:val="18"/>
        </w:rPr>
        <w:t xml:space="preserve">easure </w:t>
      </w:r>
      <w:r w:rsidR="008F7524" w:rsidRPr="00564DB3">
        <w:rPr>
          <w:szCs w:val="18"/>
        </w:rPr>
        <w:t xml:space="preserve">is </w:t>
      </w:r>
      <w:r w:rsidRPr="00564DB3">
        <w:rPr>
          <w:szCs w:val="18"/>
        </w:rPr>
        <w:t xml:space="preserve">also </w:t>
      </w:r>
      <w:r w:rsidR="008F7524" w:rsidRPr="00564DB3">
        <w:rPr>
          <w:szCs w:val="18"/>
        </w:rPr>
        <w:t>related to</w:t>
      </w:r>
      <w:r w:rsidRPr="00564DB3">
        <w:rPr>
          <w:szCs w:val="18"/>
        </w:rPr>
        <w:t xml:space="preserve"> the conservation of these populations.</w:t>
      </w:r>
    </w:p>
    <w:p w:rsidR="00432E5C" w:rsidRPr="00564DB3" w:rsidRDefault="00406203" w:rsidP="00F70E38">
      <w:pPr>
        <w:pStyle w:val="BodyText"/>
        <w:rPr>
          <w:szCs w:val="18"/>
        </w:rPr>
      </w:pPr>
      <w:r w:rsidRPr="00564DB3">
        <w:rPr>
          <w:szCs w:val="18"/>
        </w:rPr>
        <w:t>In any event, b</w:t>
      </w:r>
      <w:r w:rsidR="00432E5C" w:rsidRPr="00564DB3">
        <w:rPr>
          <w:szCs w:val="18"/>
        </w:rPr>
        <w:t xml:space="preserve">y acknowledging that the 2016 Tuna Measure is provisionally justified under </w:t>
      </w:r>
      <w:r w:rsidR="00083DFC" w:rsidRPr="00564DB3">
        <w:rPr>
          <w:szCs w:val="18"/>
        </w:rPr>
        <w:t>Article </w:t>
      </w:r>
      <w:r w:rsidR="00432E5C" w:rsidRPr="00564DB3">
        <w:rPr>
          <w:szCs w:val="18"/>
        </w:rPr>
        <w:t>XX(g) of the GATT</w:t>
      </w:r>
      <w:r w:rsidR="00025CB6" w:rsidRPr="00564DB3">
        <w:rPr>
          <w:szCs w:val="18"/>
        </w:rPr>
        <w:t> 1994</w:t>
      </w:r>
      <w:r w:rsidR="00432E5C" w:rsidRPr="00564DB3">
        <w:rPr>
          <w:szCs w:val="18"/>
        </w:rPr>
        <w:t>, Mexico accepted that the measure and its objectives, including the protection of individual dolphins, are "designed" to address, and are "related to", the "conservation of exhaustible natural resources".</w:t>
      </w:r>
      <w:r w:rsidR="005B1CE4" w:rsidRPr="00564DB3">
        <w:rPr>
          <w:rStyle w:val="FootnoteReference"/>
          <w:szCs w:val="18"/>
        </w:rPr>
        <w:footnoteReference w:id="846"/>
      </w:r>
      <w:r w:rsidR="00432E5C" w:rsidRPr="00564DB3">
        <w:rPr>
          <w:szCs w:val="18"/>
        </w:rPr>
        <w:t xml:space="preserve"> Therefore, given that the regulatory distinctions causing the discrimination under the 2016 Tuna Measure are rationally related to the protection of individual dolphins, we do not consider that this discrimination "bears no rational connection to", </w:t>
      </w:r>
      <w:bookmarkStart w:id="382" w:name="_Hlk529198574"/>
      <w:r w:rsidR="00432E5C" w:rsidRPr="00564DB3">
        <w:rPr>
          <w:szCs w:val="18"/>
        </w:rPr>
        <w:t>or wou</w:t>
      </w:r>
      <w:r w:rsidR="003F21CF">
        <w:rPr>
          <w:szCs w:val="18"/>
        </w:rPr>
        <w:t>ld "go </w:t>
      </w:r>
      <w:r w:rsidR="00432E5C" w:rsidRPr="00564DB3">
        <w:rPr>
          <w:szCs w:val="18"/>
        </w:rPr>
        <w:t>against"</w:t>
      </w:r>
      <w:bookmarkEnd w:id="382"/>
      <w:r w:rsidR="00432E5C" w:rsidRPr="00564DB3">
        <w:rPr>
          <w:szCs w:val="18"/>
        </w:rPr>
        <w:t>, the objective of "conservation of exhaustible natural resources".</w:t>
      </w:r>
      <w:r w:rsidR="00514E20" w:rsidRPr="00564DB3">
        <w:rPr>
          <w:rStyle w:val="FootnoteReference"/>
          <w:szCs w:val="18"/>
        </w:rPr>
        <w:footnoteReference w:id="847"/>
      </w:r>
      <w:r w:rsidR="00432E5C" w:rsidRPr="00564DB3">
        <w:rPr>
          <w:szCs w:val="18"/>
        </w:rPr>
        <w:t xml:space="preserve"> As the Appellate</w:t>
      </w:r>
      <w:r w:rsidR="00025CB6" w:rsidRPr="00564DB3">
        <w:rPr>
          <w:szCs w:val="18"/>
        </w:rPr>
        <w:t> Body</w:t>
      </w:r>
      <w:r w:rsidR="00432E5C" w:rsidRPr="00564DB3">
        <w:rPr>
          <w:szCs w:val="18"/>
        </w:rPr>
        <w:t xml:space="preserve"> found in the first compliance proceedings, once </w:t>
      </w:r>
      <w:r w:rsidR="008F7524" w:rsidRPr="00564DB3">
        <w:rPr>
          <w:szCs w:val="18"/>
        </w:rPr>
        <w:t>the</w:t>
      </w:r>
      <w:r w:rsidR="00432E5C" w:rsidRPr="00564DB3">
        <w:rPr>
          <w:szCs w:val="18"/>
        </w:rPr>
        <w:t xml:space="preserve"> measure</w:t>
      </w:r>
      <w:r w:rsidR="008F7524" w:rsidRPr="00564DB3">
        <w:rPr>
          <w:szCs w:val="18"/>
        </w:rPr>
        <w:t xml:space="preserve"> at issue in this dispute</w:t>
      </w:r>
      <w:r w:rsidR="00432E5C" w:rsidRPr="00564DB3">
        <w:rPr>
          <w:szCs w:val="18"/>
        </w:rPr>
        <w:t xml:space="preserve"> is found to be provisionally justified under </w:t>
      </w:r>
      <w:r w:rsidR="00083DFC" w:rsidRPr="00564DB3">
        <w:rPr>
          <w:szCs w:val="18"/>
        </w:rPr>
        <w:t>Article </w:t>
      </w:r>
      <w:r w:rsidR="00432E5C" w:rsidRPr="00564DB3">
        <w:rPr>
          <w:szCs w:val="18"/>
        </w:rPr>
        <w:t>XX</w:t>
      </w:r>
      <w:r w:rsidR="001D4B63" w:rsidRPr="00564DB3">
        <w:rPr>
          <w:szCs w:val="18"/>
        </w:rPr>
        <w:t>(g)</w:t>
      </w:r>
      <w:r w:rsidR="00432E5C" w:rsidRPr="00564DB3">
        <w:rPr>
          <w:szCs w:val="18"/>
        </w:rPr>
        <w:t xml:space="preserve">, whether the rational relationship requirement under the </w:t>
      </w:r>
      <w:r w:rsidR="00432E5C" w:rsidRPr="00564DB3">
        <w:rPr>
          <w:i/>
          <w:szCs w:val="18"/>
        </w:rPr>
        <w:t>chapeau</w:t>
      </w:r>
      <w:r w:rsidR="00432E5C" w:rsidRPr="00564DB3">
        <w:rPr>
          <w:szCs w:val="18"/>
        </w:rPr>
        <w:t xml:space="preserve"> of </w:t>
      </w:r>
      <w:r w:rsidR="00083DFC" w:rsidRPr="00564DB3">
        <w:rPr>
          <w:szCs w:val="18"/>
        </w:rPr>
        <w:t>Article </w:t>
      </w:r>
      <w:r w:rsidR="00432E5C" w:rsidRPr="00564DB3">
        <w:rPr>
          <w:szCs w:val="18"/>
        </w:rPr>
        <w:t xml:space="preserve">XX is analysed through the lens of the objectives pursued by the measure, or the policy objectives contained in </w:t>
      </w:r>
      <w:r w:rsidR="00083DFC" w:rsidRPr="00564DB3">
        <w:rPr>
          <w:szCs w:val="18"/>
        </w:rPr>
        <w:t>Article </w:t>
      </w:r>
      <w:r w:rsidR="00432E5C" w:rsidRPr="00564DB3">
        <w:rPr>
          <w:szCs w:val="18"/>
        </w:rPr>
        <w:t>XX</w:t>
      </w:r>
      <w:r w:rsidR="001D4B63" w:rsidRPr="00564DB3">
        <w:rPr>
          <w:szCs w:val="18"/>
        </w:rPr>
        <w:t>(g)</w:t>
      </w:r>
      <w:r w:rsidR="00E640B8" w:rsidRPr="00564DB3">
        <w:rPr>
          <w:szCs w:val="18"/>
        </w:rPr>
        <w:t>, the analysis</w:t>
      </w:r>
      <w:r w:rsidR="00432E5C" w:rsidRPr="00564DB3">
        <w:rPr>
          <w:szCs w:val="18"/>
        </w:rPr>
        <w:t xml:space="preserve"> should not yield a different result.</w:t>
      </w:r>
      <w:r w:rsidR="005B1CE4" w:rsidRPr="00564DB3">
        <w:rPr>
          <w:rStyle w:val="FootnoteReference"/>
          <w:szCs w:val="18"/>
        </w:rPr>
        <w:footnoteReference w:id="848"/>
      </w:r>
      <w:r w:rsidR="00432E5C" w:rsidRPr="00564DB3">
        <w:rPr>
          <w:szCs w:val="18"/>
        </w:rPr>
        <w:t xml:space="preserve"> In light of this finding, and the considerations set out above, we disagree with Mexico's contention that, because of the Panels' rejection of the PBR evidence, their calibration analysis cannot support a finding that the regulatory distinctions giving rise to the discrimination under the 2016 Tuna Measure </w:t>
      </w:r>
      <w:r w:rsidR="00E640B8" w:rsidRPr="00564DB3">
        <w:rPr>
          <w:szCs w:val="18"/>
        </w:rPr>
        <w:t>are</w:t>
      </w:r>
      <w:r w:rsidR="00432E5C" w:rsidRPr="00564DB3">
        <w:rPr>
          <w:szCs w:val="18"/>
        </w:rPr>
        <w:t xml:space="preserve"> rationally related to the conservation of exhaustible natural resources.</w:t>
      </w:r>
    </w:p>
    <w:p w:rsidR="00432E5C" w:rsidRPr="00564DB3" w:rsidRDefault="00432E5C" w:rsidP="00F70E38">
      <w:pPr>
        <w:pStyle w:val="Heading3"/>
        <w:rPr>
          <w:szCs w:val="18"/>
        </w:rPr>
      </w:pPr>
      <w:bookmarkStart w:id="383" w:name="_Toc524699539"/>
      <w:bookmarkStart w:id="384" w:name="_Toc531967501"/>
      <w:r w:rsidRPr="00564DB3">
        <w:rPr>
          <w:szCs w:val="18"/>
        </w:rPr>
        <w:t>Conclusion</w:t>
      </w:r>
      <w:bookmarkEnd w:id="383"/>
      <w:bookmarkEnd w:id="384"/>
    </w:p>
    <w:p w:rsidR="00432E5C" w:rsidRPr="00564DB3" w:rsidRDefault="00432E5C" w:rsidP="00F70E38">
      <w:pPr>
        <w:pStyle w:val="BodyText"/>
        <w:rPr>
          <w:szCs w:val="18"/>
          <w:lang w:eastAsia="zh-CN"/>
        </w:rPr>
      </w:pPr>
      <w:r w:rsidRPr="00564DB3">
        <w:rPr>
          <w:szCs w:val="18"/>
        </w:rPr>
        <w:t>In</w:t>
      </w:r>
      <w:r w:rsidRPr="00564DB3">
        <w:rPr>
          <w:szCs w:val="18"/>
          <w:lang w:eastAsia="zh-CN"/>
        </w:rPr>
        <w:t xml:space="preserve"> sum,</w:t>
      </w:r>
      <w:r w:rsidRPr="00564DB3">
        <w:rPr>
          <w:szCs w:val="18"/>
        </w:rPr>
        <w:t xml:space="preserve"> one of the most important factors in the assessment of arbitrary or unjustifiable discrimination under the </w:t>
      </w:r>
      <w:r w:rsidRPr="00564DB3">
        <w:rPr>
          <w:i/>
          <w:szCs w:val="18"/>
        </w:rPr>
        <w:t xml:space="preserve">chapeau </w:t>
      </w:r>
      <w:r w:rsidRPr="00564DB3">
        <w:rPr>
          <w:szCs w:val="18"/>
        </w:rPr>
        <w:t xml:space="preserve">of </w:t>
      </w:r>
      <w:r w:rsidR="00083DFC" w:rsidRPr="00564DB3">
        <w:rPr>
          <w:szCs w:val="18"/>
        </w:rPr>
        <w:t>Article </w:t>
      </w:r>
      <w:r w:rsidRPr="00564DB3">
        <w:rPr>
          <w:szCs w:val="18"/>
        </w:rPr>
        <w:t>XX of the GATT</w:t>
      </w:r>
      <w:r w:rsidR="00025CB6" w:rsidRPr="00564DB3">
        <w:rPr>
          <w:szCs w:val="18"/>
        </w:rPr>
        <w:t> 1994</w:t>
      </w:r>
      <w:r w:rsidRPr="00564DB3">
        <w:rPr>
          <w:i/>
          <w:szCs w:val="18"/>
        </w:rPr>
        <w:t xml:space="preserve"> </w:t>
      </w:r>
      <w:r w:rsidRPr="00564DB3">
        <w:rPr>
          <w:szCs w:val="18"/>
        </w:rPr>
        <w:t xml:space="preserve">is the question </w:t>
      </w:r>
      <w:r w:rsidR="00161F9D">
        <w:rPr>
          <w:szCs w:val="18"/>
        </w:rPr>
        <w:t xml:space="preserve">of </w:t>
      </w:r>
      <w:r w:rsidRPr="00564DB3">
        <w:rPr>
          <w:szCs w:val="18"/>
        </w:rPr>
        <w:t xml:space="preserve">whether the discrimination can be reconciled with, or is rationally related to, the policy objective with respect to which the measure has been provisionally justified under one of the subparagraphs of </w:t>
      </w:r>
      <w:r w:rsidR="00083DFC" w:rsidRPr="00564DB3">
        <w:rPr>
          <w:szCs w:val="18"/>
        </w:rPr>
        <w:t>Article </w:t>
      </w:r>
      <w:r w:rsidR="00530EB8" w:rsidRPr="00564DB3">
        <w:rPr>
          <w:szCs w:val="18"/>
        </w:rPr>
        <w:t>XX. As </w:t>
      </w:r>
      <w:r w:rsidRPr="00564DB3">
        <w:rPr>
          <w:szCs w:val="18"/>
        </w:rPr>
        <w:t>indicated above, the Appellate</w:t>
      </w:r>
      <w:r w:rsidR="00025CB6" w:rsidRPr="00564DB3">
        <w:rPr>
          <w:szCs w:val="18"/>
        </w:rPr>
        <w:t> Body</w:t>
      </w:r>
      <w:r w:rsidRPr="00564DB3">
        <w:rPr>
          <w:szCs w:val="18"/>
        </w:rPr>
        <w:t xml:space="preserve">'s guidance in the first compliance proceedings indicates that the calibration analysis is the tool in the circumstances of this dispute to assess whether the 2016 Tuna Measure is 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If done</w:t>
      </w:r>
      <w:r w:rsidR="0055419B" w:rsidRPr="00564DB3">
        <w:rPr>
          <w:i/>
          <w:szCs w:val="18"/>
        </w:rPr>
        <w:t xml:space="preserve"> </w:t>
      </w:r>
      <w:r w:rsidR="0055419B" w:rsidRPr="00564DB3">
        <w:rPr>
          <w:szCs w:val="18"/>
        </w:rPr>
        <w:t>properly</w:t>
      </w:r>
      <w:r w:rsidRPr="00564DB3">
        <w:rPr>
          <w:szCs w:val="18"/>
        </w:rPr>
        <w:t>, th</w:t>
      </w:r>
      <w:r w:rsidR="001771DC" w:rsidRPr="00564DB3">
        <w:rPr>
          <w:szCs w:val="18"/>
        </w:rPr>
        <w:t>e calibration</w:t>
      </w:r>
      <w:r w:rsidRPr="00564DB3">
        <w:rPr>
          <w:szCs w:val="18"/>
        </w:rPr>
        <w:t xml:space="preserve"> analysis </w:t>
      </w:r>
      <w:r w:rsidR="00E640B8" w:rsidRPr="00564DB3">
        <w:rPr>
          <w:szCs w:val="18"/>
        </w:rPr>
        <w:t>would</w:t>
      </w:r>
      <w:r w:rsidRPr="00564DB3">
        <w:rPr>
          <w:szCs w:val="18"/>
        </w:rPr>
        <w:t xml:space="preserve"> encompass consideration of the rational relationship between the regulatory distinction of the 2016 Tuna Measure and its objectives. As also indicated, it was appropriate for the Panels, in the circumstances of these compliance proceedings, to rely on their calibration analysis under </w:t>
      </w:r>
      <w:r w:rsidR="00083DFC" w:rsidRPr="00564DB3">
        <w:rPr>
          <w:szCs w:val="18"/>
        </w:rPr>
        <w:t>Article </w:t>
      </w:r>
      <w:r w:rsidRPr="00564DB3">
        <w:rPr>
          <w:szCs w:val="18"/>
        </w:rPr>
        <w:t xml:space="preserve">2.1 in their assessment of whether the 2016 Tuna Measure is applied in a manner that constitutes arbitrary or unjustifiable discrimination within the meaning of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This is because, </w:t>
      </w:r>
      <w:r w:rsidR="0055419B" w:rsidRPr="00564DB3">
        <w:rPr>
          <w:szCs w:val="18"/>
        </w:rPr>
        <w:t>where</w:t>
      </w:r>
      <w:r w:rsidRPr="00564DB3">
        <w:rPr>
          <w:szCs w:val="18"/>
        </w:rPr>
        <w:t xml:space="preserve"> the differences between </w:t>
      </w:r>
      <w:r w:rsidR="00083DFC" w:rsidRPr="00564DB3">
        <w:rPr>
          <w:szCs w:val="18"/>
        </w:rPr>
        <w:t>Article </w:t>
      </w:r>
      <w:r w:rsidRPr="00564DB3">
        <w:rPr>
          <w:szCs w:val="18"/>
        </w:rPr>
        <w:t xml:space="preserve">2.1 and </w:t>
      </w:r>
      <w:r w:rsidR="00083DFC" w:rsidRPr="00564DB3">
        <w:rPr>
          <w:szCs w:val="18"/>
        </w:rPr>
        <w:t>Article </w:t>
      </w:r>
      <w:r w:rsidRPr="00564DB3">
        <w:rPr>
          <w:szCs w:val="18"/>
        </w:rPr>
        <w:t xml:space="preserve">XX are </w:t>
      </w:r>
      <w:proofErr w:type="gramStart"/>
      <w:r w:rsidRPr="00564DB3">
        <w:rPr>
          <w:szCs w:val="18"/>
        </w:rPr>
        <w:t>taken into account</w:t>
      </w:r>
      <w:proofErr w:type="gramEnd"/>
      <w:r w:rsidRPr="00564DB3">
        <w:rPr>
          <w:szCs w:val="18"/>
        </w:rPr>
        <w:t xml:space="preserve">, it may be permissible to rely on reasoning developed in the context of one agreement </w:t>
      </w:r>
      <w:r w:rsidR="00FF1995" w:rsidRPr="00564DB3">
        <w:rPr>
          <w:szCs w:val="18"/>
        </w:rPr>
        <w:t>for the purpose of</w:t>
      </w:r>
      <w:r w:rsidRPr="00564DB3">
        <w:rPr>
          <w:szCs w:val="18"/>
        </w:rPr>
        <w:t xml:space="preserve"> conducting an analysis under the other. </w:t>
      </w:r>
    </w:p>
    <w:p w:rsidR="00432E5C" w:rsidRPr="00564DB3" w:rsidRDefault="007D5E73" w:rsidP="00F70E38">
      <w:pPr>
        <w:pStyle w:val="BodyText"/>
        <w:rPr>
          <w:szCs w:val="18"/>
          <w:lang w:eastAsia="zh-CN"/>
        </w:rPr>
      </w:pPr>
      <w:bookmarkStart w:id="385" w:name="_Ref529198448"/>
      <w:r w:rsidRPr="00564DB3">
        <w:rPr>
          <w:szCs w:val="18"/>
        </w:rPr>
        <w:t>We also indicated in</w:t>
      </w:r>
      <w:r w:rsidR="00EE061A">
        <w:rPr>
          <w:szCs w:val="18"/>
        </w:rPr>
        <w:t xml:space="preserve"> section 6.1.5 </w:t>
      </w:r>
      <w:r w:rsidR="00432E5C" w:rsidRPr="00564DB3">
        <w:rPr>
          <w:szCs w:val="18"/>
        </w:rPr>
        <w:t xml:space="preserve">above that the Panels did not err in finding </w:t>
      </w:r>
      <w:r w:rsidR="008B35FB" w:rsidRPr="00564DB3">
        <w:rPr>
          <w:szCs w:val="18"/>
        </w:rPr>
        <w:t xml:space="preserve">that the 2016 Tuna Measure </w:t>
      </w:r>
      <w:r w:rsidR="0055419B" w:rsidRPr="00564DB3">
        <w:rPr>
          <w:szCs w:val="18"/>
        </w:rPr>
        <w:t>i</w:t>
      </w:r>
      <w:r w:rsidR="008B35FB" w:rsidRPr="00564DB3">
        <w:rPr>
          <w:szCs w:val="18"/>
        </w:rPr>
        <w:t>s calibrated</w:t>
      </w:r>
      <w:r w:rsidR="00432E5C" w:rsidRPr="00564DB3">
        <w:rPr>
          <w:szCs w:val="18"/>
        </w:rPr>
        <w:t xml:space="preserve"> to the risks to dolphins arising from the </w:t>
      </w:r>
      <w:r w:rsidR="00E640B8" w:rsidRPr="00564DB3">
        <w:rPr>
          <w:szCs w:val="18"/>
        </w:rPr>
        <w:t xml:space="preserve">use of </w:t>
      </w:r>
      <w:r w:rsidR="00432E5C" w:rsidRPr="00564DB3">
        <w:rPr>
          <w:szCs w:val="18"/>
        </w:rPr>
        <w:t xml:space="preserve">different fishing methods in different areas of the ocean. Therefore, given that consideration of the rational relationship between the regulatory distinctions </w:t>
      </w:r>
      <w:r w:rsidR="00E640B8" w:rsidRPr="00564DB3">
        <w:rPr>
          <w:szCs w:val="18"/>
        </w:rPr>
        <w:t xml:space="preserve">and the objectives </w:t>
      </w:r>
      <w:r w:rsidR="00432E5C" w:rsidRPr="00564DB3">
        <w:rPr>
          <w:szCs w:val="18"/>
        </w:rPr>
        <w:t xml:space="preserve">of the 2016 Tuna Measure </w:t>
      </w:r>
      <w:r w:rsidR="0055419B" w:rsidRPr="00564DB3">
        <w:rPr>
          <w:szCs w:val="18"/>
        </w:rPr>
        <w:t>was</w:t>
      </w:r>
      <w:r w:rsidR="00432E5C" w:rsidRPr="00564DB3">
        <w:rPr>
          <w:szCs w:val="18"/>
        </w:rPr>
        <w:t xml:space="preserve"> encompassed in this analysis</w:t>
      </w:r>
      <w:r w:rsidR="0055419B" w:rsidRPr="00564DB3">
        <w:rPr>
          <w:szCs w:val="18"/>
        </w:rPr>
        <w:t>, w</w:t>
      </w:r>
      <w:r w:rsidR="00E640B8" w:rsidRPr="00564DB3">
        <w:rPr>
          <w:szCs w:val="18"/>
        </w:rPr>
        <w:t xml:space="preserve">e </w:t>
      </w:r>
      <w:r w:rsidR="00432E5C" w:rsidRPr="00564DB3">
        <w:rPr>
          <w:szCs w:val="18"/>
        </w:rPr>
        <w:t xml:space="preserve">find that the Panels did not err in relying on the reasoning developed under </w:t>
      </w:r>
      <w:r w:rsidR="00083DFC" w:rsidRPr="00564DB3">
        <w:rPr>
          <w:szCs w:val="18"/>
        </w:rPr>
        <w:t>Article </w:t>
      </w:r>
      <w:r w:rsidR="00432E5C" w:rsidRPr="00564DB3">
        <w:rPr>
          <w:szCs w:val="18"/>
        </w:rPr>
        <w:t xml:space="preserve">2.1 of the </w:t>
      </w:r>
      <w:r w:rsidR="00083DFC" w:rsidRPr="00564DB3">
        <w:rPr>
          <w:szCs w:val="18"/>
        </w:rPr>
        <w:t>TBT Agreement</w:t>
      </w:r>
      <w:r w:rsidR="00432E5C" w:rsidRPr="00564DB3">
        <w:rPr>
          <w:szCs w:val="18"/>
        </w:rPr>
        <w:t xml:space="preserve"> in assessing the conformity of the 2016 Tuna Measure with the </w:t>
      </w:r>
      <w:r w:rsidR="00432E5C" w:rsidRPr="00564DB3">
        <w:rPr>
          <w:i/>
          <w:szCs w:val="18"/>
        </w:rPr>
        <w:t>chapeau</w:t>
      </w:r>
      <w:r w:rsidR="00432E5C" w:rsidRPr="00564DB3">
        <w:rPr>
          <w:szCs w:val="18"/>
        </w:rPr>
        <w:t xml:space="preserve"> of </w:t>
      </w:r>
      <w:r w:rsidR="00083DFC" w:rsidRPr="00564DB3">
        <w:rPr>
          <w:szCs w:val="18"/>
        </w:rPr>
        <w:t>Article </w:t>
      </w:r>
      <w:r w:rsidR="00432E5C" w:rsidRPr="00564DB3">
        <w:rPr>
          <w:szCs w:val="18"/>
        </w:rPr>
        <w:t>XX of the GATT</w:t>
      </w:r>
      <w:r w:rsidR="00025CB6" w:rsidRPr="00564DB3">
        <w:rPr>
          <w:szCs w:val="18"/>
        </w:rPr>
        <w:t> 1994</w:t>
      </w:r>
      <w:r w:rsidR="00432E5C" w:rsidRPr="00564DB3">
        <w:rPr>
          <w:szCs w:val="18"/>
        </w:rPr>
        <w:t>. We also reject Mexico's contention that, due to the</w:t>
      </w:r>
      <w:r w:rsidR="00AB52B2" w:rsidRPr="00564DB3">
        <w:rPr>
          <w:szCs w:val="18"/>
        </w:rPr>
        <w:t xml:space="preserve"> Panels' </w:t>
      </w:r>
      <w:r w:rsidR="00432E5C" w:rsidRPr="00564DB3">
        <w:rPr>
          <w:szCs w:val="18"/>
        </w:rPr>
        <w:t>reliance on per set</w:t>
      </w:r>
      <w:r w:rsidR="0074765B" w:rsidRPr="00564DB3">
        <w:rPr>
          <w:szCs w:val="18"/>
        </w:rPr>
        <w:t xml:space="preserve"> evidence</w:t>
      </w:r>
      <w:r w:rsidR="00432E5C" w:rsidRPr="00564DB3">
        <w:rPr>
          <w:szCs w:val="18"/>
        </w:rPr>
        <w:t>, rather than PBR evidence</w:t>
      </w:r>
      <w:r w:rsidR="0074765B" w:rsidRPr="00564DB3">
        <w:rPr>
          <w:szCs w:val="18"/>
        </w:rPr>
        <w:t>,</w:t>
      </w:r>
      <w:r w:rsidR="00432E5C" w:rsidRPr="00564DB3">
        <w:rPr>
          <w:szCs w:val="18"/>
        </w:rPr>
        <w:t xml:space="preserve"> in assessing the risks to dolphins, the</w:t>
      </w:r>
      <w:r w:rsidR="00AB52B2" w:rsidRPr="00564DB3">
        <w:rPr>
          <w:szCs w:val="18"/>
        </w:rPr>
        <w:t>ir</w:t>
      </w:r>
      <w:r w:rsidR="00432E5C" w:rsidRPr="00564DB3">
        <w:rPr>
          <w:szCs w:val="18"/>
        </w:rPr>
        <w:t xml:space="preserve"> calibrat</w:t>
      </w:r>
      <w:r w:rsidR="00AB52B2" w:rsidRPr="00564DB3">
        <w:rPr>
          <w:szCs w:val="18"/>
        </w:rPr>
        <w:t xml:space="preserve">ion analysis cannot be relied </w:t>
      </w:r>
      <w:r w:rsidR="00432E5C" w:rsidRPr="00564DB3">
        <w:rPr>
          <w:szCs w:val="18"/>
        </w:rPr>
        <w:t>on for assessing whether the 2016 Tuna Measure is rationally related to the conservation of exhaustible natural resources.</w:t>
      </w:r>
      <w:bookmarkEnd w:id="385"/>
    </w:p>
    <w:p w:rsidR="00432E5C" w:rsidRPr="00564DB3" w:rsidRDefault="00432E5C" w:rsidP="00F70E38">
      <w:pPr>
        <w:pStyle w:val="BodyText"/>
        <w:rPr>
          <w:szCs w:val="18"/>
        </w:rPr>
      </w:pPr>
      <w:r w:rsidRPr="00564DB3">
        <w:rPr>
          <w:szCs w:val="18"/>
        </w:rPr>
        <w:t>For the foregoing reasons</w:t>
      </w:r>
      <w:r w:rsidR="00AB52B2" w:rsidRPr="00564DB3">
        <w:rPr>
          <w:szCs w:val="18"/>
        </w:rPr>
        <w:t>,</w:t>
      </w:r>
      <w:r w:rsidRPr="00564DB3">
        <w:rPr>
          <w:szCs w:val="18"/>
        </w:rPr>
        <w:t xml:space="preserve"> we </w:t>
      </w:r>
      <w:r w:rsidRPr="00564DB3">
        <w:rPr>
          <w:szCs w:val="18"/>
          <w:u w:val="single"/>
        </w:rPr>
        <w:t>uphold</w:t>
      </w:r>
      <w:r w:rsidRPr="00564DB3">
        <w:rPr>
          <w:szCs w:val="18"/>
        </w:rPr>
        <w:t xml:space="preserve"> the Panels' finding </w:t>
      </w:r>
      <w:r w:rsidR="005D06F7" w:rsidRPr="00564DB3">
        <w:rPr>
          <w:szCs w:val="18"/>
          <w:lang w:eastAsia="zh-CN"/>
        </w:rPr>
        <w:t xml:space="preserve">that the 2016 Tuna Measure </w:t>
      </w:r>
      <w:r w:rsidRPr="00564DB3">
        <w:rPr>
          <w:szCs w:val="18"/>
        </w:rPr>
        <w:t xml:space="preserve">is not applied in a manner that constitutes a means of arbitrary or unjustifiable discrimination and is therefore justified under </w:t>
      </w:r>
      <w:r w:rsidR="00083DFC" w:rsidRPr="00564DB3">
        <w:rPr>
          <w:szCs w:val="18"/>
        </w:rPr>
        <w:t>Article </w:t>
      </w:r>
      <w:r w:rsidRPr="00564DB3">
        <w:rPr>
          <w:szCs w:val="18"/>
        </w:rPr>
        <w:t>XX of the GATT</w:t>
      </w:r>
      <w:r w:rsidR="00025CB6" w:rsidRPr="00564DB3">
        <w:rPr>
          <w:szCs w:val="18"/>
        </w:rPr>
        <w:t> 1994</w:t>
      </w:r>
      <w:r w:rsidRPr="00564DB3">
        <w:rPr>
          <w:szCs w:val="18"/>
        </w:rPr>
        <w:t>.</w:t>
      </w:r>
      <w:bookmarkEnd w:id="368"/>
      <w:bookmarkEnd w:id="369"/>
      <w:bookmarkEnd w:id="370"/>
      <w:bookmarkEnd w:id="371"/>
      <w:bookmarkEnd w:id="372"/>
      <w:bookmarkEnd w:id="373"/>
      <w:r w:rsidR="003D386A" w:rsidRPr="00564DB3">
        <w:rPr>
          <w:rStyle w:val="FootnoteReference"/>
          <w:szCs w:val="18"/>
          <w:lang w:eastAsia="zh-CN"/>
        </w:rPr>
        <w:footnoteReference w:id="849"/>
      </w:r>
    </w:p>
    <w:p w:rsidR="00431128" w:rsidRPr="00564DB3" w:rsidRDefault="00431128" w:rsidP="00F70E38">
      <w:pPr>
        <w:pStyle w:val="Heading2"/>
        <w:rPr>
          <w:szCs w:val="18"/>
        </w:rPr>
      </w:pPr>
      <w:bookmarkStart w:id="386" w:name="_Toc531967502"/>
      <w:r w:rsidRPr="00564DB3">
        <w:rPr>
          <w:szCs w:val="18"/>
        </w:rPr>
        <w:t>The Panels' decision to hold a partially open meeting</w:t>
      </w:r>
      <w:bookmarkEnd w:id="386"/>
    </w:p>
    <w:p w:rsidR="00432E5C" w:rsidRPr="00564DB3" w:rsidRDefault="00432E5C" w:rsidP="00F70E38">
      <w:pPr>
        <w:pStyle w:val="BodyText"/>
        <w:rPr>
          <w:rFonts w:cs="Arial"/>
          <w:szCs w:val="18"/>
        </w:rPr>
      </w:pPr>
      <w:bookmarkStart w:id="387" w:name="_Hlk526519155"/>
      <w:bookmarkStart w:id="388" w:name="_Hlk525291130"/>
      <w:r w:rsidRPr="00564DB3">
        <w:rPr>
          <w:rFonts w:cs="Arial"/>
          <w:szCs w:val="18"/>
        </w:rPr>
        <w:t xml:space="preserve">Mexico </w:t>
      </w:r>
      <w:bookmarkStart w:id="389" w:name="_Hlk524689147"/>
      <w:r w:rsidRPr="00564DB3">
        <w:rPr>
          <w:rFonts w:cs="Arial"/>
          <w:szCs w:val="18"/>
        </w:rPr>
        <w:t>appeals "</w:t>
      </w:r>
      <w:r w:rsidRPr="00564DB3">
        <w:rPr>
          <w:szCs w:val="18"/>
        </w:rPr>
        <w:t>the findings and conclusion of the Panels that they had the authority to conduct a partially open meeting of the parties without the consent of both Parties"</w:t>
      </w:r>
      <w:bookmarkEnd w:id="389"/>
      <w:r w:rsidRPr="00564DB3">
        <w:rPr>
          <w:rFonts w:cs="Arial"/>
          <w:szCs w:val="18"/>
        </w:rPr>
        <w:t>.</w:t>
      </w:r>
      <w:r w:rsidR="005B1CE4" w:rsidRPr="00564DB3">
        <w:rPr>
          <w:rStyle w:val="FootnoteReference"/>
          <w:rFonts w:cs="Arial"/>
          <w:szCs w:val="18"/>
        </w:rPr>
        <w:footnoteReference w:id="850"/>
      </w:r>
      <w:r w:rsidRPr="00564DB3">
        <w:rPr>
          <w:rFonts w:cs="Arial"/>
          <w:szCs w:val="18"/>
        </w:rPr>
        <w:t xml:space="preserve"> </w:t>
      </w:r>
      <w:bookmarkStart w:id="390" w:name="_Hlk524706195"/>
      <w:r w:rsidRPr="00564DB3">
        <w:rPr>
          <w:rFonts w:cs="Arial"/>
          <w:szCs w:val="18"/>
        </w:rPr>
        <w:t xml:space="preserve">In response, the </w:t>
      </w:r>
      <w:r w:rsidR="00083DFC" w:rsidRPr="00564DB3">
        <w:rPr>
          <w:rFonts w:cs="Arial"/>
          <w:szCs w:val="18"/>
        </w:rPr>
        <w:t>United States</w:t>
      </w:r>
      <w:r w:rsidRPr="00564DB3">
        <w:rPr>
          <w:rFonts w:cs="Arial"/>
          <w:szCs w:val="18"/>
        </w:rPr>
        <w:t xml:space="preserve"> contends that Mexico's appeal is not properly raised due to deficiencies </w:t>
      </w:r>
      <w:r w:rsidR="005116C0" w:rsidRPr="00564DB3">
        <w:rPr>
          <w:rFonts w:cs="Arial"/>
          <w:szCs w:val="18"/>
        </w:rPr>
        <w:t>in</w:t>
      </w:r>
      <w:r w:rsidRPr="00564DB3">
        <w:rPr>
          <w:rFonts w:cs="Arial"/>
          <w:szCs w:val="18"/>
        </w:rPr>
        <w:t xml:space="preserve"> Mexico's Notice of Appeal in light of </w:t>
      </w:r>
      <w:r w:rsidR="00083DFC" w:rsidRPr="00564DB3">
        <w:rPr>
          <w:rFonts w:cs="Arial"/>
          <w:szCs w:val="18"/>
        </w:rPr>
        <w:t>Article </w:t>
      </w:r>
      <w:r w:rsidRPr="00564DB3">
        <w:rPr>
          <w:rFonts w:cs="Arial"/>
          <w:szCs w:val="18"/>
        </w:rPr>
        <w:t xml:space="preserve">17.6 of the DSU and Rule 20(2)(d) of the </w:t>
      </w:r>
      <w:r w:rsidR="00513E20" w:rsidRPr="00564DB3">
        <w:rPr>
          <w:rFonts w:cs="Arial"/>
          <w:szCs w:val="18"/>
        </w:rPr>
        <w:t>Working Procedures for Appellate Review (Working </w:t>
      </w:r>
      <w:r w:rsidRPr="00564DB3">
        <w:rPr>
          <w:rFonts w:cs="Arial"/>
          <w:szCs w:val="18"/>
        </w:rPr>
        <w:t>Procedures</w:t>
      </w:r>
      <w:r w:rsidR="00513E20" w:rsidRPr="00564DB3">
        <w:rPr>
          <w:rFonts w:cs="Arial"/>
          <w:szCs w:val="18"/>
        </w:rPr>
        <w:t>)</w:t>
      </w:r>
      <w:r w:rsidRPr="00564DB3">
        <w:rPr>
          <w:rFonts w:cs="Arial"/>
          <w:szCs w:val="18"/>
        </w:rPr>
        <w:t>.</w:t>
      </w:r>
      <w:bookmarkEnd w:id="390"/>
      <w:r w:rsidR="005B1CE4" w:rsidRPr="00564DB3">
        <w:rPr>
          <w:rStyle w:val="FootnoteReference"/>
          <w:rFonts w:cs="Arial"/>
          <w:szCs w:val="18"/>
        </w:rPr>
        <w:footnoteReference w:id="851"/>
      </w:r>
    </w:p>
    <w:p w:rsidR="00432E5C" w:rsidRPr="00564DB3" w:rsidRDefault="00432E5C" w:rsidP="001B6C19">
      <w:pPr>
        <w:pStyle w:val="Heading3"/>
        <w:numPr>
          <w:ilvl w:val="2"/>
          <w:numId w:val="22"/>
        </w:numPr>
        <w:rPr>
          <w:szCs w:val="18"/>
        </w:rPr>
      </w:pPr>
      <w:bookmarkStart w:id="391" w:name="_Ref524359722"/>
      <w:bookmarkStart w:id="392" w:name="_Toc531967503"/>
      <w:r w:rsidRPr="00564DB3">
        <w:rPr>
          <w:szCs w:val="18"/>
        </w:rPr>
        <w:t>Procedural background</w:t>
      </w:r>
      <w:bookmarkEnd w:id="391"/>
      <w:bookmarkEnd w:id="392"/>
    </w:p>
    <w:p w:rsidR="00432E5C" w:rsidRPr="00564DB3" w:rsidRDefault="00432E5C" w:rsidP="001B6C19">
      <w:pPr>
        <w:pStyle w:val="BodyText"/>
        <w:keepLines/>
        <w:rPr>
          <w:rFonts w:cs="Arial"/>
          <w:szCs w:val="18"/>
        </w:rPr>
      </w:pPr>
      <w:bookmarkStart w:id="393" w:name="_Ref525213243"/>
      <w:r w:rsidRPr="00564DB3">
        <w:rPr>
          <w:szCs w:val="18"/>
        </w:rPr>
        <w:t xml:space="preserve">At </w:t>
      </w:r>
      <w:bookmarkStart w:id="394" w:name="_Hlk524706076"/>
      <w:r w:rsidRPr="00564DB3">
        <w:rPr>
          <w:szCs w:val="18"/>
        </w:rPr>
        <w:t xml:space="preserve">the organizational meetings of the Panels in these proceedings, held on 10 June 2016 and 14 July 2016, respectively, the </w:t>
      </w:r>
      <w:r w:rsidR="00083DFC" w:rsidRPr="00564DB3">
        <w:rPr>
          <w:szCs w:val="18"/>
        </w:rPr>
        <w:t>United States</w:t>
      </w:r>
      <w:r w:rsidRPr="00564DB3">
        <w:rPr>
          <w:szCs w:val="18"/>
        </w:rPr>
        <w:t xml:space="preserve"> proposed a change to the Panels' working procedures to allow the Panels' substantive meeting to be publicly observed. Alternatively, if Mexico did not agree to this, the </w:t>
      </w:r>
      <w:r w:rsidR="00083DFC" w:rsidRPr="00564DB3">
        <w:rPr>
          <w:szCs w:val="18"/>
        </w:rPr>
        <w:t>United States</w:t>
      </w:r>
      <w:r w:rsidRPr="00564DB3">
        <w:rPr>
          <w:szCs w:val="18"/>
        </w:rPr>
        <w:t xml:space="preserve"> requested the Panels to allow a party to request a partially open meeting, whereby that party's statements during the Panel's meeting with the parties could be viewed by the public, either simultaneously or through a delayed broadcast. The statements of a party that wished to maintain the confidentiality of these statements could not be so viewed.</w:t>
      </w:r>
      <w:r w:rsidR="005B1CE4" w:rsidRPr="00564DB3">
        <w:rPr>
          <w:rStyle w:val="FootnoteReference"/>
          <w:szCs w:val="18"/>
        </w:rPr>
        <w:footnoteReference w:id="852"/>
      </w:r>
      <w:r w:rsidRPr="00564DB3">
        <w:rPr>
          <w:szCs w:val="18"/>
        </w:rPr>
        <w:t xml:space="preserve"> Mexico opposed the </w:t>
      </w:r>
      <w:r w:rsidR="00083DFC" w:rsidRPr="00564DB3">
        <w:rPr>
          <w:szCs w:val="18"/>
        </w:rPr>
        <w:t>United States</w:t>
      </w:r>
      <w:r w:rsidRPr="00564DB3">
        <w:rPr>
          <w:szCs w:val="18"/>
        </w:rPr>
        <w:t>' request that the</w:t>
      </w:r>
      <w:r w:rsidR="007D5E73" w:rsidRPr="00564DB3">
        <w:rPr>
          <w:szCs w:val="18"/>
        </w:rPr>
        <w:t xml:space="preserve"> Panels conduct an open meeting</w:t>
      </w:r>
      <w:r w:rsidRPr="00564DB3">
        <w:rPr>
          <w:szCs w:val="18"/>
        </w:rPr>
        <w:t xml:space="preserve"> either fully or partially. Mexico argued that the Panels could only open their substantive meetings with the parties to public viewing with the consent of both parties.</w:t>
      </w:r>
      <w:bookmarkEnd w:id="393"/>
      <w:r w:rsidR="005B1CE4" w:rsidRPr="00564DB3">
        <w:rPr>
          <w:rStyle w:val="FootnoteReference"/>
          <w:szCs w:val="18"/>
        </w:rPr>
        <w:footnoteReference w:id="853"/>
      </w:r>
    </w:p>
    <w:p w:rsidR="00432E5C" w:rsidRPr="00564DB3" w:rsidRDefault="00432E5C" w:rsidP="00F70E38">
      <w:pPr>
        <w:pStyle w:val="BodyText"/>
        <w:rPr>
          <w:rFonts w:cs="Arial"/>
          <w:szCs w:val="18"/>
        </w:rPr>
      </w:pPr>
      <w:r w:rsidRPr="00564DB3">
        <w:rPr>
          <w:rFonts w:cs="Arial"/>
          <w:szCs w:val="18"/>
        </w:rPr>
        <w:t xml:space="preserve">On 4 July 2016, the Panel in the proceedings brought by the </w:t>
      </w:r>
      <w:r w:rsidR="00083DFC" w:rsidRPr="00564DB3">
        <w:rPr>
          <w:rFonts w:cs="Arial"/>
          <w:szCs w:val="18"/>
        </w:rPr>
        <w:t>United States</w:t>
      </w:r>
      <w:r w:rsidRPr="00564DB3">
        <w:rPr>
          <w:rFonts w:cs="Arial"/>
          <w:szCs w:val="18"/>
        </w:rPr>
        <w:t xml:space="preserve"> sought the views of the third parties on this procedural issue. Nine third parties provided their </w:t>
      </w:r>
      <w:r w:rsidR="00682075">
        <w:rPr>
          <w:rFonts w:cs="Arial"/>
          <w:szCs w:val="18"/>
        </w:rPr>
        <w:t>views. Six third </w:t>
      </w:r>
      <w:r w:rsidRPr="00564DB3">
        <w:rPr>
          <w:rFonts w:cs="Arial"/>
          <w:szCs w:val="18"/>
        </w:rPr>
        <w:t>parties</w:t>
      </w:r>
      <w:r w:rsidR="005B1CE4" w:rsidRPr="00564DB3">
        <w:rPr>
          <w:rStyle w:val="FootnoteReference"/>
          <w:rFonts w:cs="Arial"/>
          <w:szCs w:val="18"/>
        </w:rPr>
        <w:footnoteReference w:id="854"/>
      </w:r>
      <w:r w:rsidRPr="00564DB3">
        <w:rPr>
          <w:rFonts w:cs="Arial"/>
          <w:szCs w:val="18"/>
        </w:rPr>
        <w:t xml:space="preserve"> opposed the </w:t>
      </w:r>
      <w:r w:rsidR="00083DFC" w:rsidRPr="00564DB3">
        <w:rPr>
          <w:rFonts w:cs="Arial"/>
          <w:szCs w:val="18"/>
        </w:rPr>
        <w:t>United States</w:t>
      </w:r>
      <w:r w:rsidRPr="00564DB3">
        <w:rPr>
          <w:rFonts w:cs="Arial"/>
          <w:szCs w:val="18"/>
        </w:rPr>
        <w:t>' request, whereas three</w:t>
      </w:r>
      <w:r w:rsidR="005B1CE4" w:rsidRPr="00564DB3">
        <w:rPr>
          <w:rStyle w:val="FootnoteReference"/>
          <w:rFonts w:cs="Arial"/>
          <w:szCs w:val="18"/>
        </w:rPr>
        <w:footnoteReference w:id="855"/>
      </w:r>
      <w:r w:rsidRPr="00564DB3">
        <w:rPr>
          <w:rFonts w:cs="Arial"/>
          <w:szCs w:val="18"/>
        </w:rPr>
        <w:t xml:space="preserve"> did not.</w:t>
      </w:r>
      <w:r w:rsidR="005B1CE4" w:rsidRPr="00564DB3">
        <w:rPr>
          <w:rStyle w:val="FootnoteReference"/>
          <w:rFonts w:cs="Arial"/>
          <w:szCs w:val="18"/>
        </w:rPr>
        <w:footnoteReference w:id="856"/>
      </w:r>
    </w:p>
    <w:p w:rsidR="00432E5C" w:rsidRPr="00564DB3" w:rsidRDefault="00432E5C" w:rsidP="00F70E38">
      <w:pPr>
        <w:pStyle w:val="BodyText"/>
        <w:rPr>
          <w:rFonts w:cs="Arial"/>
          <w:szCs w:val="18"/>
        </w:rPr>
      </w:pPr>
      <w:r w:rsidRPr="00564DB3">
        <w:rPr>
          <w:szCs w:val="18"/>
        </w:rPr>
        <w:t xml:space="preserve">On 29 July 2016, the Panels informed the parties that they considered themselves to have the authority to authorize the </w:t>
      </w:r>
      <w:r w:rsidR="00083DFC" w:rsidRPr="00564DB3">
        <w:rPr>
          <w:szCs w:val="18"/>
        </w:rPr>
        <w:t>United States</w:t>
      </w:r>
      <w:r w:rsidRPr="00564DB3">
        <w:rPr>
          <w:szCs w:val="18"/>
        </w:rPr>
        <w:t xml:space="preserve"> to lift the confidentiality of its statements at the substantive meeting with the parties.</w:t>
      </w:r>
      <w:r w:rsidR="005B1CE4" w:rsidRPr="00564DB3">
        <w:rPr>
          <w:rStyle w:val="FootnoteReference"/>
          <w:szCs w:val="18"/>
        </w:rPr>
        <w:footnoteReference w:id="857"/>
      </w:r>
      <w:r w:rsidRPr="00564DB3">
        <w:rPr>
          <w:szCs w:val="18"/>
        </w:rPr>
        <w:t xml:space="preserve"> Subsequently, in response to a formal request by the </w:t>
      </w:r>
      <w:r w:rsidR="00083DFC" w:rsidRPr="00564DB3">
        <w:rPr>
          <w:szCs w:val="18"/>
        </w:rPr>
        <w:t>United States</w:t>
      </w:r>
      <w:r w:rsidRPr="00564DB3">
        <w:rPr>
          <w:szCs w:val="18"/>
        </w:rPr>
        <w:t>, and following their consultation with the parties, the Panels adopted the</w:t>
      </w:r>
      <w:r w:rsidR="00BB3358" w:rsidRPr="00564DB3">
        <w:rPr>
          <w:szCs w:val="18"/>
        </w:rPr>
        <w:t>ir</w:t>
      </w:r>
      <w:r w:rsidR="00682075">
        <w:rPr>
          <w:szCs w:val="18"/>
        </w:rPr>
        <w:t xml:space="preserve"> Additional </w:t>
      </w:r>
      <w:r w:rsidRPr="00564DB3">
        <w:rPr>
          <w:szCs w:val="18"/>
        </w:rPr>
        <w:t>Working Procedures on 22 December 2016.</w:t>
      </w:r>
      <w:r w:rsidR="005B1CE4" w:rsidRPr="00564DB3">
        <w:rPr>
          <w:rStyle w:val="FootnoteReference"/>
          <w:szCs w:val="18"/>
        </w:rPr>
        <w:footnoteReference w:id="858"/>
      </w:r>
    </w:p>
    <w:p w:rsidR="00432E5C" w:rsidRPr="00564DB3" w:rsidRDefault="00432E5C" w:rsidP="00F70E38">
      <w:pPr>
        <w:pStyle w:val="BodyText"/>
        <w:rPr>
          <w:rFonts w:cs="Arial"/>
          <w:szCs w:val="18"/>
        </w:rPr>
      </w:pPr>
      <w:bookmarkStart w:id="395" w:name="_Ref525213246"/>
      <w:bookmarkEnd w:id="394"/>
      <w:r w:rsidRPr="00564DB3">
        <w:rPr>
          <w:rFonts w:cs="Arial"/>
          <w:szCs w:val="18"/>
        </w:rPr>
        <w:t xml:space="preserve">We understand Mexico's challenge, in its Notice of Appeal, to the Panels' conduct of a "partially open meeting of the parties" to refer to the implementation of the </w:t>
      </w:r>
      <w:r w:rsidR="00BB3358" w:rsidRPr="00564DB3">
        <w:rPr>
          <w:rFonts w:cs="Arial"/>
          <w:szCs w:val="18"/>
        </w:rPr>
        <w:t xml:space="preserve">Panels' </w:t>
      </w:r>
      <w:r w:rsidRPr="00564DB3">
        <w:rPr>
          <w:rFonts w:cs="Arial"/>
          <w:szCs w:val="18"/>
        </w:rPr>
        <w:t>Additional Working Procedures.</w:t>
      </w:r>
      <w:r w:rsidR="005B1CE4" w:rsidRPr="00564DB3">
        <w:rPr>
          <w:rStyle w:val="FootnoteReference"/>
          <w:rFonts w:cs="Arial"/>
          <w:szCs w:val="18"/>
        </w:rPr>
        <w:footnoteReference w:id="859"/>
      </w:r>
      <w:r w:rsidRPr="00564DB3">
        <w:rPr>
          <w:rFonts w:cs="Arial"/>
          <w:szCs w:val="18"/>
        </w:rPr>
        <w:t xml:space="preserve"> Pursuant to these procedures, the Panels permitted the </w:t>
      </w:r>
      <w:r w:rsidR="00083DFC" w:rsidRPr="00564DB3">
        <w:rPr>
          <w:rFonts w:cs="Arial"/>
          <w:szCs w:val="18"/>
        </w:rPr>
        <w:t>United States</w:t>
      </w:r>
      <w:r w:rsidRPr="00564DB3">
        <w:rPr>
          <w:rFonts w:cs="Arial"/>
          <w:szCs w:val="18"/>
        </w:rPr>
        <w:t>' request to disclose, through public viewing, the statements of its own positions made during the Panels' substantive meeting with the parties. The Panels also permitted any third parties that so requested to disclose, through public viewing, the statements of their own positions made during the Panels' session with the third parties.</w:t>
      </w:r>
      <w:r w:rsidR="005B1CE4" w:rsidRPr="00564DB3">
        <w:rPr>
          <w:rStyle w:val="FootnoteReference"/>
          <w:rFonts w:cs="Arial"/>
          <w:szCs w:val="18"/>
        </w:rPr>
        <w:footnoteReference w:id="860"/>
      </w:r>
      <w:r w:rsidRPr="00564DB3">
        <w:rPr>
          <w:rFonts w:cs="Arial"/>
          <w:szCs w:val="18"/>
        </w:rPr>
        <w:t xml:space="preserve"> The Panels granted these permissions on condition that the public viewing take the form of delayed (rather than simultaneous) viewing. The Panels also required that any parts of the meeting, including the third-party session, opened for </w:t>
      </w:r>
      <w:bookmarkStart w:id="396" w:name="_Hlk528756993"/>
      <w:r w:rsidRPr="00564DB3">
        <w:rPr>
          <w:rFonts w:cs="Arial"/>
          <w:szCs w:val="18"/>
        </w:rPr>
        <w:t>partial public observation</w:t>
      </w:r>
      <w:bookmarkEnd w:id="396"/>
      <w:r w:rsidRPr="00564DB3">
        <w:rPr>
          <w:rFonts w:cs="Arial"/>
          <w:szCs w:val="18"/>
        </w:rPr>
        <w:t xml:space="preserve"> should not disclose statements of Mexico's positions or the po</w:t>
      </w:r>
      <w:r w:rsidR="00451FDF" w:rsidRPr="00564DB3">
        <w:rPr>
          <w:rFonts w:cs="Arial"/>
          <w:szCs w:val="18"/>
        </w:rPr>
        <w:t>sitions of non</w:t>
      </w:r>
      <w:r w:rsidR="00451FDF" w:rsidRPr="00564DB3">
        <w:rPr>
          <w:rFonts w:cs="Arial"/>
          <w:szCs w:val="18"/>
        </w:rPr>
        <w:noBreakHyphen/>
        <w:t>disclosing third </w:t>
      </w:r>
      <w:r w:rsidRPr="00564DB3">
        <w:rPr>
          <w:rFonts w:cs="Arial"/>
          <w:szCs w:val="18"/>
        </w:rPr>
        <w:t>parties. To this end, these parts of the meeting that were eventually opened for partial public observation were subjected to redaction prior to the public viewing.</w:t>
      </w:r>
      <w:bookmarkEnd w:id="395"/>
      <w:r w:rsidR="005B1CE4" w:rsidRPr="00564DB3">
        <w:rPr>
          <w:rStyle w:val="FootnoteReference"/>
          <w:rFonts w:cs="Arial"/>
          <w:szCs w:val="18"/>
        </w:rPr>
        <w:footnoteReference w:id="861"/>
      </w:r>
    </w:p>
    <w:p w:rsidR="00432E5C" w:rsidRPr="00564DB3" w:rsidRDefault="00432E5C" w:rsidP="00F70E38">
      <w:pPr>
        <w:pStyle w:val="BodyText"/>
        <w:rPr>
          <w:rFonts w:cs="Arial"/>
          <w:szCs w:val="18"/>
        </w:rPr>
      </w:pPr>
      <w:r w:rsidRPr="00564DB3">
        <w:rPr>
          <w:rFonts w:cs="Arial"/>
          <w:szCs w:val="18"/>
        </w:rPr>
        <w:t>In explaining the</w:t>
      </w:r>
      <w:r w:rsidR="007D5E73" w:rsidRPr="00564DB3">
        <w:rPr>
          <w:rFonts w:cs="Arial"/>
          <w:szCs w:val="18"/>
        </w:rPr>
        <w:t>ir</w:t>
      </w:r>
      <w:r w:rsidRPr="00564DB3">
        <w:rPr>
          <w:rFonts w:cs="Arial"/>
          <w:szCs w:val="18"/>
        </w:rPr>
        <w:t xml:space="preserve"> reasons for the adoption of these Additional Working Procedures, the Panels stated that:</w:t>
      </w:r>
    </w:p>
    <w:p w:rsidR="00432E5C" w:rsidRPr="00564DB3" w:rsidRDefault="003962BF" w:rsidP="00F70E38">
      <w:pPr>
        <w:pStyle w:val="Quotation"/>
        <w:rPr>
          <w:rFonts w:cs="Arial"/>
        </w:rPr>
      </w:pPr>
      <w:r w:rsidRPr="00564DB3">
        <w:rPr>
          <w:rFonts w:cs="Arial"/>
        </w:rPr>
        <w:t>[I]</w:t>
      </w:r>
      <w:r w:rsidR="00432E5C" w:rsidRPr="00564DB3">
        <w:rPr>
          <w:rFonts w:cs="Arial"/>
        </w:rPr>
        <w:t xml:space="preserve">t is … </w:t>
      </w:r>
      <w:r w:rsidR="00432E5C" w:rsidRPr="00564DB3">
        <w:t>permissible</w:t>
      </w:r>
      <w:r w:rsidR="00432E5C" w:rsidRPr="00564DB3">
        <w:rPr>
          <w:rFonts w:cs="Arial"/>
        </w:rPr>
        <w:t xml:space="preserve"> for a WTO adjudicator to authorize a request for a partially open </w:t>
      </w:r>
      <w:r w:rsidR="00432E5C" w:rsidRPr="00564DB3">
        <w:t>meeting</w:t>
      </w:r>
      <w:r w:rsidR="00432E5C" w:rsidRPr="00564DB3">
        <w:rPr>
          <w:rFonts w:cs="Arial"/>
        </w:rPr>
        <w:t xml:space="preserve"> if the conduct of such a meeting does not imp</w:t>
      </w:r>
      <w:r w:rsidR="00530EB8" w:rsidRPr="00564DB3">
        <w:rPr>
          <w:rFonts w:cs="Arial"/>
        </w:rPr>
        <w:t>air or interfere with (a) a non</w:t>
      </w:r>
      <w:r w:rsidR="00530EB8" w:rsidRPr="00564DB3">
        <w:rPr>
          <w:rFonts w:cs="Arial"/>
        </w:rPr>
        <w:noBreakHyphen/>
      </w:r>
      <w:r w:rsidR="00432E5C" w:rsidRPr="00564DB3">
        <w:rPr>
          <w:rFonts w:cs="Arial"/>
        </w:rPr>
        <w:t>disclosing party's or non-disclosing third party's right to confidentiality protection of statements of its own position, (b) due process, (c) the prompt settlement of disputes, or (d) the careful and efficient discharge, or the integrity, of the adjudicative function.</w:t>
      </w:r>
      <w:r w:rsidR="005B1CE4" w:rsidRPr="00564DB3">
        <w:rPr>
          <w:rStyle w:val="FootnoteReference"/>
          <w:rFonts w:cs="Arial"/>
        </w:rPr>
        <w:footnoteReference w:id="862"/>
      </w:r>
    </w:p>
    <w:p w:rsidR="00432E5C" w:rsidRPr="00564DB3" w:rsidRDefault="00432E5C" w:rsidP="00F70E38">
      <w:pPr>
        <w:pStyle w:val="BodyText"/>
        <w:rPr>
          <w:rFonts w:cs="Arial"/>
          <w:szCs w:val="18"/>
        </w:rPr>
      </w:pPr>
      <w:r w:rsidRPr="00564DB3">
        <w:rPr>
          <w:szCs w:val="18"/>
        </w:rPr>
        <w:t xml:space="preserve">According to the Panels, their Additional Working Procedures </w:t>
      </w:r>
      <w:r w:rsidRPr="00564DB3">
        <w:rPr>
          <w:rFonts w:cs="Arial"/>
          <w:szCs w:val="18"/>
        </w:rPr>
        <w:t xml:space="preserve">"fully protect[ed] Mexico's and non-disclosing third parties' right to confidentiality protection, </w:t>
      </w:r>
      <w:proofErr w:type="spellStart"/>
      <w:r w:rsidRPr="00564DB3">
        <w:rPr>
          <w:rFonts w:cs="Arial"/>
          <w:szCs w:val="18"/>
        </w:rPr>
        <w:t>satisf</w:t>
      </w:r>
      <w:proofErr w:type="spellEnd"/>
      <w:r w:rsidRPr="00564DB3">
        <w:rPr>
          <w:rFonts w:cs="Arial"/>
          <w:szCs w:val="18"/>
        </w:rPr>
        <w:t>[</w:t>
      </w:r>
      <w:proofErr w:type="spellStart"/>
      <w:r w:rsidRPr="00564DB3">
        <w:rPr>
          <w:rFonts w:cs="Arial"/>
          <w:szCs w:val="18"/>
        </w:rPr>
        <w:t>ied</w:t>
      </w:r>
      <w:proofErr w:type="spellEnd"/>
      <w:r w:rsidRPr="00564DB3">
        <w:rPr>
          <w:rFonts w:cs="Arial"/>
          <w:szCs w:val="18"/>
        </w:rPr>
        <w:t>] the requirements of due process, and [we]re sufficiently workable and efficient to safeguard the promptness of dispute settlement and the proper discharge and integrity of [the Panels'] adjudicative function".</w:t>
      </w:r>
      <w:r w:rsidR="005B1CE4" w:rsidRPr="00564DB3">
        <w:rPr>
          <w:rStyle w:val="FootnoteReference"/>
          <w:rFonts w:cs="Arial"/>
          <w:szCs w:val="18"/>
        </w:rPr>
        <w:footnoteReference w:id="863"/>
      </w:r>
    </w:p>
    <w:p w:rsidR="00432E5C" w:rsidRPr="00564DB3" w:rsidRDefault="00432E5C" w:rsidP="00F70E38">
      <w:pPr>
        <w:pStyle w:val="Heading3"/>
        <w:rPr>
          <w:szCs w:val="18"/>
        </w:rPr>
      </w:pPr>
      <w:bookmarkStart w:id="397" w:name="_Toc531967504"/>
      <w:r w:rsidRPr="00564DB3">
        <w:rPr>
          <w:szCs w:val="18"/>
        </w:rPr>
        <w:t>Sufficiency of Mexico's Notice of Appeal</w:t>
      </w:r>
      <w:bookmarkEnd w:id="397"/>
    </w:p>
    <w:p w:rsidR="00432E5C" w:rsidRPr="00564DB3" w:rsidRDefault="00432E5C" w:rsidP="00F70E38">
      <w:pPr>
        <w:pStyle w:val="BodyText"/>
        <w:rPr>
          <w:rFonts w:cs="Arial"/>
          <w:szCs w:val="18"/>
        </w:rPr>
      </w:pPr>
      <w:r w:rsidRPr="00564DB3">
        <w:rPr>
          <w:rFonts w:cs="Arial"/>
          <w:szCs w:val="18"/>
        </w:rPr>
        <w:t>Mexico's Notice of Appeal identifies the alleged claim of error by the Panels as follows:</w:t>
      </w:r>
    </w:p>
    <w:p w:rsidR="00432E5C" w:rsidRPr="00564DB3" w:rsidRDefault="00432E5C" w:rsidP="00F70E38">
      <w:pPr>
        <w:pStyle w:val="Quotation"/>
      </w:pPr>
      <w:r w:rsidRPr="00564DB3">
        <w:t xml:space="preserve">Mexico </w:t>
      </w:r>
      <w:r w:rsidRPr="00564DB3">
        <w:rPr>
          <w:rFonts w:cs="Arial"/>
        </w:rPr>
        <w:t>also</w:t>
      </w:r>
      <w:r w:rsidRPr="00564DB3">
        <w:t xml:space="preserve"> seeks review by the Appellate Body of, and requests the Appellate Body to reverse, the findings and conclusion of the Panels that they had the authority to conduct a partially open meeting of the parties without the consent of both Parties.</w:t>
      </w:r>
      <w:r w:rsidR="005B1CE4" w:rsidRPr="00564DB3">
        <w:rPr>
          <w:rStyle w:val="FootnoteReference"/>
        </w:rPr>
        <w:footnoteReference w:id="864"/>
      </w:r>
    </w:p>
    <w:p w:rsidR="00432E5C" w:rsidRPr="00564DB3" w:rsidRDefault="00432E5C" w:rsidP="00F70E38">
      <w:pPr>
        <w:pStyle w:val="BodyText"/>
        <w:rPr>
          <w:rFonts w:cs="Arial"/>
          <w:szCs w:val="18"/>
        </w:rPr>
      </w:pPr>
      <w:r w:rsidRPr="00564DB3">
        <w:rPr>
          <w:rFonts w:cs="Arial"/>
          <w:szCs w:val="18"/>
        </w:rPr>
        <w:t xml:space="preserve">The </w:t>
      </w:r>
      <w:r w:rsidR="00083DFC" w:rsidRPr="00564DB3">
        <w:rPr>
          <w:rFonts w:cs="Arial"/>
          <w:szCs w:val="18"/>
        </w:rPr>
        <w:t>United States</w:t>
      </w:r>
      <w:r w:rsidRPr="00564DB3">
        <w:rPr>
          <w:rFonts w:cs="Arial"/>
          <w:szCs w:val="18"/>
        </w:rPr>
        <w:t xml:space="preserve"> challenges the sufficiency of Mexico's Notice of Appeal, arguing that it fails to meet the requirements of Rule 20(2)(d) of the Working Procedures.</w:t>
      </w:r>
      <w:r w:rsidR="005B1CE4" w:rsidRPr="00564DB3">
        <w:rPr>
          <w:rStyle w:val="FootnoteReference"/>
          <w:rFonts w:cs="Arial"/>
          <w:szCs w:val="18"/>
        </w:rPr>
        <w:footnoteReference w:id="865"/>
      </w:r>
      <w:r w:rsidRPr="00564DB3">
        <w:rPr>
          <w:rFonts w:cs="Arial"/>
          <w:szCs w:val="18"/>
        </w:rPr>
        <w:t xml:space="preserve"> </w:t>
      </w:r>
      <w:bookmarkStart w:id="398" w:name="_Hlk524442738"/>
      <w:r w:rsidRPr="00564DB3">
        <w:rPr>
          <w:rFonts w:cs="Arial"/>
          <w:szCs w:val="18"/>
        </w:rPr>
        <w:t xml:space="preserve">The </w:t>
      </w:r>
      <w:r w:rsidR="00083DFC" w:rsidRPr="00564DB3">
        <w:rPr>
          <w:rFonts w:cs="Arial"/>
          <w:szCs w:val="18"/>
        </w:rPr>
        <w:t>United States</w:t>
      </w:r>
      <w:r w:rsidRPr="00564DB3">
        <w:rPr>
          <w:rFonts w:cs="Arial"/>
          <w:szCs w:val="18"/>
        </w:rPr>
        <w:t xml:space="preserve"> contends that Mexico's Notice of Appeal fails to list any legal provision of any covered agreement that the Panels are alleged to have erred in interpreting or applying. The </w:t>
      </w:r>
      <w:r w:rsidR="00083DFC" w:rsidRPr="00564DB3">
        <w:rPr>
          <w:rFonts w:cs="Arial"/>
          <w:szCs w:val="18"/>
        </w:rPr>
        <w:t>United States</w:t>
      </w:r>
      <w:r w:rsidRPr="00564DB3">
        <w:rPr>
          <w:rFonts w:cs="Arial"/>
          <w:szCs w:val="18"/>
        </w:rPr>
        <w:t xml:space="preserve"> adds that Mexico's Notice of Appeal fails to indicate any paragraph of the Panel Reports containing the alleged errors.</w:t>
      </w:r>
      <w:r w:rsidR="005B1CE4" w:rsidRPr="00564DB3">
        <w:rPr>
          <w:rStyle w:val="FootnoteReference"/>
          <w:rFonts w:cs="Arial"/>
          <w:szCs w:val="18"/>
        </w:rPr>
        <w:footnoteReference w:id="866"/>
      </w:r>
      <w:r w:rsidRPr="00564DB3">
        <w:rPr>
          <w:rFonts w:cs="Arial"/>
          <w:szCs w:val="18"/>
        </w:rPr>
        <w:t xml:space="preserve"> The </w:t>
      </w:r>
      <w:r w:rsidR="00083DFC" w:rsidRPr="00564DB3">
        <w:rPr>
          <w:rFonts w:cs="Arial"/>
          <w:szCs w:val="18"/>
        </w:rPr>
        <w:t>United States</w:t>
      </w:r>
      <w:r w:rsidRPr="00564DB3">
        <w:rPr>
          <w:rFonts w:cs="Arial"/>
          <w:szCs w:val="18"/>
        </w:rPr>
        <w:t xml:space="preserve"> also asserts that, "[m]ore fundamentally", Mexico's Notice of Appeal fails to identify an alleged error in the issues of law covered in the Panel Reports or legal interpretation developed by the Panels.</w:t>
      </w:r>
      <w:r w:rsidR="005B1CE4" w:rsidRPr="00564DB3">
        <w:rPr>
          <w:rStyle w:val="FootnoteReference"/>
          <w:rFonts w:cs="Arial"/>
          <w:szCs w:val="18"/>
        </w:rPr>
        <w:footnoteReference w:id="867"/>
      </w:r>
      <w:r w:rsidRPr="00564DB3">
        <w:rPr>
          <w:rFonts w:cs="Arial"/>
          <w:szCs w:val="18"/>
        </w:rPr>
        <w:t xml:space="preserve"> </w:t>
      </w:r>
      <w:bookmarkEnd w:id="398"/>
      <w:r w:rsidRPr="00564DB3">
        <w:rPr>
          <w:rFonts w:cs="Arial"/>
          <w:szCs w:val="18"/>
        </w:rPr>
        <w:t xml:space="preserve">For the </w:t>
      </w:r>
      <w:r w:rsidR="00083DFC" w:rsidRPr="00564DB3">
        <w:rPr>
          <w:rFonts w:cs="Arial"/>
          <w:szCs w:val="18"/>
        </w:rPr>
        <w:t>United States</w:t>
      </w:r>
      <w:r w:rsidRPr="00564DB3">
        <w:rPr>
          <w:rFonts w:cs="Arial"/>
          <w:szCs w:val="18"/>
        </w:rPr>
        <w:t>, this means that Mexico</w:t>
      </w:r>
      <w:r w:rsidRPr="00564DB3">
        <w:rPr>
          <w:rFonts w:eastAsia="Times New Roman"/>
          <w:szCs w:val="18"/>
          <w:lang w:eastAsia="en-US"/>
        </w:rPr>
        <w:t xml:space="preserve"> "</w:t>
      </w:r>
      <w:r w:rsidRPr="00564DB3">
        <w:rPr>
          <w:rFonts w:cs="Arial"/>
          <w:szCs w:val="18"/>
        </w:rPr>
        <w:t xml:space="preserve">has failed to justify its appeal as being within the scope of </w:t>
      </w:r>
      <w:r w:rsidR="00083DFC" w:rsidRPr="00564DB3">
        <w:rPr>
          <w:rFonts w:cs="Arial"/>
          <w:szCs w:val="18"/>
        </w:rPr>
        <w:t>Article </w:t>
      </w:r>
      <w:r w:rsidRPr="00564DB3">
        <w:rPr>
          <w:rFonts w:cs="Arial"/>
          <w:szCs w:val="18"/>
        </w:rPr>
        <w:t>17.6 of the DSU".</w:t>
      </w:r>
      <w:r w:rsidR="005B1CE4" w:rsidRPr="00564DB3">
        <w:rPr>
          <w:rStyle w:val="FootnoteReference"/>
          <w:rFonts w:cs="Arial"/>
          <w:szCs w:val="18"/>
        </w:rPr>
        <w:footnoteReference w:id="868"/>
      </w:r>
      <w:r w:rsidRPr="00564DB3">
        <w:rPr>
          <w:rFonts w:cs="Arial"/>
          <w:szCs w:val="18"/>
        </w:rPr>
        <w:t xml:space="preserve"> At the hearing, the </w:t>
      </w:r>
      <w:r w:rsidR="00083DFC" w:rsidRPr="00564DB3">
        <w:rPr>
          <w:rFonts w:cs="Arial"/>
          <w:szCs w:val="18"/>
        </w:rPr>
        <w:t>United States</w:t>
      </w:r>
      <w:r w:rsidRPr="00564DB3">
        <w:rPr>
          <w:rFonts w:cs="Arial"/>
          <w:szCs w:val="18"/>
        </w:rPr>
        <w:t xml:space="preserve"> added that an appellant cannot cure a defect in the notice of appeal by including something additional in its appellant submission.</w:t>
      </w:r>
    </w:p>
    <w:p w:rsidR="00432E5C" w:rsidRPr="00564DB3" w:rsidRDefault="00432E5C" w:rsidP="00F70E38">
      <w:pPr>
        <w:pStyle w:val="BodyText"/>
        <w:rPr>
          <w:rFonts w:cs="Arial"/>
          <w:szCs w:val="18"/>
        </w:rPr>
      </w:pPr>
      <w:r w:rsidRPr="00564DB3">
        <w:rPr>
          <w:rFonts w:cs="Arial"/>
          <w:szCs w:val="18"/>
        </w:rPr>
        <w:t xml:space="preserve">In response, at the hearing, Mexico acknowledged that the notice of appeal serves to provide adequate notice to the </w:t>
      </w:r>
      <w:proofErr w:type="spellStart"/>
      <w:r w:rsidRPr="00564DB3">
        <w:rPr>
          <w:rFonts w:cs="Arial"/>
          <w:szCs w:val="18"/>
        </w:rPr>
        <w:t>appellee</w:t>
      </w:r>
      <w:proofErr w:type="spellEnd"/>
      <w:r w:rsidRPr="00564DB3">
        <w:rPr>
          <w:rFonts w:cs="Arial"/>
          <w:szCs w:val="18"/>
        </w:rPr>
        <w:t xml:space="preserve"> of the nature of the appeal and allegations of error, which in turn enables the </w:t>
      </w:r>
      <w:proofErr w:type="spellStart"/>
      <w:r w:rsidRPr="00564DB3">
        <w:rPr>
          <w:rFonts w:cs="Arial"/>
          <w:szCs w:val="18"/>
        </w:rPr>
        <w:t>appellee</w:t>
      </w:r>
      <w:proofErr w:type="spellEnd"/>
      <w:r w:rsidRPr="00564DB3">
        <w:rPr>
          <w:rFonts w:cs="Arial"/>
          <w:szCs w:val="18"/>
        </w:rPr>
        <w:t xml:space="preserve"> to exercise fully its right of defence. At the same time, Mexico highlighted that the Appellate</w:t>
      </w:r>
      <w:r w:rsidR="00025CB6" w:rsidRPr="00564DB3">
        <w:rPr>
          <w:rFonts w:cs="Arial"/>
          <w:szCs w:val="18"/>
        </w:rPr>
        <w:t> Body</w:t>
      </w:r>
      <w:r w:rsidRPr="00564DB3">
        <w:rPr>
          <w:rFonts w:cs="Arial"/>
          <w:szCs w:val="18"/>
        </w:rPr>
        <w:t xml:space="preserve"> has stated that an </w:t>
      </w:r>
      <w:proofErr w:type="spellStart"/>
      <w:r w:rsidRPr="00564DB3">
        <w:rPr>
          <w:rFonts w:cs="Arial"/>
          <w:szCs w:val="18"/>
        </w:rPr>
        <w:t>appellee</w:t>
      </w:r>
      <w:proofErr w:type="spellEnd"/>
      <w:r w:rsidRPr="00564DB3">
        <w:rPr>
          <w:rFonts w:cs="Arial"/>
          <w:szCs w:val="18"/>
        </w:rPr>
        <w:t xml:space="preserve"> will have a better understanding of the nature of the appeal and the allegations of errors when a detailed written submission is filed on the same day. Given that Mexico's Notice of Appeal and appellant's submission were filed on the same day, Mexico argued that the references to the relevant Panels' findings and legal interpretation could be clearly inferred from a review of both documents. In any event, Mexico contended that the perceived failures of its Notice of Appeal had not prevented the </w:t>
      </w:r>
      <w:r w:rsidR="00083DFC" w:rsidRPr="00564DB3">
        <w:rPr>
          <w:rFonts w:cs="Arial"/>
          <w:szCs w:val="18"/>
        </w:rPr>
        <w:t>United States</w:t>
      </w:r>
      <w:r w:rsidRPr="00564DB3">
        <w:rPr>
          <w:rFonts w:cs="Arial"/>
          <w:szCs w:val="18"/>
        </w:rPr>
        <w:t xml:space="preserve"> from understanding the nature of Mexico's appeal on this matter, nor had the failures impeded the </w:t>
      </w:r>
      <w:r w:rsidR="00083DFC" w:rsidRPr="00564DB3">
        <w:rPr>
          <w:rFonts w:cs="Arial"/>
          <w:szCs w:val="18"/>
        </w:rPr>
        <w:t>United States</w:t>
      </w:r>
      <w:r w:rsidRPr="00564DB3">
        <w:rPr>
          <w:rFonts w:cs="Arial"/>
          <w:szCs w:val="18"/>
        </w:rPr>
        <w:t>' ability to exercise its right of defence.</w:t>
      </w:r>
    </w:p>
    <w:p w:rsidR="00432E5C" w:rsidRPr="00564DB3" w:rsidRDefault="00432E5C" w:rsidP="00A1588F">
      <w:pPr>
        <w:pStyle w:val="BodyText"/>
        <w:keepNext/>
        <w:rPr>
          <w:rFonts w:cs="Arial"/>
          <w:szCs w:val="18"/>
        </w:rPr>
      </w:pPr>
      <w:r w:rsidRPr="00564DB3">
        <w:rPr>
          <w:rFonts w:cs="Arial"/>
          <w:szCs w:val="18"/>
        </w:rPr>
        <w:t>Rule 20(2)(d) of the Working Procedures</w:t>
      </w:r>
      <w:r w:rsidR="005B1CE4" w:rsidRPr="00564DB3">
        <w:rPr>
          <w:rStyle w:val="FootnoteReference"/>
          <w:rFonts w:cs="Arial"/>
          <w:szCs w:val="18"/>
        </w:rPr>
        <w:footnoteReference w:id="869"/>
      </w:r>
      <w:r w:rsidR="001A0755" w:rsidRPr="00564DB3">
        <w:rPr>
          <w:rFonts w:cs="Arial"/>
          <w:szCs w:val="18"/>
        </w:rPr>
        <w:t xml:space="preserve"> provides</w:t>
      </w:r>
      <w:r w:rsidRPr="00564DB3">
        <w:rPr>
          <w:rFonts w:cs="Arial"/>
          <w:szCs w:val="18"/>
        </w:rPr>
        <w:t>:</w:t>
      </w:r>
    </w:p>
    <w:p w:rsidR="00432E5C" w:rsidRPr="00564DB3" w:rsidRDefault="00432E5C" w:rsidP="00A1588F">
      <w:pPr>
        <w:pStyle w:val="Quotation"/>
        <w:keepNext/>
        <w:rPr>
          <w:rFonts w:cs="Arial"/>
        </w:rPr>
      </w:pPr>
      <w:r w:rsidRPr="00564DB3">
        <w:t xml:space="preserve">(2) A Notice of </w:t>
      </w:r>
      <w:r w:rsidRPr="00564DB3">
        <w:rPr>
          <w:rFonts w:cs="Arial"/>
        </w:rPr>
        <w:t>Appeal shall include the following information:</w:t>
      </w:r>
    </w:p>
    <w:p w:rsidR="00432E5C" w:rsidRPr="00564DB3" w:rsidRDefault="00432E5C" w:rsidP="00A1588F">
      <w:pPr>
        <w:pStyle w:val="Quotation"/>
        <w:keepNext/>
        <w:rPr>
          <w:rFonts w:cs="Arial"/>
        </w:rPr>
      </w:pPr>
      <w:r w:rsidRPr="00564DB3">
        <w:rPr>
          <w:rFonts w:cs="Arial"/>
        </w:rPr>
        <w:t>…</w:t>
      </w:r>
    </w:p>
    <w:p w:rsidR="00432E5C" w:rsidRPr="00564DB3" w:rsidRDefault="00432E5C" w:rsidP="00A1588F">
      <w:pPr>
        <w:pStyle w:val="Quotation"/>
        <w:keepNext/>
        <w:rPr>
          <w:rFonts w:cs="Arial"/>
        </w:rPr>
      </w:pPr>
      <w:r w:rsidRPr="00564DB3">
        <w:rPr>
          <w:rFonts w:cs="Arial"/>
        </w:rPr>
        <w:t>(d) a brief statement of the nature of the appeal, including:</w:t>
      </w:r>
    </w:p>
    <w:p w:rsidR="00432E5C" w:rsidRPr="00564DB3" w:rsidRDefault="00432E5C" w:rsidP="00F70E38">
      <w:pPr>
        <w:pStyle w:val="Quotation"/>
        <w:rPr>
          <w:rFonts w:cs="Arial"/>
        </w:rPr>
      </w:pPr>
      <w:r w:rsidRPr="00564DB3">
        <w:rPr>
          <w:rFonts w:cs="Arial"/>
        </w:rPr>
        <w:t>(i)</w:t>
      </w:r>
      <w:r w:rsidRPr="00564DB3">
        <w:rPr>
          <w:rFonts w:cs="Arial"/>
        </w:rPr>
        <w:tab/>
        <w:t>identification of the alleged errors in the issues of law covered in the panel report and legal interpretations developed by the panel;</w:t>
      </w:r>
    </w:p>
    <w:p w:rsidR="00432E5C" w:rsidRPr="00564DB3" w:rsidRDefault="00432E5C" w:rsidP="00F70E38">
      <w:pPr>
        <w:pStyle w:val="Quotation"/>
        <w:rPr>
          <w:rFonts w:cs="Arial"/>
        </w:rPr>
      </w:pPr>
      <w:r w:rsidRPr="00564DB3">
        <w:rPr>
          <w:rFonts w:cs="Arial"/>
        </w:rPr>
        <w:t>(ii)</w:t>
      </w:r>
      <w:r w:rsidRPr="00564DB3">
        <w:rPr>
          <w:rFonts w:cs="Arial"/>
        </w:rPr>
        <w:tab/>
        <w:t>a list of the legal provision(s) of the covered agreements that the panel is alleged to have erred in interpreting or applying; and</w:t>
      </w:r>
    </w:p>
    <w:p w:rsidR="00432E5C" w:rsidRPr="00564DB3" w:rsidRDefault="00432E5C" w:rsidP="00F70E38">
      <w:pPr>
        <w:pStyle w:val="Quotation"/>
      </w:pPr>
      <w:r w:rsidRPr="00564DB3">
        <w:rPr>
          <w:rFonts w:cs="Arial"/>
        </w:rPr>
        <w:t>(iii)</w:t>
      </w:r>
      <w:r w:rsidRPr="00564DB3">
        <w:rPr>
          <w:rFonts w:cs="Arial"/>
        </w:rPr>
        <w:tab/>
        <w:t>without prejudice to the ability of the appellant to refer to other paragraphs of the panel report in the context of its appeal, an indicative list of the paragraphs of the</w:t>
      </w:r>
      <w:r w:rsidRPr="00564DB3">
        <w:t xml:space="preserve"> panel report containing the alleged errors.</w:t>
      </w:r>
    </w:p>
    <w:p w:rsidR="00432E5C" w:rsidRPr="00564DB3" w:rsidRDefault="00432E5C" w:rsidP="00F70E38">
      <w:pPr>
        <w:pStyle w:val="BodyText"/>
        <w:rPr>
          <w:rFonts w:cs="Arial"/>
          <w:szCs w:val="18"/>
        </w:rPr>
      </w:pPr>
      <w:bookmarkStart w:id="399" w:name="_Ref524359496"/>
      <w:r w:rsidRPr="00564DB3">
        <w:rPr>
          <w:rFonts w:cs="Arial"/>
          <w:szCs w:val="18"/>
        </w:rPr>
        <w:t>The Appellate</w:t>
      </w:r>
      <w:r w:rsidR="00025CB6" w:rsidRPr="00564DB3">
        <w:rPr>
          <w:rFonts w:cs="Arial"/>
          <w:szCs w:val="18"/>
        </w:rPr>
        <w:t> Body</w:t>
      </w:r>
      <w:r w:rsidRPr="00564DB3">
        <w:rPr>
          <w:rFonts w:cs="Arial"/>
          <w:szCs w:val="18"/>
        </w:rPr>
        <w:t xml:space="preserve"> has referred to the notices of appeal and other appeal as the "documents that define the scope of the appeal".</w:t>
      </w:r>
      <w:r w:rsidR="005B1CE4" w:rsidRPr="00564DB3">
        <w:rPr>
          <w:rStyle w:val="FootnoteReference"/>
          <w:rFonts w:cs="Arial"/>
          <w:szCs w:val="18"/>
        </w:rPr>
        <w:footnoteReference w:id="870"/>
      </w:r>
      <w:r w:rsidRPr="00564DB3">
        <w:rPr>
          <w:rFonts w:cs="Arial"/>
          <w:szCs w:val="18"/>
        </w:rPr>
        <w:t xml:space="preserve"> </w:t>
      </w:r>
      <w:r w:rsidR="005116C0" w:rsidRPr="00564DB3">
        <w:rPr>
          <w:rFonts w:cs="Arial"/>
          <w:szCs w:val="18"/>
        </w:rPr>
        <w:t>I</w:t>
      </w:r>
      <w:r w:rsidRPr="00564DB3">
        <w:rPr>
          <w:rFonts w:cs="Arial"/>
          <w:szCs w:val="18"/>
        </w:rPr>
        <w:t>n challenging the sufficiency of Mexico's Notice of Appeal, apart fro</w:t>
      </w:r>
      <w:r w:rsidR="007D5E73" w:rsidRPr="00564DB3">
        <w:rPr>
          <w:rFonts w:cs="Arial"/>
          <w:szCs w:val="18"/>
        </w:rPr>
        <w:t>m noting certain formal defects</w:t>
      </w:r>
      <w:r w:rsidRPr="00564DB3">
        <w:rPr>
          <w:rFonts w:cs="Arial"/>
          <w:szCs w:val="18"/>
        </w:rPr>
        <w:t xml:space="preserve">, the </w:t>
      </w:r>
      <w:r w:rsidR="00083DFC" w:rsidRPr="00564DB3">
        <w:rPr>
          <w:rFonts w:cs="Arial"/>
          <w:szCs w:val="18"/>
        </w:rPr>
        <w:t>United States</w:t>
      </w:r>
      <w:r w:rsidRPr="00564DB3">
        <w:rPr>
          <w:rFonts w:cs="Arial"/>
          <w:szCs w:val="18"/>
        </w:rPr>
        <w:t xml:space="preserve"> expressed concern "[m]ore fundamentally" with the failure of Mexico's Notice of Appeal to identify "an alleged error in the issues of law covered in the Panel Reports or legal interpretation developed by the Panels</w:t>
      </w:r>
      <w:r w:rsidR="001074DF" w:rsidRPr="00564DB3">
        <w:rPr>
          <w:rFonts w:cs="Arial"/>
          <w:szCs w:val="18"/>
        </w:rPr>
        <w:t>"</w:t>
      </w:r>
      <w:r w:rsidRPr="00564DB3">
        <w:rPr>
          <w:rFonts w:cs="Arial"/>
          <w:szCs w:val="18"/>
        </w:rPr>
        <w:t xml:space="preserve"> within the meaning of Rule 20(2)(d)(i) of the Working Procedures and </w:t>
      </w:r>
      <w:r w:rsidR="00083DFC" w:rsidRPr="00564DB3">
        <w:rPr>
          <w:rFonts w:cs="Arial"/>
          <w:szCs w:val="18"/>
        </w:rPr>
        <w:t>Article </w:t>
      </w:r>
      <w:r w:rsidRPr="00564DB3">
        <w:rPr>
          <w:rFonts w:cs="Arial"/>
          <w:szCs w:val="18"/>
        </w:rPr>
        <w:t>17.6 of the DSU.</w:t>
      </w:r>
      <w:r w:rsidR="005B1CE4" w:rsidRPr="00564DB3">
        <w:rPr>
          <w:rStyle w:val="FootnoteReference"/>
          <w:rFonts w:cs="Arial"/>
          <w:szCs w:val="18"/>
        </w:rPr>
        <w:footnoteReference w:id="871"/>
      </w:r>
    </w:p>
    <w:p w:rsidR="00432E5C" w:rsidRPr="00564DB3" w:rsidRDefault="00083DFC" w:rsidP="00F70E38">
      <w:pPr>
        <w:pStyle w:val="BodyText"/>
        <w:rPr>
          <w:rFonts w:cs="Arial"/>
          <w:szCs w:val="18"/>
        </w:rPr>
      </w:pPr>
      <w:r w:rsidRPr="00564DB3">
        <w:rPr>
          <w:rFonts w:cs="Arial"/>
          <w:szCs w:val="18"/>
        </w:rPr>
        <w:t>Article </w:t>
      </w:r>
      <w:r w:rsidR="00432E5C" w:rsidRPr="00564DB3">
        <w:rPr>
          <w:rFonts w:cs="Arial"/>
          <w:szCs w:val="18"/>
        </w:rPr>
        <w:t xml:space="preserve">17.6 of the DSU states that "[a]n appeal shall be limited to issues of law covered in the panel report and legal interpretations developed by the panel". </w:t>
      </w:r>
      <w:r w:rsidR="00841226" w:rsidRPr="00564DB3">
        <w:rPr>
          <w:rFonts w:cs="Arial"/>
          <w:szCs w:val="18"/>
        </w:rPr>
        <w:t>Rule 20(2)(d)(i) of the Working </w:t>
      </w:r>
      <w:r w:rsidR="00432E5C" w:rsidRPr="00564DB3">
        <w:rPr>
          <w:rFonts w:cs="Arial"/>
          <w:szCs w:val="18"/>
        </w:rPr>
        <w:t xml:space="preserve">Procedures is rooted in the language of </w:t>
      </w:r>
      <w:r w:rsidRPr="00564DB3">
        <w:rPr>
          <w:rFonts w:cs="Arial"/>
          <w:szCs w:val="18"/>
        </w:rPr>
        <w:t>Article </w:t>
      </w:r>
      <w:r w:rsidR="00432E5C" w:rsidRPr="00564DB3">
        <w:rPr>
          <w:rFonts w:cs="Arial"/>
          <w:szCs w:val="18"/>
        </w:rPr>
        <w:t>17.6 of the DSU by requiring a notice of appeal to include a "brief statement of the nature of the appeal, including identification of the alleged errors in the issues of law covered in the panel report and legal interpretations developed by the panel". Thus, Rule 20(2)(d)(i) reinforces the role of the notice of appeal as a document that defines the scope of the appeal</w:t>
      </w:r>
      <w:r w:rsidR="005B1CE4" w:rsidRPr="00564DB3">
        <w:rPr>
          <w:rStyle w:val="FootnoteReference"/>
          <w:rFonts w:cs="Arial"/>
          <w:szCs w:val="18"/>
        </w:rPr>
        <w:footnoteReference w:id="872"/>
      </w:r>
      <w:r w:rsidR="00432E5C" w:rsidRPr="00564DB3">
        <w:rPr>
          <w:rFonts w:cs="Arial"/>
          <w:szCs w:val="18"/>
        </w:rPr>
        <w:t xml:space="preserve">, within the boundaries delineated by </w:t>
      </w:r>
      <w:r w:rsidRPr="00564DB3">
        <w:rPr>
          <w:rFonts w:cs="Arial"/>
          <w:szCs w:val="18"/>
        </w:rPr>
        <w:t>Article </w:t>
      </w:r>
      <w:r w:rsidR="00432E5C" w:rsidRPr="00564DB3">
        <w:rPr>
          <w:rFonts w:cs="Arial"/>
          <w:szCs w:val="18"/>
        </w:rPr>
        <w:t>17.6 of the DS</w:t>
      </w:r>
      <w:r w:rsidR="00521BBF">
        <w:rPr>
          <w:rFonts w:cs="Arial"/>
          <w:szCs w:val="18"/>
        </w:rPr>
        <w:t>U. A </w:t>
      </w:r>
      <w:r w:rsidR="00432E5C" w:rsidRPr="00564DB3">
        <w:rPr>
          <w:rFonts w:cs="Arial"/>
          <w:szCs w:val="18"/>
        </w:rPr>
        <w:t xml:space="preserve">fundamental consideration in determining whether a notice of appeal is </w:t>
      </w:r>
      <w:proofErr w:type="gramStart"/>
      <w:r w:rsidR="00432E5C" w:rsidRPr="00564DB3">
        <w:rPr>
          <w:rFonts w:cs="Arial"/>
          <w:szCs w:val="18"/>
        </w:rPr>
        <w:t>sufficient</w:t>
      </w:r>
      <w:proofErr w:type="gramEnd"/>
      <w:r w:rsidR="00432E5C" w:rsidRPr="00564DB3">
        <w:rPr>
          <w:rFonts w:cs="Arial"/>
          <w:szCs w:val="18"/>
        </w:rPr>
        <w:t xml:space="preserve">, therefore, is whether the allegation of error identified in the notice of appeal is one that implicates "issues of law covered in the panel report and legal interpretations developed by the panel" as required by </w:t>
      </w:r>
      <w:r w:rsidRPr="00564DB3">
        <w:rPr>
          <w:rFonts w:cs="Arial"/>
          <w:szCs w:val="18"/>
        </w:rPr>
        <w:t>Article </w:t>
      </w:r>
      <w:r w:rsidR="00432E5C" w:rsidRPr="00564DB3">
        <w:rPr>
          <w:rFonts w:cs="Arial"/>
          <w:szCs w:val="18"/>
        </w:rPr>
        <w:t>17.6 of the DSU.</w:t>
      </w:r>
    </w:p>
    <w:p w:rsidR="00432E5C" w:rsidRPr="00564DB3" w:rsidRDefault="00432E5C" w:rsidP="00F70E38">
      <w:pPr>
        <w:pStyle w:val="BodyText"/>
        <w:rPr>
          <w:rFonts w:cs="Arial"/>
          <w:szCs w:val="18"/>
        </w:rPr>
      </w:pPr>
      <w:r w:rsidRPr="00564DB3">
        <w:rPr>
          <w:rFonts w:cs="Arial"/>
          <w:szCs w:val="18"/>
        </w:rPr>
        <w:t>In the present dispute, Mexico has identified a decision made by the Panels regarding the conduct of their proceedings. In its Notice of Appeal, Mexico challenges "the findings and conclusion of the Panels that they had the authority to conduct a partially open meeting of the parties without the consent of both Parties".</w:t>
      </w:r>
      <w:r w:rsidR="005B1CE4" w:rsidRPr="00564DB3">
        <w:rPr>
          <w:rStyle w:val="FootnoteReference"/>
          <w:rFonts w:cs="Arial"/>
          <w:szCs w:val="18"/>
        </w:rPr>
        <w:footnoteReference w:id="873"/>
      </w:r>
      <w:r w:rsidRPr="00564DB3">
        <w:rPr>
          <w:rFonts w:cs="Arial"/>
          <w:szCs w:val="18"/>
        </w:rPr>
        <w:t xml:space="preserve"> As described above, as early as the organizational meeting</w:t>
      </w:r>
      <w:r w:rsidR="00A62761" w:rsidRPr="00564DB3">
        <w:rPr>
          <w:rFonts w:cs="Arial"/>
          <w:szCs w:val="18"/>
        </w:rPr>
        <w:t xml:space="preserve">s with </w:t>
      </w:r>
      <w:r w:rsidRPr="00564DB3">
        <w:rPr>
          <w:rFonts w:cs="Arial"/>
          <w:szCs w:val="18"/>
        </w:rPr>
        <w:t xml:space="preserve">the Panels, Mexico objected to the public observation of the Panels' substantive meeting with the parties, either fully or partially, without the consent of both parties. The Notice of Appeal again identifies the same issue, that is, whether the Panels had the authority to conduct a meeting with the parties that was partially open to public observation without the consent of both parties. Mexico's Notice of Appeal, read in the context of the relevant procedural background leading to the Panels' findings, set out </w:t>
      </w:r>
      <w:r w:rsidRPr="00EE061A">
        <w:rPr>
          <w:rFonts w:cs="Arial"/>
          <w:szCs w:val="18"/>
        </w:rPr>
        <w:t>in paragraphs</w:t>
      </w:r>
      <w:r w:rsidR="00EE061A" w:rsidRPr="00EE061A">
        <w:rPr>
          <w:rFonts w:cs="Arial"/>
          <w:szCs w:val="18"/>
        </w:rPr>
        <w:t xml:space="preserve"> 6.292-6.295</w:t>
      </w:r>
      <w:r w:rsidR="00EA7331" w:rsidRPr="00EE061A">
        <w:rPr>
          <w:rFonts w:cs="Arial"/>
          <w:szCs w:val="18"/>
        </w:rPr>
        <w:t xml:space="preserve"> </w:t>
      </w:r>
      <w:r w:rsidRPr="00EE061A">
        <w:rPr>
          <w:rFonts w:cs="Arial"/>
          <w:szCs w:val="18"/>
        </w:rPr>
        <w:t>above,</w:t>
      </w:r>
      <w:r w:rsidRPr="00564DB3">
        <w:rPr>
          <w:rFonts w:cs="Arial"/>
          <w:szCs w:val="18"/>
        </w:rPr>
        <w:t xml:space="preserve"> appears to identify the issue of law as whether the Panels had the authority to conduct a meeting with the parties that was partially open to public observation without the consent of both parties.</w:t>
      </w:r>
      <w:r w:rsidRPr="00564DB3">
        <w:rPr>
          <w:rFonts w:cs="Arial"/>
          <w:szCs w:val="18"/>
          <w:lang w:eastAsia="en-US"/>
        </w:rPr>
        <w:t xml:space="preserve"> Hence</w:t>
      </w:r>
      <w:r w:rsidRPr="00564DB3">
        <w:rPr>
          <w:rFonts w:cs="Arial"/>
          <w:szCs w:val="18"/>
        </w:rPr>
        <w:t>, the allegation of error identified in paragraph 11 of Mexico's Notice of Appeal appears to be one that implicates an "</w:t>
      </w:r>
      <w:proofErr w:type="gramStart"/>
      <w:r w:rsidRPr="00564DB3">
        <w:rPr>
          <w:rFonts w:cs="Arial"/>
          <w:szCs w:val="18"/>
        </w:rPr>
        <w:t>issue[</w:t>
      </w:r>
      <w:proofErr w:type="gramEnd"/>
      <w:r w:rsidRPr="00564DB3">
        <w:rPr>
          <w:rFonts w:cs="Arial"/>
          <w:szCs w:val="18"/>
        </w:rPr>
        <w:t xml:space="preserve">] of law covered in the panel report" as required by </w:t>
      </w:r>
      <w:r w:rsidR="00083DFC" w:rsidRPr="00564DB3">
        <w:rPr>
          <w:rFonts w:cs="Arial"/>
          <w:szCs w:val="18"/>
        </w:rPr>
        <w:t>Article </w:t>
      </w:r>
      <w:r w:rsidRPr="00564DB3">
        <w:rPr>
          <w:rFonts w:cs="Arial"/>
          <w:szCs w:val="18"/>
        </w:rPr>
        <w:t>17.6 of the DSU.</w:t>
      </w:r>
    </w:p>
    <w:p w:rsidR="00432E5C" w:rsidRPr="00564DB3" w:rsidRDefault="00432E5C" w:rsidP="00F70E38">
      <w:pPr>
        <w:pStyle w:val="BodyText"/>
        <w:rPr>
          <w:rFonts w:cs="Arial"/>
          <w:szCs w:val="18"/>
        </w:rPr>
      </w:pPr>
      <w:r w:rsidRPr="00564DB3">
        <w:rPr>
          <w:rFonts w:cs="Arial"/>
          <w:szCs w:val="18"/>
        </w:rPr>
        <w:t>Moreover, in assessing whether Mexico's Notice of Appeal sufficiently identifies, pursuant to Rule 20(2)(d)(i) of the Working Procedures, "the alleged errors in the issues of law covered in the panel report and legal interpretations developed by the panel", we recall that the Appellate</w:t>
      </w:r>
      <w:r w:rsidR="00025CB6" w:rsidRPr="00564DB3">
        <w:rPr>
          <w:rFonts w:cs="Arial"/>
          <w:szCs w:val="18"/>
        </w:rPr>
        <w:t> Body</w:t>
      </w:r>
      <w:r w:rsidRPr="00564DB3">
        <w:rPr>
          <w:rFonts w:cs="Arial"/>
          <w:szCs w:val="18"/>
        </w:rPr>
        <w:t xml:space="preserve"> has stated that the notice of appeal is not expected to contain the reasons why the appellant regards a panel's findings or interpretations as erroneous. Rather, the legal arguments in support of the allegations of error are to be set out and developed in the appellant's submission.</w:t>
      </w:r>
      <w:r w:rsidR="005B1CE4" w:rsidRPr="00564DB3">
        <w:rPr>
          <w:rStyle w:val="FootnoteReference"/>
          <w:rFonts w:cs="Arial"/>
          <w:szCs w:val="18"/>
        </w:rPr>
        <w:footnoteReference w:id="874"/>
      </w:r>
      <w:r w:rsidRPr="00564DB3">
        <w:rPr>
          <w:rFonts w:cs="Arial"/>
          <w:szCs w:val="18"/>
        </w:rPr>
        <w:t xml:space="preserve"> We do not consider that Mexico's Notice of Appeal was required to go beyond identifying the alleged erroneous findings of the Panels and "contain the reasons why [Mexico] regards those findings or interpretations as erroneous".</w:t>
      </w:r>
      <w:r w:rsidR="005B1CE4" w:rsidRPr="00564DB3">
        <w:rPr>
          <w:rStyle w:val="FootnoteReference"/>
          <w:rFonts w:cs="Arial"/>
          <w:szCs w:val="18"/>
        </w:rPr>
        <w:footnoteReference w:id="875"/>
      </w:r>
      <w:r w:rsidRPr="00564DB3">
        <w:rPr>
          <w:rFonts w:cs="Arial"/>
          <w:szCs w:val="18"/>
        </w:rPr>
        <w:t xml:space="preserve"> In our view, such reasons were to be provided in Mexico's appellant's submission.</w:t>
      </w:r>
      <w:bookmarkStart w:id="400" w:name="_Ref528601289"/>
    </w:p>
    <w:p w:rsidR="00432E5C" w:rsidRPr="00564DB3" w:rsidRDefault="00432E5C" w:rsidP="00F70E38">
      <w:pPr>
        <w:pStyle w:val="BodyText"/>
        <w:rPr>
          <w:rFonts w:cs="Arial"/>
          <w:szCs w:val="18"/>
        </w:rPr>
      </w:pPr>
      <w:r w:rsidRPr="00564DB3">
        <w:rPr>
          <w:rFonts w:cs="Arial"/>
          <w:szCs w:val="18"/>
        </w:rPr>
        <w:t xml:space="preserve">Furthermore, while we agree with the </w:t>
      </w:r>
      <w:r w:rsidR="00083DFC" w:rsidRPr="00564DB3">
        <w:rPr>
          <w:rFonts w:cs="Arial"/>
          <w:szCs w:val="18"/>
        </w:rPr>
        <w:t>United States</w:t>
      </w:r>
      <w:r w:rsidRPr="00564DB3">
        <w:rPr>
          <w:rFonts w:cs="Arial"/>
          <w:szCs w:val="18"/>
        </w:rPr>
        <w:t xml:space="preserve"> that a deficient notice of appeal cannot be cured by including a new or additional issue in the appellant's submission</w:t>
      </w:r>
      <w:r w:rsidR="005B1CE4" w:rsidRPr="00564DB3">
        <w:rPr>
          <w:rStyle w:val="FootnoteReference"/>
          <w:rFonts w:cs="Arial"/>
          <w:szCs w:val="18"/>
        </w:rPr>
        <w:footnoteReference w:id="876"/>
      </w:r>
      <w:r w:rsidRPr="00564DB3">
        <w:rPr>
          <w:rFonts w:cs="Arial"/>
          <w:szCs w:val="18"/>
        </w:rPr>
        <w:t>, we consider that the appellant's submission may be consulted in order to confirm the meaning of the words used in the notice of appeal.</w:t>
      </w:r>
      <w:r w:rsidR="005B1CE4" w:rsidRPr="00564DB3">
        <w:rPr>
          <w:rStyle w:val="FootnoteReference"/>
          <w:rFonts w:cs="Arial"/>
          <w:szCs w:val="18"/>
        </w:rPr>
        <w:footnoteReference w:id="877"/>
      </w:r>
      <w:r w:rsidRPr="00564DB3">
        <w:rPr>
          <w:rFonts w:cs="Arial"/>
          <w:szCs w:val="18"/>
        </w:rPr>
        <w:t xml:space="preserve"> </w:t>
      </w:r>
      <w:r w:rsidRPr="00564DB3">
        <w:rPr>
          <w:szCs w:val="18"/>
        </w:rPr>
        <w:t>I</w:t>
      </w:r>
      <w:r w:rsidRPr="00564DB3">
        <w:rPr>
          <w:rFonts w:cs="Arial"/>
          <w:szCs w:val="18"/>
        </w:rPr>
        <w:t>n its appellant's submission, Mexico points</w:t>
      </w:r>
      <w:r w:rsidR="003F21CF">
        <w:rPr>
          <w:rFonts w:cs="Arial"/>
          <w:szCs w:val="18"/>
        </w:rPr>
        <w:t xml:space="preserve"> out the aspects of the Panels' </w:t>
      </w:r>
      <w:r w:rsidRPr="00564DB3">
        <w:rPr>
          <w:rFonts w:cs="Arial"/>
          <w:szCs w:val="18"/>
        </w:rPr>
        <w:t>reasoning with which it takes issue and explains why it considers the Panels' reasoning to be erroneous.</w:t>
      </w:r>
      <w:r w:rsidR="005B1CE4" w:rsidRPr="00564DB3">
        <w:rPr>
          <w:rStyle w:val="FootnoteReference"/>
          <w:rFonts w:cs="Arial"/>
          <w:szCs w:val="18"/>
        </w:rPr>
        <w:footnoteReference w:id="878"/>
      </w:r>
      <w:r w:rsidRPr="00564DB3">
        <w:rPr>
          <w:rFonts w:cs="Arial"/>
          <w:szCs w:val="18"/>
        </w:rPr>
        <w:t xml:space="preserve"> For example, Mexico challenges the Panels' statement that "[i]f a WTO adjudicator has the power to accede to a request to fully open a hearing or meeting with the parties, then </w:t>
      </w:r>
      <w:r w:rsidRPr="00564DB3">
        <w:rPr>
          <w:rFonts w:cs="Arial"/>
          <w:i/>
          <w:szCs w:val="18"/>
        </w:rPr>
        <w:t>a</w:t>
      </w:r>
      <w:r w:rsidR="00A1588F" w:rsidRPr="00564DB3">
        <w:rPr>
          <w:rFonts w:cs="Arial"/>
          <w:i/>
          <w:szCs w:val="18"/>
        </w:rPr>
        <w:t> </w:t>
      </w:r>
      <w:r w:rsidRPr="00564DB3">
        <w:rPr>
          <w:rFonts w:cs="Arial"/>
          <w:i/>
          <w:szCs w:val="18"/>
        </w:rPr>
        <w:t>fortiori</w:t>
      </w:r>
      <w:r w:rsidRPr="00564DB3">
        <w:rPr>
          <w:rFonts w:cs="Arial"/>
          <w:szCs w:val="18"/>
        </w:rPr>
        <w:t xml:space="preserve"> it must in principle also have the power to go less far, including by opening only parts of a meeting with the parties."</w:t>
      </w:r>
      <w:r w:rsidR="005B1CE4" w:rsidRPr="00564DB3">
        <w:rPr>
          <w:rStyle w:val="FootnoteReference"/>
          <w:rFonts w:cs="Arial"/>
          <w:szCs w:val="18"/>
        </w:rPr>
        <w:footnoteReference w:id="879"/>
      </w:r>
      <w:r w:rsidRPr="00564DB3">
        <w:rPr>
          <w:rFonts w:cs="Arial"/>
          <w:szCs w:val="18"/>
        </w:rPr>
        <w:t xml:space="preserve"> Mexico contends that the Panels' statement is "incorrect" because, in all prior disputes to which the Panels referred in support of this statement, there was an agreement of both disputing parties to open the meeting.</w:t>
      </w:r>
      <w:r w:rsidR="005B1CE4" w:rsidRPr="00564DB3">
        <w:rPr>
          <w:rStyle w:val="FootnoteReference"/>
          <w:rFonts w:cs="Arial"/>
          <w:szCs w:val="18"/>
        </w:rPr>
        <w:footnoteReference w:id="880"/>
      </w:r>
      <w:r w:rsidRPr="00564DB3">
        <w:rPr>
          <w:rFonts w:cs="Arial"/>
          <w:szCs w:val="18"/>
        </w:rPr>
        <w:t xml:space="preserve"> </w:t>
      </w:r>
      <w:bookmarkEnd w:id="400"/>
      <w:r w:rsidRPr="00564DB3">
        <w:rPr>
          <w:rFonts w:cs="Arial"/>
          <w:szCs w:val="18"/>
        </w:rPr>
        <w:t xml:space="preserve">As we see it, these statements in Mexico's appellant's submission confirm the Panels' decision with which Mexico takes issue </w:t>
      </w:r>
      <w:r w:rsidR="00954430" w:rsidRPr="00564DB3">
        <w:rPr>
          <w:rFonts w:cs="Arial"/>
          <w:szCs w:val="18"/>
        </w:rPr>
        <w:t>in</w:t>
      </w:r>
      <w:r w:rsidR="00521BBF">
        <w:rPr>
          <w:rFonts w:cs="Arial"/>
          <w:szCs w:val="18"/>
        </w:rPr>
        <w:t xml:space="preserve"> paragraph 11 of its Notice </w:t>
      </w:r>
      <w:r w:rsidRPr="00564DB3">
        <w:rPr>
          <w:rFonts w:cs="Arial"/>
          <w:szCs w:val="18"/>
        </w:rPr>
        <w:t>of Appeal and provide the legal arguments in support of Mexico's claim of error.</w:t>
      </w:r>
    </w:p>
    <w:p w:rsidR="00432E5C" w:rsidRPr="00564DB3" w:rsidRDefault="00432E5C" w:rsidP="00F70E38">
      <w:pPr>
        <w:pStyle w:val="BodyText"/>
        <w:rPr>
          <w:rFonts w:cs="Arial"/>
          <w:szCs w:val="18"/>
        </w:rPr>
      </w:pPr>
      <w:bookmarkStart w:id="401" w:name="_Ref528764529"/>
      <w:r w:rsidRPr="00564DB3">
        <w:rPr>
          <w:rFonts w:cs="Arial"/>
          <w:szCs w:val="18"/>
        </w:rPr>
        <w:t xml:space="preserve">We also take note of the </w:t>
      </w:r>
      <w:r w:rsidR="00083DFC" w:rsidRPr="00564DB3">
        <w:rPr>
          <w:rFonts w:cs="Arial"/>
          <w:szCs w:val="18"/>
        </w:rPr>
        <w:t>United States</w:t>
      </w:r>
      <w:r w:rsidRPr="00564DB3">
        <w:rPr>
          <w:rFonts w:cs="Arial"/>
          <w:szCs w:val="18"/>
        </w:rPr>
        <w:t xml:space="preserve">' argument </w:t>
      </w:r>
      <w:r w:rsidRPr="00564DB3">
        <w:rPr>
          <w:szCs w:val="18"/>
        </w:rPr>
        <w:t xml:space="preserve">that Mexico has failed to justify its appeal as being within the scope of </w:t>
      </w:r>
      <w:r w:rsidR="00083DFC" w:rsidRPr="00564DB3">
        <w:rPr>
          <w:szCs w:val="18"/>
        </w:rPr>
        <w:t>Article </w:t>
      </w:r>
      <w:r w:rsidRPr="00564DB3">
        <w:rPr>
          <w:szCs w:val="18"/>
        </w:rPr>
        <w:t>17.6 of the DSU because, "[r]</w:t>
      </w:r>
      <w:proofErr w:type="spellStart"/>
      <w:r w:rsidRPr="00564DB3">
        <w:rPr>
          <w:szCs w:val="18"/>
        </w:rPr>
        <w:t>ather</w:t>
      </w:r>
      <w:proofErr w:type="spellEnd"/>
      <w:r w:rsidRPr="00564DB3">
        <w:rPr>
          <w:szCs w:val="18"/>
        </w:rPr>
        <w:t xml:space="preserve"> than relating to the matter referred to the Panels by the DSB, Mexico's appeal relates to the procedures adopted by the Panels to conduct their proceedings."</w:t>
      </w:r>
      <w:r w:rsidR="005B1CE4" w:rsidRPr="00564DB3">
        <w:rPr>
          <w:rStyle w:val="FootnoteReference"/>
          <w:szCs w:val="18"/>
        </w:rPr>
        <w:footnoteReference w:id="881"/>
      </w:r>
      <w:r w:rsidRPr="00564DB3">
        <w:rPr>
          <w:szCs w:val="18"/>
        </w:rPr>
        <w:t xml:space="preserve"> We do not agree. In our view, the </w:t>
      </w:r>
      <w:proofErr w:type="gramStart"/>
      <w:r w:rsidRPr="00564DB3">
        <w:rPr>
          <w:szCs w:val="18"/>
        </w:rPr>
        <w:t>manner in which</w:t>
      </w:r>
      <w:proofErr w:type="gramEnd"/>
      <w:r w:rsidRPr="00564DB3">
        <w:rPr>
          <w:szCs w:val="18"/>
        </w:rPr>
        <w:t xml:space="preserve"> a panel adopts procedures and conducts its proceedings when it addresses the matter referred to it by the DSB may give rise to issues of law and legal interpretation, which would be subject to the scope of appellate review within the meaning of </w:t>
      </w:r>
      <w:r w:rsidR="00083DFC" w:rsidRPr="00564DB3">
        <w:rPr>
          <w:szCs w:val="18"/>
        </w:rPr>
        <w:t>Article </w:t>
      </w:r>
      <w:r w:rsidRPr="00564DB3">
        <w:rPr>
          <w:szCs w:val="18"/>
        </w:rPr>
        <w:t>17.6.</w:t>
      </w:r>
      <w:bookmarkEnd w:id="401"/>
      <w:r w:rsidR="005B1CE4" w:rsidRPr="00564DB3">
        <w:rPr>
          <w:rStyle w:val="FootnoteReference"/>
          <w:szCs w:val="18"/>
        </w:rPr>
        <w:footnoteReference w:id="882"/>
      </w:r>
    </w:p>
    <w:p w:rsidR="00432E5C" w:rsidRPr="00564DB3" w:rsidRDefault="00432E5C" w:rsidP="00F70E38">
      <w:pPr>
        <w:pStyle w:val="BodyText"/>
        <w:rPr>
          <w:rFonts w:cs="Arial"/>
          <w:szCs w:val="18"/>
        </w:rPr>
      </w:pPr>
      <w:r w:rsidRPr="00564DB3">
        <w:rPr>
          <w:rFonts w:cs="Arial"/>
          <w:szCs w:val="18"/>
        </w:rPr>
        <w:t xml:space="preserve">In addition to the </w:t>
      </w:r>
      <w:r w:rsidR="00083DFC" w:rsidRPr="00564DB3">
        <w:rPr>
          <w:rFonts w:cs="Arial"/>
          <w:szCs w:val="18"/>
        </w:rPr>
        <w:t>United States</w:t>
      </w:r>
      <w:r w:rsidRPr="00564DB3">
        <w:rPr>
          <w:rFonts w:cs="Arial"/>
          <w:szCs w:val="18"/>
        </w:rPr>
        <w:t xml:space="preserve">' fundamental concern that Mexico's Notice of Appeal fails to comply with </w:t>
      </w:r>
      <w:r w:rsidR="00083DFC" w:rsidRPr="00564DB3">
        <w:rPr>
          <w:rFonts w:cs="Arial"/>
          <w:szCs w:val="18"/>
        </w:rPr>
        <w:t>Article </w:t>
      </w:r>
      <w:r w:rsidRPr="00564DB3">
        <w:rPr>
          <w:rFonts w:cs="Arial"/>
          <w:szCs w:val="18"/>
        </w:rPr>
        <w:t xml:space="preserve">17.6 of the DSU and </w:t>
      </w:r>
      <w:r w:rsidR="001124A0" w:rsidRPr="00564DB3">
        <w:rPr>
          <w:rFonts w:cs="Arial"/>
          <w:szCs w:val="18"/>
        </w:rPr>
        <w:t>Rule 20(2)(d)(i) of the Working </w:t>
      </w:r>
      <w:r w:rsidRPr="00564DB3">
        <w:rPr>
          <w:rFonts w:cs="Arial"/>
          <w:szCs w:val="18"/>
        </w:rPr>
        <w:t xml:space="preserve">Procedures, the </w:t>
      </w:r>
      <w:r w:rsidR="00083DFC" w:rsidRPr="00564DB3">
        <w:rPr>
          <w:rFonts w:cs="Arial"/>
          <w:szCs w:val="18"/>
        </w:rPr>
        <w:t>United States</w:t>
      </w:r>
      <w:r w:rsidRPr="00564DB3">
        <w:rPr>
          <w:rFonts w:cs="Arial"/>
          <w:szCs w:val="18"/>
        </w:rPr>
        <w:t xml:space="preserve"> argues that Mexico's Notice of Appeal fails to comply with the formal requirements set out in Rule 20(2)(d)(ii) and (iii) of the Working Procedures. The </w:t>
      </w:r>
      <w:r w:rsidR="00083DFC" w:rsidRPr="00564DB3">
        <w:rPr>
          <w:rFonts w:cs="Arial"/>
          <w:szCs w:val="18"/>
        </w:rPr>
        <w:t>United States</w:t>
      </w:r>
      <w:r w:rsidRPr="00564DB3">
        <w:rPr>
          <w:rFonts w:cs="Arial"/>
          <w:szCs w:val="18"/>
        </w:rPr>
        <w:t xml:space="preserve"> contends that Mexico's Notice of Appeal fails to refer to any legal provision of any covered agreement that the Panels are alleged to have erred in interpreting or applying. The </w:t>
      </w:r>
      <w:r w:rsidR="00083DFC" w:rsidRPr="00564DB3">
        <w:rPr>
          <w:rFonts w:cs="Arial"/>
          <w:szCs w:val="18"/>
        </w:rPr>
        <w:t>United States</w:t>
      </w:r>
      <w:r w:rsidRPr="00564DB3">
        <w:rPr>
          <w:rFonts w:cs="Arial"/>
          <w:szCs w:val="18"/>
        </w:rPr>
        <w:t xml:space="preserve"> adds that Mexico's Notice of Appeal fails to indicate any paragraph of the Panel Reports containing the alleged errors.</w:t>
      </w:r>
      <w:r w:rsidR="005B1CE4" w:rsidRPr="00564DB3">
        <w:rPr>
          <w:rStyle w:val="FootnoteReference"/>
          <w:rFonts w:cs="Arial"/>
          <w:szCs w:val="18"/>
        </w:rPr>
        <w:footnoteReference w:id="883"/>
      </w:r>
    </w:p>
    <w:bookmarkEnd w:id="399"/>
    <w:p w:rsidR="00432E5C" w:rsidRPr="00564DB3" w:rsidRDefault="00432E5C" w:rsidP="00F70E38">
      <w:pPr>
        <w:pStyle w:val="BodyText"/>
        <w:rPr>
          <w:rFonts w:cs="Arial"/>
          <w:szCs w:val="18"/>
        </w:rPr>
      </w:pPr>
      <w:r w:rsidRPr="00564DB3">
        <w:rPr>
          <w:rFonts w:cs="Arial"/>
          <w:szCs w:val="18"/>
        </w:rPr>
        <w:t>A notice of appeal must provide a brief statement of the nature of the appeal.</w:t>
      </w:r>
      <w:r w:rsidR="005B1CE4" w:rsidRPr="00564DB3">
        <w:rPr>
          <w:rStyle w:val="FootnoteReference"/>
          <w:rFonts w:cs="Arial"/>
          <w:szCs w:val="18"/>
        </w:rPr>
        <w:footnoteReference w:id="884"/>
      </w:r>
      <w:r w:rsidR="00521BBF">
        <w:rPr>
          <w:rFonts w:cs="Arial"/>
          <w:szCs w:val="18"/>
        </w:rPr>
        <w:t xml:space="preserve"> Pursuant </w:t>
      </w:r>
      <w:r w:rsidRPr="00564DB3">
        <w:rPr>
          <w:rFonts w:cs="Arial"/>
          <w:szCs w:val="18"/>
        </w:rPr>
        <w:t xml:space="preserve">to Rule 20(2)(d)(ii) and (iii) of the Working Procedures, this brief statement should include </w:t>
      </w:r>
      <w:r w:rsidRPr="00564DB3">
        <w:rPr>
          <w:szCs w:val="18"/>
        </w:rPr>
        <w:t xml:space="preserve">a list of the legal provisions of the covered agreements that the panel is alleged to have erred in interpreting or applying and an indicative list of the paragraphs of the panel report containing the alleged errors. These two requirements facilitate the "identification of the alleged errors in the issues of law covered in the panel report and legal interpretations developed by the panel" as required by Rule 20(2)(d)(i) of the Working Procedures, read together with </w:t>
      </w:r>
      <w:r w:rsidR="00083DFC" w:rsidRPr="00564DB3">
        <w:rPr>
          <w:szCs w:val="18"/>
        </w:rPr>
        <w:t>Article </w:t>
      </w:r>
      <w:r w:rsidRPr="00564DB3">
        <w:rPr>
          <w:szCs w:val="18"/>
        </w:rPr>
        <w:t>17.6 of the DSU.</w:t>
      </w:r>
    </w:p>
    <w:p w:rsidR="00432E5C" w:rsidRPr="00564DB3" w:rsidRDefault="00432E5C" w:rsidP="00F70E38">
      <w:pPr>
        <w:pStyle w:val="BodyText"/>
        <w:rPr>
          <w:rFonts w:cs="Arial"/>
          <w:szCs w:val="18"/>
        </w:rPr>
      </w:pPr>
      <w:r w:rsidRPr="00564DB3">
        <w:rPr>
          <w:rFonts w:cs="Arial"/>
          <w:szCs w:val="18"/>
        </w:rPr>
        <w:t>Mexico's Notice of Appeal does not include "an indicative list of the paragraphs" of the Panel Reports containing the alleged errors, as required by Rule 20(2)(d)(iii). Nor does Mexico's Notice of Appeal refer to "a list of the legal provision(s) of the covered agreements" that the Panels are alleged to have erred in interpreting or applying, as required by Rule 20(2)(d)(ii). The Appellate</w:t>
      </w:r>
      <w:r w:rsidR="00025CB6" w:rsidRPr="00564DB3">
        <w:rPr>
          <w:rFonts w:cs="Arial"/>
          <w:szCs w:val="18"/>
        </w:rPr>
        <w:t> Body</w:t>
      </w:r>
      <w:r w:rsidRPr="00564DB3">
        <w:rPr>
          <w:rFonts w:cs="Arial"/>
          <w:szCs w:val="18"/>
        </w:rPr>
        <w:t xml:space="preserve"> has, in the past, considered such omissions to constitute "formal defects in the Notice of Appeal".</w:t>
      </w:r>
      <w:r w:rsidR="005B1CE4" w:rsidRPr="00564DB3">
        <w:rPr>
          <w:rStyle w:val="FootnoteReference"/>
          <w:rFonts w:cs="Arial"/>
          <w:szCs w:val="18"/>
        </w:rPr>
        <w:footnoteReference w:id="885"/>
      </w:r>
      <w:r w:rsidRPr="00564DB3">
        <w:rPr>
          <w:rFonts w:cs="Arial"/>
          <w:szCs w:val="18"/>
        </w:rPr>
        <w:t xml:space="preserve"> </w:t>
      </w:r>
    </w:p>
    <w:p w:rsidR="00432E5C" w:rsidRPr="00564DB3" w:rsidRDefault="00432E5C" w:rsidP="00F70E38">
      <w:pPr>
        <w:pStyle w:val="BodyText"/>
        <w:rPr>
          <w:rFonts w:cs="Arial"/>
          <w:szCs w:val="18"/>
        </w:rPr>
      </w:pPr>
      <w:r w:rsidRPr="00564DB3">
        <w:rPr>
          <w:rFonts w:cs="Arial"/>
          <w:szCs w:val="18"/>
        </w:rPr>
        <w:t>Nonetheless, as the Appellate</w:t>
      </w:r>
      <w:r w:rsidR="00521BBF">
        <w:rPr>
          <w:rFonts w:cs="Arial"/>
          <w:szCs w:val="18"/>
        </w:rPr>
        <w:t xml:space="preserve"> </w:t>
      </w:r>
      <w:r w:rsidR="00025CB6" w:rsidRPr="00564DB3">
        <w:rPr>
          <w:rFonts w:cs="Arial"/>
          <w:szCs w:val="18"/>
        </w:rPr>
        <w:t>Body</w:t>
      </w:r>
      <w:r w:rsidRPr="00564DB3">
        <w:rPr>
          <w:rFonts w:cs="Arial"/>
          <w:szCs w:val="18"/>
        </w:rPr>
        <w:t xml:space="preserve"> highlighted in </w:t>
      </w:r>
      <w:r w:rsidRPr="00564DB3">
        <w:rPr>
          <w:rFonts w:cs="Arial"/>
          <w:i/>
          <w:szCs w:val="18"/>
        </w:rPr>
        <w:t>EC – Bananas III (</w:t>
      </w:r>
      <w:r w:rsidR="00083DFC" w:rsidRPr="00564DB3">
        <w:rPr>
          <w:rFonts w:cs="Arial"/>
          <w:i/>
          <w:szCs w:val="18"/>
        </w:rPr>
        <w:t>Article </w:t>
      </w:r>
      <w:r w:rsidRPr="00564DB3">
        <w:rPr>
          <w:rFonts w:cs="Arial"/>
          <w:i/>
          <w:szCs w:val="18"/>
        </w:rPr>
        <w:t>21.5 – Ecuador II) / EC – Bananas III (</w:t>
      </w:r>
      <w:r w:rsidR="00083DFC" w:rsidRPr="00564DB3">
        <w:rPr>
          <w:rFonts w:cs="Arial"/>
          <w:i/>
          <w:szCs w:val="18"/>
        </w:rPr>
        <w:t>Article </w:t>
      </w:r>
      <w:r w:rsidRPr="00564DB3">
        <w:rPr>
          <w:rFonts w:cs="Arial"/>
          <w:i/>
          <w:szCs w:val="18"/>
        </w:rPr>
        <w:t>21.5 – US)</w:t>
      </w:r>
      <w:r w:rsidR="00521BBF">
        <w:rPr>
          <w:rFonts w:cs="Arial"/>
          <w:szCs w:val="18"/>
        </w:rPr>
        <w:t xml:space="preserve">, Rule </w:t>
      </w:r>
      <w:r w:rsidRPr="00564DB3">
        <w:rPr>
          <w:rFonts w:cs="Arial"/>
          <w:szCs w:val="18"/>
        </w:rPr>
        <w:t>20(2)(d) does not stipulate what consequences flow from a failure to meet its formal requirements.</w:t>
      </w:r>
      <w:r w:rsidR="005B1CE4" w:rsidRPr="00564DB3">
        <w:rPr>
          <w:rStyle w:val="FootnoteReference"/>
          <w:rFonts w:cs="Arial"/>
          <w:szCs w:val="18"/>
        </w:rPr>
        <w:footnoteReference w:id="886"/>
      </w:r>
      <w:r w:rsidRPr="00564DB3">
        <w:rPr>
          <w:rFonts w:cs="Arial"/>
          <w:szCs w:val="18"/>
        </w:rPr>
        <w:t xml:space="preserve"> In assessing the potential consequences of a failure of a notice of appeal to meet the formal requirements of Rule 20(2)(d)(ii) and (iii), the Appellate</w:t>
      </w:r>
      <w:r w:rsidR="00025CB6" w:rsidRPr="00564DB3">
        <w:rPr>
          <w:rFonts w:cs="Arial"/>
          <w:szCs w:val="18"/>
        </w:rPr>
        <w:t> Body</w:t>
      </w:r>
      <w:r w:rsidRPr="00564DB3">
        <w:rPr>
          <w:rFonts w:cs="Arial"/>
          <w:szCs w:val="18"/>
        </w:rPr>
        <w:t xml:space="preserve"> has focused on due process considerations.</w:t>
      </w:r>
      <w:r w:rsidR="005B1CE4" w:rsidRPr="00564DB3">
        <w:rPr>
          <w:rStyle w:val="FootnoteReference"/>
          <w:rFonts w:cs="Arial"/>
          <w:szCs w:val="18"/>
        </w:rPr>
        <w:footnoteReference w:id="887"/>
      </w:r>
      <w:r w:rsidRPr="00564DB3">
        <w:rPr>
          <w:rFonts w:cs="Arial"/>
          <w:szCs w:val="18"/>
        </w:rPr>
        <w:t xml:space="preserve"> To this end, the Appellate</w:t>
      </w:r>
      <w:r w:rsidR="00025CB6" w:rsidRPr="00564DB3">
        <w:rPr>
          <w:rFonts w:cs="Arial"/>
          <w:szCs w:val="18"/>
        </w:rPr>
        <w:t> Body</w:t>
      </w:r>
      <w:r w:rsidRPr="00564DB3">
        <w:rPr>
          <w:rFonts w:cs="Arial"/>
          <w:szCs w:val="18"/>
        </w:rPr>
        <w:t xml:space="preserve"> has taken into account the balance "that must be maintained between the right of Members to exercise the right of appeal meaningfully and effectively, and the right of </w:t>
      </w:r>
      <w:proofErr w:type="spellStart"/>
      <w:r w:rsidRPr="00564DB3">
        <w:rPr>
          <w:rFonts w:cs="Arial"/>
          <w:szCs w:val="18"/>
        </w:rPr>
        <w:t>appellees</w:t>
      </w:r>
      <w:proofErr w:type="spellEnd"/>
      <w:r w:rsidRPr="00564DB3">
        <w:rPr>
          <w:rFonts w:cs="Arial"/>
          <w:szCs w:val="18"/>
        </w:rPr>
        <w:t xml:space="preserve"> to receive notice through the notice of appeal of the findings under appeal, so that they may exercise their right of defence effectively". Thus, the prospect of dismissal of an appeal because a notice of appeal fails to meet the formal requirements of Rule 20(d)(ii) and (iii) should be weighed against the possible denial of a party's right to appeal under </w:t>
      </w:r>
      <w:r w:rsidR="00083DFC" w:rsidRPr="00564DB3">
        <w:rPr>
          <w:rFonts w:cs="Arial"/>
          <w:szCs w:val="18"/>
        </w:rPr>
        <w:t>Article </w:t>
      </w:r>
      <w:r w:rsidRPr="00564DB3">
        <w:rPr>
          <w:rFonts w:cs="Arial"/>
          <w:szCs w:val="18"/>
        </w:rPr>
        <w:t>17.6 of the DSU. To</w:t>
      </w:r>
      <w:bookmarkStart w:id="402" w:name="_Hlk523133766"/>
      <w:r w:rsidRPr="00564DB3">
        <w:rPr>
          <w:rFonts w:cs="Arial"/>
          <w:szCs w:val="18"/>
        </w:rPr>
        <w:t xml:space="preserve"> the extent that an </w:t>
      </w:r>
      <w:proofErr w:type="spellStart"/>
      <w:r w:rsidRPr="00564DB3">
        <w:rPr>
          <w:rFonts w:cs="Arial"/>
          <w:szCs w:val="18"/>
        </w:rPr>
        <w:t>appellee</w:t>
      </w:r>
      <w:proofErr w:type="spellEnd"/>
      <w:r w:rsidRPr="00564DB3">
        <w:rPr>
          <w:rFonts w:cs="Arial"/>
          <w:szCs w:val="18"/>
        </w:rPr>
        <w:t xml:space="preserve"> "was placed on notice of the issues raised" in the notice of appeal,</w:t>
      </w:r>
      <w:r w:rsidRPr="00564DB3">
        <w:rPr>
          <w:szCs w:val="18"/>
        </w:rPr>
        <w:t xml:space="preserve"> the Appellate</w:t>
      </w:r>
      <w:r w:rsidR="00025CB6" w:rsidRPr="00564DB3">
        <w:rPr>
          <w:szCs w:val="18"/>
        </w:rPr>
        <w:t> Body</w:t>
      </w:r>
      <w:r w:rsidRPr="00564DB3">
        <w:rPr>
          <w:szCs w:val="18"/>
        </w:rPr>
        <w:t xml:space="preserve"> has found that formal defects in the notice of appeal would not necessarily "give rise to procedural detriment of the kind that would warrant the dismissal" of the appeal</w:t>
      </w:r>
      <w:bookmarkEnd w:id="402"/>
      <w:r w:rsidRPr="00564DB3">
        <w:rPr>
          <w:szCs w:val="18"/>
        </w:rPr>
        <w:t>.</w:t>
      </w:r>
      <w:r w:rsidR="005B1CE4" w:rsidRPr="00564DB3">
        <w:rPr>
          <w:rStyle w:val="FootnoteReference"/>
          <w:szCs w:val="18"/>
        </w:rPr>
        <w:footnoteReference w:id="888"/>
      </w:r>
    </w:p>
    <w:p w:rsidR="00432E5C" w:rsidRPr="00564DB3" w:rsidRDefault="00432E5C" w:rsidP="00F70E38">
      <w:pPr>
        <w:pStyle w:val="BodyText"/>
        <w:rPr>
          <w:rFonts w:cs="Arial"/>
          <w:szCs w:val="18"/>
        </w:rPr>
      </w:pPr>
      <w:r w:rsidRPr="00564DB3">
        <w:rPr>
          <w:rFonts w:cs="Arial"/>
          <w:szCs w:val="18"/>
        </w:rPr>
        <w:t xml:space="preserve">In the present dispute, while the </w:t>
      </w:r>
      <w:r w:rsidR="00083DFC" w:rsidRPr="00564DB3">
        <w:rPr>
          <w:rFonts w:cs="Arial"/>
          <w:szCs w:val="18"/>
        </w:rPr>
        <w:t>United States</w:t>
      </w:r>
      <w:r w:rsidRPr="00564DB3">
        <w:rPr>
          <w:rFonts w:cs="Arial"/>
          <w:szCs w:val="18"/>
        </w:rPr>
        <w:t xml:space="preserve"> points to these formal defects in Mexico's Notice of Appeal, the </w:t>
      </w:r>
      <w:r w:rsidR="00083DFC" w:rsidRPr="00564DB3">
        <w:rPr>
          <w:rFonts w:cs="Arial"/>
          <w:szCs w:val="18"/>
        </w:rPr>
        <w:t>United States</w:t>
      </w:r>
      <w:r w:rsidRPr="00564DB3">
        <w:rPr>
          <w:rFonts w:cs="Arial"/>
          <w:szCs w:val="18"/>
        </w:rPr>
        <w:t xml:space="preserve"> has not asserted that, owing to such formal defects, it did not receive </w:t>
      </w:r>
      <w:proofErr w:type="gramStart"/>
      <w:r w:rsidRPr="00564DB3">
        <w:rPr>
          <w:rFonts w:cs="Arial"/>
          <w:szCs w:val="18"/>
        </w:rPr>
        <w:t>sufficient</w:t>
      </w:r>
      <w:proofErr w:type="gramEnd"/>
      <w:r w:rsidRPr="00564DB3">
        <w:rPr>
          <w:rFonts w:cs="Arial"/>
          <w:szCs w:val="18"/>
        </w:rPr>
        <w:t xml:space="preserve"> notice of Mexico's appeal regarding the Panels' decision to conduct a partially opening meeting with the parties. Thus, despite Mexico's failure to comply with the requirements in Rule 20(2)(d)(ii) and (iii), we consider that these formal defects do not, by themselves, warrant the dismissal of Mexico's appeal.</w:t>
      </w:r>
    </w:p>
    <w:p w:rsidR="00432E5C" w:rsidRPr="00564DB3" w:rsidRDefault="00432E5C" w:rsidP="00F70E38">
      <w:pPr>
        <w:pStyle w:val="BodyText"/>
        <w:rPr>
          <w:rFonts w:cs="Arial"/>
          <w:szCs w:val="18"/>
        </w:rPr>
      </w:pPr>
      <w:bookmarkStart w:id="403" w:name="_Ref529195704"/>
      <w:r w:rsidRPr="00564DB3">
        <w:rPr>
          <w:rFonts w:cs="Arial"/>
          <w:szCs w:val="18"/>
        </w:rPr>
        <w:t xml:space="preserve">Based on the foregoing, we find that paragraph 11 of Mexico's Notice of Appeal sufficiently identifies an alleged error in the issues of law covered in the Panel Reports, as required by Rule 20(2)(d)(i) of the Working Procedures and </w:t>
      </w:r>
      <w:r w:rsidR="00083DFC" w:rsidRPr="00564DB3">
        <w:rPr>
          <w:rFonts w:cs="Arial"/>
          <w:szCs w:val="18"/>
        </w:rPr>
        <w:t>Article </w:t>
      </w:r>
      <w:r w:rsidR="00AB17EB" w:rsidRPr="00564DB3">
        <w:rPr>
          <w:rFonts w:cs="Arial"/>
          <w:szCs w:val="18"/>
        </w:rPr>
        <w:t xml:space="preserve">17.6 of the DSU. </w:t>
      </w:r>
      <w:proofErr w:type="gramStart"/>
      <w:r w:rsidR="00AB17EB" w:rsidRPr="00564DB3">
        <w:rPr>
          <w:rFonts w:cs="Arial"/>
          <w:szCs w:val="18"/>
        </w:rPr>
        <w:t>In </w:t>
      </w:r>
      <w:r w:rsidRPr="00564DB3">
        <w:rPr>
          <w:rFonts w:cs="Arial"/>
          <w:szCs w:val="18"/>
        </w:rPr>
        <w:t>particular, Mexico's</w:t>
      </w:r>
      <w:proofErr w:type="gramEnd"/>
      <w:r w:rsidRPr="00564DB3">
        <w:rPr>
          <w:rFonts w:cs="Arial"/>
          <w:szCs w:val="18"/>
        </w:rPr>
        <w:t xml:space="preserve"> Notice of Appeal identifies, as an issue of law, </w:t>
      </w:r>
      <w:r w:rsidRPr="00564DB3">
        <w:rPr>
          <w:szCs w:val="18"/>
        </w:rPr>
        <w:t xml:space="preserve">the question whether the Panels had the authority to conduct a meeting with the parties that was partially open to public observation without the consent of both parties. </w:t>
      </w:r>
      <w:r w:rsidRPr="00564DB3">
        <w:rPr>
          <w:rFonts w:cs="Arial"/>
          <w:szCs w:val="18"/>
        </w:rPr>
        <w:t xml:space="preserve">We also find that the formal defects in Mexico's Notice of Appeal, owing to Mexico's failure to comply with the requirements in Rule 20(2)(d)(ii) and (iii) of the Working Procedures, do not, by themselves, warrant the dismissal of Mexico's appeal. We therefore </w:t>
      </w:r>
      <w:r w:rsidRPr="00564DB3">
        <w:rPr>
          <w:rFonts w:cs="Arial"/>
          <w:szCs w:val="18"/>
          <w:u w:val="single"/>
        </w:rPr>
        <w:t>find</w:t>
      </w:r>
      <w:r w:rsidRPr="00564DB3">
        <w:rPr>
          <w:rFonts w:cs="Arial"/>
          <w:szCs w:val="18"/>
        </w:rPr>
        <w:t xml:space="preserve"> that Mexico's claim that the Panels erred </w:t>
      </w:r>
      <w:r w:rsidR="00134A82" w:rsidRPr="00564DB3">
        <w:rPr>
          <w:rFonts w:cs="Arial"/>
          <w:szCs w:val="18"/>
        </w:rPr>
        <w:t>in</w:t>
      </w:r>
      <w:r w:rsidRPr="00564DB3">
        <w:rPr>
          <w:rFonts w:cs="Arial"/>
          <w:szCs w:val="18"/>
        </w:rPr>
        <w:t xml:space="preserve"> finding that they had the authority to conduct a partially open meeting without the consent</w:t>
      </w:r>
      <w:r w:rsidRPr="00564DB3">
        <w:rPr>
          <w:szCs w:val="18"/>
        </w:rPr>
        <w:t xml:space="preserve"> of both parties is properly within the scope of this appeal.</w:t>
      </w:r>
      <w:bookmarkEnd w:id="403"/>
    </w:p>
    <w:p w:rsidR="00432E5C" w:rsidRPr="00564DB3" w:rsidRDefault="00432E5C" w:rsidP="00F70E38">
      <w:pPr>
        <w:pStyle w:val="Heading3"/>
        <w:rPr>
          <w:szCs w:val="18"/>
        </w:rPr>
      </w:pPr>
      <w:bookmarkStart w:id="404" w:name="_Toc531967505"/>
      <w:bookmarkEnd w:id="387"/>
      <w:r w:rsidRPr="00564DB3">
        <w:rPr>
          <w:szCs w:val="18"/>
        </w:rPr>
        <w:t>Whether the Appellate</w:t>
      </w:r>
      <w:r w:rsidR="00025CB6" w:rsidRPr="00564DB3">
        <w:rPr>
          <w:szCs w:val="18"/>
        </w:rPr>
        <w:t> Body</w:t>
      </w:r>
      <w:r w:rsidRPr="00564DB3">
        <w:rPr>
          <w:szCs w:val="18"/>
        </w:rPr>
        <w:t xml:space="preserve"> should rule on this issue</w:t>
      </w:r>
      <w:bookmarkEnd w:id="404"/>
    </w:p>
    <w:p w:rsidR="00432E5C" w:rsidRPr="00564DB3" w:rsidRDefault="00432E5C" w:rsidP="00F70E38">
      <w:pPr>
        <w:pStyle w:val="BodyText"/>
        <w:rPr>
          <w:szCs w:val="18"/>
        </w:rPr>
      </w:pPr>
      <w:r w:rsidRPr="00564DB3">
        <w:rPr>
          <w:rFonts w:cs="Arial"/>
          <w:szCs w:val="18"/>
        </w:rPr>
        <w:t xml:space="preserve">Having found </w:t>
      </w:r>
      <w:r w:rsidRPr="00564DB3">
        <w:rPr>
          <w:szCs w:val="18"/>
        </w:rPr>
        <w:t>that Mexico's allegation of error, as identified in paragraph 11 of Mexico's Notice of Appeal, is properly within the scope of this appeal, we take note of the suggestion</w:t>
      </w:r>
      <w:r w:rsidRPr="00564DB3" w:rsidDel="00A81794">
        <w:rPr>
          <w:szCs w:val="18"/>
        </w:rPr>
        <w:t xml:space="preserve"> </w:t>
      </w:r>
      <w:r w:rsidRPr="00564DB3">
        <w:rPr>
          <w:szCs w:val="18"/>
        </w:rPr>
        <w:t xml:space="preserve">by the </w:t>
      </w:r>
      <w:r w:rsidR="00083DFC" w:rsidRPr="00564DB3">
        <w:rPr>
          <w:szCs w:val="18"/>
        </w:rPr>
        <w:t>United States</w:t>
      </w:r>
      <w:r w:rsidRPr="00564DB3">
        <w:rPr>
          <w:szCs w:val="18"/>
        </w:rPr>
        <w:t xml:space="preserve"> that, "it would be appropriate for the Appellate</w:t>
      </w:r>
      <w:r w:rsidR="00025CB6" w:rsidRPr="00564DB3">
        <w:rPr>
          <w:szCs w:val="18"/>
        </w:rPr>
        <w:t> Body</w:t>
      </w:r>
      <w:r w:rsidRPr="00564DB3">
        <w:rPr>
          <w:szCs w:val="18"/>
        </w:rPr>
        <w:t xml:space="preserve"> to exercise judicial economy" with respect to this claim of error. In the </w:t>
      </w:r>
      <w:r w:rsidR="00083DFC" w:rsidRPr="00564DB3">
        <w:rPr>
          <w:szCs w:val="18"/>
        </w:rPr>
        <w:t>United States</w:t>
      </w:r>
      <w:r w:rsidRPr="00564DB3">
        <w:rPr>
          <w:szCs w:val="18"/>
        </w:rPr>
        <w:t xml:space="preserve">' view, this is because Mexico's appeal of the Panels' decision to conduct the partially open panel meeting does </w:t>
      </w:r>
      <w:bookmarkStart w:id="405" w:name="_Hlk522896637"/>
      <w:r w:rsidRPr="00564DB3">
        <w:rPr>
          <w:szCs w:val="18"/>
        </w:rPr>
        <w:t>not concern "issues of law covered in the panel report" or "legal interpretations developed by the panel".</w:t>
      </w:r>
      <w:bookmarkEnd w:id="405"/>
      <w:r w:rsidR="005B1CE4" w:rsidRPr="00564DB3">
        <w:rPr>
          <w:rStyle w:val="FootnoteReference"/>
          <w:szCs w:val="18"/>
        </w:rPr>
        <w:footnoteReference w:id="889"/>
      </w:r>
    </w:p>
    <w:p w:rsidR="00432E5C" w:rsidRPr="00564DB3" w:rsidRDefault="00432E5C" w:rsidP="00F70E38">
      <w:pPr>
        <w:pStyle w:val="BodyText"/>
        <w:rPr>
          <w:szCs w:val="18"/>
        </w:rPr>
      </w:pPr>
      <w:bookmarkStart w:id="406" w:name="_Hlk524536099"/>
      <w:r w:rsidRPr="00564DB3">
        <w:rPr>
          <w:szCs w:val="18"/>
        </w:rPr>
        <w:t>As a preliminary matter, we recall our finding above that paragraph 11 of Mexico's Notice of Appeal sufficiently identifies, as an issue of law, the question whether the Panels had the authority to conduct a meeting with the parties that was partially open to public observation without the consent of both parties.</w:t>
      </w:r>
      <w:r w:rsidR="005B1CE4" w:rsidRPr="00564DB3">
        <w:rPr>
          <w:rStyle w:val="FootnoteReference"/>
          <w:szCs w:val="18"/>
        </w:rPr>
        <w:footnoteReference w:id="890"/>
      </w:r>
      <w:r w:rsidRPr="00564DB3">
        <w:rPr>
          <w:szCs w:val="18"/>
        </w:rPr>
        <w:t xml:space="preserve"> </w:t>
      </w:r>
      <w:bookmarkEnd w:id="406"/>
      <w:r w:rsidRPr="00564DB3">
        <w:rPr>
          <w:szCs w:val="18"/>
        </w:rPr>
        <w:t xml:space="preserve">We therefore disagree with the </w:t>
      </w:r>
      <w:r w:rsidR="00083DFC" w:rsidRPr="00564DB3">
        <w:rPr>
          <w:szCs w:val="18"/>
        </w:rPr>
        <w:t>United States</w:t>
      </w:r>
      <w:r w:rsidRPr="00564DB3">
        <w:rPr>
          <w:szCs w:val="18"/>
        </w:rPr>
        <w:t xml:space="preserve"> that Mexico's appeal does not concern "issues of law covered in the panel report".</w:t>
      </w:r>
    </w:p>
    <w:p w:rsidR="00432E5C" w:rsidRPr="00564DB3" w:rsidRDefault="00432E5C" w:rsidP="00F70E38">
      <w:pPr>
        <w:pStyle w:val="BodyText"/>
        <w:rPr>
          <w:szCs w:val="18"/>
        </w:rPr>
      </w:pPr>
      <w:r w:rsidRPr="00564DB3">
        <w:rPr>
          <w:szCs w:val="18"/>
        </w:rPr>
        <w:t xml:space="preserve">This, however, does not necessarily mean that a finding on this aspect of Mexico's appeal is required. The following provisions of the DSU are relevant in this regard. </w:t>
      </w:r>
      <w:r w:rsidR="00083DFC" w:rsidRPr="00564DB3">
        <w:rPr>
          <w:szCs w:val="18"/>
        </w:rPr>
        <w:t>Article </w:t>
      </w:r>
      <w:r w:rsidRPr="00564DB3">
        <w:rPr>
          <w:szCs w:val="18"/>
        </w:rPr>
        <w:t>17.12 provides that "[t]he Appellate Body shall address each of the issues raised in accordance with paragraph 6 during the appellate proceeding</w:t>
      </w:r>
      <w:r w:rsidR="00B0421A" w:rsidRPr="00564DB3">
        <w:rPr>
          <w:szCs w:val="18"/>
        </w:rPr>
        <w:t>.</w:t>
      </w:r>
      <w:r w:rsidRPr="00564DB3">
        <w:rPr>
          <w:szCs w:val="18"/>
        </w:rPr>
        <w:t>"</w:t>
      </w:r>
      <w:r w:rsidR="005B1CE4" w:rsidRPr="00564DB3">
        <w:rPr>
          <w:rStyle w:val="FootnoteReference"/>
          <w:szCs w:val="18"/>
        </w:rPr>
        <w:footnoteReference w:id="891"/>
      </w:r>
      <w:r w:rsidRPr="00564DB3">
        <w:rPr>
          <w:szCs w:val="18"/>
        </w:rPr>
        <w:t xml:space="preserve"> </w:t>
      </w:r>
      <w:r w:rsidR="00083DFC" w:rsidRPr="00564DB3">
        <w:rPr>
          <w:szCs w:val="18"/>
        </w:rPr>
        <w:t>Article </w:t>
      </w:r>
      <w:r w:rsidRPr="00564DB3">
        <w:rPr>
          <w:szCs w:val="18"/>
        </w:rPr>
        <w:t>3.2 states that:</w:t>
      </w:r>
    </w:p>
    <w:p w:rsidR="00432E5C" w:rsidRPr="00564DB3" w:rsidRDefault="00432E5C" w:rsidP="00F70E38">
      <w:pPr>
        <w:pStyle w:val="Quotation"/>
      </w:pPr>
      <w:r w:rsidRPr="00564DB3">
        <w:t>The dispute settlement system of the WTO is a central element in providing security and predictability to the multilateral trading system. The Members recognize that it serves to preserve the rights and obligations of Members under the covered agreements, and to clarify the existing provisions of those agreements in accordance with customary rules of interpretation of public international law. Recommendations and rulings of the DSB cannot add to or diminish the rights and obligations provided in the covered agreements.</w:t>
      </w:r>
    </w:p>
    <w:p w:rsidR="00432E5C" w:rsidRPr="00564DB3" w:rsidRDefault="00083DFC" w:rsidP="00F70E38">
      <w:pPr>
        <w:pStyle w:val="BodyText"/>
        <w:rPr>
          <w:szCs w:val="18"/>
        </w:rPr>
      </w:pPr>
      <w:r w:rsidRPr="00564DB3">
        <w:rPr>
          <w:szCs w:val="18"/>
        </w:rPr>
        <w:t>Article </w:t>
      </w:r>
      <w:r w:rsidR="00432E5C" w:rsidRPr="00564DB3">
        <w:rPr>
          <w:szCs w:val="18"/>
        </w:rPr>
        <w:t>3.4 provides that "[r]</w:t>
      </w:r>
      <w:proofErr w:type="spellStart"/>
      <w:r w:rsidR="00432E5C" w:rsidRPr="00564DB3">
        <w:rPr>
          <w:szCs w:val="18"/>
        </w:rPr>
        <w:t>ecommendations</w:t>
      </w:r>
      <w:proofErr w:type="spellEnd"/>
      <w:r w:rsidR="00432E5C" w:rsidRPr="00564DB3">
        <w:rPr>
          <w:szCs w:val="18"/>
        </w:rPr>
        <w:t xml:space="preserve"> or rulings made by the DSB shall be aimed at achieving a satisfactory settlement of the matter". </w:t>
      </w:r>
      <w:r w:rsidRPr="00564DB3">
        <w:rPr>
          <w:szCs w:val="18"/>
        </w:rPr>
        <w:t>Article </w:t>
      </w:r>
      <w:r w:rsidR="00432E5C" w:rsidRPr="00564DB3">
        <w:rPr>
          <w:szCs w:val="18"/>
        </w:rPr>
        <w:t xml:space="preserve">3.7 states that "[t]he </w:t>
      </w:r>
      <w:proofErr w:type="gramStart"/>
      <w:r w:rsidR="00432E5C" w:rsidRPr="00564DB3">
        <w:rPr>
          <w:szCs w:val="18"/>
        </w:rPr>
        <w:t>aim</w:t>
      </w:r>
      <w:proofErr w:type="gramEnd"/>
      <w:r w:rsidR="00432E5C" w:rsidRPr="00564DB3">
        <w:rPr>
          <w:szCs w:val="18"/>
        </w:rPr>
        <w:t xml:space="preserve"> of the dispute settlement mechanism is to secure a positive solution to a dispute</w:t>
      </w:r>
      <w:r w:rsidR="00311A0C" w:rsidRPr="00564DB3">
        <w:rPr>
          <w:szCs w:val="18"/>
        </w:rPr>
        <w:t>.</w:t>
      </w:r>
      <w:r w:rsidR="00432E5C" w:rsidRPr="00564DB3">
        <w:rPr>
          <w:szCs w:val="18"/>
        </w:rPr>
        <w:t>"</w:t>
      </w:r>
    </w:p>
    <w:p w:rsidR="00432E5C" w:rsidRPr="00564DB3" w:rsidRDefault="00432E5C" w:rsidP="00F70E38">
      <w:pPr>
        <w:pStyle w:val="BodyText"/>
        <w:rPr>
          <w:szCs w:val="18"/>
        </w:rPr>
      </w:pPr>
      <w:r w:rsidRPr="00564DB3">
        <w:rPr>
          <w:szCs w:val="18"/>
        </w:rPr>
        <w:t xml:space="preserve">In the past, </w:t>
      </w:r>
      <w:bookmarkStart w:id="407" w:name="_Hlk522903746"/>
      <w:r w:rsidRPr="00564DB3">
        <w:rPr>
          <w:szCs w:val="18"/>
        </w:rPr>
        <w:t>the Appellate Body has</w:t>
      </w:r>
      <w:bookmarkEnd w:id="407"/>
      <w:r w:rsidRPr="00564DB3">
        <w:rPr>
          <w:szCs w:val="18"/>
        </w:rPr>
        <w:t xml:space="preserve"> understood these overarching aims of the WTO dispute settlement mechanism to mean that, while the Appellate Body is required to address each issue on appeal, it has the discretion not to rule on an issue when doing so is not necessary to resolve the dispute</w:t>
      </w:r>
      <w:r w:rsidR="005B1CE4" w:rsidRPr="00564DB3">
        <w:rPr>
          <w:rStyle w:val="FootnoteReference"/>
          <w:szCs w:val="18"/>
        </w:rPr>
        <w:footnoteReference w:id="892"/>
      </w:r>
      <w:r w:rsidRPr="00564DB3">
        <w:rPr>
          <w:szCs w:val="18"/>
        </w:rPr>
        <w:t>, but the Appellate Body may rule on such an issue in light of the specific circumstances of a given dispute.</w:t>
      </w:r>
      <w:r w:rsidR="005B1CE4" w:rsidRPr="00564DB3">
        <w:rPr>
          <w:rStyle w:val="FootnoteReference"/>
          <w:szCs w:val="18"/>
        </w:rPr>
        <w:footnoteReference w:id="893"/>
      </w:r>
    </w:p>
    <w:p w:rsidR="00432E5C" w:rsidRPr="00564DB3" w:rsidRDefault="00432E5C" w:rsidP="00F70E38">
      <w:pPr>
        <w:pStyle w:val="BodyText"/>
        <w:rPr>
          <w:szCs w:val="18"/>
        </w:rPr>
      </w:pPr>
      <w:bookmarkStart w:id="408" w:name="_Hlk522896224"/>
      <w:r w:rsidRPr="00564DB3">
        <w:rPr>
          <w:szCs w:val="18"/>
        </w:rPr>
        <w:t>Turning to the specific circumstances of these proceedings, we note the following competing considerations that are relevant to our decision on whether ruling on Mexico's claim of error is necessary. First, the issue raised by Mexico's appeal does not directly relate to the "matter [at] issue in the dispute"</w:t>
      </w:r>
      <w:r w:rsidR="005B1CE4" w:rsidRPr="00564DB3">
        <w:rPr>
          <w:rStyle w:val="FootnoteReference"/>
          <w:szCs w:val="18"/>
        </w:rPr>
        <w:footnoteReference w:id="894"/>
      </w:r>
      <w:r w:rsidRPr="00564DB3">
        <w:rPr>
          <w:szCs w:val="18"/>
        </w:rPr>
        <w:t xml:space="preserve">, that is, whether the 2016 Tuna Measure is consistent with the </w:t>
      </w:r>
      <w:r w:rsidR="00083DFC" w:rsidRPr="00564DB3">
        <w:rPr>
          <w:szCs w:val="18"/>
        </w:rPr>
        <w:t>TBT Agreement</w:t>
      </w:r>
      <w:r w:rsidRPr="00564DB3">
        <w:rPr>
          <w:szCs w:val="18"/>
        </w:rPr>
        <w:t xml:space="preserve"> and the GATT 1994.</w:t>
      </w:r>
      <w:r w:rsidR="005B1CE4" w:rsidRPr="00564DB3">
        <w:rPr>
          <w:rStyle w:val="FootnoteReference"/>
          <w:szCs w:val="18"/>
        </w:rPr>
        <w:footnoteReference w:id="895"/>
      </w:r>
      <w:r w:rsidRPr="00564DB3">
        <w:rPr>
          <w:szCs w:val="18"/>
        </w:rPr>
        <w:t xml:space="preserve"> At the same time, we recognize that the manner in which a panel adopts procedures and conducts its proceedings when it addresses the matter referred to it by the DSB may give rise to issues of law and legal interpretation, which would be subject to the scope of appellate review within the meaning of </w:t>
      </w:r>
      <w:r w:rsidR="00083DFC" w:rsidRPr="00564DB3">
        <w:rPr>
          <w:szCs w:val="18"/>
        </w:rPr>
        <w:t>Article </w:t>
      </w:r>
      <w:r w:rsidRPr="00564DB3">
        <w:rPr>
          <w:szCs w:val="18"/>
        </w:rPr>
        <w:t>17.6 of the DSU.</w:t>
      </w:r>
      <w:r w:rsidR="005B1CE4" w:rsidRPr="00564DB3">
        <w:rPr>
          <w:rStyle w:val="FootnoteReference"/>
          <w:szCs w:val="18"/>
        </w:rPr>
        <w:footnoteReference w:id="896"/>
      </w:r>
      <w:r w:rsidRPr="00564DB3">
        <w:rPr>
          <w:szCs w:val="18"/>
        </w:rPr>
        <w:t xml:space="preserve"> Second, Mexico considers that the Panels were not authorized to partially open their meeting with the parties to public observation without the consent of Mexico. Hence, in its appellant's submission, Mexico requests us to find that the "Panels erred … in directing that the hearing be partially opened to the public when Mexico did not agree to the opening" in this case.</w:t>
      </w:r>
      <w:r w:rsidR="005B1CE4" w:rsidRPr="00564DB3">
        <w:rPr>
          <w:rStyle w:val="FootnoteReference"/>
          <w:szCs w:val="18"/>
        </w:rPr>
        <w:footnoteReference w:id="897"/>
      </w:r>
      <w:r w:rsidRPr="00564DB3">
        <w:rPr>
          <w:szCs w:val="18"/>
        </w:rPr>
        <w:t xml:space="preserve"> However, Mexico's arguments on appeal do not elaborate on the manner in which the Panels' decision is inconsistent with the DSU.</w:t>
      </w:r>
      <w:r w:rsidR="005B1CE4" w:rsidRPr="00564DB3">
        <w:rPr>
          <w:rStyle w:val="FootnoteReference"/>
          <w:szCs w:val="18"/>
        </w:rPr>
        <w:footnoteReference w:id="898"/>
      </w:r>
      <w:r w:rsidRPr="00564DB3">
        <w:rPr>
          <w:szCs w:val="18"/>
        </w:rPr>
        <w:t xml:space="preserve"> Third, in addition to Mexico's request above for a finding of error, Mexico requests "that the Appellate Body clarify that, </w:t>
      </w:r>
      <w:r w:rsidRPr="00564DB3">
        <w:rPr>
          <w:i/>
          <w:szCs w:val="18"/>
        </w:rPr>
        <w:t>in the future</w:t>
      </w:r>
      <w:r w:rsidRPr="00564DB3">
        <w:rPr>
          <w:szCs w:val="18"/>
        </w:rPr>
        <w:t>, panels should not open a hearing even partially without the agreement of all disputing parties".</w:t>
      </w:r>
      <w:r w:rsidR="005B1CE4" w:rsidRPr="00564DB3">
        <w:rPr>
          <w:rStyle w:val="FootnoteReference"/>
          <w:szCs w:val="18"/>
        </w:rPr>
        <w:footnoteReference w:id="899"/>
      </w:r>
      <w:r w:rsidRPr="00564DB3">
        <w:rPr>
          <w:szCs w:val="18"/>
        </w:rPr>
        <w:t xml:space="preserve"> Mexico suggested that, by ruling on this issue, the Appellate Body would be providing clarification on a concern that impacts not only panels but also arbitrators under </w:t>
      </w:r>
      <w:r w:rsidR="00083DFC" w:rsidRPr="00564DB3">
        <w:rPr>
          <w:szCs w:val="18"/>
        </w:rPr>
        <w:t>Article </w:t>
      </w:r>
      <w:r w:rsidRPr="00564DB3">
        <w:rPr>
          <w:szCs w:val="18"/>
        </w:rPr>
        <w:t>22.6 of the DSU.</w:t>
      </w:r>
      <w:r w:rsidR="005B1CE4" w:rsidRPr="00564DB3">
        <w:rPr>
          <w:rStyle w:val="FootnoteReference"/>
          <w:szCs w:val="18"/>
        </w:rPr>
        <w:footnoteReference w:id="900"/>
      </w:r>
      <w:r w:rsidRPr="00564DB3">
        <w:rPr>
          <w:szCs w:val="18"/>
        </w:rPr>
        <w:t xml:space="preserve"> The fact that Mexico's request concerns the proceedings of other panels and arbitrators casts doubt on whether ruling on this issue is necessary to resolve the present dispute.</w:t>
      </w:r>
    </w:p>
    <w:bookmarkEnd w:id="408"/>
    <w:p w:rsidR="00432E5C" w:rsidRPr="00564DB3" w:rsidRDefault="00432E5C" w:rsidP="00F70E38">
      <w:pPr>
        <w:pStyle w:val="BodyText"/>
        <w:rPr>
          <w:rFonts w:cs="Arial"/>
          <w:szCs w:val="18"/>
        </w:rPr>
      </w:pPr>
      <w:proofErr w:type="gramStart"/>
      <w:r w:rsidRPr="00564DB3">
        <w:rPr>
          <w:szCs w:val="18"/>
        </w:rPr>
        <w:t>In light of</w:t>
      </w:r>
      <w:proofErr w:type="gramEnd"/>
      <w:r w:rsidRPr="00564DB3">
        <w:rPr>
          <w:szCs w:val="18"/>
        </w:rPr>
        <w:t xml:space="preserve"> the specific circumstances of these proceedings as set out above, we </w:t>
      </w:r>
      <w:r w:rsidRPr="00564DB3">
        <w:rPr>
          <w:szCs w:val="18"/>
          <w:u w:val="single"/>
        </w:rPr>
        <w:t>find it unnecessary to rule</w:t>
      </w:r>
      <w:r w:rsidRPr="00564DB3">
        <w:rPr>
          <w:szCs w:val="18"/>
        </w:rPr>
        <w:t xml:space="preserve"> on whether the Panels erred </w:t>
      </w:r>
      <w:r w:rsidR="00134A82" w:rsidRPr="00564DB3">
        <w:rPr>
          <w:szCs w:val="18"/>
        </w:rPr>
        <w:t>in</w:t>
      </w:r>
      <w:r w:rsidRPr="00564DB3">
        <w:rPr>
          <w:szCs w:val="18"/>
        </w:rPr>
        <w:t xml:space="preserve"> finding that they had the authority to conduct a partially open meeting of the parties without the consent of both parties.</w:t>
      </w:r>
      <w:bookmarkEnd w:id="388"/>
      <w:r w:rsidRPr="00564DB3">
        <w:rPr>
          <w:szCs w:val="18"/>
        </w:rPr>
        <w:t xml:space="preserve"> Our finding should not be construed as an endorsement of the Panels' decision</w:t>
      </w:r>
      <w:r w:rsidRPr="00564DB3">
        <w:rPr>
          <w:szCs w:val="18"/>
          <w:lang w:eastAsia="en-US"/>
        </w:rPr>
        <w:t xml:space="preserve"> </w:t>
      </w:r>
      <w:r w:rsidRPr="00564DB3">
        <w:rPr>
          <w:szCs w:val="18"/>
        </w:rPr>
        <w:t>to conduct a partially open meeting of the parties without the consent of both parties.</w:t>
      </w:r>
      <w:r w:rsidR="005B1CE4" w:rsidRPr="00564DB3">
        <w:rPr>
          <w:rStyle w:val="FootnoteReference"/>
          <w:szCs w:val="18"/>
        </w:rPr>
        <w:footnoteReference w:id="901"/>
      </w:r>
    </w:p>
    <w:p w:rsidR="00346D6F" w:rsidRPr="00564DB3" w:rsidRDefault="00346D6F" w:rsidP="00F70E38">
      <w:pPr>
        <w:pStyle w:val="Heading1"/>
        <w:rPr>
          <w:szCs w:val="18"/>
        </w:rPr>
      </w:pPr>
      <w:bookmarkStart w:id="409" w:name="_Toc531967506"/>
      <w:r w:rsidRPr="00564DB3">
        <w:rPr>
          <w:szCs w:val="18"/>
        </w:rPr>
        <w:t>Findings and conclusions</w:t>
      </w:r>
      <w:bookmarkEnd w:id="409"/>
    </w:p>
    <w:p w:rsidR="00346D6F" w:rsidRPr="00564DB3" w:rsidRDefault="00346D6F" w:rsidP="00F70E38">
      <w:pPr>
        <w:pStyle w:val="BodyText"/>
        <w:keepNext/>
        <w:numPr>
          <w:ilvl w:val="6"/>
          <w:numId w:val="23"/>
        </w:numPr>
        <w:rPr>
          <w:szCs w:val="18"/>
        </w:rPr>
      </w:pPr>
      <w:r w:rsidRPr="00564DB3">
        <w:rPr>
          <w:szCs w:val="18"/>
        </w:rPr>
        <w:t>For the reasons set out in this Report, the Appellate</w:t>
      </w:r>
      <w:r w:rsidR="00025CB6" w:rsidRPr="00564DB3">
        <w:rPr>
          <w:szCs w:val="18"/>
        </w:rPr>
        <w:t> Body</w:t>
      </w:r>
      <w:r w:rsidRPr="00564DB3">
        <w:rPr>
          <w:szCs w:val="18"/>
        </w:rPr>
        <w:t xml:space="preserve"> makes the following findings and conclusions:</w:t>
      </w:r>
    </w:p>
    <w:p w:rsidR="00346D6F" w:rsidRPr="00564DB3" w:rsidRDefault="00346D6F" w:rsidP="00F70E38">
      <w:pPr>
        <w:pStyle w:val="Heading2"/>
        <w:numPr>
          <w:ilvl w:val="1"/>
          <w:numId w:val="24"/>
        </w:numPr>
        <w:rPr>
          <w:szCs w:val="18"/>
        </w:rPr>
      </w:pPr>
      <w:bookmarkStart w:id="410" w:name="_Toc531967507"/>
      <w:r w:rsidRPr="00564DB3">
        <w:rPr>
          <w:szCs w:val="18"/>
        </w:rPr>
        <w:t xml:space="preserve">Whether the Panels erred in their </w:t>
      </w:r>
      <w:r w:rsidR="00640812" w:rsidRPr="00564DB3">
        <w:rPr>
          <w:szCs w:val="18"/>
        </w:rPr>
        <w:t>findings under</w:t>
      </w:r>
      <w:r w:rsidRPr="00564DB3">
        <w:rPr>
          <w:szCs w:val="18"/>
        </w:rPr>
        <w:t xml:space="preserve"> </w:t>
      </w:r>
      <w:r w:rsidR="00083DFC" w:rsidRPr="00564DB3">
        <w:rPr>
          <w:szCs w:val="18"/>
        </w:rPr>
        <w:t>Article </w:t>
      </w:r>
      <w:r w:rsidRPr="00564DB3">
        <w:rPr>
          <w:szCs w:val="18"/>
        </w:rPr>
        <w:t xml:space="preserve">2.1 of the </w:t>
      </w:r>
      <w:r w:rsidR="00083DFC" w:rsidRPr="00564DB3">
        <w:rPr>
          <w:szCs w:val="18"/>
        </w:rPr>
        <w:t>TBT Agreement</w:t>
      </w:r>
      <w:bookmarkEnd w:id="410"/>
      <w:r w:rsidRPr="00564DB3">
        <w:rPr>
          <w:szCs w:val="18"/>
        </w:rPr>
        <w:t xml:space="preserve"> </w:t>
      </w:r>
    </w:p>
    <w:p w:rsidR="00346D6F" w:rsidRPr="00564DB3" w:rsidRDefault="00346D6F" w:rsidP="00F70E38">
      <w:pPr>
        <w:pStyle w:val="BodyText"/>
        <w:rPr>
          <w:szCs w:val="18"/>
        </w:rPr>
      </w:pPr>
      <w:r w:rsidRPr="00564DB3">
        <w:rPr>
          <w:szCs w:val="18"/>
        </w:rPr>
        <w:t xml:space="preserve">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w:t>
      </w:r>
      <w:proofErr w:type="gramStart"/>
      <w:r w:rsidR="00DF3DD4" w:rsidRPr="00564DB3">
        <w:rPr>
          <w:szCs w:val="18"/>
        </w:rPr>
        <w:t xml:space="preserve">in order </w:t>
      </w:r>
      <w:r w:rsidRPr="00564DB3">
        <w:rPr>
          <w:szCs w:val="18"/>
        </w:rPr>
        <w:t>to</w:t>
      </w:r>
      <w:proofErr w:type="gramEnd"/>
      <w:r w:rsidRPr="00564DB3">
        <w:rPr>
          <w:szCs w:val="18"/>
        </w:rPr>
        <w:t xml:space="preserve"> determine whether the detrimental impact stems exclusively from a legitimate regulatory distinction, a panel must carefully scrutinize whether the technical regulation at issue is even-handed in light of the particular circumstances of the case. In the present dispute, an examination of whether the </w:t>
      </w:r>
      <w:r w:rsidR="001124A0" w:rsidRPr="00564DB3">
        <w:rPr>
          <w:szCs w:val="18"/>
        </w:rPr>
        <w:t>2016 </w:t>
      </w:r>
      <w:r w:rsidRPr="00564DB3">
        <w:rPr>
          <w:szCs w:val="18"/>
        </w:rPr>
        <w:t xml:space="preserve">Tuna Measure is 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entails an assessment of whether the regulatory distinctions of the measure are calibrated to the risks to dolphins arising from different fishing methods in different areas of the ocean. Such assessment involves:</w:t>
      </w:r>
      <w:r w:rsidRPr="00564DB3">
        <w:rPr>
          <w:szCs w:val="18"/>
          <w:lang w:eastAsia="zh-CN"/>
        </w:rPr>
        <w:t xml:space="preserve"> </w:t>
      </w:r>
      <w:r w:rsidRPr="00564DB3">
        <w:rPr>
          <w:szCs w:val="18"/>
        </w:rPr>
        <w:t>(i) a</w:t>
      </w:r>
      <w:r w:rsidR="005116C0" w:rsidRPr="00564DB3">
        <w:rPr>
          <w:szCs w:val="18"/>
        </w:rPr>
        <w:t>n</w:t>
      </w:r>
      <w:r w:rsidRPr="00564DB3">
        <w:rPr>
          <w:szCs w:val="18"/>
        </w:rPr>
        <w:t xml:space="preserve"> assessment of the overall relative risks of harm to dolphins arising from </w:t>
      </w:r>
      <w:r w:rsidR="00441113" w:rsidRPr="00564DB3">
        <w:rPr>
          <w:szCs w:val="18"/>
        </w:rPr>
        <w:t xml:space="preserve">the use of </w:t>
      </w:r>
      <w:r w:rsidRPr="00564DB3">
        <w:rPr>
          <w:szCs w:val="18"/>
        </w:rPr>
        <w:t xml:space="preserve">different fishing methods in </w:t>
      </w:r>
      <w:r w:rsidR="009E4856" w:rsidRPr="00564DB3">
        <w:rPr>
          <w:szCs w:val="18"/>
        </w:rPr>
        <w:t>different ocean areas; and (ii) </w:t>
      </w:r>
      <w:r w:rsidR="00521BBF">
        <w:rPr>
          <w:szCs w:val="18"/>
        </w:rPr>
        <w:t>an </w:t>
      </w:r>
      <w:r w:rsidRPr="00564DB3">
        <w:rPr>
          <w:szCs w:val="18"/>
        </w:rPr>
        <w:t xml:space="preserve">assessment as to whether the differences in the dolphin-safe labelling conditions under the measure </w:t>
      </w:r>
      <w:r w:rsidR="005116C0" w:rsidRPr="00564DB3">
        <w:rPr>
          <w:szCs w:val="18"/>
        </w:rPr>
        <w:t xml:space="preserve">are appropriately tailored to, </w:t>
      </w:r>
      <w:r w:rsidR="00441113" w:rsidRPr="00564DB3">
        <w:rPr>
          <w:szCs w:val="18"/>
        </w:rPr>
        <w:t xml:space="preserve">or </w:t>
      </w:r>
      <w:r w:rsidRPr="00564DB3">
        <w:rPr>
          <w:szCs w:val="18"/>
        </w:rPr>
        <w:t>commensurate with, those respective risks. If conducted</w:t>
      </w:r>
      <w:r w:rsidR="005116C0" w:rsidRPr="00564DB3">
        <w:rPr>
          <w:szCs w:val="18"/>
        </w:rPr>
        <w:t xml:space="preserve"> properly</w:t>
      </w:r>
      <w:r w:rsidRPr="00564DB3">
        <w:rPr>
          <w:szCs w:val="18"/>
        </w:rPr>
        <w:t xml:space="preserve">, this calibration analysis </w:t>
      </w:r>
      <w:r w:rsidR="005E125C" w:rsidRPr="00564DB3">
        <w:rPr>
          <w:szCs w:val="18"/>
        </w:rPr>
        <w:t>would</w:t>
      </w:r>
      <w:r w:rsidRPr="00564DB3">
        <w:rPr>
          <w:szCs w:val="18"/>
        </w:rPr>
        <w:t xml:space="preserve"> encompass consideration of the rational relationship between the regulatory distinctions drawn by the 2016 Tuna Measure and its objectives. Thus, there is no need to separately assess the rational relationship between the regulatory distinctions drawn by the measure and its objectives. Furthermore, while risks of inaccurate labelling are relevant to the calibration analysis, </w:t>
      </w:r>
      <w:r w:rsidR="005E125C" w:rsidRPr="00564DB3">
        <w:rPr>
          <w:szCs w:val="18"/>
        </w:rPr>
        <w:t>this does not mean that the applicable legal standard requires the Panel</w:t>
      </w:r>
      <w:r w:rsidR="001074DF" w:rsidRPr="00564DB3">
        <w:rPr>
          <w:szCs w:val="18"/>
        </w:rPr>
        <w:t>s to determine whether the 2016 </w:t>
      </w:r>
      <w:r w:rsidR="005E125C" w:rsidRPr="00564DB3">
        <w:rPr>
          <w:szCs w:val="18"/>
        </w:rPr>
        <w:t xml:space="preserve">Tuna Measure is calibrated, </w:t>
      </w:r>
      <w:r w:rsidR="005E125C" w:rsidRPr="00564DB3">
        <w:rPr>
          <w:i/>
          <w:szCs w:val="18"/>
        </w:rPr>
        <w:t>inter alia</w:t>
      </w:r>
      <w:r w:rsidR="005E125C" w:rsidRPr="00564DB3">
        <w:rPr>
          <w:szCs w:val="18"/>
        </w:rPr>
        <w:t>, to</w:t>
      </w:r>
      <w:r w:rsidR="00E268D2" w:rsidRPr="00564DB3">
        <w:rPr>
          <w:szCs w:val="18"/>
        </w:rPr>
        <w:t xml:space="preserve"> the risk of inaccurate dolphin</w:t>
      </w:r>
      <w:r w:rsidR="00E268D2" w:rsidRPr="00564DB3">
        <w:rPr>
          <w:szCs w:val="18"/>
        </w:rPr>
        <w:noBreakHyphen/>
      </w:r>
      <w:r w:rsidR="005E125C" w:rsidRPr="00564DB3">
        <w:rPr>
          <w:szCs w:val="18"/>
        </w:rPr>
        <w:t>safe information being passed to consumers.</w:t>
      </w:r>
    </w:p>
    <w:p w:rsidR="00346D6F" w:rsidRPr="00564DB3" w:rsidRDefault="00346D6F" w:rsidP="00F70E38">
      <w:pPr>
        <w:pStyle w:val="BodyText"/>
        <w:rPr>
          <w:szCs w:val="18"/>
        </w:rPr>
      </w:pPr>
      <w:r w:rsidRPr="00564DB3">
        <w:rPr>
          <w:szCs w:val="18"/>
        </w:rPr>
        <w:t>In conducting the calibration analysis, it is necessary to examine the risks to dolphins across all relevant ocean areas in which different fishing methods are practi</w:t>
      </w:r>
      <w:r w:rsidR="00B73EE5" w:rsidRPr="00564DB3">
        <w:rPr>
          <w:szCs w:val="18"/>
        </w:rPr>
        <w:t>s</w:t>
      </w:r>
      <w:r w:rsidRPr="00564DB3">
        <w:rPr>
          <w:szCs w:val="18"/>
        </w:rPr>
        <w:t xml:space="preserve">ed. This does not mean that,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a measure that seeks to protect dolphins must make all relevant regulatory distinctions </w:t>
      </w:r>
      <w:proofErr w:type="gramStart"/>
      <w:r w:rsidRPr="00564DB3">
        <w:rPr>
          <w:szCs w:val="18"/>
        </w:rPr>
        <w:t>on the basis of</w:t>
      </w:r>
      <w:proofErr w:type="gramEnd"/>
      <w:r w:rsidRPr="00564DB3">
        <w:rPr>
          <w:szCs w:val="18"/>
        </w:rPr>
        <w:t xml:space="preserve"> both fishing method and ocean area. Rather, the nature of the calibration analysis to be conducted is informed by the nature of the regulatory distinctions made under the measure itself, and it is the regulatory distinctions causing the detrimental impact on imported products that must be calibrated to different risks to dolphins. The relevant regulatory distinctions that need to be examined </w:t>
      </w:r>
      <w:proofErr w:type="gramStart"/>
      <w:r w:rsidR="00FF1995" w:rsidRPr="00564DB3">
        <w:rPr>
          <w:szCs w:val="18"/>
        </w:rPr>
        <w:t>for the purpose of</w:t>
      </w:r>
      <w:proofErr w:type="gramEnd"/>
      <w:r w:rsidR="00FF1995" w:rsidRPr="00564DB3">
        <w:rPr>
          <w:szCs w:val="18"/>
        </w:rPr>
        <w:t xml:space="preserve"> </w:t>
      </w:r>
      <w:r w:rsidRPr="00564DB3">
        <w:rPr>
          <w:szCs w:val="18"/>
        </w:rPr>
        <w:t xml:space="preserve">calibration in this dispute include the distinction between setting on dolphins and other fishing methods (in the context of the eligibility criteria) and the distinction between the ETP large purse seine fishery and all other fisheries (in the context of the certification and </w:t>
      </w:r>
      <w:r w:rsidR="00DF3DD4" w:rsidRPr="00564DB3">
        <w:rPr>
          <w:szCs w:val="18"/>
        </w:rPr>
        <w:t xml:space="preserve">the </w:t>
      </w:r>
      <w:r w:rsidRPr="00564DB3">
        <w:rPr>
          <w:szCs w:val="18"/>
        </w:rPr>
        <w:t xml:space="preserve">tracking and verification requirements). </w:t>
      </w:r>
    </w:p>
    <w:p w:rsidR="00346D6F" w:rsidRPr="00564DB3" w:rsidRDefault="00346D6F" w:rsidP="00F70E38">
      <w:pPr>
        <w:pStyle w:val="BodyText"/>
        <w:rPr>
          <w:szCs w:val="18"/>
        </w:rPr>
      </w:pPr>
      <w:r w:rsidRPr="00564DB3">
        <w:rPr>
          <w:szCs w:val="18"/>
        </w:rPr>
        <w:t xml:space="preserve">For these reasons, we do not consider that Mexico </w:t>
      </w:r>
      <w:r w:rsidR="00E268D2" w:rsidRPr="00564DB3">
        <w:rPr>
          <w:szCs w:val="18"/>
        </w:rPr>
        <w:t xml:space="preserve">has </w:t>
      </w:r>
      <w:r w:rsidRPr="00564DB3">
        <w:rPr>
          <w:szCs w:val="18"/>
        </w:rPr>
        <w:t>established that the Panels, in considering that they were required to examine whether the 2016 Tuna Measure was calibrated to the risks to dolphins arising from the use of different fishing methods in different areas of the ocean, failed to include an inquiry into the nexus between the relevant regulatory distinctions and the objectives of the measure. We also disagree with Mexico that the Panels erred by comparing the risk profiles of different fishing methods in applying the calibration analysis to the eligibility criteria. In our view, in the specific context of the 2016 Tuna Measure, in order to assess whether the detrimental impact on Mexican tuna products stems exclusively from a legitimate regulatory distinction, the Panels were required to assess whether the regulatory distinctions causing that detrimental impact are calibrated to different risks to dolphins, in terms of the overall relative risks to dolphins, taking into account the objectives of the measure.</w:t>
      </w:r>
    </w:p>
    <w:p w:rsidR="00346D6F" w:rsidRPr="00564DB3" w:rsidRDefault="00346D6F" w:rsidP="00F70E38">
      <w:pPr>
        <w:pStyle w:val="BodyText"/>
        <w:rPr>
          <w:szCs w:val="18"/>
        </w:rPr>
      </w:pPr>
      <w:r w:rsidRPr="00564DB3">
        <w:rPr>
          <w:szCs w:val="18"/>
        </w:rPr>
        <w:t xml:space="preserve">In conducting their examination of the risk profiles of different fishing methods as used in different ocean areas, the Panels </w:t>
      </w:r>
      <w:r w:rsidR="008C3D3D" w:rsidRPr="00564DB3">
        <w:rPr>
          <w:szCs w:val="18"/>
        </w:rPr>
        <w:t>reviewed</w:t>
      </w:r>
      <w:r w:rsidRPr="00564DB3">
        <w:rPr>
          <w:szCs w:val="18"/>
        </w:rPr>
        <w:t xml:space="preserve"> all relevant evidence of risks to dolphins as provided to them by the parties, including all evidence pertaining to individual fisheries. Additionally, the Panels appropriately </w:t>
      </w:r>
      <w:proofErr w:type="gramStart"/>
      <w:r w:rsidRPr="00564DB3">
        <w:rPr>
          <w:szCs w:val="18"/>
        </w:rPr>
        <w:t>took into account</w:t>
      </w:r>
      <w:proofErr w:type="gramEnd"/>
      <w:r w:rsidRPr="00564DB3">
        <w:rPr>
          <w:szCs w:val="18"/>
        </w:rPr>
        <w:t xml:space="preserve"> all relevant types of harm to dolphins in assessing the risk profiles of different fishing methods and fisheries. Moreover, the Panels did not err in relying on per set data as the primary measurement of the risks to dolphins, despite three additional measurements proposed by Mexico. First, because the relevant risks to be assessed </w:t>
      </w:r>
      <w:proofErr w:type="gramStart"/>
      <w:r w:rsidR="00FF1995" w:rsidRPr="00564DB3">
        <w:rPr>
          <w:szCs w:val="18"/>
        </w:rPr>
        <w:t>for the purpose of</w:t>
      </w:r>
      <w:proofErr w:type="gramEnd"/>
      <w:r w:rsidR="00FF1995" w:rsidRPr="00564DB3">
        <w:rPr>
          <w:szCs w:val="18"/>
        </w:rPr>
        <w:t xml:space="preserve"> </w:t>
      </w:r>
      <w:r w:rsidRPr="00564DB3">
        <w:rPr>
          <w:szCs w:val="18"/>
        </w:rPr>
        <w:t xml:space="preserve">calibration are the risks of individual dolphins being harmed or killed in the fishing process, the Panels were correct not to rely on PBR </w:t>
      </w:r>
      <w:r w:rsidR="008C3D3D" w:rsidRPr="00564DB3">
        <w:rPr>
          <w:szCs w:val="18"/>
        </w:rPr>
        <w:t>evidence</w:t>
      </w:r>
      <w:r w:rsidRPr="00564DB3">
        <w:rPr>
          <w:szCs w:val="18"/>
        </w:rPr>
        <w:t xml:space="preserve"> to assess the risks to dolphins. Second, given the comparative nature of the calibration analysis, the Panels did not err by relying primarily on a per set methodology, instead of a comparison of absolute levels of harm. Finally, Mexico did not substantiate its assertion that tuna fishing in ocean areas with less reliable regulatory systems is more likely to lead to harm to dolphins, and therefore the Panels did not err by excluding evidence pertaining to regulatory oversight from their assessment of the overall relative risks to dolphins from the use of different fishing methods as used in different areas of the ocean. We therefore </w:t>
      </w:r>
      <w:r w:rsidRPr="00564DB3">
        <w:rPr>
          <w:szCs w:val="18"/>
          <w:u w:val="single"/>
        </w:rPr>
        <w:t>find</w:t>
      </w:r>
      <w:r w:rsidRPr="00564DB3">
        <w:rPr>
          <w:szCs w:val="18"/>
        </w:rPr>
        <w:t xml:space="preserve"> no error in the Panels' assessment of the risks to dolphins arising from the use of different fishing methods in different ocean areas</w:t>
      </w:r>
      <w:r w:rsidR="001771DC" w:rsidRPr="00564DB3">
        <w:rPr>
          <w:szCs w:val="18"/>
        </w:rPr>
        <w:t xml:space="preserve"> or in</w:t>
      </w:r>
      <w:r w:rsidRPr="00564DB3">
        <w:rPr>
          <w:szCs w:val="18"/>
        </w:rPr>
        <w:t xml:space="preserve"> their conclusions regarding the risk profiles of relevant fishing methods </w:t>
      </w:r>
      <w:proofErr w:type="gramStart"/>
      <w:r w:rsidRPr="00564DB3">
        <w:rPr>
          <w:szCs w:val="18"/>
        </w:rPr>
        <w:t>on the basis of</w:t>
      </w:r>
      <w:proofErr w:type="gramEnd"/>
      <w:r w:rsidRPr="00564DB3">
        <w:rPr>
          <w:szCs w:val="18"/>
        </w:rPr>
        <w:t xml:space="preserve"> that assessment.</w:t>
      </w:r>
    </w:p>
    <w:p w:rsidR="00346D6F" w:rsidRPr="00564DB3" w:rsidRDefault="00346D6F" w:rsidP="00F70E38">
      <w:pPr>
        <w:pStyle w:val="BodyText"/>
        <w:rPr>
          <w:szCs w:val="18"/>
        </w:rPr>
      </w:pPr>
      <w:r w:rsidRPr="00564DB3">
        <w:rPr>
          <w:szCs w:val="18"/>
        </w:rPr>
        <w:t>Regarding whether the 2016 Tuna Measure is calibrated to the risks to dolphins arising from the use of different fishing methods in different ocean areas, we have addressed Mexico's challenges to the Panels' assessment of the following aspects of the 2016 Tuna Measure: (i)</w:t>
      </w:r>
      <w:r w:rsidR="00451FDF" w:rsidRPr="00564DB3">
        <w:rPr>
          <w:szCs w:val="18"/>
        </w:rPr>
        <w:t> the eligibility criteria; (ii) </w:t>
      </w:r>
      <w:r w:rsidRPr="00564DB3">
        <w:rPr>
          <w:szCs w:val="18"/>
        </w:rPr>
        <w:t>the certification requirements; (i</w:t>
      </w:r>
      <w:r w:rsidR="00451FDF" w:rsidRPr="00564DB3">
        <w:rPr>
          <w:szCs w:val="18"/>
        </w:rPr>
        <w:t>i</w:t>
      </w:r>
      <w:r w:rsidRPr="00564DB3">
        <w:rPr>
          <w:szCs w:val="18"/>
        </w:rPr>
        <w:t>i)</w:t>
      </w:r>
      <w:r w:rsidR="00451FDF" w:rsidRPr="00564DB3">
        <w:rPr>
          <w:szCs w:val="18"/>
        </w:rPr>
        <w:t> </w:t>
      </w:r>
      <w:r w:rsidRPr="00564DB3">
        <w:rPr>
          <w:szCs w:val="18"/>
        </w:rPr>
        <w:t>the tracking and verification requirements; and (iv)</w:t>
      </w:r>
      <w:r w:rsidR="00451FDF" w:rsidRPr="00564DB3">
        <w:rPr>
          <w:szCs w:val="18"/>
        </w:rPr>
        <w:t> </w:t>
      </w:r>
      <w:r w:rsidRPr="00564DB3">
        <w:rPr>
          <w:szCs w:val="18"/>
        </w:rPr>
        <w:t>the 2016 Tuna Measure as a whole.</w:t>
      </w:r>
    </w:p>
    <w:p w:rsidR="00346D6F" w:rsidRPr="00564DB3" w:rsidRDefault="00346D6F" w:rsidP="00F70E38">
      <w:pPr>
        <w:pStyle w:val="BodyText"/>
        <w:rPr>
          <w:szCs w:val="18"/>
        </w:rPr>
      </w:pPr>
      <w:r w:rsidRPr="00564DB3">
        <w:rPr>
          <w:szCs w:val="18"/>
        </w:rPr>
        <w:t xml:space="preserve">With respect to the eligibility criteria, we have found that the Panels did not err in finding, </w:t>
      </w:r>
      <w:r w:rsidR="00954430" w:rsidRPr="00564DB3">
        <w:rPr>
          <w:szCs w:val="18"/>
        </w:rPr>
        <w:t>in</w:t>
      </w:r>
      <w:r w:rsidRPr="00564DB3">
        <w:rPr>
          <w:szCs w:val="18"/>
        </w:rPr>
        <w:t xml:space="preserve"> </w:t>
      </w:r>
      <w:r w:rsidRPr="00564DB3">
        <w:rPr>
          <w:rFonts w:cs="Arial"/>
          <w:szCs w:val="18"/>
        </w:rPr>
        <w:t xml:space="preserve">paragraph 7.539 of their Reports, </w:t>
      </w:r>
      <w:r w:rsidRPr="00564DB3">
        <w:rPr>
          <w:szCs w:val="18"/>
        </w:rPr>
        <w:t>that "setting on dolphins is significantly more dangerous to dolphins than are other fishing methods</w:t>
      </w:r>
      <w:r w:rsidR="00034C56" w:rsidRPr="00564DB3">
        <w:rPr>
          <w:szCs w:val="18"/>
        </w:rPr>
        <w:t>.</w:t>
      </w:r>
      <w:r w:rsidRPr="00564DB3">
        <w:rPr>
          <w:szCs w:val="18"/>
        </w:rPr>
        <w:t xml:space="preserve">" This finding implies that the distinction in the eligibility criteria between setting on dolphins, on the one hand, and other fishing methods, on the other hand, is, as the Panels found </w:t>
      </w:r>
      <w:r w:rsidR="00034C56" w:rsidRPr="00564DB3">
        <w:rPr>
          <w:szCs w:val="18"/>
        </w:rPr>
        <w:t>in</w:t>
      </w:r>
      <w:r w:rsidRPr="00564DB3">
        <w:rPr>
          <w:szCs w:val="18"/>
        </w:rPr>
        <w:t xml:space="preserve"> </w:t>
      </w:r>
      <w:r w:rsidRPr="00564DB3">
        <w:rPr>
          <w:rFonts w:cs="Arial"/>
          <w:szCs w:val="18"/>
        </w:rPr>
        <w:t xml:space="preserve">paragraph 7.540 of their Reports, </w:t>
      </w:r>
      <w:r w:rsidRPr="00564DB3">
        <w:rPr>
          <w:szCs w:val="18"/>
        </w:rPr>
        <w:t xml:space="preserve">"appropriately calibrated to the risks to dolphins arising from the use of different fishing methods in different areas of the ocean". Accordingly, we </w:t>
      </w:r>
      <w:r w:rsidRPr="00564DB3">
        <w:rPr>
          <w:szCs w:val="18"/>
          <w:u w:val="single"/>
        </w:rPr>
        <w:t>find</w:t>
      </w:r>
      <w:r w:rsidRPr="00564DB3">
        <w:rPr>
          <w:szCs w:val="18"/>
        </w:rPr>
        <w:t xml:space="preserve"> that Mexico has not demonstrated that the Panels erred</w:t>
      </w:r>
      <w:r w:rsidR="00441113" w:rsidRPr="00564DB3">
        <w:rPr>
          <w:szCs w:val="18"/>
        </w:rPr>
        <w:t xml:space="preserve"> </w:t>
      </w:r>
      <w:r w:rsidRPr="00564DB3">
        <w:rPr>
          <w:szCs w:val="18"/>
        </w:rPr>
        <w:t>in re</w:t>
      </w:r>
      <w:r w:rsidR="00441113" w:rsidRPr="00564DB3">
        <w:rPr>
          <w:szCs w:val="18"/>
        </w:rPr>
        <w:t xml:space="preserve">aching the intermediate finding, </w:t>
      </w:r>
      <w:r w:rsidR="00E7192D" w:rsidRPr="00564DB3">
        <w:rPr>
          <w:szCs w:val="18"/>
        </w:rPr>
        <w:t>in</w:t>
      </w:r>
      <w:r w:rsidR="00441113" w:rsidRPr="00564DB3">
        <w:rPr>
          <w:szCs w:val="18"/>
        </w:rPr>
        <w:t xml:space="preserve"> </w:t>
      </w:r>
      <w:r w:rsidR="00441113" w:rsidRPr="00564DB3">
        <w:rPr>
          <w:rFonts w:cs="Arial"/>
          <w:szCs w:val="18"/>
        </w:rPr>
        <w:t xml:space="preserve">paragraph 7.547 of their Reports, </w:t>
      </w:r>
      <w:r w:rsidRPr="00564DB3">
        <w:rPr>
          <w:szCs w:val="18"/>
        </w:rPr>
        <w:t>that the eligibility criteria embodied in the 2016 Tuna Measure are calibrated to the risks to dolphins arising from the use of different fishing methods in different areas of the ocean.</w:t>
      </w:r>
    </w:p>
    <w:p w:rsidR="00346D6F" w:rsidRPr="00564DB3" w:rsidRDefault="00346D6F" w:rsidP="00F70E38">
      <w:pPr>
        <w:pStyle w:val="BodyText"/>
        <w:rPr>
          <w:szCs w:val="18"/>
        </w:rPr>
      </w:pPr>
      <w:r w:rsidRPr="00564DB3">
        <w:rPr>
          <w:szCs w:val="18"/>
        </w:rPr>
        <w:t xml:space="preserve">With respect to the certification requirements, we have found that the Panels adopted the correct approach in comparing the risk profiles of individual fisheries, because the certification requirements make a </w:t>
      </w:r>
      <w:r w:rsidRPr="00564DB3">
        <w:rPr>
          <w:rFonts w:cs="Arial"/>
          <w:szCs w:val="18"/>
        </w:rPr>
        <w:t>distinction</w:t>
      </w:r>
      <w:r w:rsidRPr="00564DB3">
        <w:rPr>
          <w:szCs w:val="18"/>
        </w:rPr>
        <w:t xml:space="preserve"> </w:t>
      </w:r>
      <w:proofErr w:type="gramStart"/>
      <w:r w:rsidRPr="00564DB3">
        <w:rPr>
          <w:szCs w:val="18"/>
        </w:rPr>
        <w:t>on the basis of</w:t>
      </w:r>
      <w:proofErr w:type="gramEnd"/>
      <w:r w:rsidRPr="00564DB3">
        <w:rPr>
          <w:szCs w:val="18"/>
        </w:rPr>
        <w:t xml:space="preserve"> both fishing method and ocean area. Having found no legal error in the Panels' assessment of risk profiles, we consider that the Panels did not err in finding that the ETP large purse seine fishery has a special risk profile that distinguishes it from other fisheries. We have also addressed and rejected all of Mexico's ar</w:t>
      </w:r>
      <w:r w:rsidR="00682075">
        <w:rPr>
          <w:szCs w:val="18"/>
        </w:rPr>
        <w:t>guments challenging the Panels' </w:t>
      </w:r>
      <w:r w:rsidRPr="00564DB3">
        <w:rPr>
          <w:szCs w:val="18"/>
        </w:rPr>
        <w:t xml:space="preserve">assessment of the certification </w:t>
      </w:r>
      <w:r w:rsidRPr="00564DB3">
        <w:rPr>
          <w:rFonts w:cs="Arial"/>
          <w:szCs w:val="18"/>
        </w:rPr>
        <w:t>requirements</w:t>
      </w:r>
      <w:r w:rsidR="008C3D3D" w:rsidRPr="00564DB3">
        <w:rPr>
          <w:rFonts w:cs="Arial"/>
          <w:szCs w:val="18"/>
        </w:rPr>
        <w:t xml:space="preserve">, including </w:t>
      </w:r>
      <w:r w:rsidR="00AF19B2" w:rsidRPr="00564DB3">
        <w:rPr>
          <w:rFonts w:cs="Arial"/>
          <w:szCs w:val="18"/>
        </w:rPr>
        <w:t>the allegation that</w:t>
      </w:r>
      <w:r w:rsidR="008C3D3D" w:rsidRPr="00564DB3">
        <w:rPr>
          <w:rFonts w:cs="Arial"/>
          <w:szCs w:val="18"/>
        </w:rPr>
        <w:t xml:space="preserve"> the Panels </w:t>
      </w:r>
      <w:r w:rsidR="00AF19B2" w:rsidRPr="00564DB3">
        <w:rPr>
          <w:rFonts w:cs="Arial"/>
          <w:szCs w:val="18"/>
        </w:rPr>
        <w:t xml:space="preserve">did not </w:t>
      </w:r>
      <w:proofErr w:type="gramStart"/>
      <w:r w:rsidR="00AF19B2" w:rsidRPr="00564DB3">
        <w:rPr>
          <w:rFonts w:cs="Arial"/>
          <w:szCs w:val="18"/>
        </w:rPr>
        <w:t xml:space="preserve">take </w:t>
      </w:r>
      <w:r w:rsidR="008C3D3D" w:rsidRPr="00564DB3">
        <w:rPr>
          <w:rFonts w:cs="Arial"/>
          <w:szCs w:val="18"/>
        </w:rPr>
        <w:t>into account</w:t>
      </w:r>
      <w:proofErr w:type="gramEnd"/>
      <w:r w:rsidR="008C3D3D" w:rsidRPr="00564DB3">
        <w:rPr>
          <w:rFonts w:cs="Arial"/>
          <w:szCs w:val="18"/>
        </w:rPr>
        <w:t xml:space="preserve"> the risks of inaccuracy in their calibration analysis</w:t>
      </w:r>
      <w:r w:rsidRPr="00564DB3">
        <w:rPr>
          <w:rFonts w:cs="Arial"/>
          <w:szCs w:val="18"/>
        </w:rPr>
        <w:t xml:space="preserve">. For </w:t>
      </w:r>
      <w:proofErr w:type="gramStart"/>
      <w:r w:rsidRPr="00564DB3">
        <w:rPr>
          <w:rFonts w:cs="Arial"/>
          <w:szCs w:val="18"/>
        </w:rPr>
        <w:t>all of</w:t>
      </w:r>
      <w:proofErr w:type="gramEnd"/>
      <w:r w:rsidRPr="00564DB3">
        <w:rPr>
          <w:rFonts w:cs="Arial"/>
          <w:szCs w:val="18"/>
        </w:rPr>
        <w:t xml:space="preserve"> these re</w:t>
      </w:r>
      <w:r w:rsidR="00682075">
        <w:rPr>
          <w:szCs w:val="18"/>
        </w:rPr>
        <w:t>asons, we </w:t>
      </w:r>
      <w:r w:rsidRPr="00564DB3">
        <w:rPr>
          <w:szCs w:val="18"/>
          <w:u w:val="single"/>
        </w:rPr>
        <w:t>find</w:t>
      </w:r>
      <w:r w:rsidR="00682075">
        <w:rPr>
          <w:szCs w:val="18"/>
        </w:rPr>
        <w:t> </w:t>
      </w:r>
      <w:r w:rsidRPr="00564DB3">
        <w:rPr>
          <w:szCs w:val="18"/>
        </w:rPr>
        <w:t xml:space="preserve">that Mexico has not demonstrated that the Panels erred in arriving at the intermediate finding, </w:t>
      </w:r>
      <w:r w:rsidR="00034C56" w:rsidRPr="00564DB3">
        <w:rPr>
          <w:szCs w:val="18"/>
        </w:rPr>
        <w:t>in</w:t>
      </w:r>
      <w:r w:rsidRPr="00564DB3">
        <w:rPr>
          <w:szCs w:val="18"/>
        </w:rPr>
        <w:t xml:space="preserve"> </w:t>
      </w:r>
      <w:r w:rsidRPr="00564DB3">
        <w:rPr>
          <w:rFonts w:cs="Arial"/>
          <w:szCs w:val="18"/>
        </w:rPr>
        <w:t xml:space="preserve">paragraph 7.611 of their Reports, </w:t>
      </w:r>
      <w:r w:rsidRPr="00564DB3">
        <w:rPr>
          <w:szCs w:val="18"/>
        </w:rPr>
        <w:t>that the different certification requirements are calibrated to the risks to dolphins arising from the use of different fishing methods in different areas of the ocean.</w:t>
      </w:r>
    </w:p>
    <w:p w:rsidR="00346D6F" w:rsidRPr="00564DB3" w:rsidRDefault="00346D6F" w:rsidP="00F70E38">
      <w:pPr>
        <w:pStyle w:val="BodyText"/>
        <w:rPr>
          <w:szCs w:val="18"/>
        </w:rPr>
      </w:pPr>
      <w:r w:rsidRPr="00564DB3">
        <w:rPr>
          <w:szCs w:val="18"/>
        </w:rPr>
        <w:t xml:space="preserve">As with the certification requirements, we have found that with respect to the tracking and verification requirements, the Panels adopted the correct approach in comparing the risk profiles of individual fisheries, because these requirements make a distinction </w:t>
      </w:r>
      <w:proofErr w:type="gramStart"/>
      <w:r w:rsidRPr="00564DB3">
        <w:rPr>
          <w:szCs w:val="18"/>
        </w:rPr>
        <w:t>on the basis of</w:t>
      </w:r>
      <w:proofErr w:type="gramEnd"/>
      <w:r w:rsidRPr="00564DB3">
        <w:rPr>
          <w:szCs w:val="18"/>
        </w:rPr>
        <w:t xml:space="preserve"> both fishing method and ocean area. Having found no legal error in the Panels' assessment of risk profiles, we consider that the Panels did not err in finding that it is both the technical and legal possibilit</w:t>
      </w:r>
      <w:r w:rsidR="00BC4DE9" w:rsidRPr="00564DB3">
        <w:rPr>
          <w:szCs w:val="18"/>
        </w:rPr>
        <w:t>ies</w:t>
      </w:r>
      <w:r w:rsidRPr="00564DB3">
        <w:rPr>
          <w:szCs w:val="18"/>
        </w:rPr>
        <w:t xml:space="preserve"> of setting on dolphins and the fact that dolphin sets occur in a consistent and systematic manner in the ETP large purse seine fishery that give this fishery its special risk profile. </w:t>
      </w:r>
      <w:r w:rsidR="001771DC" w:rsidRPr="00564DB3">
        <w:rPr>
          <w:szCs w:val="18"/>
        </w:rPr>
        <w:t xml:space="preserve">Moreover, we have </w:t>
      </w:r>
      <w:r w:rsidRPr="00564DB3">
        <w:rPr>
          <w:szCs w:val="18"/>
        </w:rPr>
        <w:t>rejected Mexico's claims that (i) the Panels erred in their evaluation of the tracking and verification requirements</w:t>
      </w:r>
      <w:r w:rsidR="008C3D3D" w:rsidRPr="00564DB3">
        <w:rPr>
          <w:szCs w:val="18"/>
        </w:rPr>
        <w:t xml:space="preserve">, </w:t>
      </w:r>
      <w:r w:rsidR="008C3D3D" w:rsidRPr="00564DB3">
        <w:rPr>
          <w:rFonts w:cs="Arial"/>
          <w:szCs w:val="18"/>
        </w:rPr>
        <w:t xml:space="preserve">including the allegation that the Panels did not </w:t>
      </w:r>
      <w:proofErr w:type="gramStart"/>
      <w:r w:rsidR="008C3D3D" w:rsidRPr="00564DB3">
        <w:rPr>
          <w:rFonts w:cs="Arial"/>
          <w:szCs w:val="18"/>
        </w:rPr>
        <w:t>take into account</w:t>
      </w:r>
      <w:proofErr w:type="gramEnd"/>
      <w:r w:rsidR="008C3D3D" w:rsidRPr="00564DB3">
        <w:rPr>
          <w:rFonts w:cs="Arial"/>
          <w:szCs w:val="18"/>
        </w:rPr>
        <w:t xml:space="preserve"> the risks of inaccuracy</w:t>
      </w:r>
      <w:r w:rsidRPr="00564DB3">
        <w:rPr>
          <w:szCs w:val="18"/>
        </w:rPr>
        <w:t>; and (ii) </w:t>
      </w:r>
      <w:bookmarkStart w:id="411" w:name="_Hlk526520272"/>
      <w:r w:rsidRPr="00564DB3">
        <w:rPr>
          <w:szCs w:val="18"/>
        </w:rPr>
        <w:t xml:space="preserve">the Panels failed to make an objective assessment of the facts of the case as required under </w:t>
      </w:r>
      <w:r w:rsidR="00083DFC" w:rsidRPr="00564DB3">
        <w:rPr>
          <w:szCs w:val="18"/>
        </w:rPr>
        <w:t>Article </w:t>
      </w:r>
      <w:r w:rsidRPr="00564DB3">
        <w:rPr>
          <w:szCs w:val="18"/>
        </w:rPr>
        <w:t>11 of the DSU</w:t>
      </w:r>
      <w:bookmarkEnd w:id="411"/>
      <w:r w:rsidR="003C5B4B" w:rsidRPr="00564DB3">
        <w:rPr>
          <w:szCs w:val="18"/>
        </w:rPr>
        <w:t>. Consequently</w:t>
      </w:r>
      <w:r w:rsidRPr="00564DB3">
        <w:rPr>
          <w:szCs w:val="18"/>
        </w:rPr>
        <w:t xml:space="preserve">, we </w:t>
      </w:r>
      <w:r w:rsidRPr="00564DB3">
        <w:rPr>
          <w:szCs w:val="18"/>
          <w:u w:val="single"/>
        </w:rPr>
        <w:t>find</w:t>
      </w:r>
      <w:r w:rsidRPr="00564DB3">
        <w:rPr>
          <w:szCs w:val="18"/>
        </w:rPr>
        <w:t xml:space="preserve"> that Mexico has not demonstrated that the Panels erred in arriving at the intermediate finding, </w:t>
      </w:r>
      <w:r w:rsidR="00034C56" w:rsidRPr="00564DB3">
        <w:rPr>
          <w:szCs w:val="18"/>
        </w:rPr>
        <w:t>in</w:t>
      </w:r>
      <w:r w:rsidRPr="00564DB3">
        <w:rPr>
          <w:szCs w:val="18"/>
        </w:rPr>
        <w:t xml:space="preserve"> paragraph 7.676 of their Reports, that:</w:t>
      </w:r>
    </w:p>
    <w:p w:rsidR="00346D6F" w:rsidRPr="00564DB3" w:rsidRDefault="00346D6F" w:rsidP="00F70E38">
      <w:pPr>
        <w:pStyle w:val="Quotation"/>
      </w:pPr>
      <w:r w:rsidRPr="00564DB3">
        <w:t>[A]</w:t>
      </w:r>
      <w:proofErr w:type="spellStart"/>
      <w:r w:rsidRPr="00564DB3">
        <w:t>lthough</w:t>
      </w:r>
      <w:proofErr w:type="spellEnd"/>
      <w:r w:rsidRPr="00564DB3">
        <w:t xml:space="preserve"> there remain differences between the NOAA and AIDCP regimes with respect to tracking and verification, the Panels are of the view that such differences have been considerably narrowed in the 2016 Tuna Measure and the Panels find that the remaining differences are calibrated to the differences in the risk profile of the ETP large purse seine fishery compared to other fisheries.</w:t>
      </w:r>
    </w:p>
    <w:p w:rsidR="00346D6F" w:rsidRPr="00564DB3" w:rsidRDefault="00346D6F" w:rsidP="00F70E38">
      <w:pPr>
        <w:pStyle w:val="BodyText"/>
        <w:rPr>
          <w:rFonts w:cs="Arial"/>
          <w:szCs w:val="18"/>
        </w:rPr>
      </w:pPr>
      <w:r w:rsidRPr="00564DB3">
        <w:rPr>
          <w:szCs w:val="18"/>
        </w:rPr>
        <w:t>We further consider that the Panels' analyses of e</w:t>
      </w:r>
      <w:r w:rsidR="001124A0" w:rsidRPr="00564DB3">
        <w:rPr>
          <w:szCs w:val="18"/>
        </w:rPr>
        <w:t>ach of the elements of the 2016 </w:t>
      </w:r>
      <w:r w:rsidRPr="00564DB3">
        <w:rPr>
          <w:szCs w:val="18"/>
        </w:rPr>
        <w:t xml:space="preserve">Tuna Measure, as well as </w:t>
      </w:r>
      <w:r w:rsidR="00034C56" w:rsidRPr="00564DB3">
        <w:rPr>
          <w:szCs w:val="18"/>
        </w:rPr>
        <w:t>their</w:t>
      </w:r>
      <w:r w:rsidRPr="00564DB3">
        <w:rPr>
          <w:szCs w:val="18"/>
        </w:rPr>
        <w:t xml:space="preserve"> examination of the </w:t>
      </w:r>
      <w:proofErr w:type="gramStart"/>
      <w:r w:rsidRPr="00564DB3">
        <w:rPr>
          <w:szCs w:val="18"/>
        </w:rPr>
        <w:t>measure as a whole, were</w:t>
      </w:r>
      <w:proofErr w:type="gramEnd"/>
      <w:r w:rsidRPr="00564DB3">
        <w:rPr>
          <w:szCs w:val="18"/>
        </w:rPr>
        <w:t xml:space="preserve"> properly informed by the interlinkages between these elements and the fact that they operate together to regulate access to the dolphin-safe label. Furthermore, we recall that Mexico's appeal in this regard is consequential upon its challenge of the Panels' assessment of the eligibility criteria, certification requirements, and tracking and verification requirements. Having reviewed and rejected Mexico's arguments against the Panels' assessment of each of these elements of the 2016 Tuna Measure, we </w:t>
      </w:r>
      <w:r w:rsidRPr="00564DB3">
        <w:rPr>
          <w:szCs w:val="18"/>
          <w:u w:val="single"/>
        </w:rPr>
        <w:t>find</w:t>
      </w:r>
      <w:r w:rsidRPr="00564DB3">
        <w:rPr>
          <w:szCs w:val="18"/>
        </w:rPr>
        <w:t xml:space="preserve"> that Mexico has not demonstrated that the Panels erred in their assessment of the 2016 Tuna Measure, as a whole, or in finding, </w:t>
      </w:r>
      <w:r w:rsidR="00034C56" w:rsidRPr="00564DB3">
        <w:rPr>
          <w:szCs w:val="18"/>
        </w:rPr>
        <w:t>in</w:t>
      </w:r>
      <w:r w:rsidRPr="00564DB3">
        <w:rPr>
          <w:szCs w:val="18"/>
        </w:rPr>
        <w:t xml:space="preserve"> </w:t>
      </w:r>
      <w:r w:rsidRPr="00564DB3">
        <w:rPr>
          <w:rFonts w:cs="Arial"/>
          <w:szCs w:val="18"/>
        </w:rPr>
        <w:t>paragraph 7.717 of their Reports,</w:t>
      </w:r>
      <w:r w:rsidRPr="00564DB3">
        <w:rPr>
          <w:szCs w:val="18"/>
        </w:rPr>
        <w:t xml:space="preserve"> that the 2016 Tuna Measure, as a whole, is calibrated to the risks to dolphins arising from the use of different fishing methods in different areas of the ocean.</w:t>
      </w:r>
    </w:p>
    <w:p w:rsidR="00346D6F" w:rsidRPr="00564DB3" w:rsidRDefault="00346D6F" w:rsidP="00F70E38">
      <w:pPr>
        <w:pStyle w:val="BodyText"/>
        <w:rPr>
          <w:szCs w:val="18"/>
        </w:rPr>
      </w:pPr>
      <w:r w:rsidRPr="00564DB3">
        <w:rPr>
          <w:szCs w:val="18"/>
        </w:rPr>
        <w:t>Based on our analyses and findings above</w:t>
      </w:r>
      <w:r w:rsidRPr="00564DB3">
        <w:rPr>
          <w:rFonts w:cs="Arial"/>
          <w:szCs w:val="18"/>
        </w:rPr>
        <w:t xml:space="preserve">, we </w:t>
      </w:r>
      <w:r w:rsidRPr="00564DB3">
        <w:rPr>
          <w:rFonts w:cs="Arial"/>
          <w:szCs w:val="18"/>
          <w:u w:val="single"/>
        </w:rPr>
        <w:t>uphold</w:t>
      </w:r>
      <w:r w:rsidRPr="00564DB3">
        <w:rPr>
          <w:rFonts w:cs="Arial"/>
          <w:szCs w:val="18"/>
        </w:rPr>
        <w:t xml:space="preserve"> the Panels' conclusion</w:t>
      </w:r>
      <w:r w:rsidRPr="00564DB3">
        <w:rPr>
          <w:szCs w:val="18"/>
        </w:rPr>
        <w:t xml:space="preserve">, </w:t>
      </w:r>
      <w:r w:rsidR="00034C56" w:rsidRPr="00564DB3">
        <w:rPr>
          <w:szCs w:val="18"/>
        </w:rPr>
        <w:t>in</w:t>
      </w:r>
      <w:r w:rsidRPr="00564DB3">
        <w:rPr>
          <w:szCs w:val="18"/>
        </w:rPr>
        <w:t xml:space="preserve"> </w:t>
      </w:r>
      <w:r w:rsidRPr="00564DB3">
        <w:rPr>
          <w:rFonts w:cs="Arial"/>
          <w:szCs w:val="18"/>
        </w:rPr>
        <w:t>paragraphs 7</w:t>
      </w:r>
      <w:r w:rsidRPr="00564DB3">
        <w:rPr>
          <w:szCs w:val="18"/>
        </w:rPr>
        <w:t xml:space="preserve">.717, 8.2, and 8.6 </w:t>
      </w:r>
      <w:r w:rsidRPr="00564DB3">
        <w:rPr>
          <w:rFonts w:cs="Arial"/>
          <w:szCs w:val="18"/>
        </w:rPr>
        <w:t>of the</w:t>
      </w:r>
      <w:r w:rsidR="0069567D" w:rsidRPr="00564DB3">
        <w:rPr>
          <w:rFonts w:cs="Arial"/>
          <w:szCs w:val="18"/>
        </w:rPr>
        <w:t xml:space="preserve"> Panel</w:t>
      </w:r>
      <w:r w:rsidR="00580D72" w:rsidRPr="00564DB3">
        <w:rPr>
          <w:rFonts w:cs="Arial"/>
          <w:szCs w:val="18"/>
        </w:rPr>
        <w:t xml:space="preserve"> Reports, that the 2016 </w:t>
      </w:r>
      <w:r w:rsidRPr="00564DB3">
        <w:rPr>
          <w:rFonts w:cs="Arial"/>
          <w:szCs w:val="18"/>
        </w:rPr>
        <w:t xml:space="preserve">Tuna Measure accords to Mexican tuna products treatment no less favourable than that accorded to like products from the </w:t>
      </w:r>
      <w:r w:rsidR="00083DFC" w:rsidRPr="00564DB3">
        <w:rPr>
          <w:rFonts w:cs="Arial"/>
          <w:szCs w:val="18"/>
        </w:rPr>
        <w:t>United States</w:t>
      </w:r>
      <w:r w:rsidRPr="00564DB3">
        <w:rPr>
          <w:rFonts w:cs="Arial"/>
          <w:szCs w:val="18"/>
        </w:rPr>
        <w:t xml:space="preserve"> and other countries and therefore is consistent with </w:t>
      </w:r>
      <w:r w:rsidR="00083DFC" w:rsidRPr="00564DB3">
        <w:rPr>
          <w:rFonts w:cs="Arial"/>
          <w:szCs w:val="18"/>
        </w:rPr>
        <w:t>Article </w:t>
      </w:r>
      <w:r w:rsidRPr="00564DB3">
        <w:rPr>
          <w:rFonts w:cs="Arial"/>
          <w:szCs w:val="18"/>
        </w:rPr>
        <w:t xml:space="preserve">2.1 of the </w:t>
      </w:r>
      <w:r w:rsidR="00083DFC" w:rsidRPr="00564DB3">
        <w:rPr>
          <w:rFonts w:cs="Arial"/>
          <w:szCs w:val="18"/>
        </w:rPr>
        <w:t>TBT Agreement</w:t>
      </w:r>
      <w:r w:rsidRPr="00564DB3">
        <w:rPr>
          <w:rFonts w:cs="Arial"/>
          <w:szCs w:val="18"/>
        </w:rPr>
        <w:t>.</w:t>
      </w:r>
    </w:p>
    <w:p w:rsidR="00346D6F" w:rsidRPr="00564DB3" w:rsidRDefault="00346D6F" w:rsidP="00F70E38">
      <w:pPr>
        <w:pStyle w:val="Heading2"/>
        <w:rPr>
          <w:szCs w:val="18"/>
        </w:rPr>
      </w:pPr>
      <w:bookmarkStart w:id="412" w:name="_Toc531967508"/>
      <w:r w:rsidRPr="00564DB3">
        <w:rPr>
          <w:szCs w:val="18"/>
        </w:rPr>
        <w:t>Whether the Panel</w:t>
      </w:r>
      <w:r w:rsidR="00DD0893" w:rsidRPr="00564DB3">
        <w:rPr>
          <w:szCs w:val="18"/>
        </w:rPr>
        <w:t>s</w:t>
      </w:r>
      <w:r w:rsidRPr="00564DB3">
        <w:rPr>
          <w:szCs w:val="18"/>
        </w:rPr>
        <w:t xml:space="preserve"> erred in their </w:t>
      </w:r>
      <w:r w:rsidR="00D72DBF" w:rsidRPr="00564DB3">
        <w:rPr>
          <w:szCs w:val="18"/>
        </w:rPr>
        <w:t>findings under</w:t>
      </w:r>
      <w:r w:rsidRPr="00564DB3">
        <w:rPr>
          <w:szCs w:val="18"/>
        </w:rPr>
        <w:t xml:space="preserve"> </w:t>
      </w:r>
      <w:r w:rsidR="00083DFC" w:rsidRPr="00564DB3">
        <w:rPr>
          <w:szCs w:val="18"/>
        </w:rPr>
        <w:t>Article </w:t>
      </w:r>
      <w:r w:rsidRPr="00564DB3">
        <w:rPr>
          <w:szCs w:val="18"/>
        </w:rPr>
        <w:t>XX of the GATT 1994</w:t>
      </w:r>
      <w:bookmarkEnd w:id="412"/>
    </w:p>
    <w:p w:rsidR="00346D6F" w:rsidRPr="00564DB3" w:rsidRDefault="00346D6F" w:rsidP="00F70E38">
      <w:pPr>
        <w:pStyle w:val="BodyText"/>
        <w:rPr>
          <w:szCs w:val="18"/>
          <w:lang w:eastAsia="zh-CN"/>
        </w:rPr>
      </w:pPr>
      <w:r w:rsidRPr="00564DB3">
        <w:rPr>
          <w:szCs w:val="18"/>
          <w:lang w:eastAsia="zh-CN"/>
        </w:rPr>
        <w:t>O</w:t>
      </w:r>
      <w:r w:rsidRPr="00564DB3">
        <w:rPr>
          <w:szCs w:val="18"/>
        </w:rPr>
        <w:t xml:space="preserve">ne of the most important factors in the assessment of arbitrary or unjustifiable discrimination under the </w:t>
      </w:r>
      <w:r w:rsidRPr="00564DB3">
        <w:rPr>
          <w:i/>
          <w:szCs w:val="18"/>
        </w:rPr>
        <w:t>chapeau</w:t>
      </w:r>
      <w:r w:rsidRPr="00564DB3">
        <w:rPr>
          <w:szCs w:val="18"/>
        </w:rPr>
        <w:t xml:space="preserve"> of </w:t>
      </w:r>
      <w:r w:rsidR="00083DFC" w:rsidRPr="00564DB3">
        <w:rPr>
          <w:szCs w:val="18"/>
        </w:rPr>
        <w:t>Article </w:t>
      </w:r>
      <w:r w:rsidRPr="00564DB3">
        <w:rPr>
          <w:szCs w:val="18"/>
        </w:rPr>
        <w:t>XX</w:t>
      </w:r>
      <w:r w:rsidR="003C5B4B" w:rsidRPr="00564DB3">
        <w:rPr>
          <w:szCs w:val="18"/>
        </w:rPr>
        <w:t xml:space="preserve"> of the GATT 1994</w:t>
      </w:r>
      <w:r w:rsidRPr="00564DB3">
        <w:rPr>
          <w:szCs w:val="18"/>
        </w:rPr>
        <w:t xml:space="preserve"> is the question </w:t>
      </w:r>
      <w:r w:rsidR="00161F9D">
        <w:rPr>
          <w:szCs w:val="18"/>
        </w:rPr>
        <w:t xml:space="preserve">of </w:t>
      </w:r>
      <w:r w:rsidRPr="00564DB3">
        <w:rPr>
          <w:szCs w:val="18"/>
        </w:rPr>
        <w:t xml:space="preserve">whether the discrimination can be reconciled with, or is rationally related to, the policy objective with respect to which the measure has been provisionally justified under one of the subparagraphs of </w:t>
      </w:r>
      <w:r w:rsidR="00083DFC" w:rsidRPr="00564DB3">
        <w:rPr>
          <w:szCs w:val="18"/>
        </w:rPr>
        <w:t>Article </w:t>
      </w:r>
      <w:r w:rsidRPr="00564DB3">
        <w:rPr>
          <w:szCs w:val="18"/>
        </w:rPr>
        <w:t>XX. As indicated above, the Appellate</w:t>
      </w:r>
      <w:r w:rsidR="00025CB6" w:rsidRPr="00564DB3">
        <w:rPr>
          <w:szCs w:val="18"/>
        </w:rPr>
        <w:t> Body</w:t>
      </w:r>
      <w:r w:rsidRPr="00564DB3">
        <w:rPr>
          <w:szCs w:val="18"/>
        </w:rPr>
        <w:t xml:space="preserve">'s guidance in the first compliance proceedings indicates that the calibration analysis is the tool in the circumstances of this dispute to assess whether the 2016 Tuna Measure is consistent with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If done</w:t>
      </w:r>
      <w:r w:rsidR="00E32E87" w:rsidRPr="00564DB3">
        <w:rPr>
          <w:i/>
          <w:szCs w:val="18"/>
        </w:rPr>
        <w:t xml:space="preserve"> </w:t>
      </w:r>
      <w:r w:rsidR="00E32E87" w:rsidRPr="00564DB3">
        <w:rPr>
          <w:szCs w:val="18"/>
        </w:rPr>
        <w:t>properly</w:t>
      </w:r>
      <w:r w:rsidRPr="00564DB3">
        <w:rPr>
          <w:szCs w:val="18"/>
        </w:rPr>
        <w:t xml:space="preserve">, the calibration analysis </w:t>
      </w:r>
      <w:r w:rsidR="003C5B4B" w:rsidRPr="00564DB3">
        <w:rPr>
          <w:szCs w:val="18"/>
        </w:rPr>
        <w:t>w</w:t>
      </w:r>
      <w:r w:rsidR="00B8647C" w:rsidRPr="00564DB3">
        <w:rPr>
          <w:szCs w:val="18"/>
        </w:rPr>
        <w:t>ould</w:t>
      </w:r>
      <w:r w:rsidRPr="00564DB3">
        <w:rPr>
          <w:szCs w:val="18"/>
        </w:rPr>
        <w:t xml:space="preserve"> encompass consideration of the rational relationship between the regulatory distinction of the 2016 Tuna Measure and its objectives. </w:t>
      </w:r>
      <w:r w:rsidR="003C5B4B" w:rsidRPr="00564DB3">
        <w:rPr>
          <w:szCs w:val="18"/>
        </w:rPr>
        <w:t>As also indicated</w:t>
      </w:r>
      <w:r w:rsidRPr="00564DB3">
        <w:rPr>
          <w:szCs w:val="18"/>
        </w:rPr>
        <w:t xml:space="preserve">, it was appropriate for the Panels, in the circumstances of these compliance proceedings, to rely on their calibration analysis under </w:t>
      </w:r>
      <w:r w:rsidR="00083DFC" w:rsidRPr="00564DB3">
        <w:rPr>
          <w:szCs w:val="18"/>
        </w:rPr>
        <w:t>Article </w:t>
      </w:r>
      <w:r w:rsidRPr="00564DB3">
        <w:rPr>
          <w:szCs w:val="18"/>
        </w:rPr>
        <w:t xml:space="preserve">2.1 in their assessment of whether the 2016 Tuna Measure is applied in a manner that constitutes arbitrary or unjustifiable discrimination within the meaning of the </w:t>
      </w:r>
      <w:r w:rsidRPr="00564DB3">
        <w:rPr>
          <w:i/>
          <w:szCs w:val="18"/>
        </w:rPr>
        <w:t>chapeau</w:t>
      </w:r>
      <w:r w:rsidRPr="00564DB3">
        <w:rPr>
          <w:szCs w:val="18"/>
        </w:rPr>
        <w:t xml:space="preserve"> of </w:t>
      </w:r>
      <w:r w:rsidR="00083DFC" w:rsidRPr="00564DB3">
        <w:rPr>
          <w:szCs w:val="18"/>
        </w:rPr>
        <w:t>Article </w:t>
      </w:r>
      <w:r w:rsidRPr="00564DB3">
        <w:rPr>
          <w:szCs w:val="18"/>
        </w:rPr>
        <w:t xml:space="preserve">XX. This is because, </w:t>
      </w:r>
      <w:r w:rsidR="00441113" w:rsidRPr="00564DB3">
        <w:rPr>
          <w:szCs w:val="18"/>
        </w:rPr>
        <w:t>where</w:t>
      </w:r>
      <w:r w:rsidRPr="00564DB3">
        <w:rPr>
          <w:szCs w:val="18"/>
        </w:rPr>
        <w:t xml:space="preserve"> the differences between </w:t>
      </w:r>
      <w:r w:rsidR="00083DFC" w:rsidRPr="00564DB3">
        <w:rPr>
          <w:szCs w:val="18"/>
        </w:rPr>
        <w:t>Article </w:t>
      </w:r>
      <w:r w:rsidRPr="00564DB3">
        <w:rPr>
          <w:szCs w:val="18"/>
        </w:rPr>
        <w:t xml:space="preserve">2.1 and </w:t>
      </w:r>
      <w:r w:rsidR="00083DFC" w:rsidRPr="00564DB3">
        <w:rPr>
          <w:szCs w:val="18"/>
        </w:rPr>
        <w:t>Article </w:t>
      </w:r>
      <w:r w:rsidRPr="00564DB3">
        <w:rPr>
          <w:szCs w:val="18"/>
        </w:rPr>
        <w:t xml:space="preserve">XX are </w:t>
      </w:r>
      <w:proofErr w:type="gramStart"/>
      <w:r w:rsidRPr="00564DB3">
        <w:rPr>
          <w:szCs w:val="18"/>
        </w:rPr>
        <w:t>taken into account</w:t>
      </w:r>
      <w:proofErr w:type="gramEnd"/>
      <w:r w:rsidRPr="00564DB3">
        <w:rPr>
          <w:szCs w:val="18"/>
        </w:rPr>
        <w:t xml:space="preserve">, it may be permissible to rely on reasoning developed in the context of one agreement </w:t>
      </w:r>
      <w:r w:rsidR="00FF1995" w:rsidRPr="00564DB3">
        <w:rPr>
          <w:szCs w:val="18"/>
        </w:rPr>
        <w:t xml:space="preserve">for the purpose of </w:t>
      </w:r>
      <w:r w:rsidRPr="00564DB3">
        <w:rPr>
          <w:szCs w:val="18"/>
        </w:rPr>
        <w:t xml:space="preserve">conducting an analysis under the other. </w:t>
      </w:r>
    </w:p>
    <w:p w:rsidR="00346D6F" w:rsidRPr="00564DB3" w:rsidRDefault="00346D6F" w:rsidP="00F70E38">
      <w:pPr>
        <w:pStyle w:val="BodyText"/>
        <w:rPr>
          <w:szCs w:val="18"/>
          <w:lang w:eastAsia="zh-CN"/>
        </w:rPr>
      </w:pPr>
      <w:r w:rsidRPr="00564DB3">
        <w:rPr>
          <w:szCs w:val="18"/>
        </w:rPr>
        <w:t>We also indicated above that the Panels did not err in findi</w:t>
      </w:r>
      <w:r w:rsidR="00441113" w:rsidRPr="00564DB3">
        <w:rPr>
          <w:szCs w:val="18"/>
        </w:rPr>
        <w:t>ng that the 2016 Tuna Measure i</w:t>
      </w:r>
      <w:r w:rsidRPr="00564DB3">
        <w:rPr>
          <w:szCs w:val="18"/>
        </w:rPr>
        <w:t xml:space="preserve">s </w:t>
      </w:r>
      <w:r w:rsidR="003C5B4B" w:rsidRPr="00564DB3">
        <w:rPr>
          <w:szCs w:val="18"/>
        </w:rPr>
        <w:t>calibrated</w:t>
      </w:r>
      <w:r w:rsidRPr="00564DB3">
        <w:rPr>
          <w:szCs w:val="18"/>
        </w:rPr>
        <w:t xml:space="preserve"> to the risks to dolphins arising from the </w:t>
      </w:r>
      <w:r w:rsidR="00B8647C" w:rsidRPr="00564DB3">
        <w:rPr>
          <w:szCs w:val="18"/>
        </w:rPr>
        <w:t xml:space="preserve">use of </w:t>
      </w:r>
      <w:r w:rsidRPr="00564DB3">
        <w:rPr>
          <w:szCs w:val="18"/>
        </w:rPr>
        <w:t xml:space="preserve">different fishing methods in different areas of the ocean. Therefore, given that consideration of the rational relationship between the regulatory distinctions </w:t>
      </w:r>
      <w:r w:rsidR="00B8647C" w:rsidRPr="00564DB3">
        <w:rPr>
          <w:szCs w:val="18"/>
        </w:rPr>
        <w:t xml:space="preserve">and the objectives </w:t>
      </w:r>
      <w:r w:rsidRPr="00564DB3">
        <w:rPr>
          <w:szCs w:val="18"/>
        </w:rPr>
        <w:t xml:space="preserve">of the 2016 Tuna Measure </w:t>
      </w:r>
      <w:r w:rsidR="003C5B4B" w:rsidRPr="00564DB3">
        <w:rPr>
          <w:szCs w:val="18"/>
        </w:rPr>
        <w:t>was</w:t>
      </w:r>
      <w:r w:rsidRPr="00564DB3">
        <w:rPr>
          <w:szCs w:val="18"/>
        </w:rPr>
        <w:t xml:space="preserve"> encompassed in this analysis, we find that the Panels did not err in relying on the reasoning developed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in assessing the conformity of the 2016 Tuna Measure with the </w:t>
      </w:r>
      <w:r w:rsidRPr="00564DB3">
        <w:rPr>
          <w:i/>
          <w:szCs w:val="18"/>
        </w:rPr>
        <w:t>chapeau</w:t>
      </w:r>
      <w:r w:rsidRPr="00564DB3">
        <w:rPr>
          <w:szCs w:val="18"/>
        </w:rPr>
        <w:t xml:space="preserve"> of </w:t>
      </w:r>
      <w:r w:rsidR="00083DFC" w:rsidRPr="00564DB3">
        <w:rPr>
          <w:szCs w:val="18"/>
        </w:rPr>
        <w:t>Article </w:t>
      </w:r>
      <w:r w:rsidRPr="00564DB3">
        <w:rPr>
          <w:szCs w:val="18"/>
        </w:rPr>
        <w:t>XX of the GATT</w:t>
      </w:r>
      <w:r w:rsidR="00025CB6" w:rsidRPr="00564DB3">
        <w:rPr>
          <w:szCs w:val="18"/>
        </w:rPr>
        <w:t> 1994</w:t>
      </w:r>
      <w:r w:rsidRPr="00564DB3">
        <w:rPr>
          <w:szCs w:val="18"/>
        </w:rPr>
        <w:t>. We also reject Mexico's contention that, due to the</w:t>
      </w:r>
      <w:r w:rsidR="00AF6B35" w:rsidRPr="00564DB3">
        <w:rPr>
          <w:szCs w:val="18"/>
        </w:rPr>
        <w:t xml:space="preserve"> Panels'</w:t>
      </w:r>
      <w:r w:rsidRPr="00564DB3">
        <w:rPr>
          <w:szCs w:val="18"/>
        </w:rPr>
        <w:t xml:space="preserve"> reliance on per set</w:t>
      </w:r>
      <w:r w:rsidR="00B8647C" w:rsidRPr="00564DB3">
        <w:rPr>
          <w:szCs w:val="18"/>
        </w:rPr>
        <w:t xml:space="preserve"> evidence</w:t>
      </w:r>
      <w:r w:rsidR="00AF6B35" w:rsidRPr="00564DB3">
        <w:rPr>
          <w:szCs w:val="18"/>
        </w:rPr>
        <w:t>,</w:t>
      </w:r>
      <w:r w:rsidRPr="00564DB3">
        <w:rPr>
          <w:szCs w:val="18"/>
        </w:rPr>
        <w:t xml:space="preserve"> rather than PBR evidence</w:t>
      </w:r>
      <w:r w:rsidR="00AF6B35" w:rsidRPr="00564DB3">
        <w:rPr>
          <w:szCs w:val="18"/>
        </w:rPr>
        <w:t>,</w:t>
      </w:r>
      <w:r w:rsidRPr="00564DB3">
        <w:rPr>
          <w:szCs w:val="18"/>
        </w:rPr>
        <w:t xml:space="preserve"> in assessing the risks to dolphins, the</w:t>
      </w:r>
      <w:r w:rsidR="00AF6B35" w:rsidRPr="00564DB3">
        <w:rPr>
          <w:szCs w:val="18"/>
        </w:rPr>
        <w:t>ir</w:t>
      </w:r>
      <w:r w:rsidRPr="00564DB3">
        <w:rPr>
          <w:szCs w:val="18"/>
        </w:rPr>
        <w:t xml:space="preserve"> calibrat</w:t>
      </w:r>
      <w:r w:rsidR="00AF6B35" w:rsidRPr="00564DB3">
        <w:rPr>
          <w:szCs w:val="18"/>
        </w:rPr>
        <w:t xml:space="preserve">ion analysis cannot be relied </w:t>
      </w:r>
      <w:r w:rsidRPr="00564DB3">
        <w:rPr>
          <w:szCs w:val="18"/>
        </w:rPr>
        <w:t>on for assessing whether the 2016 Tuna Measure is rationally related to the conservation of exhaustible natural resources.</w:t>
      </w:r>
    </w:p>
    <w:p w:rsidR="00346D6F" w:rsidRPr="00564DB3" w:rsidRDefault="00346D6F" w:rsidP="00F70E38">
      <w:pPr>
        <w:pStyle w:val="BodyText"/>
        <w:rPr>
          <w:szCs w:val="18"/>
        </w:rPr>
      </w:pPr>
      <w:r w:rsidRPr="00564DB3">
        <w:rPr>
          <w:szCs w:val="18"/>
          <w:lang w:eastAsia="zh-CN"/>
        </w:rPr>
        <w:t xml:space="preserve">For </w:t>
      </w:r>
      <w:r w:rsidRPr="00564DB3">
        <w:rPr>
          <w:szCs w:val="18"/>
        </w:rPr>
        <w:t>the</w:t>
      </w:r>
      <w:r w:rsidRPr="00564DB3">
        <w:rPr>
          <w:szCs w:val="18"/>
          <w:lang w:eastAsia="zh-CN"/>
        </w:rPr>
        <w:t xml:space="preserve"> foregoing reasons</w:t>
      </w:r>
      <w:r w:rsidR="00DA100B" w:rsidRPr="00564DB3">
        <w:rPr>
          <w:szCs w:val="18"/>
          <w:lang w:eastAsia="zh-CN"/>
        </w:rPr>
        <w:t>,</w:t>
      </w:r>
      <w:r w:rsidRPr="00564DB3">
        <w:rPr>
          <w:szCs w:val="18"/>
          <w:lang w:eastAsia="zh-CN"/>
        </w:rPr>
        <w:t xml:space="preserve"> we </w:t>
      </w:r>
      <w:r w:rsidRPr="00564DB3">
        <w:rPr>
          <w:szCs w:val="18"/>
          <w:u w:val="single"/>
          <w:lang w:eastAsia="zh-CN"/>
        </w:rPr>
        <w:t>uphold</w:t>
      </w:r>
      <w:r w:rsidRPr="00564DB3">
        <w:rPr>
          <w:szCs w:val="18"/>
          <w:lang w:eastAsia="zh-CN"/>
        </w:rPr>
        <w:t xml:space="preserve"> the Panels' finding</w:t>
      </w:r>
      <w:r w:rsidR="00DA100B" w:rsidRPr="00564DB3">
        <w:rPr>
          <w:szCs w:val="18"/>
          <w:lang w:eastAsia="zh-CN"/>
        </w:rPr>
        <w:t>,</w:t>
      </w:r>
      <w:r w:rsidRPr="00564DB3">
        <w:rPr>
          <w:szCs w:val="18"/>
          <w:lang w:eastAsia="zh-CN"/>
        </w:rPr>
        <w:t xml:space="preserve"> in paragraph</w:t>
      </w:r>
      <w:r w:rsidR="00BC4DE9" w:rsidRPr="00564DB3">
        <w:rPr>
          <w:szCs w:val="18"/>
          <w:lang w:eastAsia="zh-CN"/>
        </w:rPr>
        <w:t>s</w:t>
      </w:r>
      <w:r w:rsidRPr="00564DB3">
        <w:rPr>
          <w:szCs w:val="18"/>
          <w:lang w:eastAsia="zh-CN"/>
        </w:rPr>
        <w:t xml:space="preserve"> 7.740</w:t>
      </w:r>
      <w:r w:rsidR="00BC4DE9" w:rsidRPr="00564DB3">
        <w:rPr>
          <w:szCs w:val="18"/>
          <w:lang w:eastAsia="zh-CN"/>
        </w:rPr>
        <w:t>, 8.3, and 8.7</w:t>
      </w:r>
      <w:r w:rsidRPr="00564DB3">
        <w:rPr>
          <w:szCs w:val="18"/>
          <w:lang w:eastAsia="zh-CN"/>
        </w:rPr>
        <w:t xml:space="preserve"> of </w:t>
      </w:r>
      <w:r w:rsidR="00DA100B" w:rsidRPr="00564DB3">
        <w:rPr>
          <w:szCs w:val="18"/>
          <w:lang w:eastAsia="zh-CN"/>
        </w:rPr>
        <w:t>the Panel R</w:t>
      </w:r>
      <w:r w:rsidRPr="00564DB3">
        <w:rPr>
          <w:szCs w:val="18"/>
          <w:lang w:eastAsia="zh-CN"/>
        </w:rPr>
        <w:t>eports</w:t>
      </w:r>
      <w:r w:rsidR="00DA100B" w:rsidRPr="00564DB3">
        <w:rPr>
          <w:szCs w:val="18"/>
          <w:lang w:eastAsia="zh-CN"/>
        </w:rPr>
        <w:t>,</w:t>
      </w:r>
      <w:r w:rsidRPr="00564DB3">
        <w:rPr>
          <w:szCs w:val="18"/>
          <w:lang w:eastAsia="zh-CN"/>
        </w:rPr>
        <w:t xml:space="preserve"> that the 2016 Tuna Measure is not applied in a manner that constitutes a means of arbitrary or unjustifiable discrimination and is therefore justified under </w:t>
      </w:r>
      <w:r w:rsidR="00083DFC" w:rsidRPr="00564DB3">
        <w:rPr>
          <w:szCs w:val="18"/>
          <w:lang w:eastAsia="zh-CN"/>
        </w:rPr>
        <w:t>Article </w:t>
      </w:r>
      <w:r w:rsidRPr="00564DB3">
        <w:rPr>
          <w:szCs w:val="18"/>
          <w:lang w:eastAsia="zh-CN"/>
        </w:rPr>
        <w:t>XX of the GATT</w:t>
      </w:r>
      <w:r w:rsidR="00025CB6" w:rsidRPr="00564DB3">
        <w:rPr>
          <w:szCs w:val="18"/>
          <w:lang w:eastAsia="zh-CN"/>
        </w:rPr>
        <w:t> 1994</w:t>
      </w:r>
      <w:r w:rsidRPr="00564DB3">
        <w:rPr>
          <w:szCs w:val="18"/>
          <w:lang w:eastAsia="zh-CN"/>
        </w:rPr>
        <w:t>.</w:t>
      </w:r>
    </w:p>
    <w:p w:rsidR="00346D6F" w:rsidRPr="00564DB3" w:rsidRDefault="00346D6F" w:rsidP="00F70E38">
      <w:pPr>
        <w:pStyle w:val="Heading2"/>
        <w:rPr>
          <w:szCs w:val="18"/>
        </w:rPr>
      </w:pPr>
      <w:bookmarkStart w:id="413" w:name="_Toc531967509"/>
      <w:r w:rsidRPr="00564DB3">
        <w:rPr>
          <w:szCs w:val="18"/>
        </w:rPr>
        <w:t xml:space="preserve">The Panels' </w:t>
      </w:r>
      <w:r w:rsidR="00004041" w:rsidRPr="00564DB3">
        <w:rPr>
          <w:szCs w:val="18"/>
        </w:rPr>
        <w:t xml:space="preserve">decision to hold a </w:t>
      </w:r>
      <w:r w:rsidRPr="00564DB3">
        <w:rPr>
          <w:szCs w:val="18"/>
        </w:rPr>
        <w:t>partially open meeting</w:t>
      </w:r>
      <w:bookmarkEnd w:id="413"/>
    </w:p>
    <w:p w:rsidR="00346D6F" w:rsidRPr="00564DB3" w:rsidRDefault="00346D6F" w:rsidP="00F70E38">
      <w:pPr>
        <w:pStyle w:val="BodyText"/>
        <w:rPr>
          <w:szCs w:val="18"/>
        </w:rPr>
      </w:pPr>
      <w:r w:rsidRPr="00564DB3">
        <w:rPr>
          <w:szCs w:val="18"/>
        </w:rPr>
        <w:t xml:space="preserve">We </w:t>
      </w:r>
      <w:r w:rsidRPr="00564DB3">
        <w:rPr>
          <w:szCs w:val="18"/>
          <w:u w:val="single"/>
        </w:rPr>
        <w:t>find</w:t>
      </w:r>
      <w:r w:rsidRPr="00564DB3">
        <w:rPr>
          <w:szCs w:val="18"/>
        </w:rPr>
        <w:t xml:space="preserve"> that Mexico's claim that the Panels erred </w:t>
      </w:r>
      <w:r w:rsidR="00134A82" w:rsidRPr="00564DB3">
        <w:rPr>
          <w:szCs w:val="18"/>
        </w:rPr>
        <w:t>in</w:t>
      </w:r>
      <w:r w:rsidRPr="00564DB3">
        <w:rPr>
          <w:szCs w:val="18"/>
        </w:rPr>
        <w:t xml:space="preserve"> finding that they had the authority to conduct a partially open meeting without the consent of both parties is properly within the scope of this appeal. However, </w:t>
      </w:r>
      <w:proofErr w:type="gramStart"/>
      <w:r w:rsidRPr="00564DB3">
        <w:rPr>
          <w:szCs w:val="18"/>
        </w:rPr>
        <w:t>in light of</w:t>
      </w:r>
      <w:proofErr w:type="gramEnd"/>
      <w:r w:rsidRPr="00564DB3">
        <w:rPr>
          <w:szCs w:val="18"/>
        </w:rPr>
        <w:t xml:space="preserve"> the specific circumstances of these proceedings, we </w:t>
      </w:r>
      <w:r w:rsidRPr="00564DB3">
        <w:rPr>
          <w:szCs w:val="18"/>
          <w:u w:val="single"/>
        </w:rPr>
        <w:t>find it unnecessary to rule</w:t>
      </w:r>
      <w:r w:rsidRPr="00564DB3">
        <w:rPr>
          <w:szCs w:val="18"/>
        </w:rPr>
        <w:t xml:space="preserve"> on whether the Panels erred </w:t>
      </w:r>
      <w:r w:rsidR="00134A82" w:rsidRPr="00564DB3">
        <w:rPr>
          <w:szCs w:val="18"/>
        </w:rPr>
        <w:t>in</w:t>
      </w:r>
      <w:r w:rsidRPr="00564DB3">
        <w:rPr>
          <w:szCs w:val="18"/>
        </w:rPr>
        <w:t xml:space="preserve"> finding that they had the authority to conduct a partially open meeting of the parties without the consent of both parties. Our finding should not be construed as an endorsement of the Panels' decision</w:t>
      </w:r>
      <w:r w:rsidRPr="00564DB3">
        <w:rPr>
          <w:szCs w:val="18"/>
          <w:lang w:eastAsia="en-US"/>
        </w:rPr>
        <w:t xml:space="preserve"> </w:t>
      </w:r>
      <w:r w:rsidRPr="00564DB3">
        <w:rPr>
          <w:szCs w:val="18"/>
        </w:rPr>
        <w:t>to conduct a partially open meeting of the parties without the consent of both parties.</w:t>
      </w:r>
    </w:p>
    <w:p w:rsidR="00346D6F" w:rsidRPr="00564DB3" w:rsidRDefault="00346D6F" w:rsidP="00F70E38">
      <w:pPr>
        <w:pStyle w:val="Heading2"/>
        <w:rPr>
          <w:szCs w:val="18"/>
          <w:lang w:eastAsia="zh-CN"/>
        </w:rPr>
      </w:pPr>
      <w:bookmarkStart w:id="414" w:name="_Toc531967510"/>
      <w:r w:rsidRPr="00564DB3">
        <w:rPr>
          <w:szCs w:val="18"/>
        </w:rPr>
        <w:t>Recommendation</w:t>
      </w:r>
      <w:bookmarkEnd w:id="414"/>
    </w:p>
    <w:p w:rsidR="00346D6F" w:rsidRPr="00564DB3" w:rsidRDefault="00346D6F" w:rsidP="00F70E38">
      <w:pPr>
        <w:pStyle w:val="BodyText"/>
        <w:rPr>
          <w:szCs w:val="18"/>
        </w:rPr>
      </w:pPr>
      <w:r w:rsidRPr="00564DB3">
        <w:rPr>
          <w:szCs w:val="18"/>
        </w:rPr>
        <w:t xml:space="preserve">The Panels in these compliance proceedings found that the </w:t>
      </w:r>
      <w:r w:rsidR="00083DFC" w:rsidRPr="00564DB3">
        <w:rPr>
          <w:szCs w:val="18"/>
        </w:rPr>
        <w:t>United States</w:t>
      </w:r>
      <w:r w:rsidRPr="00564DB3">
        <w:rPr>
          <w:szCs w:val="18"/>
        </w:rPr>
        <w:t xml:space="preserve"> has implemented the recommendations and rulings of the DSB in </w:t>
      </w:r>
      <w:r w:rsidRPr="00564DB3">
        <w:rPr>
          <w:i/>
          <w:szCs w:val="18"/>
        </w:rPr>
        <w:t xml:space="preserve">US – Tuna II (Mexico) </w:t>
      </w:r>
      <w:r w:rsidRPr="00564DB3">
        <w:rPr>
          <w:szCs w:val="18"/>
        </w:rPr>
        <w:t xml:space="preserve">and </w:t>
      </w:r>
      <w:r w:rsidRPr="00564DB3">
        <w:rPr>
          <w:i/>
          <w:szCs w:val="18"/>
        </w:rPr>
        <w:t>US – Tuna II (Mexico) (</w:t>
      </w:r>
      <w:r w:rsidR="00083DFC" w:rsidRPr="00564DB3">
        <w:rPr>
          <w:i/>
          <w:szCs w:val="18"/>
        </w:rPr>
        <w:t>Article </w:t>
      </w:r>
      <w:r w:rsidRPr="00564DB3">
        <w:rPr>
          <w:i/>
          <w:szCs w:val="18"/>
        </w:rPr>
        <w:t>21.5 – Mexico</w:t>
      </w:r>
      <w:r w:rsidRPr="00A17678">
        <w:rPr>
          <w:i/>
          <w:szCs w:val="18"/>
        </w:rPr>
        <w:t>)</w:t>
      </w:r>
      <w:r w:rsidRPr="00564DB3">
        <w:rPr>
          <w:szCs w:val="18"/>
        </w:rPr>
        <w:t xml:space="preserve">. Accordingly, the Panels concluded that no recommendation under </w:t>
      </w:r>
      <w:r w:rsidR="00083DFC" w:rsidRPr="00564DB3">
        <w:rPr>
          <w:szCs w:val="18"/>
        </w:rPr>
        <w:t>Article </w:t>
      </w:r>
      <w:r w:rsidRPr="00564DB3">
        <w:rPr>
          <w:szCs w:val="18"/>
        </w:rPr>
        <w:t xml:space="preserve">19.1 of the DSU is necessary. Having </w:t>
      </w:r>
      <w:r w:rsidRPr="00564DB3">
        <w:rPr>
          <w:szCs w:val="18"/>
          <w:u w:val="single"/>
        </w:rPr>
        <w:t>upheld</w:t>
      </w:r>
      <w:r w:rsidRPr="00564DB3">
        <w:rPr>
          <w:szCs w:val="18"/>
        </w:rPr>
        <w:t xml:space="preserve"> the Panels</w:t>
      </w:r>
      <w:r w:rsidR="00130DD5" w:rsidRPr="00564DB3">
        <w:rPr>
          <w:szCs w:val="18"/>
        </w:rPr>
        <w:t>'</w:t>
      </w:r>
      <w:r w:rsidRPr="00564DB3">
        <w:rPr>
          <w:szCs w:val="18"/>
        </w:rPr>
        <w:t xml:space="preserve"> findings under </w:t>
      </w:r>
      <w:r w:rsidR="00083DFC" w:rsidRPr="00564DB3">
        <w:rPr>
          <w:szCs w:val="18"/>
        </w:rPr>
        <w:t>Article </w:t>
      </w:r>
      <w:r w:rsidRPr="00564DB3">
        <w:rPr>
          <w:szCs w:val="18"/>
        </w:rPr>
        <w:t xml:space="preserve">2.1 of the </w:t>
      </w:r>
      <w:r w:rsidR="00083DFC" w:rsidRPr="00564DB3">
        <w:rPr>
          <w:szCs w:val="18"/>
        </w:rPr>
        <w:t>TBT Agreement</w:t>
      </w:r>
      <w:r w:rsidRPr="00564DB3">
        <w:rPr>
          <w:szCs w:val="18"/>
        </w:rPr>
        <w:t xml:space="preserve"> and </w:t>
      </w:r>
      <w:r w:rsidR="00083DFC" w:rsidRPr="00564DB3">
        <w:rPr>
          <w:szCs w:val="18"/>
        </w:rPr>
        <w:t>Article </w:t>
      </w:r>
      <w:r w:rsidRPr="00564DB3">
        <w:rPr>
          <w:szCs w:val="18"/>
        </w:rPr>
        <w:t xml:space="preserve">XX of the GATT 1994, there is no basis for us to make a recommendation to the DSB pursuant to </w:t>
      </w:r>
      <w:r w:rsidR="00083DFC" w:rsidRPr="00564DB3">
        <w:rPr>
          <w:szCs w:val="18"/>
        </w:rPr>
        <w:t>Article </w:t>
      </w:r>
      <w:r w:rsidRPr="00564DB3">
        <w:rPr>
          <w:szCs w:val="18"/>
        </w:rPr>
        <w:t>19.1 of the DSU.</w:t>
      </w:r>
    </w:p>
    <w:p w:rsidR="00D0148B" w:rsidRPr="00564DB3" w:rsidRDefault="00D0148B" w:rsidP="00F70E38">
      <w:pPr>
        <w:rPr>
          <w:szCs w:val="18"/>
        </w:rPr>
      </w:pPr>
      <w:r w:rsidRPr="00564DB3">
        <w:rPr>
          <w:szCs w:val="18"/>
        </w:rPr>
        <w:t>Signed in the original in Geneva this</w:t>
      </w:r>
      <w:r w:rsidR="001C5672" w:rsidRPr="00564DB3">
        <w:rPr>
          <w:szCs w:val="18"/>
        </w:rPr>
        <w:t xml:space="preserve"> 1st day of November 2018 b</w:t>
      </w:r>
      <w:r w:rsidRPr="00564DB3">
        <w:rPr>
          <w:szCs w:val="18"/>
        </w:rPr>
        <w:t xml:space="preserve">y: </w:t>
      </w:r>
    </w:p>
    <w:p w:rsidR="00D0148B" w:rsidRPr="00F7665C" w:rsidRDefault="00D0148B" w:rsidP="00D0148B">
      <w:pPr>
        <w:jc w:val="center"/>
      </w:pPr>
    </w:p>
    <w:p w:rsidR="00D0148B" w:rsidRPr="00F7665C" w:rsidRDefault="00D0148B" w:rsidP="00D0148B">
      <w:pPr>
        <w:jc w:val="center"/>
      </w:pPr>
    </w:p>
    <w:p w:rsidR="00D0148B" w:rsidRPr="00F7665C" w:rsidRDefault="00D0148B" w:rsidP="00D0148B">
      <w:pPr>
        <w:jc w:val="center"/>
      </w:pPr>
    </w:p>
    <w:p w:rsidR="00D0148B" w:rsidRPr="00F7665C" w:rsidRDefault="00D0148B" w:rsidP="00D0148B">
      <w:pPr>
        <w:jc w:val="center"/>
      </w:pPr>
    </w:p>
    <w:p w:rsidR="00D0148B" w:rsidRPr="00F7665C" w:rsidRDefault="00E44285" w:rsidP="00D0148B">
      <w:pPr>
        <w:jc w:val="center"/>
        <w:rPr>
          <w:b/>
        </w:rPr>
      </w:pPr>
      <w:r w:rsidRPr="00F7665C">
        <w:rPr>
          <w:b/>
        </w:rPr>
        <w:t>_________________________</w:t>
      </w:r>
    </w:p>
    <w:p w:rsidR="00D0148B" w:rsidRPr="00F7665C" w:rsidRDefault="001C5672" w:rsidP="00D0148B">
      <w:pPr>
        <w:jc w:val="center"/>
      </w:pPr>
      <w:proofErr w:type="spellStart"/>
      <w:r w:rsidRPr="00F7665C">
        <w:t>Ujal</w:t>
      </w:r>
      <w:proofErr w:type="spellEnd"/>
      <w:r w:rsidRPr="00F7665C">
        <w:t xml:space="preserve"> Singh Bhatia</w:t>
      </w:r>
    </w:p>
    <w:p w:rsidR="00D0148B" w:rsidRPr="00F7665C" w:rsidRDefault="00D0148B" w:rsidP="00D0148B">
      <w:pPr>
        <w:jc w:val="center"/>
      </w:pPr>
      <w:r w:rsidRPr="00F7665C">
        <w:t>Presiding Member</w:t>
      </w:r>
    </w:p>
    <w:p w:rsidR="00D0148B" w:rsidRPr="00F7665C" w:rsidRDefault="00D0148B" w:rsidP="00D0148B">
      <w:pPr>
        <w:jc w:val="center"/>
      </w:pPr>
    </w:p>
    <w:p w:rsidR="00D0148B" w:rsidRPr="00F7665C" w:rsidRDefault="00D0148B" w:rsidP="00D0148B">
      <w:pPr>
        <w:jc w:val="center"/>
      </w:pPr>
    </w:p>
    <w:p w:rsidR="00D0148B" w:rsidRPr="00F7665C" w:rsidRDefault="00D0148B" w:rsidP="00D0148B">
      <w:pPr>
        <w:jc w:val="center"/>
      </w:pPr>
    </w:p>
    <w:p w:rsidR="00D0148B" w:rsidRPr="00F7665C" w:rsidRDefault="00D0148B" w:rsidP="00D0148B">
      <w:pPr>
        <w:jc w:val="center"/>
      </w:pPr>
    </w:p>
    <w:p w:rsidR="00D0148B" w:rsidRPr="00F7665C" w:rsidRDefault="00D0148B" w:rsidP="00D0148B">
      <w:pPr>
        <w:tabs>
          <w:tab w:val="center" w:pos="1701"/>
          <w:tab w:val="center" w:pos="7230"/>
        </w:tabs>
        <w:jc w:val="left"/>
      </w:pPr>
      <w:r w:rsidRPr="00F7665C">
        <w:tab/>
      </w:r>
      <w:r w:rsidRPr="00F7665C">
        <w:rPr>
          <w:b/>
        </w:rPr>
        <w:t>_________________________</w:t>
      </w:r>
      <w:r w:rsidRPr="00F7665C">
        <w:tab/>
      </w:r>
      <w:r w:rsidRPr="00F7665C">
        <w:rPr>
          <w:b/>
        </w:rPr>
        <w:t>_________________________</w:t>
      </w:r>
    </w:p>
    <w:p w:rsidR="00D0148B" w:rsidRPr="00F7665C" w:rsidRDefault="00D0148B" w:rsidP="00D0148B">
      <w:pPr>
        <w:tabs>
          <w:tab w:val="center" w:pos="1701"/>
          <w:tab w:val="center" w:pos="7230"/>
        </w:tabs>
        <w:jc w:val="left"/>
      </w:pPr>
      <w:r w:rsidRPr="00F7665C">
        <w:tab/>
      </w:r>
      <w:r w:rsidR="001C5672" w:rsidRPr="00F7665C">
        <w:t>Thomas R.</w:t>
      </w:r>
      <w:r w:rsidR="00130DD5" w:rsidRPr="00F7665C">
        <w:t xml:space="preserve"> </w:t>
      </w:r>
      <w:r w:rsidR="001C5672" w:rsidRPr="00F7665C">
        <w:t>Graham</w:t>
      </w:r>
      <w:r w:rsidRPr="00F7665C">
        <w:tab/>
      </w:r>
      <w:r w:rsidR="001C5672" w:rsidRPr="00F7665C">
        <w:t>Hong Zhao</w:t>
      </w:r>
    </w:p>
    <w:p w:rsidR="00D0148B" w:rsidRPr="00F7665C" w:rsidRDefault="00D0148B" w:rsidP="00D0148B">
      <w:pPr>
        <w:tabs>
          <w:tab w:val="center" w:pos="1701"/>
          <w:tab w:val="center" w:pos="7230"/>
        </w:tabs>
        <w:jc w:val="left"/>
      </w:pPr>
      <w:r w:rsidRPr="00F7665C">
        <w:tab/>
        <w:t>Member</w:t>
      </w:r>
      <w:r w:rsidRPr="00F7665C">
        <w:tab/>
      </w:r>
      <w:proofErr w:type="spellStart"/>
      <w:r w:rsidRPr="00F7665C">
        <w:t>Member</w:t>
      </w:r>
      <w:proofErr w:type="spellEnd"/>
    </w:p>
    <w:p w:rsidR="00EF273A" w:rsidRPr="00F7665C" w:rsidRDefault="00EF273A" w:rsidP="00EF273A"/>
    <w:p w:rsidR="006E7E5A" w:rsidRPr="00F7665C" w:rsidRDefault="006E7E5A" w:rsidP="006E7E5A">
      <w:pPr>
        <w:rPr>
          <w:lang w:eastAsia="en-GB"/>
        </w:rPr>
      </w:pPr>
    </w:p>
    <w:p w:rsidR="00EC29A7" w:rsidRPr="00F7665C" w:rsidRDefault="00EC29A7" w:rsidP="00EC29A7">
      <w:pPr>
        <w:jc w:val="center"/>
        <w:rPr>
          <w:lang w:eastAsia="en-GB"/>
        </w:rPr>
      </w:pPr>
      <w:r w:rsidRPr="00F7665C">
        <w:rPr>
          <w:b/>
          <w:lang w:eastAsia="en-GB"/>
        </w:rPr>
        <w:t>__________</w:t>
      </w:r>
    </w:p>
    <w:sectPr w:rsidR="00EC29A7" w:rsidRPr="00F7665C" w:rsidSect="0021457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155" w:rsidRDefault="00A07155" w:rsidP="00ED54E0">
      <w:r>
        <w:separator/>
      </w:r>
    </w:p>
  </w:endnote>
  <w:endnote w:type="continuationSeparator" w:id="0">
    <w:p w:rsidR="00A07155" w:rsidRDefault="00A07155"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utigerLTStd-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1" w:rsidRPr="00B80E6A" w:rsidRDefault="00BA4B71" w:rsidP="00B80E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1" w:rsidRPr="00B80E6A" w:rsidRDefault="00BA4B71" w:rsidP="00B80E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1" w:rsidRDefault="00BA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155" w:rsidRDefault="00A07155" w:rsidP="00ED54E0">
      <w:r>
        <w:separator/>
      </w:r>
    </w:p>
  </w:footnote>
  <w:footnote w:type="continuationSeparator" w:id="0">
    <w:p w:rsidR="00A07155" w:rsidRDefault="00A07155" w:rsidP="00ED54E0">
      <w:r>
        <w:continuationSeparator/>
      </w:r>
    </w:p>
  </w:footnote>
  <w:footnote w:id="1">
    <w:p w:rsidR="00BA4B71" w:rsidRPr="002E4AF8" w:rsidRDefault="00BA4B71" w:rsidP="002E4AF8">
      <w:pPr>
        <w:pStyle w:val="FootnoteText"/>
        <w:rPr>
          <w:szCs w:val="16"/>
        </w:rPr>
      </w:pPr>
      <w:r w:rsidRPr="002E4AF8">
        <w:rPr>
          <w:rStyle w:val="FootnoteReference"/>
          <w:szCs w:val="16"/>
        </w:rPr>
        <w:footnoteRef/>
      </w:r>
      <w:r w:rsidRPr="002E4AF8">
        <w:rPr>
          <w:szCs w:val="16"/>
        </w:rPr>
        <w:t xml:space="preserve"> WT/DS381/R</w:t>
      </w:r>
      <w:r w:rsidRPr="002E4AF8">
        <w:rPr>
          <w:rFonts w:cs="Arial"/>
          <w:szCs w:val="16"/>
        </w:rPr>
        <w:t xml:space="preserve">W/USA; WT/DS381/RW2, 26 October 2017. </w:t>
      </w:r>
      <w:r w:rsidRPr="002E4AF8">
        <w:rPr>
          <w:szCs w:val="16"/>
        </w:rPr>
        <w:t>The Panels explained that they decided to issue their findings in a single document, with separate conclusions for each of the two proceedings. We refer to both Reports collectively as the "Panel Reports". (See Panel Reports, para. 7.4)</w:t>
      </w:r>
    </w:p>
  </w:footnote>
  <w:footnote w:id="2">
    <w:p w:rsidR="00BA4B71" w:rsidRPr="002E4AF8" w:rsidRDefault="00BA4B71" w:rsidP="002E4AF8">
      <w:pPr>
        <w:pStyle w:val="FootnoteText"/>
        <w:rPr>
          <w:szCs w:val="16"/>
        </w:rPr>
      </w:pPr>
      <w:r w:rsidRPr="002E4AF8">
        <w:rPr>
          <w:rStyle w:val="FootnoteReference"/>
          <w:szCs w:val="16"/>
        </w:rPr>
        <w:footnoteRef/>
      </w:r>
      <w:r w:rsidRPr="002E4AF8">
        <w:rPr>
          <w:szCs w:val="16"/>
        </w:rPr>
        <w:t xml:space="preserve"> Request for the Establishment of a Panel by the United States pursuant to Article 21.5 of the DSU, WT/DS381/32 (United States' panel request).</w:t>
      </w:r>
    </w:p>
  </w:footnote>
  <w:footnote w:id="3">
    <w:p w:rsidR="00BA4B71" w:rsidRPr="002E4AF8" w:rsidRDefault="00BA4B71" w:rsidP="002E4AF8">
      <w:pPr>
        <w:pStyle w:val="FootnoteText"/>
        <w:rPr>
          <w:szCs w:val="16"/>
        </w:rPr>
      </w:pPr>
      <w:r w:rsidRPr="002E4AF8">
        <w:rPr>
          <w:rStyle w:val="FootnoteReference"/>
          <w:szCs w:val="16"/>
        </w:rPr>
        <w:footnoteRef/>
      </w:r>
      <w:r w:rsidRPr="002E4AF8">
        <w:rPr>
          <w:szCs w:val="16"/>
        </w:rPr>
        <w:t xml:space="preserve"> Request for the Establishment of a Panel by Mexico pursuant to Article 21.5 of the DSU, WT/DS381/38 (Mexico's panel request).</w:t>
      </w:r>
    </w:p>
  </w:footnote>
  <w:footnote w:id="4">
    <w:p w:rsidR="00BA4B71" w:rsidRPr="002E4AF8" w:rsidRDefault="00BA4B71" w:rsidP="002E4AF8">
      <w:pPr>
        <w:pStyle w:val="FootnoteText"/>
        <w:rPr>
          <w:szCs w:val="16"/>
        </w:rPr>
      </w:pPr>
      <w:r w:rsidRPr="002E4AF8">
        <w:rPr>
          <w:rStyle w:val="FootnoteReference"/>
          <w:szCs w:val="16"/>
        </w:rPr>
        <w:footnoteRef/>
      </w:r>
      <w:r w:rsidRPr="002E4AF8">
        <w:rPr>
          <w:szCs w:val="16"/>
        </w:rPr>
        <w:t xml:space="preserve"> The recommendations and rulings of the DSB resulted from the adoption by the DSB, on 13 June 2012, of the Appellate Body report (WT/DS381/AB/R) and the panel report (WT/DS381/R) in </w:t>
      </w:r>
      <w:r w:rsidRPr="002E4AF8">
        <w:rPr>
          <w:szCs w:val="16"/>
        </w:rPr>
        <w:br/>
      </w:r>
      <w:r w:rsidRPr="002E4AF8">
        <w:rPr>
          <w:i/>
          <w:szCs w:val="16"/>
        </w:rPr>
        <w:t>US – Tuna II (Mexico)</w:t>
      </w:r>
      <w:r w:rsidRPr="002E4AF8">
        <w:rPr>
          <w:szCs w:val="16"/>
        </w:rPr>
        <w:t>.</w:t>
      </w:r>
    </w:p>
  </w:footnote>
  <w:footnote w:id="5">
    <w:p w:rsidR="00BA4B71" w:rsidRPr="002E4AF8" w:rsidRDefault="00BA4B71" w:rsidP="002E4AF8">
      <w:pPr>
        <w:pStyle w:val="FootnoteText"/>
        <w:rPr>
          <w:szCs w:val="16"/>
        </w:rPr>
      </w:pPr>
      <w:r w:rsidRPr="002E4AF8">
        <w:rPr>
          <w:rStyle w:val="FootnoteReference"/>
          <w:szCs w:val="16"/>
        </w:rPr>
        <w:footnoteRef/>
      </w:r>
      <w:r w:rsidRPr="002E4AF8">
        <w:rPr>
          <w:szCs w:val="16"/>
        </w:rPr>
        <w:t xml:space="preserve"> The recommendations and rulings of the DSB resulted from the adoption by the DSB, on</w:t>
      </w:r>
      <w:r w:rsidRPr="002E4AF8">
        <w:rPr>
          <w:i/>
          <w:szCs w:val="16"/>
        </w:rPr>
        <w:t xml:space="preserve"> </w:t>
      </w:r>
      <w:r w:rsidRPr="002E4AF8">
        <w:rPr>
          <w:szCs w:val="16"/>
        </w:rPr>
        <w:t xml:space="preserve">3 December 2015, of the Appellate Body report (WT/DS381/AB/RW) and the panel report (WT/DS381/RW) in </w:t>
      </w:r>
      <w:r w:rsidRPr="002E4AF8">
        <w:rPr>
          <w:i/>
          <w:szCs w:val="16"/>
        </w:rPr>
        <w:t>US – Tuna II (Mexico) (Article 21.5 – Mexico)</w:t>
      </w:r>
      <w:r w:rsidRPr="002E4AF8">
        <w:rPr>
          <w:szCs w:val="16"/>
        </w:rPr>
        <w:t>.</w:t>
      </w:r>
    </w:p>
  </w:footnote>
  <w:footnote w:id="6">
    <w:p w:rsidR="00BA4B71" w:rsidRPr="002E4AF8" w:rsidRDefault="00BA4B71" w:rsidP="002E4AF8">
      <w:pPr>
        <w:pStyle w:val="FootnoteText"/>
        <w:rPr>
          <w:szCs w:val="16"/>
        </w:rPr>
      </w:pPr>
      <w:r w:rsidRPr="002E4AF8">
        <w:rPr>
          <w:rStyle w:val="FootnoteReference"/>
          <w:szCs w:val="16"/>
        </w:rPr>
        <w:footnoteRef/>
      </w:r>
      <w:r w:rsidRPr="002E4AF8">
        <w:rPr>
          <w:szCs w:val="16"/>
        </w:rPr>
        <w:t xml:space="preserve"> In this Report, we refer to the panel that considered the original complaint brought by Mexico as the "original panel" and to its report as the "original panel report". We refer to the panel that considered Mexico's complaint in the first compliance proceedings as the "first compliance panel" and to its report as the "first compliance panel report".</w:t>
      </w:r>
    </w:p>
  </w:footnote>
  <w:footnote w:id="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In the original proceedings, Mexico clarified that its claims under Articles I:1 and III:4 of the GATT 1994 and Article 2.1 of the TBT Agreement were made only in relation to tuna products, and not tuna. For that reason, the original panel limited its findings in this respect to tuna products. (Original Panel Report, para. 6.10)</w:t>
      </w:r>
    </w:p>
  </w:footnote>
  <w:footnote w:id="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Exhibit US</w:t>
      </w:r>
      <w:r w:rsidRPr="002E4AF8">
        <w:rPr>
          <w:szCs w:val="16"/>
        </w:rPr>
        <w:noBreakHyphen/>
        <w:t>5.</w:t>
      </w:r>
    </w:p>
  </w:footnote>
  <w:footnote w:id="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Exhibit US</w:t>
      </w:r>
      <w:r w:rsidRPr="002E4AF8">
        <w:rPr>
          <w:szCs w:val="16"/>
        </w:rPr>
        <w:noBreakHyphen/>
        <w:t>6 and US-58.</w:t>
      </w:r>
    </w:p>
  </w:footnote>
  <w:footnote w:id="1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i/>
          <w:szCs w:val="16"/>
        </w:rPr>
        <w:t>Earth Island Institute v. Hogarth</w:t>
      </w:r>
      <w:r w:rsidRPr="002E4AF8">
        <w:rPr>
          <w:szCs w:val="16"/>
        </w:rPr>
        <w:t>, 494 F.3d 757 (9th Cir. 2007) (Original Panel Exhibit MEX</w:t>
      </w:r>
      <w:r w:rsidRPr="002E4AF8">
        <w:rPr>
          <w:szCs w:val="16"/>
        </w:rPr>
        <w:noBreakHyphen/>
        <w:t xml:space="preserve">31); </w:t>
      </w:r>
      <w:r w:rsidRPr="002E4AF8">
        <w:rPr>
          <w:i/>
          <w:szCs w:val="16"/>
        </w:rPr>
        <w:t>Earth Island Institute v. Hogarth</w:t>
      </w:r>
      <w:r w:rsidRPr="002E4AF8">
        <w:rPr>
          <w:szCs w:val="16"/>
        </w:rPr>
        <w:t>, 484 F.3d 1123 (9th Cir. 2007) (Original Panel Exhibit MEX</w:t>
      </w:r>
      <w:r w:rsidRPr="002E4AF8">
        <w:rPr>
          <w:szCs w:val="16"/>
        </w:rPr>
        <w:noBreakHyphen/>
        <w:t xml:space="preserve">30). See </w:t>
      </w:r>
      <w:r w:rsidRPr="002E4AF8">
        <w:rPr>
          <w:i/>
          <w:szCs w:val="16"/>
        </w:rPr>
        <w:t>infra</w:t>
      </w:r>
      <w:r w:rsidRPr="002E4AF8">
        <w:rPr>
          <w:szCs w:val="16"/>
        </w:rPr>
        <w:t xml:space="preserve">, fn 104. </w:t>
      </w:r>
    </w:p>
  </w:footnote>
  <w:footnote w:id="1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 2.1.</w:t>
      </w:r>
    </w:p>
  </w:footnote>
  <w:footnote w:id="1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 original panel and the Appellate Body considered it appropriate to treat these legal instruments as a single measure for the purpose of analysing Mexico's claims and reaching findings. (Original Panel Report, para. 7.26. See also Appellate Body Report, </w:t>
      </w:r>
      <w:r w:rsidRPr="002E4AF8">
        <w:rPr>
          <w:i/>
          <w:szCs w:val="16"/>
        </w:rPr>
        <w:t>US – Tuna II (Mexico)</w:t>
      </w:r>
      <w:r w:rsidRPr="002E4AF8">
        <w:rPr>
          <w:szCs w:val="16"/>
        </w:rPr>
        <w:t>, paras. 2 and 172 and fn 357 thereto)</w:t>
      </w:r>
    </w:p>
  </w:footnote>
  <w:footnote w:id="13">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w:t>
      </w:r>
      <w:r w:rsidRPr="002E4AF8">
        <w:rPr>
          <w:szCs w:val="16"/>
          <w:lang w:val="es-ES"/>
        </w:rPr>
        <w:t>, para. </w:t>
      </w:r>
      <w:r w:rsidRPr="002E4AF8">
        <w:rPr>
          <w:szCs w:val="16"/>
        </w:rPr>
        <w:t>172. The original panel found that the DPCIA defines "tuna product" as a food item "which contains tuna and which has been processed for retail sale, except perishable sandwiches, salads, or other products with a shelf life of less than 3 days". (Original Panel Report, paras. 2.5 and 7.60 (quoting DPCIA (Original Panel Exhibit US</w:t>
      </w:r>
      <w:r w:rsidRPr="002E4AF8">
        <w:rPr>
          <w:szCs w:val="16"/>
        </w:rPr>
        <w:noBreakHyphen/>
        <w:t xml:space="preserve">5), Section 1385(c)(5)) See also Appellate Body Report, </w:t>
      </w:r>
      <w:r w:rsidRPr="002E4AF8">
        <w:rPr>
          <w:i/>
          <w:szCs w:val="16"/>
        </w:rPr>
        <w:t>US – Tuna II (Mexico) (Article 21.5 – Mexico)</w:t>
      </w:r>
      <w:r w:rsidRPr="002E4AF8">
        <w:rPr>
          <w:szCs w:val="16"/>
        </w:rPr>
        <w:t>,</w:t>
      </w:r>
      <w:r w:rsidRPr="002E4AF8">
        <w:rPr>
          <w:i/>
          <w:szCs w:val="16"/>
        </w:rPr>
        <w:t xml:space="preserve"> </w:t>
      </w:r>
      <w:r w:rsidRPr="002E4AF8">
        <w:rPr>
          <w:szCs w:val="16"/>
        </w:rPr>
        <w:t>fn 101 to para. 6.1)</w:t>
      </w:r>
    </w:p>
  </w:footnote>
  <w:footnote w:id="1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w:t>
      </w:r>
      <w:r w:rsidRPr="002E4AF8">
        <w:rPr>
          <w:szCs w:val="16"/>
        </w:rPr>
        <w:t>, paras. 172 and 196-199.</w:t>
      </w:r>
    </w:p>
  </w:footnote>
  <w:footnote w:id="1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w:t>
      </w:r>
      <w:r w:rsidRPr="002E4AF8">
        <w:rPr>
          <w:szCs w:val="16"/>
        </w:rPr>
        <w:t>, para. 233 (referring to Original Panel Report, paras. 7.289-7.291). The factual aspects of the original proceedings are set forth in greater detail in paragraphs 2.1</w:t>
      </w:r>
      <w:r w:rsidRPr="002E4AF8">
        <w:rPr>
          <w:szCs w:val="16"/>
        </w:rPr>
        <w:noBreakHyphen/>
        <w:t>2.41 of the original panel report, and paragraphs 172</w:t>
      </w:r>
      <w:r w:rsidRPr="002E4AF8">
        <w:rPr>
          <w:szCs w:val="16"/>
        </w:rPr>
        <w:noBreakHyphen/>
        <w:t>177 of the Appellate Body report in the original proceedings.</w:t>
      </w:r>
    </w:p>
  </w:footnote>
  <w:footnote w:id="1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 3.1.</w:t>
      </w:r>
    </w:p>
  </w:footnote>
  <w:footnote w:id="1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paras. 7.62, 7.78, and 7.145. This finding was upheld on appeal. (See Appellate Body Report, </w:t>
      </w:r>
      <w:r w:rsidRPr="002E4AF8">
        <w:rPr>
          <w:i/>
          <w:szCs w:val="16"/>
        </w:rPr>
        <w:t>US – Tuna II (Mexico)</w:t>
      </w:r>
      <w:r w:rsidRPr="002E4AF8">
        <w:rPr>
          <w:szCs w:val="16"/>
        </w:rPr>
        <w:t>, para. 199)</w:t>
      </w:r>
    </w:p>
  </w:footnote>
  <w:footnote w:id="1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paras. 7.374 and 8.1(a).</w:t>
      </w:r>
    </w:p>
  </w:footnote>
  <w:footnote w:id="1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paras. 7.620 and 8.1(b).</w:t>
      </w:r>
    </w:p>
  </w:footnote>
  <w:footnote w:id="2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Exhibit MEX</w:t>
      </w:r>
      <w:r w:rsidRPr="002E4AF8">
        <w:rPr>
          <w:szCs w:val="16"/>
        </w:rPr>
        <w:noBreakHyphen/>
        <w:t>11.</w:t>
      </w:r>
    </w:p>
  </w:footnote>
  <w:footnote w:id="21">
    <w:p w:rsidR="00BA4B71" w:rsidRPr="002E4AF8" w:rsidRDefault="00BA4B71" w:rsidP="002E4AF8">
      <w:pPr>
        <w:keepLines/>
        <w:ind w:firstLine="567"/>
        <w:jc w:val="left"/>
        <w:rPr>
          <w:sz w:val="16"/>
          <w:szCs w:val="16"/>
        </w:rPr>
      </w:pPr>
      <w:r w:rsidRPr="002E4AF8">
        <w:rPr>
          <w:rStyle w:val="FootnoteReference"/>
          <w:sz w:val="16"/>
          <w:szCs w:val="16"/>
        </w:rPr>
        <w:footnoteRef/>
      </w:r>
      <w:r w:rsidRPr="002E4AF8">
        <w:rPr>
          <w:sz w:val="16"/>
          <w:szCs w:val="16"/>
        </w:rPr>
        <w:t xml:space="preserve"> Original Panel Report, para. 7.707. (Both Mexico and the United States are parties to the AIDCP, an agreement among 14 countries that entered into force in February 1999. (Original Panel Report, para. 2.35) The AIDCP, administered by the Inter-American Tropical Tuna Commission (IATTC), addresses a particular tuna-fishing method (purse seine fishing) in a specific area of the ocean, namely, the Eastern Tropical Pacific (ETP). </w:t>
      </w:r>
      <w:r w:rsidRPr="002E4AF8">
        <w:rPr>
          <w:sz w:val="16"/>
          <w:szCs w:val="16"/>
          <w:lang w:val="es-ES"/>
        </w:rPr>
        <w:t xml:space="preserve">(Appellate Body Report, </w:t>
      </w:r>
      <w:r w:rsidRPr="002E4AF8">
        <w:rPr>
          <w:i/>
          <w:sz w:val="16"/>
          <w:szCs w:val="16"/>
          <w:lang w:val="es-ES"/>
        </w:rPr>
        <w:t>US – Tuna II (Mexico) (Article 21.5 – Mexico)</w:t>
      </w:r>
      <w:r w:rsidRPr="002E4AF8">
        <w:rPr>
          <w:sz w:val="16"/>
          <w:szCs w:val="16"/>
          <w:lang w:val="es-ES"/>
        </w:rPr>
        <w:t>, para. </w:t>
      </w:r>
      <w:r w:rsidRPr="002E4AF8">
        <w:rPr>
          <w:sz w:val="16"/>
          <w:szCs w:val="16"/>
        </w:rPr>
        <w:t>6.4))</w:t>
      </w:r>
    </w:p>
  </w:footnote>
  <w:footnote w:id="2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paras. 7.740 and 8.1(c).</w:t>
      </w:r>
    </w:p>
  </w:footnote>
  <w:footnote w:id="2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paras. 7.748 and 8.2.</w:t>
      </w:r>
    </w:p>
  </w:footnote>
  <w:footnote w:id="2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w:t>
      </w:r>
      <w:r w:rsidRPr="002E4AF8">
        <w:rPr>
          <w:szCs w:val="16"/>
        </w:rPr>
        <w:t>, paras. 298-299 and 407(b).</w:t>
      </w:r>
    </w:p>
  </w:footnote>
  <w:footnote w:id="2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w:t>
      </w:r>
      <w:r w:rsidRPr="002E4AF8">
        <w:rPr>
          <w:szCs w:val="16"/>
        </w:rPr>
        <w:t>, paras. 331 and 407(c).</w:t>
      </w:r>
    </w:p>
  </w:footnote>
  <w:footnote w:id="2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w:t>
      </w:r>
      <w:r w:rsidRPr="002E4AF8">
        <w:rPr>
          <w:szCs w:val="16"/>
        </w:rPr>
        <w:t>, paras. 401 and 407(f).</w:t>
      </w:r>
    </w:p>
  </w:footnote>
  <w:footnote w:id="2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w:t>
      </w:r>
      <w:r w:rsidRPr="002E4AF8">
        <w:rPr>
          <w:szCs w:val="16"/>
        </w:rPr>
        <w:t>, paras. 405 and 407(g).</w:t>
      </w:r>
    </w:p>
  </w:footnote>
  <w:footnote w:id="2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w:t>
      </w:r>
      <w:r w:rsidRPr="002E4AF8">
        <w:rPr>
          <w:szCs w:val="16"/>
        </w:rPr>
        <w:t>, para. 408.</w:t>
      </w:r>
    </w:p>
  </w:footnote>
  <w:footnote w:id="2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bookmarkStart w:id="19" w:name="_Hlk525636258"/>
      <w:r w:rsidRPr="002E4AF8">
        <w:rPr>
          <w:szCs w:val="16"/>
        </w:rPr>
        <w:t xml:space="preserve">On 2 August 2012, Mexico and the United States informed the DSB that additional time was required to discuss a mutually agreed reasonable period of time for the United States to implement the recommendations and rulings of the DSB. (First Compliance Panel Report, para. 1.12 </w:t>
      </w:r>
      <w:bookmarkEnd w:id="19"/>
      <w:r w:rsidRPr="002E4AF8">
        <w:rPr>
          <w:szCs w:val="16"/>
        </w:rPr>
        <w:t>(referring to Communication from Mexico and the United States concerning Article 21.3(c) of the DSU, WT/DS381/16))</w:t>
      </w:r>
    </w:p>
  </w:footnote>
  <w:footnote w:id="3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1.12 (referring to Agreement under Article 21.3(b) of the DSU, WT/DS381/17).</w:t>
      </w:r>
    </w:p>
  </w:footnote>
  <w:footnote w:id="3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Department of Commerce (USDOC), National Oceanic and Atmospheric Administration (NOAA), Enhanced Document Requirements to Support Use of the Dolphin Safe Label on Tuna Products, </w:t>
      </w:r>
      <w:r w:rsidRPr="002E4AF8">
        <w:rPr>
          <w:i/>
          <w:szCs w:val="16"/>
        </w:rPr>
        <w:t>United States Federal Register</w:t>
      </w:r>
      <w:r w:rsidRPr="002E4AF8">
        <w:rPr>
          <w:szCs w:val="16"/>
        </w:rPr>
        <w:t>, Vol. 78, No. 131 (9 July 2013), pp. 40997-41004 (</w:t>
      </w:r>
      <w:bookmarkStart w:id="21" w:name="_Hlk525636297"/>
      <w:r w:rsidRPr="002E4AF8">
        <w:rPr>
          <w:szCs w:val="16"/>
        </w:rPr>
        <w:t>First Compliance Panel Exhibit MEX</w:t>
      </w:r>
      <w:r w:rsidRPr="002E4AF8">
        <w:rPr>
          <w:szCs w:val="16"/>
        </w:rPr>
        <w:noBreakHyphen/>
        <w:t>7</w:t>
      </w:r>
      <w:bookmarkEnd w:id="21"/>
      <w:r w:rsidRPr="002E4AF8">
        <w:rPr>
          <w:szCs w:val="16"/>
        </w:rPr>
        <w:t xml:space="preserve">). Section 216.92 of the original implementing regulations, the DPCIA, and the </w:t>
      </w:r>
      <w:r w:rsidRPr="002E4AF8">
        <w:rPr>
          <w:i/>
          <w:szCs w:val="16"/>
        </w:rPr>
        <w:t>Hogarth</w:t>
      </w:r>
      <w:r w:rsidRPr="002E4AF8">
        <w:rPr>
          <w:szCs w:val="16"/>
        </w:rPr>
        <w:t xml:space="preserve"> ruling remained unchanged. (</w:t>
      </w:r>
      <w:bookmarkStart w:id="22" w:name="_Hlk525636305"/>
      <w:r w:rsidRPr="002E4AF8">
        <w:rPr>
          <w:szCs w:val="16"/>
        </w:rPr>
        <w:t>First Compliance Panel Report</w:t>
      </w:r>
      <w:bookmarkEnd w:id="22"/>
      <w:r w:rsidRPr="002E4AF8">
        <w:rPr>
          <w:szCs w:val="16"/>
        </w:rPr>
        <w:t>, paras. 3.32 and 3.39)</w:t>
      </w:r>
    </w:p>
  </w:footnote>
  <w:footnote w:id="3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1.13 (referring to United States' first written submission to the first compliance panel, para. 10). We note that the first compliance panel referred to these amendments as the "2013 Final Rule", whereas the Panels referred to them as the "2013 Rule". (First Compliance Panel Report, paras. 1.13 and 2.1; Panel Reports, para. 2.1) For the purpose of this Report, we refer to them as the "2013 Rule".</w:t>
      </w:r>
    </w:p>
  </w:footnote>
  <w:footnote w:id="3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1.13.</w:t>
      </w:r>
    </w:p>
  </w:footnote>
  <w:footnote w:id="3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1.14.</w:t>
      </w:r>
    </w:p>
  </w:footnote>
  <w:footnote w:id="3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1.15 (referring to WT/DS381/19). The parties agreed that, in the event that the DSB, following a proceeding under Article 21.5 of the DSU, ruled that a measure taken to comply does not exist or is inconsistent with a WTO covered agreement, Mexico may request authorization to suspend the application of concessions or other obligations under the covered agreements to the United States pursuant to Article 22 of the DSU and that the United States would not assert that Mexico is precluded from obtaining such authorization on the grounds that the request was made outside the 30-day time period specified in Article 22.6 of the DSU. (WT/DS381/19, para. 5)</w:t>
      </w:r>
    </w:p>
  </w:footnote>
  <w:footnote w:id="3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1.1 (referring to WT/DS381/20). See also Appellate Body Report, </w:t>
      </w:r>
      <w:r w:rsidRPr="002E4AF8">
        <w:rPr>
          <w:i/>
          <w:szCs w:val="16"/>
        </w:rPr>
        <w:t>US – Tuna II (Mexico) (Article 21.5 – Mexico)</w:t>
      </w:r>
      <w:r w:rsidRPr="002E4AF8">
        <w:rPr>
          <w:szCs w:val="16"/>
        </w:rPr>
        <w:t>, para. 1.8.</w:t>
      </w:r>
    </w:p>
  </w:footnote>
  <w:footnote w:id="3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USDOC, National Marine Fisheries Service (NMFS)/NOAA, </w:t>
      </w:r>
      <w:r w:rsidRPr="002E4AF8">
        <w:rPr>
          <w:szCs w:val="16"/>
          <w:lang w:eastAsia="es-ES"/>
        </w:rPr>
        <w:t xml:space="preserve">Dolphin Safe Tuna Labeling, 2013 implementing regulations, </w:t>
      </w:r>
      <w:r w:rsidRPr="002E4AF8">
        <w:rPr>
          <w:szCs w:val="16"/>
        </w:rPr>
        <w:t>Sections 216.90-216.95. (First Compliance Panel Exhibit US</w:t>
      </w:r>
      <w:r w:rsidRPr="002E4AF8">
        <w:rPr>
          <w:szCs w:val="16"/>
        </w:rPr>
        <w:noBreakHyphen/>
        <w:t>2)</w:t>
      </w:r>
    </w:p>
  </w:footnote>
  <w:footnote w:id="3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5.10 below and fn 104 thereto.</w:t>
      </w:r>
    </w:p>
  </w:footnote>
  <w:footnote w:id="3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2.1.</w:t>
      </w:r>
    </w:p>
  </w:footnote>
  <w:footnote w:id="4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2.2. Mexico also claimed that the 2013 Tuna Measure nullifies or impairs benefits that accrue to Mexico under the GATT 1994 within the meaning of Article XXIII:1(b) of the GATT 1994.</w:t>
      </w:r>
    </w:p>
  </w:footnote>
  <w:footnote w:id="4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7.24. The first compliance panel agreed with both parties that the 2013 Tuna Measure was a "technical regulation" for the purpose of the TBT Agreement, and that the relevant tuna products were "like". (Ibid., para. 7.71) The first compliance panel disagreed with the United States that the [2013 Rule] is "separable from the rest of the tuna measure". The first compliance panel instead expressed the view that the 2013 Final Rule was "an integral component" of the 2013 Tuna Measure and "the fact that it add[ed] new requirements rather than changing pre-existing requirements … d[id] not have the effect of removing the rest of the tuna measure, which was the object of the DSB's rulings and recommendations, from [the first compliance panel's] jurisdiction." (Ibid., para. 7.41 (fn omitted))</w:t>
      </w:r>
    </w:p>
  </w:footnote>
  <w:footnote w:id="4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paras. 7.135 and 8.2.a.</w:t>
      </w:r>
    </w:p>
  </w:footnote>
  <w:footnote w:id="4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paras. 7.451, 7.499, and 8.3.a.</w:t>
      </w:r>
    </w:p>
  </w:footnote>
  <w:footnote w:id="4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paras. 7.233, 7.263, 7.400, 7.456, 7.465, 7.501, 7.503, 8.2.b-c, and 8.3.b-c.</w:t>
      </w:r>
    </w:p>
  </w:footnote>
  <w:footnote w:id="4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paras. 7.541 and 8.4.</w:t>
      </w:r>
    </w:p>
  </w:footnote>
  <w:footnote w:id="46">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First Compliance Panel Report, paras. </w:t>
      </w:r>
      <w:r w:rsidRPr="002E4AF8">
        <w:rPr>
          <w:szCs w:val="16"/>
          <w:lang w:val="es-ES"/>
        </w:rPr>
        <w:t>7.585, 7.605, 7.611, and 8.5.</w:t>
      </w:r>
    </w:p>
  </w:footnote>
  <w:footnote w:id="4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paras. 7.230, 7.282, 7.335, and 8.1.</w:t>
      </w:r>
    </w:p>
  </w:footnote>
  <w:footnote w:id="4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See Appellate Body Report, </w:t>
      </w:r>
      <w:r w:rsidRPr="002E4AF8">
        <w:rPr>
          <w:i/>
          <w:szCs w:val="16"/>
          <w:lang w:val="es-ES"/>
        </w:rPr>
        <w:t>US – Tuna II (Mexico) (Article 21.5 – Mexico)</w:t>
      </w:r>
      <w:r w:rsidRPr="002E4AF8">
        <w:rPr>
          <w:szCs w:val="16"/>
          <w:lang w:val="es-ES"/>
        </w:rPr>
        <w:t>, paras. 7.14</w:t>
      </w:r>
      <w:r w:rsidRPr="002E4AF8">
        <w:rPr>
          <w:szCs w:val="16"/>
          <w:lang w:val="es-ES"/>
        </w:rPr>
        <w:noBreakHyphen/>
        <w:t>7.21, 7.169, 7.229, and 7.335.</w:t>
      </w:r>
    </w:p>
  </w:footnote>
  <w:footnote w:id="49">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See Appellate Body Report, </w:t>
      </w:r>
      <w:r w:rsidRPr="002E4AF8">
        <w:rPr>
          <w:i/>
          <w:szCs w:val="16"/>
          <w:lang w:val="es-ES"/>
        </w:rPr>
        <w:t>US – Tuna II (Mexico) (Article 21.5 – Mexico)</w:t>
      </w:r>
      <w:r w:rsidRPr="002E4AF8">
        <w:rPr>
          <w:szCs w:val="16"/>
          <w:lang w:val="es-ES"/>
        </w:rPr>
        <w:t>, paras. 7.169, 7.229, and 7.334.</w:t>
      </w:r>
    </w:p>
  </w:footnote>
  <w:footnote w:id="5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paras. 7.238, 7.266, 7.340, 7.360, and 8.1.</w:t>
      </w:r>
    </w:p>
  </w:footnote>
  <w:footnote w:id="5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Panel Reports, para. 7.2 (referring to Appellate Body Report, </w:t>
      </w:r>
      <w:r w:rsidRPr="002E4AF8">
        <w:rPr>
          <w:i/>
          <w:szCs w:val="16"/>
          <w:lang w:val="es-ES"/>
        </w:rPr>
        <w:t xml:space="preserve">US – Tuna II (Mexico) </w:t>
      </w:r>
      <w:r w:rsidRPr="002E4AF8">
        <w:rPr>
          <w:i/>
          <w:szCs w:val="16"/>
          <w:lang w:val="es-ES"/>
        </w:rPr>
        <w:br/>
        <w:t>(Article 21.5 – Mexico)</w:t>
      </w:r>
      <w:r w:rsidRPr="002E4AF8">
        <w:rPr>
          <w:szCs w:val="16"/>
          <w:lang w:val="es-ES"/>
        </w:rPr>
        <w:t>, para. 8.1).</w:t>
      </w:r>
    </w:p>
  </w:footnote>
  <w:footnote w:id="52">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8.2.</w:t>
      </w:r>
    </w:p>
  </w:footnote>
  <w:footnote w:id="5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On 10 March 2016, Mexico requested authorization from the DSB to suspend concessions to the United States in the amount of US$472.3 million annually (WT/DS381/29). On 25 April 2017, while the compliance proceedings were pending before the Panels, the Arbitrator circulated its decision to WTO Members. The Arbitrator determined that the level of nullification or impairment suffered by Mexico as a result of the 2013 Tuna Measure is US$163.23 million annually. The Arbitrator concluded that, in accordance with Article 22.4 of the DSU, Mexico may request authorization from the DSB to suspend concessions or other obligations up to a level not exceeding US$163.23 million annually. (Decision by the Arbitrator, </w:t>
      </w:r>
      <w:r w:rsidRPr="002E4AF8">
        <w:rPr>
          <w:i/>
          <w:szCs w:val="16"/>
        </w:rPr>
        <w:t>US – Tuna II (Mexico) (Article 22.6 – US</w:t>
      </w:r>
      <w:r w:rsidRPr="002E4AF8">
        <w:rPr>
          <w:szCs w:val="16"/>
        </w:rPr>
        <w:t>), para. 7.1) On 11 May 2017, Mexico requested authorization from the DSB to suspend the application of certain tariff concessions and related obligations to the United States under the GATT 1994 in the amount of US$163.23 million. (WT/DS381/44) At its meeting on 22 May 2017, the DSB authorized Mexico to suspend the application to the United States of concessions or other obligations. (WT/DSB/M/397)</w:t>
      </w:r>
    </w:p>
  </w:footnote>
  <w:footnote w:id="5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2.3. See also Enhanced Document Requirements and Captain Training Requirements to Support Use of the Dolphin Safe Label on Tuna Products, </w:t>
      </w:r>
      <w:r w:rsidRPr="002E4AF8">
        <w:rPr>
          <w:i/>
          <w:szCs w:val="16"/>
        </w:rPr>
        <w:t>United States Federal Register</w:t>
      </w:r>
      <w:r w:rsidRPr="002E4AF8">
        <w:rPr>
          <w:szCs w:val="16"/>
        </w:rPr>
        <w:t>, Vol. 81, No. 56 (23 March 2016) (Panel Exhibit MEX</w:t>
      </w:r>
      <w:r w:rsidRPr="002E4AF8">
        <w:rPr>
          <w:szCs w:val="16"/>
        </w:rPr>
        <w:noBreakHyphen/>
        <w:t>47).</w:t>
      </w:r>
    </w:p>
  </w:footnote>
  <w:footnote w:id="5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7.3.</w:t>
      </w:r>
    </w:p>
  </w:footnote>
  <w:footnote w:id="5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WT/DS381/32; WT/DS381/38. In addition to Article 21.5 of the DSU, Mexico's request was also made pursuant to Article 6 of the DSU, Article 14 of the TBT Agreement, and Article XXIII of the GATT 1994. (See WT/DS381/38. See also Panel Reports, para. 1.7)</w:t>
      </w:r>
    </w:p>
  </w:footnote>
  <w:footnote w:id="5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1.11-1.13.</w:t>
      </w:r>
    </w:p>
  </w:footnote>
  <w:footnote w:id="5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3.1.</w:t>
      </w:r>
    </w:p>
  </w:footnote>
  <w:footnote w:id="5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3.2.</w:t>
      </w:r>
    </w:p>
  </w:footnote>
  <w:footnote w:id="6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Australia, Canada, the European Union, Japan, New Zealand, and Norway supported the United States' request, while Brazil, China, Ecuador, Guatemala, India, and Korea opposed it. (Panel Reports, paras. 7.14-7.15)</w:t>
      </w:r>
    </w:p>
  </w:footnote>
  <w:footnote w:id="6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1.14.</w:t>
      </w:r>
    </w:p>
  </w:footnote>
  <w:footnote w:id="6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7.10-7.13.</w:t>
      </w:r>
    </w:p>
  </w:footnote>
  <w:footnote w:id="6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1.19. See also Annex A-4 to the Panel Reports (Panels' Additional Working Procedures).</w:t>
      </w:r>
    </w:p>
  </w:footnote>
  <w:footnote w:id="6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1.20 and 7.5-7.34. In addition, upon request by both parties, the Panels adopted Additional Working Procedures of the Panels Concerning Business Confidential Information. (See Panel Reports, paras. 1.22-1.23; Annex A-3 to the Panel Reports)</w:t>
      </w:r>
    </w:p>
  </w:footnote>
  <w:footnote w:id="6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2.1 and 7.47. In addition to the three items referred to above, the Panels noted that Mexico, in its panel request in these compliance proceedings, also referred to "[a]ny implementing guidance, directives, policy announcements or any other document issued in relation to instruments [(i)] through [(iii)] above, including any modifications or amendments in relation to those instruments". (Ibid., para. 7.43 (quoting Mexico's panel request, p. 2)) Having reviewed all of Mexico's submissions and evidence in these compliance proceedings, the Panels observed that Mexico's description had referred to this additional element "in the abstract, without arguing that in fact there exists such an element which is subsumed within the definition of the measure taken to comply subject to these proceedings". (Ibid., para. 7.44) Furthermore, the Panels considered that "the claims and arguments that Mexico has presented in these proceedings [did] not in any way pertain to this alleged additional element of the 2016 Tuna Measure." (Ibid.)</w:t>
      </w:r>
    </w:p>
  </w:footnote>
  <w:footnote w:id="6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7.74-7.75 and 7.729-7.730.</w:t>
      </w:r>
    </w:p>
  </w:footnote>
  <w:footnote w:id="6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7.79.</w:t>
      </w:r>
    </w:p>
  </w:footnote>
  <w:footnote w:id="6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7.103.</w:t>
      </w:r>
    </w:p>
  </w:footnote>
  <w:footnote w:id="6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section 7.7.</w:t>
      </w:r>
    </w:p>
  </w:footnote>
  <w:footnote w:id="7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These elements of the 2016 Tuna Measure are explained in section 5.2 below.</w:t>
      </w:r>
    </w:p>
  </w:footnote>
  <w:footnote w:id="7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7.547, 7.611, 7.676, and 7.717.</w:t>
      </w:r>
    </w:p>
  </w:footnote>
  <w:footnote w:id="7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7.740.</w:t>
      </w:r>
    </w:p>
  </w:footnote>
  <w:footnote w:id="7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8.2 and 8.6.</w:t>
      </w:r>
    </w:p>
  </w:footnote>
  <w:footnote w:id="7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8.7.</w:t>
      </w:r>
    </w:p>
  </w:footnote>
  <w:footnote w:id="7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8.3 and 8.7.</w:t>
      </w:r>
    </w:p>
  </w:footnote>
  <w:footnote w:id="7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8.4-8.5 and 8.8-8.9.</w:t>
      </w:r>
    </w:p>
  </w:footnote>
  <w:footnote w:id="7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Pursuant to Rules 20 and 21, respectively, of the Working Procedures for Appellate Review, WT/AB/WP/6, 16 August 2010 (Working Procedures).</w:t>
      </w:r>
    </w:p>
  </w:footnote>
  <w:footnote w:id="7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Pursuant to Rule 22 of the Working Procedures.</w:t>
      </w:r>
    </w:p>
  </w:footnote>
  <w:footnote w:id="7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Pursuant to Rule 24(1) of the Working Procedures. According to the Working Schedule drawn up by the Division hearing this appeal, the third participants' submissions and executive summaries were due on 3 January 2018. On 20 December 2017, the Appellate Body Division issued a procedural ruling extending the deadline to 4 January 2018 for all third participants following a request by Japan dated 19 December 2017 to extend the deadline. The Procedural Ruling is contained in Annex D of the Addendum to this Report, WT/DS381/AB/RW/USA/Add.1; WT/DS381/AB/RW2/Add.1.</w:t>
      </w:r>
    </w:p>
  </w:footnote>
  <w:footnote w:id="8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Pursuant to Rule 24(2) of the Working Procedures. Canada, New Zealand, and Norway each notified its intention on 3 January 2018, and the other third participants did so on 4 January 2018.</w:t>
      </w:r>
    </w:p>
  </w:footnote>
  <w:footnote w:id="8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On 27 July 2018, Korea submitted its delegation list for the oral hearing to the Appellate Body Secretariat and the participants and third participants in this dispute. For the purpose of this appeal, we have interpreted this action as a notification expressing Korea's intention to attend the oral hearing pursuant to Rule 24(4) of the Working Procedures.</w:t>
      </w:r>
    </w:p>
  </w:footnote>
  <w:footnote w:id="8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WT/DS381/46. The letter is contained in Annex E of the Addendum to this Report, WT/DS381/AB/RW/USA/Add.1; WT/DS381/AB/RW2/Add.1.</w:t>
      </w:r>
    </w:p>
  </w:footnote>
  <w:footnote w:id="8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8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85">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6.2.</w:t>
      </w:r>
    </w:p>
  </w:footnote>
  <w:footnote w:id="86">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Belize, Colombia, Costa Rica, Ecuador, El Salvador, the European Union, Guatemala, Honduras, Mexico, Nicaragua, Panama, Peru, the United States, and Venezuela are parties to the AIDCP. </w:t>
      </w:r>
      <w:r w:rsidRPr="002E4AF8">
        <w:rPr>
          <w:szCs w:val="16"/>
        </w:rPr>
        <w:t xml:space="preserve">Bolivia and Vanuatu apply the AIDCP provisionally. (Appellate Body Report, </w:t>
      </w:r>
      <w:r w:rsidRPr="002E4AF8">
        <w:rPr>
          <w:i/>
          <w:szCs w:val="16"/>
        </w:rPr>
        <w:t>US – Tuna II (Mexico) (Article 21.5 – Mexico)</w:t>
      </w:r>
      <w:r w:rsidRPr="002E4AF8">
        <w:rPr>
          <w:szCs w:val="16"/>
        </w:rPr>
        <w:t>, fn 106 to para. </w:t>
      </w:r>
      <w:r w:rsidRPr="002E4AF8">
        <w:rPr>
          <w:szCs w:val="16"/>
          <w:lang w:val="es-ES"/>
        </w:rPr>
        <w:t>6.4)</w:t>
      </w:r>
    </w:p>
  </w:footnote>
  <w:footnote w:id="8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6.4.</w:t>
      </w:r>
    </w:p>
  </w:footnote>
  <w:footnote w:id="8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Original Panel Report, para. 7.306; Appellate Body Report, </w:t>
      </w:r>
      <w:r w:rsidRPr="002E4AF8">
        <w:rPr>
          <w:i/>
          <w:szCs w:val="16"/>
          <w:lang w:val="es-ES"/>
        </w:rPr>
        <w:t>US – Tuna II (Mexico)</w:t>
      </w:r>
      <w:r w:rsidRPr="002E4AF8">
        <w:rPr>
          <w:szCs w:val="16"/>
          <w:lang w:val="es-ES"/>
        </w:rPr>
        <w:t>, fn 355 to para. 172.</w:t>
      </w:r>
    </w:p>
  </w:footnote>
  <w:footnote w:id="89">
    <w:p w:rsidR="00BA4B71" w:rsidRPr="002E4AF8" w:rsidRDefault="00BA4B71" w:rsidP="002E4AF8">
      <w:pPr>
        <w:pStyle w:val="FootnoteText"/>
        <w:keepLines/>
        <w:rPr>
          <w:szCs w:val="16"/>
        </w:rPr>
      </w:pPr>
      <w:bookmarkStart w:id="41" w:name="_Hlk529193666"/>
      <w:r w:rsidRPr="002E4AF8">
        <w:rPr>
          <w:rStyle w:val="FootnoteReference"/>
          <w:szCs w:val="16"/>
        </w:rPr>
        <w:footnoteRef/>
      </w:r>
      <w:r w:rsidRPr="002E4AF8">
        <w:rPr>
          <w:szCs w:val="16"/>
          <w:lang w:val="es-ES"/>
        </w:rPr>
        <w:t xml:space="preserve"> Appellate Body Report, </w:t>
      </w:r>
      <w:r w:rsidRPr="002E4AF8">
        <w:rPr>
          <w:i/>
          <w:szCs w:val="16"/>
          <w:lang w:val="es-ES"/>
        </w:rPr>
        <w:t>US – Tuna II (Mexico)</w:t>
      </w:r>
      <w:r w:rsidRPr="002E4AF8">
        <w:rPr>
          <w:szCs w:val="16"/>
          <w:lang w:val="es-ES"/>
        </w:rPr>
        <w:t>, fn 355 to para. </w:t>
      </w:r>
      <w:r w:rsidRPr="002E4AF8">
        <w:rPr>
          <w:szCs w:val="16"/>
        </w:rPr>
        <w:t>172. See also ibid., para. 248; Original Panel Report,</w:t>
      </w:r>
      <w:r w:rsidRPr="002E4AF8">
        <w:rPr>
          <w:i/>
          <w:szCs w:val="16"/>
          <w:lang w:eastAsia="en-US"/>
        </w:rPr>
        <w:t xml:space="preserve"> </w:t>
      </w:r>
      <w:r w:rsidRPr="002E4AF8">
        <w:rPr>
          <w:szCs w:val="16"/>
        </w:rPr>
        <w:t>para. 7.306.</w:t>
      </w:r>
      <w:bookmarkEnd w:id="41"/>
    </w:p>
  </w:footnote>
  <w:footnote w:id="9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w:t>
      </w:r>
      <w:r w:rsidRPr="002E4AF8">
        <w:rPr>
          <w:szCs w:val="16"/>
        </w:rPr>
        <w:t xml:space="preserve">, para. 234. See also Original Panel Report, para. 7.308; Appellate Body Report, </w:t>
      </w:r>
      <w:r w:rsidRPr="002E4AF8">
        <w:rPr>
          <w:i/>
          <w:szCs w:val="16"/>
        </w:rPr>
        <w:t>US – Tuna II (Mexico) (Article 21.5 – Mexico)</w:t>
      </w:r>
      <w:r w:rsidRPr="002E4AF8">
        <w:rPr>
          <w:szCs w:val="16"/>
        </w:rPr>
        <w:t>, para. 6.5.</w:t>
      </w:r>
    </w:p>
  </w:footnote>
  <w:footnote w:id="9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 2.35.</w:t>
      </w:r>
    </w:p>
  </w:footnote>
  <w:footnote w:id="9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paras. 2.39 and 7.609.</w:t>
      </w:r>
    </w:p>
  </w:footnote>
  <w:footnote w:id="9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Large purse seine vessels are defined as vessels with a carrying capacity greater than 363 metric tons. The AIDCP does not apply to other fishing vessels in the ETP, such as longline vessels and pole and line vessels. According to the United States, this is because such vessels are not capable of setting on dolphins. </w:t>
      </w:r>
      <w:r w:rsidRPr="002E4AF8">
        <w:rPr>
          <w:szCs w:val="16"/>
          <w:lang w:val="es-ES"/>
        </w:rPr>
        <w:t xml:space="preserve">(Appellate Body Report, </w:t>
      </w:r>
      <w:r w:rsidRPr="002E4AF8">
        <w:rPr>
          <w:i/>
          <w:szCs w:val="16"/>
          <w:lang w:val="es-ES"/>
        </w:rPr>
        <w:t>US – Tuna II (Mexico)</w:t>
      </w:r>
      <w:r w:rsidRPr="002E4AF8">
        <w:rPr>
          <w:szCs w:val="16"/>
          <w:lang w:val="es-ES"/>
        </w:rPr>
        <w:t xml:space="preserve"> </w:t>
      </w:r>
      <w:r w:rsidRPr="002E4AF8">
        <w:rPr>
          <w:i/>
          <w:szCs w:val="16"/>
          <w:lang w:val="es-ES"/>
        </w:rPr>
        <w:t>(Article 21.5 – Mexico)</w:t>
      </w:r>
      <w:r w:rsidRPr="002E4AF8">
        <w:rPr>
          <w:szCs w:val="16"/>
          <w:lang w:val="es-ES"/>
        </w:rPr>
        <w:t xml:space="preserve">, para. </w:t>
      </w:r>
      <w:r w:rsidRPr="002E4AF8">
        <w:rPr>
          <w:szCs w:val="16"/>
        </w:rPr>
        <w:t>6.6 and fn 116 thereto (referring to United States' appellant's submission in the first compliance proceedings, fn 61 to para. 65; AIDCP, Annexes I, IV(I)(3)(c), and VII(6) (Original Panel Exhibit MEX</w:t>
      </w:r>
      <w:r w:rsidRPr="002E4AF8">
        <w:rPr>
          <w:szCs w:val="16"/>
        </w:rPr>
        <w:noBreakHyphen/>
        <w:t>11); AIDCP, as amended October 2009, Article I:8 and Annex II, paras. 1-3 (First Compliance Panel Exhibit MEX</w:t>
      </w:r>
      <w:r w:rsidRPr="002E4AF8">
        <w:rPr>
          <w:szCs w:val="16"/>
        </w:rPr>
        <w:noBreakHyphen/>
        <w:t>30)))</w:t>
      </w:r>
    </w:p>
  </w:footnote>
  <w:footnote w:id="9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 2.34.</w:t>
      </w:r>
    </w:p>
  </w:footnote>
  <w:footnote w:id="9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Original Panel Report, para. 2.40 (quoting AIDCP, Resolution to Adopt the Modified System for Tracking and Verification of Tuna (20 June 2001) (Original Panel Exhibit MEX</w:t>
      </w:r>
      <w:r w:rsidRPr="002E4AF8">
        <w:rPr>
          <w:szCs w:val="16"/>
        </w:rPr>
        <w:noBreakHyphen/>
        <w:t xml:space="preserve">55)). (emphasis original) </w:t>
      </w:r>
    </w:p>
  </w:footnote>
  <w:footnote w:id="9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7.47 and </w:t>
      </w:r>
      <w:r w:rsidRPr="002E4AF8">
        <w:rPr>
          <w:i/>
          <w:szCs w:val="16"/>
        </w:rPr>
        <w:t>supra</w:t>
      </w:r>
      <w:r w:rsidRPr="002E4AF8">
        <w:rPr>
          <w:szCs w:val="16"/>
        </w:rPr>
        <w:t>, fn </w:t>
      </w:r>
      <w:r w:rsidRPr="002E4AF8">
        <w:rPr>
          <w:szCs w:val="16"/>
        </w:rPr>
        <w:fldChar w:fldCharType="begin"/>
      </w:r>
      <w:r w:rsidRPr="002E4AF8">
        <w:rPr>
          <w:szCs w:val="16"/>
        </w:rPr>
        <w:instrText xml:space="preserve"> NOTEREF _Ref529193845  \* MERGEFORMAT </w:instrText>
      </w:r>
      <w:r w:rsidRPr="002E4AF8">
        <w:rPr>
          <w:szCs w:val="16"/>
        </w:rPr>
        <w:fldChar w:fldCharType="separate"/>
      </w:r>
      <w:r>
        <w:rPr>
          <w:szCs w:val="16"/>
        </w:rPr>
        <w:t>65</w:t>
      </w:r>
      <w:r w:rsidRPr="002E4AF8">
        <w:rPr>
          <w:szCs w:val="16"/>
        </w:rPr>
        <w:fldChar w:fldCharType="end"/>
      </w:r>
      <w:r w:rsidRPr="002E4AF8">
        <w:rPr>
          <w:szCs w:val="16"/>
        </w:rPr>
        <w:t>.</w:t>
      </w:r>
    </w:p>
  </w:footnote>
  <w:footnote w:id="9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sidDel="00E96808">
        <w:rPr>
          <w:szCs w:val="16"/>
        </w:rPr>
        <w:t xml:space="preserve">Panel Reports, </w:t>
      </w:r>
      <w:r w:rsidRPr="002E4AF8">
        <w:rPr>
          <w:szCs w:val="16"/>
        </w:rPr>
        <w:t>para. </w:t>
      </w:r>
      <w:r w:rsidRPr="002E4AF8" w:rsidDel="00E96808">
        <w:rPr>
          <w:szCs w:val="16"/>
        </w:rPr>
        <w:t>2.1.</w:t>
      </w:r>
    </w:p>
  </w:footnote>
  <w:footnote w:id="9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7.49, 7.186, and 7.705. See also Appellate Body Report,</w:t>
      </w:r>
      <w:r w:rsidRPr="002E4AF8">
        <w:rPr>
          <w:i/>
          <w:szCs w:val="16"/>
        </w:rPr>
        <w:t xml:space="preserve"> US – Tuna II (Mexico)</w:t>
      </w:r>
      <w:r w:rsidRPr="002E4AF8">
        <w:rPr>
          <w:szCs w:val="16"/>
        </w:rPr>
        <w:t>, para. 302; Original Panel Report, paras. 7.401 and 7.425.</w:t>
      </w:r>
    </w:p>
  </w:footnote>
  <w:footnote w:id="9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2.4 (referring to DPCIA (Panel Exhibits MEX</w:t>
      </w:r>
      <w:r w:rsidRPr="002E4AF8">
        <w:rPr>
          <w:szCs w:val="16"/>
        </w:rPr>
        <w:noBreakHyphen/>
        <w:t>1 and USA</w:t>
      </w:r>
      <w:r w:rsidRPr="002E4AF8">
        <w:rPr>
          <w:szCs w:val="16"/>
        </w:rPr>
        <w:noBreakHyphen/>
        <w:t>1), Section 1385(d); 2016 implementing regulations (Panel Exhibits MEX</w:t>
      </w:r>
      <w:r w:rsidRPr="002E4AF8">
        <w:rPr>
          <w:szCs w:val="16"/>
        </w:rPr>
        <w:noBreakHyphen/>
        <w:t>2 and USA</w:t>
      </w:r>
      <w:r w:rsidRPr="002E4AF8">
        <w:rPr>
          <w:szCs w:val="16"/>
        </w:rPr>
        <w:noBreakHyphen/>
        <w:t>2), Section 216.91(a)). See also ibid., para. 7.49.</w:t>
      </w:r>
    </w:p>
  </w:footnote>
  <w:footnote w:id="10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7.70; First Compliance Panel Report, para. 3.33.</w:t>
      </w:r>
    </w:p>
  </w:footnote>
  <w:footnote w:id="10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7.67-7.69 (referring to 2016 implementing regulations (Panel Exhibits MEX</w:t>
      </w:r>
      <w:r w:rsidRPr="002E4AF8">
        <w:rPr>
          <w:szCs w:val="16"/>
        </w:rPr>
        <w:noBreakHyphen/>
        <w:t>2 and USA</w:t>
      </w:r>
      <w:r w:rsidRPr="002E4AF8">
        <w:rPr>
          <w:szCs w:val="16"/>
        </w:rPr>
        <w:noBreakHyphen/>
        <w:t>2), Section 216.91(a)(3)(v)). As further explained in paragraph 5.15 below, the 2013 Tuna Measure also contained certain determination provisions, elements of which were modified under the 2016 Tuna Measure.</w:t>
      </w:r>
    </w:p>
  </w:footnote>
  <w:footnote w:id="10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DPCIA (Original Panel Exhibit US</w:t>
      </w:r>
      <w:r w:rsidRPr="002E4AF8">
        <w:rPr>
          <w:szCs w:val="16"/>
        </w:rPr>
        <w:noBreakHyphen/>
        <w:t>5), Section 1385(b)</w:t>
      </w:r>
      <w:r w:rsidRPr="002E4AF8">
        <w:rPr>
          <w:szCs w:val="16"/>
        </w:rPr>
        <w:noBreakHyphen/>
        <w:t>(d).</w:t>
      </w:r>
    </w:p>
  </w:footnote>
  <w:footnote w:id="10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In 1997, the US Congress adopted the International Dolphin Conservation Program Act (IDCPA), which attempted to amend the DPCIA and change the criterion of accessing the US dolphin</w:t>
      </w:r>
      <w:r w:rsidRPr="002E4AF8">
        <w:rPr>
          <w:szCs w:val="16"/>
        </w:rPr>
        <w:noBreakHyphen/>
        <w:t xml:space="preserve">safe label from "no encirclement of dolphins" (i.e. no setting on dolphins) to "no dolphin </w:t>
      </w:r>
      <w:r w:rsidRPr="002E4AF8">
        <w:rPr>
          <w:i/>
          <w:szCs w:val="16"/>
        </w:rPr>
        <w:t>mortality</w:t>
      </w:r>
      <w:r w:rsidRPr="002E4AF8">
        <w:rPr>
          <w:szCs w:val="16"/>
        </w:rPr>
        <w:t xml:space="preserve"> or serious injury", akin to the standard under the AIDCP as described in paragraph 5.5 above. However, the US Congress made this amendment of the DPCIA contingent upon the outcome of scientific studies on the effects of setting on dolphins, to be undertaken by US agencies in cooperation with the IATTC. On 31 December 2002, the US Secretary of Commerce determined that there was insufficient evidence to conclude that intentional encirclement of dolphins with purse seine nets was having a significant adverse effect on "depleted dolphin stock in the ETP". </w:t>
      </w:r>
      <w:r w:rsidRPr="002E4AF8">
        <w:rPr>
          <w:szCs w:val="16"/>
          <w:lang w:val="es-ES"/>
        </w:rPr>
        <w:t xml:space="preserve">(Appellate Body Report, </w:t>
      </w:r>
      <w:r w:rsidRPr="002E4AF8">
        <w:rPr>
          <w:i/>
          <w:szCs w:val="16"/>
          <w:lang w:val="es-ES"/>
        </w:rPr>
        <w:t>US – Tuna II (Mexico) (Article 21.5 – Mexico)</w:t>
      </w:r>
      <w:r w:rsidRPr="002E4AF8">
        <w:rPr>
          <w:szCs w:val="16"/>
          <w:lang w:val="es-ES"/>
        </w:rPr>
        <w:t>, para. </w:t>
      </w:r>
      <w:r w:rsidRPr="002E4AF8">
        <w:rPr>
          <w:szCs w:val="16"/>
        </w:rPr>
        <w:t>6.9 and fn 127 thereto)</w:t>
      </w:r>
    </w:p>
  </w:footnote>
  <w:footnote w:id="10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 determination by the US Secretary of Commerce was challenged in the US District Court for the Northern District of California by the Earth Island Institute and a number of other organizations. The court ruled in </w:t>
      </w:r>
      <w:r w:rsidRPr="002E4AF8">
        <w:rPr>
          <w:i/>
          <w:szCs w:val="16"/>
        </w:rPr>
        <w:t xml:space="preserve">Earth Island Institute v. Evans </w:t>
      </w:r>
      <w:r w:rsidRPr="002E4AF8">
        <w:rPr>
          <w:szCs w:val="16"/>
        </w:rPr>
        <w:t>that the Secretary's finding was "arbitrary, capricious, an abuse of discretion, or otherwise not in accordance with the law". The court also clarified that "dolphin</w:t>
      </w:r>
      <w:r w:rsidRPr="002E4AF8">
        <w:rPr>
          <w:szCs w:val="16"/>
        </w:rPr>
        <w:noBreakHyphen/>
        <w:t xml:space="preserve">safe" shall continue to mean that: (i) no tuna was caught on the trip in which such tuna was harvested using a purse seine net intentionally deployed on or used to encircle dolphins; and (ii) no dolphins were killed or seriously injured during the sets in which the tuna was caught. </w:t>
      </w:r>
      <w:r w:rsidRPr="002E4AF8">
        <w:rPr>
          <w:szCs w:val="16"/>
          <w:lang w:val="es-ES"/>
        </w:rPr>
        <w:t>(</w:t>
      </w:r>
      <w:bookmarkStart w:id="51" w:name="_Hlk529185200"/>
      <w:r w:rsidRPr="002E4AF8">
        <w:rPr>
          <w:szCs w:val="16"/>
          <w:lang w:val="es-ES"/>
        </w:rPr>
        <w:t xml:space="preserve">Appellate Body Report, </w:t>
      </w:r>
      <w:r w:rsidRPr="002E4AF8">
        <w:rPr>
          <w:i/>
          <w:szCs w:val="16"/>
          <w:lang w:val="es-ES"/>
        </w:rPr>
        <w:t>US – Tuna II (Mexico) (Article 21.5 – Mexico)</w:t>
      </w:r>
      <w:r w:rsidRPr="002E4AF8">
        <w:rPr>
          <w:szCs w:val="16"/>
          <w:lang w:val="es-ES"/>
        </w:rPr>
        <w:t xml:space="preserve">, para. </w:t>
      </w:r>
      <w:r w:rsidRPr="002E4AF8">
        <w:rPr>
          <w:szCs w:val="16"/>
        </w:rPr>
        <w:t xml:space="preserve">6.9 and fn 128 thereto (referring to </w:t>
      </w:r>
      <w:r w:rsidRPr="002E4AF8">
        <w:rPr>
          <w:i/>
          <w:szCs w:val="16"/>
        </w:rPr>
        <w:t>Earth Island Institute v. Evans</w:t>
      </w:r>
      <w:r w:rsidRPr="002E4AF8">
        <w:rPr>
          <w:szCs w:val="16"/>
        </w:rPr>
        <w:t>, 34 ELR 20069 (N.D. Cal. 2004) (Original Panel Exhibit MEX</w:t>
      </w:r>
      <w:r w:rsidRPr="002E4AF8">
        <w:rPr>
          <w:szCs w:val="16"/>
        </w:rPr>
        <w:noBreakHyphen/>
        <w:t>29)</w:t>
      </w:r>
      <w:bookmarkEnd w:id="51"/>
      <w:r w:rsidRPr="002E4AF8">
        <w:rPr>
          <w:szCs w:val="16"/>
        </w:rPr>
        <w:t xml:space="preserve">, pp. 23-24)) On 13 July 2007, the ruling in </w:t>
      </w:r>
      <w:r w:rsidRPr="002E4AF8">
        <w:rPr>
          <w:i/>
          <w:szCs w:val="16"/>
        </w:rPr>
        <w:t>Earth Island Institute v. Evans</w:t>
      </w:r>
      <w:r w:rsidRPr="002E4AF8">
        <w:rPr>
          <w:szCs w:val="16"/>
        </w:rPr>
        <w:t xml:space="preserve"> was affirmed on appeal in </w:t>
      </w:r>
      <w:bookmarkStart w:id="52" w:name="_Hlk529185220"/>
      <w:r w:rsidRPr="002E4AF8">
        <w:rPr>
          <w:szCs w:val="16"/>
        </w:rPr>
        <w:t xml:space="preserve">United States Court of Appeals for the Ninth Circuit, </w:t>
      </w:r>
      <w:r w:rsidRPr="002E4AF8">
        <w:rPr>
          <w:i/>
          <w:szCs w:val="16"/>
        </w:rPr>
        <w:t>Earth Island Institute et al. v. William T. Hogarth</w:t>
      </w:r>
      <w:r w:rsidRPr="002E4AF8">
        <w:rPr>
          <w:szCs w:val="16"/>
        </w:rPr>
        <w:t xml:space="preserve">, 484 F.3d 1123 (9th Cir. 2007) and United States Court of Appeals for the Ninth Circuit, </w:t>
      </w:r>
      <w:r w:rsidRPr="002E4AF8">
        <w:rPr>
          <w:i/>
          <w:szCs w:val="16"/>
        </w:rPr>
        <w:t>Earth Island Institute et al. v. William T. Hogarth</w:t>
      </w:r>
      <w:r w:rsidRPr="002E4AF8">
        <w:rPr>
          <w:szCs w:val="16"/>
        </w:rPr>
        <w:t>, 494 F.3d 757 (9th Cir. 2007) (Panel Exhibit MEX</w:t>
      </w:r>
      <w:r w:rsidRPr="002E4AF8">
        <w:rPr>
          <w:szCs w:val="16"/>
        </w:rPr>
        <w:noBreakHyphen/>
        <w:t>3</w:t>
      </w:r>
      <w:bookmarkEnd w:id="52"/>
      <w:r w:rsidRPr="002E4AF8">
        <w:rPr>
          <w:szCs w:val="16"/>
        </w:rPr>
        <w:t>) (</w:t>
      </w:r>
      <w:r w:rsidRPr="002E4AF8">
        <w:rPr>
          <w:i/>
          <w:szCs w:val="16"/>
        </w:rPr>
        <w:t>Hogarth</w:t>
      </w:r>
      <w:r w:rsidRPr="002E4AF8">
        <w:rPr>
          <w:szCs w:val="16"/>
        </w:rPr>
        <w:t xml:space="preserve"> ruling).</w:t>
      </w:r>
    </w:p>
  </w:footnote>
  <w:footnote w:id="10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7.50 (referring to DPCIA (Panel Exhibits MEX</w:t>
      </w:r>
      <w:r w:rsidRPr="002E4AF8">
        <w:rPr>
          <w:szCs w:val="16"/>
        </w:rPr>
        <w:noBreakHyphen/>
        <w:t>1 and USA</w:t>
      </w:r>
      <w:r w:rsidRPr="002E4AF8">
        <w:rPr>
          <w:szCs w:val="16"/>
        </w:rPr>
        <w:noBreakHyphen/>
        <w:t>1), Section 1385(d); 2016 implementing regulations (Panel Exhibits MEX</w:t>
      </w:r>
      <w:r w:rsidRPr="002E4AF8">
        <w:rPr>
          <w:szCs w:val="16"/>
        </w:rPr>
        <w:noBreakHyphen/>
        <w:t>2 and USA</w:t>
      </w:r>
      <w:r w:rsidRPr="002E4AF8">
        <w:rPr>
          <w:szCs w:val="16"/>
        </w:rPr>
        <w:noBreakHyphen/>
        <w:t>2), Section 216.91(a)).</w:t>
      </w:r>
    </w:p>
  </w:footnote>
  <w:footnote w:id="10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7.50.</w:t>
      </w:r>
    </w:p>
  </w:footnote>
  <w:footnote w:id="10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7.51 and fn 88 thereto (referring to 2016 implementing regulations (Panel Exhibits MEX</w:t>
      </w:r>
      <w:r w:rsidRPr="002E4AF8">
        <w:rPr>
          <w:szCs w:val="16"/>
        </w:rPr>
        <w:noBreakHyphen/>
        <w:t>2 and USA</w:t>
      </w:r>
      <w:r w:rsidRPr="002E4AF8">
        <w:rPr>
          <w:szCs w:val="16"/>
        </w:rPr>
        <w:noBreakHyphen/>
        <w:t>2), Section 216.91(a)(3)).</w:t>
      </w:r>
    </w:p>
  </w:footnote>
  <w:footnote w:id="10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Large purse seine vessels are defined as vessels with a carrying capacity greater than 363 metric tons. See </w:t>
      </w:r>
      <w:r w:rsidRPr="002E4AF8">
        <w:rPr>
          <w:i/>
          <w:szCs w:val="16"/>
        </w:rPr>
        <w:t>supra</w:t>
      </w:r>
      <w:r w:rsidRPr="002E4AF8">
        <w:rPr>
          <w:szCs w:val="16"/>
        </w:rPr>
        <w:t xml:space="preserve">, fn </w:t>
      </w:r>
      <w:r w:rsidRPr="002E4AF8">
        <w:rPr>
          <w:szCs w:val="16"/>
        </w:rPr>
        <w:fldChar w:fldCharType="begin"/>
      </w:r>
      <w:r w:rsidRPr="002E4AF8">
        <w:rPr>
          <w:szCs w:val="16"/>
        </w:rPr>
        <w:instrText xml:space="preserve"> NOTEREF _Ref529970426  \* MERGEFORMAT </w:instrText>
      </w:r>
      <w:r w:rsidRPr="002E4AF8">
        <w:rPr>
          <w:szCs w:val="16"/>
        </w:rPr>
        <w:fldChar w:fldCharType="separate"/>
      </w:r>
      <w:r>
        <w:rPr>
          <w:szCs w:val="16"/>
        </w:rPr>
        <w:t>93</w:t>
      </w:r>
      <w:r w:rsidRPr="002E4AF8">
        <w:rPr>
          <w:szCs w:val="16"/>
        </w:rPr>
        <w:fldChar w:fldCharType="end"/>
      </w:r>
      <w:r w:rsidRPr="002E4AF8">
        <w:rPr>
          <w:szCs w:val="16"/>
        </w:rPr>
        <w:t>.</w:t>
      </w:r>
    </w:p>
  </w:footnote>
  <w:footnote w:id="10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As the Appellate Body in the first compliance proceedings noted, for the purpose of this dispute, the term "fishery" may be defined by the geographic region in which the fishing occurs, the vessel and fishing method used, and the target species. </w:t>
      </w:r>
      <w:r w:rsidRPr="002E4AF8">
        <w:rPr>
          <w:szCs w:val="16"/>
          <w:lang w:val="es-ES"/>
        </w:rPr>
        <w:t xml:space="preserve">(Appellate Body Report, </w:t>
      </w:r>
      <w:r w:rsidRPr="002E4AF8">
        <w:rPr>
          <w:i/>
          <w:szCs w:val="16"/>
          <w:lang w:val="es-ES"/>
        </w:rPr>
        <w:t>US – Tuna II (Mexico) (Article 21.5 – Mexico)</w:t>
      </w:r>
      <w:r w:rsidRPr="002E4AF8">
        <w:rPr>
          <w:szCs w:val="16"/>
          <w:lang w:val="es-ES"/>
        </w:rPr>
        <w:t>, fn 130 to para. </w:t>
      </w:r>
      <w:r w:rsidRPr="002E4AF8">
        <w:rPr>
          <w:szCs w:val="16"/>
        </w:rPr>
        <w:t>6.10)</w:t>
      </w:r>
    </w:p>
  </w:footnote>
  <w:footnote w:id="11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7.51 and 7.54 (referring to 2016 implementing regulations, Section 216.91(a)(1) and (3) (Panel Exhibits MEX</w:t>
      </w:r>
      <w:r w:rsidRPr="002E4AF8">
        <w:rPr>
          <w:szCs w:val="16"/>
        </w:rPr>
        <w:noBreakHyphen/>
        <w:t>2 and USA</w:t>
      </w:r>
      <w:r w:rsidRPr="002E4AF8">
        <w:rPr>
          <w:szCs w:val="16"/>
        </w:rPr>
        <w:noBreakHyphen/>
        <w:t>2)). This differs from the 2013 Tuna Measure, which distinguished between three general categories of fisheries: (i) large purse seine vessels in the ETP (the ETP large purse seine fishery); (ii) purse seine vessels outside the ETP (the non-ETP purse seine fishery); and (iii) other fisheries, which include non</w:t>
      </w:r>
      <w:r w:rsidRPr="002E4AF8">
        <w:rPr>
          <w:szCs w:val="16"/>
        </w:rPr>
        <w:noBreakHyphen/>
        <w:t xml:space="preserve">purse seine vessels in any ocean area and small purse seine vessels in the ETP. </w:t>
      </w:r>
      <w:r w:rsidRPr="002E4AF8">
        <w:rPr>
          <w:szCs w:val="16"/>
          <w:lang w:val="es-ES"/>
        </w:rPr>
        <w:t xml:space="preserve">(See Appellate Body Report, </w:t>
      </w:r>
      <w:r w:rsidRPr="002E4AF8">
        <w:rPr>
          <w:i/>
          <w:szCs w:val="16"/>
          <w:lang w:val="es-ES"/>
        </w:rPr>
        <w:t>US – Tuna II (Mexico) (Article 21.5 – Mexico)</w:t>
      </w:r>
      <w:r w:rsidRPr="002E4AF8">
        <w:rPr>
          <w:szCs w:val="16"/>
          <w:lang w:val="es-ES"/>
        </w:rPr>
        <w:t>, paras. </w:t>
      </w:r>
      <w:r w:rsidRPr="002E4AF8">
        <w:rPr>
          <w:szCs w:val="16"/>
        </w:rPr>
        <w:t>6.10</w:t>
      </w:r>
      <w:r w:rsidRPr="002E4AF8">
        <w:rPr>
          <w:szCs w:val="16"/>
        </w:rPr>
        <w:noBreakHyphen/>
        <w:t xml:space="preserve">6.11 (referring to </w:t>
      </w:r>
      <w:bookmarkStart w:id="57" w:name="_Hlk529185235"/>
      <w:r w:rsidRPr="002E4AF8">
        <w:rPr>
          <w:szCs w:val="16"/>
        </w:rPr>
        <w:t>DPCIA (First Compliance Panel Exhibit MEX</w:t>
      </w:r>
      <w:r w:rsidRPr="002E4AF8">
        <w:rPr>
          <w:szCs w:val="16"/>
        </w:rPr>
        <w:noBreakHyphen/>
        <w:t>8), Section 1385(d)(1)(B)</w:t>
      </w:r>
      <w:r w:rsidRPr="002E4AF8">
        <w:rPr>
          <w:szCs w:val="16"/>
        </w:rPr>
        <w:noBreakHyphen/>
        <w:t>(D) and Section 1385(d)(2); 2013 implementing regulations (First Compliance Panel Exhibit US</w:t>
      </w:r>
      <w:r w:rsidRPr="002E4AF8">
        <w:rPr>
          <w:szCs w:val="16"/>
        </w:rPr>
        <w:noBreakHyphen/>
        <w:t>2), Section 216.91(a)(1)-(2) and (4)</w:t>
      </w:r>
      <w:bookmarkEnd w:id="57"/>
      <w:r w:rsidRPr="002E4AF8">
        <w:rPr>
          <w:szCs w:val="16"/>
        </w:rPr>
        <w:t>))</w:t>
      </w:r>
    </w:p>
  </w:footnote>
  <w:footnote w:id="11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 United States explained in the first compliance proceedings that the IDCP was established by the AIDCP. According to the United States, one of the tools of enforcing the IDCP is the on</w:t>
      </w:r>
      <w:r w:rsidRPr="002E4AF8">
        <w:rPr>
          <w:szCs w:val="16"/>
        </w:rPr>
        <w:noBreakHyphen/>
        <w:t xml:space="preserve">board observer program that is described in Annex II to the AIDCP. Pursuant to Annex II, an observer must be on board a large purse seine vessel in the ETP during each fishing trip. The observer must: (i) have completed the specific training required by the guidelines established under the AIDCP; (ii) be a national of one of the IATTC parties; and (iii) be included in the list of observers maintained by the IATTC or, if part of a national observer program, by the party maintaining such a program. (United States' appellant's submission in the first compliance proceedings, paras. 65-66; </w:t>
      </w:r>
      <w:bookmarkStart w:id="58" w:name="_Hlk529185250"/>
      <w:r w:rsidRPr="002E4AF8">
        <w:rPr>
          <w:szCs w:val="16"/>
        </w:rPr>
        <w:t>AIDCP, as amended October 2009, Article I:8 and Annex II, paras. 1-3 (First Compliance Panel Exhibit MEX</w:t>
      </w:r>
      <w:r w:rsidRPr="002E4AF8">
        <w:rPr>
          <w:szCs w:val="16"/>
        </w:rPr>
        <w:noBreakHyphen/>
        <w:t>30)</w:t>
      </w:r>
      <w:bookmarkEnd w:id="58"/>
      <w:r w:rsidRPr="002E4AF8">
        <w:rPr>
          <w:szCs w:val="16"/>
        </w:rPr>
        <w:t>)</w:t>
      </w:r>
    </w:p>
  </w:footnote>
  <w:footnote w:id="11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 (referring to 2016 implementing regulations (Panel Exhibits MEX</w:t>
      </w:r>
      <w:r w:rsidRPr="002E4AF8">
        <w:rPr>
          <w:szCs w:val="16"/>
        </w:rPr>
        <w:noBreakHyphen/>
        <w:t>2 and USA</w:t>
      </w:r>
      <w:r w:rsidRPr="002E4AF8">
        <w:rPr>
          <w:szCs w:val="16"/>
        </w:rPr>
        <w:noBreakHyphen/>
        <w:t>2), Section 216.91(a)(1) and (b)(2)(iii)). See also 2016 implementing regulations (Panel Exhibits MEX</w:t>
      </w:r>
      <w:r w:rsidRPr="002E4AF8">
        <w:rPr>
          <w:szCs w:val="16"/>
        </w:rPr>
        <w:noBreakHyphen/>
        <w:t>2 and USA</w:t>
      </w:r>
      <w:r w:rsidRPr="002E4AF8">
        <w:rPr>
          <w:szCs w:val="16"/>
        </w:rPr>
        <w:noBreakHyphen/>
        <w:t>2), Section 216.92.</w:t>
      </w:r>
    </w:p>
  </w:footnote>
  <w:footnote w:id="11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7.51 and 7.53 (referring to 2016 implementing regulations (Panel Exhibits MEX</w:t>
      </w:r>
      <w:r w:rsidRPr="002E4AF8">
        <w:rPr>
          <w:szCs w:val="16"/>
        </w:rPr>
        <w:noBreakHyphen/>
        <w:t>2 and USA</w:t>
      </w:r>
      <w:r w:rsidRPr="002E4AF8">
        <w:rPr>
          <w:szCs w:val="16"/>
        </w:rPr>
        <w:noBreakHyphen/>
        <w:t>2), Section 216.91(a)(3)).</w:t>
      </w:r>
    </w:p>
  </w:footnote>
  <w:footnote w:id="11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7.53 (referring to 2016 implementing regulations (Panel Exhibits MEX</w:t>
      </w:r>
      <w:r w:rsidRPr="002E4AF8">
        <w:rPr>
          <w:szCs w:val="16"/>
        </w:rPr>
        <w:noBreakHyphen/>
        <w:t>2 and USA</w:t>
      </w:r>
      <w:r w:rsidRPr="002E4AF8">
        <w:rPr>
          <w:szCs w:val="16"/>
        </w:rPr>
        <w:noBreakHyphen/>
        <w:t>2), Section 216.91(a)(3)(iii)(B)).</w:t>
      </w:r>
    </w:p>
  </w:footnote>
  <w:footnote w:id="11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Assistant Administrator for Fisheries, NMFS, NOAA, or his/her designee. (</w:t>
      </w:r>
      <w:r w:rsidRPr="002E4AF8">
        <w:rPr>
          <w:rFonts w:eastAsia="Times New Roman"/>
          <w:i/>
          <w:iCs/>
          <w:szCs w:val="16"/>
        </w:rPr>
        <w:t>United States Code of Federal Regulations</w:t>
      </w:r>
      <w:r w:rsidRPr="002E4AF8">
        <w:rPr>
          <w:rFonts w:eastAsia="Times New Roman"/>
          <w:szCs w:val="16"/>
        </w:rPr>
        <w:t>, Title 50, Section 216.3</w:t>
      </w:r>
      <w:r w:rsidRPr="002E4AF8">
        <w:rPr>
          <w:szCs w:val="16"/>
        </w:rPr>
        <w:t xml:space="preserve"> (First Compliance Panel Exhibit MEX-20))</w:t>
      </w:r>
    </w:p>
  </w:footnote>
  <w:footnote w:id="11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In the first compliance panel proceedings, the United States identified the seven domestic fisheries where tuna is regularly harvested as: (i) American Samoa Pelagic Longline Fishery; (ii) Atlantic Bluefin Tuna Purse Seine Fishery; (iii) Atlantic Highly Migratory Species Pelagic Longline Fishery; (iv) California Deep-set Pelagic Longline Fishery; (v) California Large</w:t>
      </w:r>
      <w:r w:rsidRPr="002E4AF8">
        <w:rPr>
          <w:szCs w:val="16"/>
        </w:rPr>
        <w:noBreakHyphen/>
        <w:t>mesh Drift Gillnet Fishery; (vi) Hawaii Deep-set Longline Fishery; and (vii) Hawaii Shallow</w:t>
      </w:r>
      <w:r w:rsidRPr="002E4AF8">
        <w:rPr>
          <w:szCs w:val="16"/>
        </w:rPr>
        <w:noBreakHyphen/>
        <w:t xml:space="preserve">set Longline Fishery. (United States' second written submission to the first compliance panel, para. 128 and fn 244 thereto (referring to Determination of Observer Programs as Qualified and Authorized by the Assistant Administrator for Fisheries, </w:t>
      </w:r>
      <w:r w:rsidRPr="002E4AF8">
        <w:rPr>
          <w:i/>
          <w:szCs w:val="16"/>
        </w:rPr>
        <w:t>United States Federal Register</w:t>
      </w:r>
      <w:r w:rsidRPr="002E4AF8">
        <w:rPr>
          <w:szCs w:val="16"/>
        </w:rPr>
        <w:t>, Vol. 79, No. 134 (14 July 2014) (First Compliance Panel Exhibit US</w:t>
      </w:r>
      <w:r w:rsidRPr="002E4AF8">
        <w:rPr>
          <w:szCs w:val="16"/>
        </w:rPr>
        <w:noBreakHyphen/>
        <w:t xml:space="preserve">113), p. 40720). See also United States' appellee's submission, fn 679 to para. 624) </w:t>
      </w:r>
    </w:p>
  </w:footnote>
  <w:footnote w:id="11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Thus, tuna caught on a trip where no observer is already on board may still be labelled dolphin-safe with only a captain's certification. (See First Compliance Panel Report, para. 3.46; Appellate Body Report, </w:t>
      </w:r>
      <w:r w:rsidRPr="002E4AF8">
        <w:rPr>
          <w:szCs w:val="16"/>
        </w:rPr>
        <w:br/>
      </w:r>
      <w:r w:rsidRPr="002E4AF8">
        <w:rPr>
          <w:i/>
          <w:szCs w:val="16"/>
        </w:rPr>
        <w:t>US – Tuna II (Mexico) (Article 21.5 – Mexico)</w:t>
      </w:r>
      <w:r w:rsidRPr="002E4AF8">
        <w:rPr>
          <w:szCs w:val="16"/>
        </w:rPr>
        <w:t xml:space="preserve">, para. 6.23 and fn 171 thereto. See also para. 6.173 and fn 613 below) </w:t>
      </w:r>
    </w:p>
  </w:footnote>
  <w:footnote w:id="11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Appellate Body Report, </w:t>
      </w:r>
      <w:r w:rsidRPr="002E4AF8">
        <w:rPr>
          <w:i/>
          <w:szCs w:val="16"/>
        </w:rPr>
        <w:t>US – Tuna II (Mexico) (Article 21.5 – Mexico)</w:t>
      </w:r>
      <w:r w:rsidRPr="002E4AF8">
        <w:rPr>
          <w:szCs w:val="16"/>
        </w:rPr>
        <w:t>, para. 6.11 (referring to First Compliance Panel Report, paras. </w:t>
      </w:r>
      <w:r w:rsidRPr="002E4AF8">
        <w:rPr>
          <w:szCs w:val="16"/>
          <w:lang w:val="es-ES"/>
        </w:rPr>
        <w:t>7.249 and 7.256).</w:t>
      </w:r>
    </w:p>
  </w:footnote>
  <w:footnote w:id="119">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6.11 (referring to First Compliance Panel Report, paras. 7.249 and 7.256).</w:t>
      </w:r>
    </w:p>
  </w:footnote>
  <w:footnote w:id="12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 (Article 21.5 – Mexico)</w:t>
      </w:r>
      <w:r w:rsidRPr="002E4AF8">
        <w:rPr>
          <w:szCs w:val="16"/>
        </w:rPr>
        <w:t>, paras. 6.10-6.11. The Appellate Body upheld the first compliance panel's findings that the determination provisions in the 2013 Tuna Measure were not even</w:t>
      </w:r>
      <w:r w:rsidRPr="002E4AF8">
        <w:rPr>
          <w:szCs w:val="16"/>
        </w:rPr>
        <w:noBreakHyphen/>
        <w:t xml:space="preserve">handed. The first compliance panel found that the design of the determination provisions meant that, in some cases, fisheries other than the ETP large purse seine fishery may be treated differently, and less stringently, under the amended tuna measure even where the conditions in that fishery mirror those in the ETP large purse seine fishery, either in terms of the level of dolphin mortality or serious injury, on the one hand, or the degree of tuna-dolphin association, on the other hand. </w:t>
      </w:r>
      <w:r w:rsidRPr="002E4AF8">
        <w:rPr>
          <w:szCs w:val="16"/>
          <w:lang w:val="es-ES"/>
        </w:rPr>
        <w:t xml:space="preserve">(Appellate Body Report, </w:t>
      </w:r>
      <w:r w:rsidRPr="002E4AF8">
        <w:rPr>
          <w:i/>
          <w:szCs w:val="16"/>
          <w:lang w:val="es-ES"/>
        </w:rPr>
        <w:t>US – Tuna II (Mexico) (Article 21.5 – Mexico)</w:t>
      </w:r>
      <w:r w:rsidRPr="002E4AF8">
        <w:rPr>
          <w:szCs w:val="16"/>
          <w:lang w:val="es-ES"/>
        </w:rPr>
        <w:t>, paras. </w:t>
      </w:r>
      <w:r w:rsidRPr="002E4AF8">
        <w:rPr>
          <w:szCs w:val="16"/>
        </w:rPr>
        <w:t>7.182, 7.188, and 8.1.a.v; First Compliance Panel Report, para. 7.263)</w:t>
      </w:r>
    </w:p>
  </w:footnote>
  <w:footnote w:id="12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We recall that, under the 2013 Tuna Measure, these fisheries were further subdivided into: (i) the non-ETP purse seine fishery; and (ii) non</w:t>
      </w:r>
      <w:r w:rsidRPr="002E4AF8">
        <w:rPr>
          <w:szCs w:val="16"/>
        </w:rPr>
        <w:noBreakHyphen/>
        <w:t xml:space="preserve">purse seine vessels in any ocean area and small purse seine vessels in the ETP. (See para. 5.15 above and </w:t>
      </w:r>
      <w:r w:rsidRPr="002E4AF8">
        <w:rPr>
          <w:i/>
          <w:szCs w:val="16"/>
        </w:rPr>
        <w:t>supra</w:t>
      </w:r>
      <w:r w:rsidRPr="002E4AF8">
        <w:rPr>
          <w:szCs w:val="16"/>
        </w:rPr>
        <w:t xml:space="preserve">, fn 110. See also Appellate Body Report, </w:t>
      </w:r>
      <w:r w:rsidRPr="002E4AF8">
        <w:rPr>
          <w:i/>
          <w:szCs w:val="16"/>
        </w:rPr>
        <w:t>US – Tuna II (Mexico) (Article 21.5 – Mexico)</w:t>
      </w:r>
      <w:r w:rsidRPr="002E4AF8">
        <w:rPr>
          <w:szCs w:val="16"/>
        </w:rPr>
        <w:t>, paras. 6.10-6.11)</w:t>
      </w:r>
    </w:p>
  </w:footnote>
  <w:footnote w:id="12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7.51 and 7.68 (referring to 2016 implementing regulations (Panel Exhibits MEX</w:t>
      </w:r>
      <w:r w:rsidRPr="002E4AF8">
        <w:rPr>
          <w:szCs w:val="16"/>
        </w:rPr>
        <w:noBreakHyphen/>
        <w:t>2 and USA</w:t>
      </w:r>
      <w:r w:rsidRPr="002E4AF8">
        <w:rPr>
          <w:szCs w:val="16"/>
        </w:rPr>
        <w:noBreakHyphen/>
        <w:t>2), Section 216.91(a)(3)(v)).</w:t>
      </w:r>
    </w:p>
  </w:footnote>
  <w:footnote w:id="12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7.55-7.66.</w:t>
      </w:r>
    </w:p>
  </w:footnote>
  <w:footnote w:id="12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7.56-7.61. See also 2016 implementing regulations (Panel Exhibits MEX</w:t>
      </w:r>
      <w:r w:rsidRPr="002E4AF8">
        <w:rPr>
          <w:szCs w:val="16"/>
        </w:rPr>
        <w:noBreakHyphen/>
        <w:t>2 and USA</w:t>
      </w:r>
      <w:r w:rsidRPr="002E4AF8">
        <w:rPr>
          <w:szCs w:val="16"/>
        </w:rPr>
        <w:noBreakHyphen/>
        <w:t>2), Section 216.93(a)-(c)(1).</w:t>
      </w:r>
    </w:p>
  </w:footnote>
  <w:footnote w:id="12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7.62 (quoting United States' first written submission to the Panels, para. 143). See also ibid., paras. 7.63-7.67; 2016 implementing regulations (Panel Exhibits MEX</w:t>
      </w:r>
      <w:r w:rsidRPr="002E4AF8">
        <w:rPr>
          <w:szCs w:val="16"/>
        </w:rPr>
        <w:noBreakHyphen/>
        <w:t>2 and USA</w:t>
      </w:r>
      <w:r w:rsidRPr="002E4AF8">
        <w:rPr>
          <w:szCs w:val="16"/>
        </w:rPr>
        <w:noBreakHyphen/>
        <w:t>2), Section 216.91(4)-(5) and Section 216.93(c)(2)-(4).</w:t>
      </w:r>
    </w:p>
  </w:footnote>
  <w:footnote w:id="12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7.57 (referring to </w:t>
      </w:r>
      <w:bookmarkStart w:id="66" w:name="_Hlk529185345"/>
      <w:r w:rsidRPr="002E4AF8">
        <w:rPr>
          <w:szCs w:val="16"/>
        </w:rPr>
        <w:t>International Dolphin Conservation Program, System for Tracking and Verifying Tuna, as amended (2015) (Panel Exhibit USA</w:t>
      </w:r>
      <w:r w:rsidRPr="002E4AF8">
        <w:rPr>
          <w:szCs w:val="16"/>
        </w:rPr>
        <w:noBreakHyphen/>
        <w:t>90)</w:t>
      </w:r>
      <w:bookmarkEnd w:id="66"/>
      <w:r w:rsidRPr="002E4AF8">
        <w:rPr>
          <w:szCs w:val="16"/>
        </w:rPr>
        <w:t xml:space="preserve">, Section 3(2); Appellate Body Report, </w:t>
      </w:r>
      <w:r w:rsidRPr="002E4AF8">
        <w:rPr>
          <w:i/>
          <w:szCs w:val="16"/>
        </w:rPr>
        <w:t>US – Tuna II (Mexico) (Article 21.5 – Mexico)</w:t>
      </w:r>
      <w:r w:rsidRPr="002E4AF8">
        <w:rPr>
          <w:szCs w:val="16"/>
        </w:rPr>
        <w:t>, para. 6.19).</w:t>
      </w:r>
    </w:p>
  </w:footnote>
  <w:footnote w:id="12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7.57 (referring to Appellate Body Report, </w:t>
      </w:r>
      <w:r w:rsidRPr="002E4AF8">
        <w:rPr>
          <w:i/>
          <w:szCs w:val="16"/>
        </w:rPr>
        <w:t xml:space="preserve">US – Tuna II (Mexico) </w:t>
      </w:r>
      <w:r w:rsidRPr="002E4AF8">
        <w:rPr>
          <w:i/>
          <w:szCs w:val="16"/>
        </w:rPr>
        <w:br/>
        <w:t>(Article 21.5 – Mexico)</w:t>
      </w:r>
      <w:r w:rsidRPr="002E4AF8">
        <w:rPr>
          <w:szCs w:val="16"/>
        </w:rPr>
        <w:t>, para. 6.19).</w:t>
      </w:r>
    </w:p>
  </w:footnote>
  <w:footnote w:id="12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7.59 (referring to International Dolphin Conservation Program, System for Tracking and Verifying Tuna, as amended (2015) (Panel Exhibit USA</w:t>
      </w:r>
      <w:r w:rsidRPr="002E4AF8">
        <w:rPr>
          <w:szCs w:val="16"/>
        </w:rPr>
        <w:noBreakHyphen/>
        <w:t>90), Section 5(2)</w:t>
      </w:r>
      <w:r w:rsidRPr="002E4AF8">
        <w:rPr>
          <w:szCs w:val="16"/>
        </w:rPr>
        <w:noBreakHyphen/>
        <w:t>(5)).</w:t>
      </w:r>
    </w:p>
  </w:footnote>
  <w:footnote w:id="12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7.59 (referring to International Dolphin Conservation Program, System for Tracking and Verifying Tuna, as amended (2015) (Panel Exhibit USA</w:t>
      </w:r>
      <w:r w:rsidRPr="002E4AF8">
        <w:rPr>
          <w:szCs w:val="16"/>
        </w:rPr>
        <w:noBreakHyphen/>
        <w:t>90), Section 5(7)).</w:t>
      </w:r>
    </w:p>
  </w:footnote>
  <w:footnote w:id="13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7.59 (referring to International Dolphin Conservation Program, System for Tracking and Verifying Tuna, as amended (2015) (Panel Exhibit USA</w:t>
      </w:r>
      <w:r w:rsidRPr="002E4AF8">
        <w:rPr>
          <w:szCs w:val="16"/>
        </w:rPr>
        <w:noBreakHyphen/>
        <w:t>90), Section 6(d)).</w:t>
      </w:r>
    </w:p>
  </w:footnote>
  <w:footnote w:id="13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7.60 (referring to International Dolphin Conservation Program, System for Tracking and Verifying Tuna, as amended (2015) (Panel Exhibit USA</w:t>
      </w:r>
      <w:r w:rsidRPr="002E4AF8">
        <w:rPr>
          <w:szCs w:val="16"/>
        </w:rPr>
        <w:noBreakHyphen/>
        <w:t>90), Section 7).</w:t>
      </w:r>
    </w:p>
  </w:footnote>
  <w:footnote w:id="13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7.63 (referring to Appellate Body Report, </w:t>
      </w:r>
      <w:r w:rsidRPr="002E4AF8">
        <w:rPr>
          <w:i/>
          <w:szCs w:val="16"/>
        </w:rPr>
        <w:t xml:space="preserve">US – Tuna II (Mexico) </w:t>
      </w:r>
      <w:r w:rsidRPr="002E4AF8">
        <w:rPr>
          <w:i/>
          <w:szCs w:val="16"/>
        </w:rPr>
        <w:br/>
        <w:t>(Article 21.5 – Mexico)</w:t>
      </w:r>
      <w:r w:rsidRPr="002E4AF8">
        <w:rPr>
          <w:szCs w:val="16"/>
        </w:rPr>
        <w:t xml:space="preserve">, para. 6.13; </w:t>
      </w:r>
      <w:bookmarkStart w:id="67" w:name="_Hlk529185366"/>
      <w:r w:rsidRPr="002E4AF8">
        <w:rPr>
          <w:szCs w:val="16"/>
        </w:rPr>
        <w:t xml:space="preserve">Taking and Related Acts Incidental to Commercial Fishing Operations by Tuna Purse Seine Vessels in the Eastern Tropical Pacific Ocean, </w:t>
      </w:r>
      <w:r w:rsidRPr="002E4AF8">
        <w:rPr>
          <w:i/>
          <w:szCs w:val="16"/>
        </w:rPr>
        <w:t>United States Code of Federal Regulations</w:t>
      </w:r>
      <w:r w:rsidRPr="002E4AF8">
        <w:rPr>
          <w:szCs w:val="16"/>
        </w:rPr>
        <w:t>, Title 50, Section 216.24 (2016) (Panel Exhibit USA</w:t>
      </w:r>
      <w:r w:rsidRPr="002E4AF8">
        <w:rPr>
          <w:szCs w:val="16"/>
        </w:rPr>
        <w:noBreakHyphen/>
        <w:t>3), Section 216.24(f)(2)(i)-(ii); 2016 implementing regulations (Panel Exhibits MEX</w:t>
      </w:r>
      <w:r w:rsidRPr="002E4AF8">
        <w:rPr>
          <w:szCs w:val="16"/>
        </w:rPr>
        <w:noBreakHyphen/>
        <w:t>2 and USA</w:t>
      </w:r>
      <w:r w:rsidRPr="002E4AF8">
        <w:rPr>
          <w:szCs w:val="16"/>
        </w:rPr>
        <w:noBreakHyphen/>
        <w:t>2), Section 216.93(f); NOAA Form 370 (Panel Exhibit USA</w:t>
      </w:r>
      <w:r w:rsidRPr="002E4AF8">
        <w:rPr>
          <w:szCs w:val="16"/>
        </w:rPr>
        <w:noBreakHyphen/>
        <w:t>4)</w:t>
      </w:r>
      <w:bookmarkEnd w:id="67"/>
      <w:r w:rsidRPr="002E4AF8">
        <w:rPr>
          <w:szCs w:val="16"/>
        </w:rPr>
        <w:t>).</w:t>
      </w:r>
    </w:p>
  </w:footnote>
  <w:footnote w:id="13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7.64 (referring to Original Panel Report, para. 2.32; 2016 implementing regulations (Panel Exhibits MEX</w:t>
      </w:r>
      <w:r w:rsidRPr="002E4AF8">
        <w:rPr>
          <w:szCs w:val="16"/>
        </w:rPr>
        <w:noBreakHyphen/>
        <w:t>2 and USA</w:t>
      </w:r>
      <w:r w:rsidRPr="002E4AF8">
        <w:rPr>
          <w:szCs w:val="16"/>
        </w:rPr>
        <w:noBreakHyphen/>
        <w:t>2), Section 216.93(d)-(e)).</w:t>
      </w:r>
    </w:p>
  </w:footnote>
  <w:footnote w:id="13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7.64 (referring to 2016 implementing regulations (Panel Exhibits MEX</w:t>
      </w:r>
      <w:r w:rsidRPr="002E4AF8">
        <w:rPr>
          <w:szCs w:val="16"/>
        </w:rPr>
        <w:noBreakHyphen/>
        <w:t>2 and USA</w:t>
      </w:r>
      <w:r w:rsidRPr="002E4AF8">
        <w:rPr>
          <w:szCs w:val="16"/>
        </w:rPr>
        <w:noBreakHyphen/>
        <w:t>2), Section 216.93(d)(1)-(3), (f), and (g)(3)).</w:t>
      </w:r>
    </w:p>
  </w:footnote>
  <w:footnote w:id="13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7.64.</w:t>
      </w:r>
    </w:p>
  </w:footnote>
  <w:footnote w:id="13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7.65 (referring to 2016 implementing regulations (Panel Exhibits MEX</w:t>
      </w:r>
      <w:r w:rsidRPr="002E4AF8">
        <w:rPr>
          <w:szCs w:val="16"/>
        </w:rPr>
        <w:noBreakHyphen/>
        <w:t>2 and USA</w:t>
      </w:r>
      <w:r w:rsidRPr="002E4AF8">
        <w:rPr>
          <w:szCs w:val="16"/>
        </w:rPr>
        <w:noBreakHyphen/>
        <w:t>2), Section 216.91(a)(5)).</w:t>
      </w:r>
    </w:p>
  </w:footnote>
  <w:footnote w:id="13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7.66 (referring to 2016 implementing regulations (Panel Exhibits MEX</w:t>
      </w:r>
      <w:r w:rsidRPr="002E4AF8">
        <w:rPr>
          <w:szCs w:val="16"/>
        </w:rPr>
        <w:noBreakHyphen/>
        <w:t>2 and USA</w:t>
      </w:r>
      <w:r w:rsidRPr="002E4AF8">
        <w:rPr>
          <w:szCs w:val="16"/>
        </w:rPr>
        <w:noBreakHyphen/>
        <w:t>2), Section 216.93(g)(3); NOAA Form 370 (Panel Exhibit USA</w:t>
      </w:r>
      <w:r w:rsidRPr="002E4AF8">
        <w:rPr>
          <w:szCs w:val="16"/>
        </w:rPr>
        <w:noBreakHyphen/>
        <w:t>4); United States' response to Panel question No. 29, paras. 148</w:t>
      </w:r>
      <w:r w:rsidRPr="002E4AF8">
        <w:rPr>
          <w:szCs w:val="16"/>
        </w:rPr>
        <w:noBreakHyphen/>
        <w:t>149).</w:t>
      </w:r>
    </w:p>
  </w:footnote>
  <w:footnote w:id="138">
    <w:p w:rsidR="00BA4B71" w:rsidRPr="002E4AF8" w:rsidRDefault="00BA4B71" w:rsidP="002E4AF8">
      <w:pPr>
        <w:pStyle w:val="FootnoteText"/>
        <w:keepLines/>
        <w:rPr>
          <w:szCs w:val="16"/>
        </w:rPr>
      </w:pPr>
      <w:bookmarkStart w:id="69" w:name="_Hlk529194603"/>
      <w:r w:rsidRPr="002E4AF8">
        <w:rPr>
          <w:rStyle w:val="FootnoteReference"/>
          <w:szCs w:val="16"/>
        </w:rPr>
        <w:footnoteRef/>
      </w:r>
      <w:r w:rsidRPr="002E4AF8">
        <w:rPr>
          <w:szCs w:val="16"/>
        </w:rPr>
        <w:t xml:space="preserve"> Panel Reports, para. 7.66 (referring to </w:t>
      </w:r>
      <w:bookmarkStart w:id="70" w:name="_Hlk529185394"/>
      <w:r w:rsidRPr="002E4AF8">
        <w:rPr>
          <w:szCs w:val="16"/>
        </w:rPr>
        <w:t>NOAA Form 370 (Panel Exhibit USA</w:t>
      </w:r>
      <w:r w:rsidRPr="002E4AF8">
        <w:rPr>
          <w:szCs w:val="16"/>
        </w:rPr>
        <w:noBreakHyphen/>
        <w:t xml:space="preserve">4); </w:t>
      </w:r>
      <w:r w:rsidRPr="002E4AF8">
        <w:rPr>
          <w:i/>
          <w:szCs w:val="16"/>
        </w:rPr>
        <w:t>United States Code</w:t>
      </w:r>
      <w:r w:rsidRPr="002E4AF8">
        <w:rPr>
          <w:szCs w:val="16"/>
        </w:rPr>
        <w:t>, Title 18, Section 545 (Panel Exhibit USA</w:t>
      </w:r>
      <w:r w:rsidRPr="002E4AF8">
        <w:rPr>
          <w:szCs w:val="16"/>
        </w:rPr>
        <w:noBreakHyphen/>
        <w:t xml:space="preserve">166); </w:t>
      </w:r>
      <w:r w:rsidRPr="002E4AF8">
        <w:rPr>
          <w:i/>
          <w:szCs w:val="16"/>
        </w:rPr>
        <w:t>United States Code</w:t>
      </w:r>
      <w:r w:rsidRPr="002E4AF8">
        <w:rPr>
          <w:szCs w:val="16"/>
        </w:rPr>
        <w:t>, Title 18, Section 3571 (Panel Exhibit USA</w:t>
      </w:r>
      <w:r w:rsidRPr="002E4AF8">
        <w:rPr>
          <w:szCs w:val="16"/>
        </w:rPr>
        <w:noBreakHyphen/>
        <w:t xml:space="preserve">167); </w:t>
      </w:r>
      <w:r w:rsidRPr="002E4AF8">
        <w:rPr>
          <w:i/>
          <w:szCs w:val="16"/>
        </w:rPr>
        <w:t>United States Code</w:t>
      </w:r>
      <w:r w:rsidRPr="002E4AF8">
        <w:rPr>
          <w:szCs w:val="16"/>
        </w:rPr>
        <w:t>, Title 16, Section 3372 (Panel Exhibit USA</w:t>
      </w:r>
      <w:r w:rsidRPr="002E4AF8">
        <w:rPr>
          <w:szCs w:val="16"/>
        </w:rPr>
        <w:noBreakHyphen/>
        <w:t xml:space="preserve">169), Section 3372(d); Civil Monetary Penalty Adjustments for Inflation, </w:t>
      </w:r>
      <w:r w:rsidRPr="002E4AF8">
        <w:rPr>
          <w:i/>
          <w:szCs w:val="16"/>
        </w:rPr>
        <w:t>United States Federal Register</w:t>
      </w:r>
      <w:r w:rsidRPr="002E4AF8">
        <w:rPr>
          <w:szCs w:val="16"/>
        </w:rPr>
        <w:t>, Vol. 81, No. 109 (7 June 2016) (Panel Exhibit USA</w:t>
      </w:r>
      <w:r w:rsidRPr="002E4AF8">
        <w:rPr>
          <w:szCs w:val="16"/>
        </w:rPr>
        <w:noBreakHyphen/>
        <w:t xml:space="preserve">170); </w:t>
      </w:r>
      <w:r w:rsidRPr="002E4AF8">
        <w:rPr>
          <w:i/>
          <w:szCs w:val="16"/>
        </w:rPr>
        <w:t>United States Code</w:t>
      </w:r>
      <w:r w:rsidRPr="002E4AF8">
        <w:rPr>
          <w:szCs w:val="16"/>
        </w:rPr>
        <w:t>, Title 16, Section 3373 (Panel Exhibit USA</w:t>
      </w:r>
      <w:r w:rsidRPr="002E4AF8">
        <w:rPr>
          <w:szCs w:val="16"/>
        </w:rPr>
        <w:noBreakHyphen/>
        <w:t xml:space="preserve">171), Section 3373(d)(3); </w:t>
      </w:r>
      <w:r w:rsidRPr="002E4AF8">
        <w:rPr>
          <w:i/>
          <w:szCs w:val="16"/>
        </w:rPr>
        <w:t>United States Code</w:t>
      </w:r>
      <w:r w:rsidRPr="002E4AF8">
        <w:rPr>
          <w:szCs w:val="16"/>
        </w:rPr>
        <w:t>, Title 16, Section 3374 (Panel Exhibit USA</w:t>
      </w:r>
      <w:r w:rsidRPr="002E4AF8">
        <w:rPr>
          <w:szCs w:val="16"/>
        </w:rPr>
        <w:noBreakHyphen/>
        <w:t xml:space="preserve">172), Section 3374(a)(1); </w:t>
      </w:r>
      <w:r w:rsidRPr="002E4AF8">
        <w:rPr>
          <w:i/>
          <w:szCs w:val="16"/>
        </w:rPr>
        <w:t>United States Code</w:t>
      </w:r>
      <w:r w:rsidRPr="002E4AF8">
        <w:rPr>
          <w:szCs w:val="16"/>
        </w:rPr>
        <w:t>, Title 18, Section 1001 (Panel Exhibit USA</w:t>
      </w:r>
      <w:r w:rsidRPr="002E4AF8">
        <w:rPr>
          <w:szCs w:val="16"/>
        </w:rPr>
        <w:noBreakHyphen/>
        <w:t xml:space="preserve">173), Section 1001(a); </w:t>
      </w:r>
      <w:r w:rsidRPr="002E4AF8">
        <w:rPr>
          <w:i/>
          <w:szCs w:val="16"/>
        </w:rPr>
        <w:t>United States Code</w:t>
      </w:r>
      <w:r w:rsidRPr="002E4AF8">
        <w:rPr>
          <w:szCs w:val="16"/>
        </w:rPr>
        <w:t>, Title 16, Section 1375 (Panel Exhibit USA</w:t>
      </w:r>
      <w:r w:rsidRPr="002E4AF8">
        <w:rPr>
          <w:szCs w:val="16"/>
        </w:rPr>
        <w:noBreakHyphen/>
        <w:t>174), Sections 1375(a)(1) and 1375(b))).</w:t>
      </w:r>
      <w:bookmarkEnd w:id="69"/>
    </w:p>
    <w:bookmarkEnd w:id="70"/>
  </w:footnote>
  <w:footnote w:id="13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7.69 (referring to 2016 implementing regulations (Panel Exhibits MEX</w:t>
      </w:r>
      <w:r w:rsidRPr="002E4AF8">
        <w:rPr>
          <w:szCs w:val="16"/>
        </w:rPr>
        <w:noBreakHyphen/>
        <w:t>2 and USA</w:t>
      </w:r>
      <w:r w:rsidRPr="002E4AF8">
        <w:rPr>
          <w:szCs w:val="16"/>
        </w:rPr>
        <w:noBreakHyphen/>
        <w:t>2), Section 216.91(a)(5)(ii)).</w:t>
      </w:r>
    </w:p>
  </w:footnote>
  <w:footnote w:id="14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7.166.</w:t>
      </w:r>
    </w:p>
  </w:footnote>
  <w:footnote w:id="14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Panel Reports, para. 7.73 (referring to Appellate Body Report, </w:t>
      </w:r>
      <w:r w:rsidRPr="002E4AF8">
        <w:rPr>
          <w:i/>
          <w:noProof/>
          <w:szCs w:val="16"/>
          <w:lang w:val="es-ES"/>
        </w:rPr>
        <w:t xml:space="preserve">US – Tuna II (Mexico) </w:t>
      </w:r>
      <w:r w:rsidRPr="002E4AF8">
        <w:rPr>
          <w:i/>
          <w:noProof/>
          <w:szCs w:val="16"/>
          <w:lang w:val="es-ES"/>
        </w:rPr>
        <w:br/>
        <w:t>(Article 21.5 – Mexico)</w:t>
      </w:r>
      <w:r w:rsidRPr="002E4AF8">
        <w:rPr>
          <w:noProof/>
          <w:szCs w:val="16"/>
          <w:lang w:val="es-ES"/>
        </w:rPr>
        <w:t>, para. 7.25).</w:t>
      </w:r>
    </w:p>
  </w:footnote>
  <w:footnote w:id="142">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Panel Reports, para. 7.74.</w:t>
      </w:r>
    </w:p>
  </w:footnote>
  <w:footnote w:id="143">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Panel Reports, para. 7.73 (referring to Appellate Body Report, </w:t>
      </w:r>
      <w:r w:rsidRPr="002E4AF8">
        <w:rPr>
          <w:i/>
          <w:noProof/>
          <w:szCs w:val="16"/>
          <w:lang w:val="es-ES"/>
        </w:rPr>
        <w:t xml:space="preserve">US – Tuna II (Mexico) </w:t>
      </w:r>
      <w:r w:rsidRPr="002E4AF8">
        <w:rPr>
          <w:i/>
          <w:noProof/>
          <w:szCs w:val="16"/>
          <w:lang w:val="es-ES"/>
        </w:rPr>
        <w:br/>
        <w:t>(Article 21.5 – Mexico)</w:t>
      </w:r>
      <w:r w:rsidRPr="002E4AF8">
        <w:rPr>
          <w:noProof/>
          <w:szCs w:val="16"/>
          <w:lang w:val="es-ES"/>
        </w:rPr>
        <w:t>, para. 7.26).</w:t>
      </w:r>
    </w:p>
  </w:footnote>
  <w:footnote w:id="144">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Panel Reports, para. 7.77.</w:t>
      </w:r>
    </w:p>
  </w:footnote>
  <w:footnote w:id="145">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Panel Reports, para. 7.78 (referring to Appellate Body Report, </w:t>
      </w:r>
      <w:r w:rsidRPr="002E4AF8">
        <w:rPr>
          <w:i/>
          <w:noProof/>
          <w:szCs w:val="16"/>
          <w:lang w:val="es-ES"/>
        </w:rPr>
        <w:t xml:space="preserve">US – Tuna II (Mexico) </w:t>
      </w:r>
      <w:r w:rsidRPr="002E4AF8">
        <w:rPr>
          <w:i/>
          <w:noProof/>
          <w:szCs w:val="16"/>
          <w:lang w:val="es-ES"/>
        </w:rPr>
        <w:br/>
        <w:t>(Article 21.5 – Mexico)</w:t>
      </w:r>
      <w:r w:rsidRPr="002E4AF8">
        <w:rPr>
          <w:noProof/>
          <w:szCs w:val="16"/>
          <w:lang w:val="es-ES"/>
        </w:rPr>
        <w:t>, para. </w:t>
      </w:r>
      <w:r w:rsidRPr="002E4AF8">
        <w:rPr>
          <w:noProof/>
          <w:szCs w:val="16"/>
        </w:rPr>
        <w:t>7.238).</w:t>
      </w:r>
    </w:p>
  </w:footnote>
  <w:footnote w:id="14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Panel Reports, para. 7.103 (referring to Appellate Body Report, </w:t>
      </w:r>
      <w:r w:rsidRPr="002E4AF8">
        <w:rPr>
          <w:i/>
          <w:noProof/>
          <w:szCs w:val="16"/>
        </w:rPr>
        <w:t xml:space="preserve">US – Tuna II (Mexico) </w:t>
      </w:r>
      <w:r w:rsidRPr="002E4AF8">
        <w:rPr>
          <w:i/>
          <w:noProof/>
          <w:szCs w:val="16"/>
        </w:rPr>
        <w:br/>
        <w:t>(Article 21.5 – Mexico)</w:t>
      </w:r>
      <w:r w:rsidRPr="002E4AF8">
        <w:rPr>
          <w:noProof/>
          <w:szCs w:val="16"/>
        </w:rPr>
        <w:t>, para. 7.252).</w:t>
      </w:r>
    </w:p>
  </w:footnote>
  <w:footnote w:id="14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w:t>
      </w:r>
      <w:r w:rsidRPr="002E4AF8">
        <w:rPr>
          <w:noProof/>
          <w:szCs w:val="16"/>
        </w:rPr>
        <w:t>7.149.</w:t>
      </w:r>
    </w:p>
  </w:footnote>
  <w:footnote w:id="14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In response to questioning at the hearing, </w:t>
      </w:r>
      <w:r w:rsidRPr="002E4AF8">
        <w:rPr>
          <w:noProof/>
          <w:szCs w:val="16"/>
        </w:rPr>
        <w:t>Mexico and the United States agreed that the Panels acted appropriately in undertaking this sequential analysis.</w:t>
      </w:r>
    </w:p>
  </w:footnote>
  <w:footnote w:id="14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7.529.</w:t>
      </w:r>
    </w:p>
  </w:footnote>
  <w:footnote w:id="15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Notice of Appeal, para. 8.a; appellant's submission, paras. 99-142.</w:t>
      </w:r>
    </w:p>
  </w:footnote>
  <w:footnote w:id="15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Notice of Appeal, para. 8.b; appellant's submission, paras. 159-172, 181-185, and 230-234.</w:t>
      </w:r>
    </w:p>
  </w:footnote>
  <w:footnote w:id="15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Notice of Appeal, para. 8.c; appellant's submission, paras. 162-171 and 235</w:t>
      </w:r>
      <w:r w:rsidRPr="002E4AF8">
        <w:rPr>
          <w:noProof/>
          <w:szCs w:val="16"/>
        </w:rPr>
        <w:noBreakHyphen/>
        <w:t>240.</w:t>
      </w:r>
    </w:p>
  </w:footnote>
  <w:footnote w:id="15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Notice of Appeal, para. 8.c; appellant's submission, paras. 175-191.</w:t>
      </w:r>
    </w:p>
  </w:footnote>
  <w:footnote w:id="15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Notice of Appeal, para. 8.c; appellant's submission, paras. 192-225 and 241</w:t>
      </w:r>
      <w:r w:rsidRPr="002E4AF8">
        <w:rPr>
          <w:noProof/>
          <w:szCs w:val="16"/>
        </w:rPr>
        <w:noBreakHyphen/>
        <w:t>246.</w:t>
      </w:r>
    </w:p>
  </w:footnote>
  <w:footnote w:id="15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Notice of Appeal, para. 9; appellant's submission, paras. 226-307.</w:t>
      </w:r>
    </w:p>
  </w:footnote>
  <w:footnote w:id="15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United States' appellee's submission, para. 32 (referring to Appellate Body Report, </w:t>
      </w:r>
      <w:r w:rsidRPr="002E4AF8">
        <w:rPr>
          <w:i/>
          <w:noProof/>
          <w:szCs w:val="16"/>
        </w:rPr>
        <w:t>US – Tuna II (Mexico) (Article 21.5 – Mexico)</w:t>
      </w:r>
      <w:r w:rsidRPr="002E4AF8">
        <w:rPr>
          <w:noProof/>
          <w:szCs w:val="16"/>
        </w:rPr>
        <w:t>, paras. 7.92, 7.98, and 7.101. See also ibid., paras. 35-85.</w:t>
      </w:r>
    </w:p>
  </w:footnote>
  <w:footnote w:id="15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116-123.</w:t>
      </w:r>
    </w:p>
  </w:footnote>
  <w:footnote w:id="15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96-203.</w:t>
      </w:r>
    </w:p>
  </w:footnote>
  <w:footnote w:id="15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353. See also ibid., paras. 204-353.</w:t>
      </w:r>
    </w:p>
  </w:footnote>
  <w:footnote w:id="16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w:t>
      </w:r>
      <w:r w:rsidRPr="002E4AF8">
        <w:rPr>
          <w:noProof/>
          <w:szCs w:val="16"/>
        </w:rPr>
        <w:t>United States' appellee's submission, para. </w:t>
      </w:r>
      <w:r w:rsidRPr="002E4AF8">
        <w:rPr>
          <w:noProof/>
          <w:szCs w:val="16"/>
          <w:lang w:val="es-ES"/>
        </w:rPr>
        <w:t>354.</w:t>
      </w:r>
    </w:p>
  </w:footnote>
  <w:footnote w:id="16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See Appellate Body Report, </w:t>
      </w:r>
      <w:r w:rsidRPr="002E4AF8">
        <w:rPr>
          <w:i/>
          <w:noProof/>
          <w:szCs w:val="16"/>
          <w:lang w:val="es-ES"/>
        </w:rPr>
        <w:t>US – Tuna II (Mexico) (Article 21.5 – Mexico)</w:t>
      </w:r>
      <w:r w:rsidRPr="002E4AF8">
        <w:rPr>
          <w:noProof/>
          <w:szCs w:val="16"/>
          <w:lang w:val="es-ES"/>
        </w:rPr>
        <w:t>, para. </w:t>
      </w:r>
      <w:r w:rsidRPr="002E4AF8">
        <w:rPr>
          <w:noProof/>
          <w:szCs w:val="16"/>
        </w:rPr>
        <w:t xml:space="preserve">7.26 (referring to Appellate Body Reports, </w:t>
      </w:r>
      <w:r w:rsidRPr="002E4AF8">
        <w:rPr>
          <w:i/>
          <w:noProof/>
          <w:szCs w:val="16"/>
        </w:rPr>
        <w:t>US – Clove Cigarettes</w:t>
      </w:r>
      <w:r w:rsidRPr="002E4AF8">
        <w:rPr>
          <w:noProof/>
          <w:szCs w:val="16"/>
        </w:rPr>
        <w:t xml:space="preserve">, paras. 180, 182, and 215; </w:t>
      </w:r>
      <w:r w:rsidRPr="002E4AF8">
        <w:rPr>
          <w:i/>
          <w:noProof/>
          <w:szCs w:val="16"/>
        </w:rPr>
        <w:t>US – COOL</w:t>
      </w:r>
      <w:r w:rsidRPr="002E4AF8">
        <w:rPr>
          <w:noProof/>
          <w:szCs w:val="16"/>
        </w:rPr>
        <w:t>, paras. </w:t>
      </w:r>
      <w:r w:rsidRPr="002E4AF8">
        <w:rPr>
          <w:noProof/>
          <w:szCs w:val="16"/>
          <w:lang w:val="es-ES"/>
        </w:rPr>
        <w:t xml:space="preserve">268 and 271; </w:t>
      </w:r>
      <w:r w:rsidRPr="002E4AF8">
        <w:rPr>
          <w:noProof/>
          <w:szCs w:val="16"/>
          <w:lang w:val="es-ES"/>
        </w:rPr>
        <w:br/>
      </w:r>
      <w:r w:rsidRPr="002E4AF8">
        <w:rPr>
          <w:i/>
          <w:noProof/>
          <w:szCs w:val="16"/>
          <w:lang w:val="es-ES"/>
        </w:rPr>
        <w:t>US – Tuna II (Mexico)</w:t>
      </w:r>
      <w:r w:rsidRPr="002E4AF8">
        <w:rPr>
          <w:noProof/>
          <w:szCs w:val="16"/>
          <w:lang w:val="es-ES"/>
        </w:rPr>
        <w:t>, para. 215).</w:t>
      </w:r>
    </w:p>
  </w:footnote>
  <w:footnote w:id="162">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 xml:space="preserve">7.96. In interpreting Article 2.1 as such, the Appellate Body took into account the context provided by the definition of "technical regulation" found in Annex 1.1 to the TBT Agreement, as well as Article 2.2 and the sixth recital of the preamble of the TBT Agreement. (Ibid., para. 7.87. See also Appellate Body Reports, </w:t>
      </w:r>
      <w:r w:rsidRPr="002E4AF8">
        <w:rPr>
          <w:i/>
          <w:noProof/>
          <w:szCs w:val="16"/>
        </w:rPr>
        <w:t>US – COOL</w:t>
      </w:r>
      <w:r w:rsidRPr="002E4AF8">
        <w:rPr>
          <w:noProof/>
          <w:szCs w:val="16"/>
        </w:rPr>
        <w:t>, para. </w:t>
      </w:r>
      <w:r w:rsidRPr="002E4AF8">
        <w:rPr>
          <w:noProof/>
          <w:szCs w:val="16"/>
          <w:lang w:val="es-ES"/>
        </w:rPr>
        <w:t>271;</w:t>
      </w:r>
      <w:r w:rsidRPr="002E4AF8">
        <w:rPr>
          <w:i/>
          <w:noProof/>
          <w:szCs w:val="16"/>
          <w:lang w:val="es-ES"/>
        </w:rPr>
        <w:t xml:space="preserve"> US – Clove Cigarettes</w:t>
      </w:r>
      <w:r w:rsidRPr="002E4AF8">
        <w:rPr>
          <w:noProof/>
          <w:szCs w:val="16"/>
          <w:lang w:val="es-ES"/>
        </w:rPr>
        <w:t xml:space="preserve">, paras. 171-174; </w:t>
      </w:r>
      <w:r w:rsidRPr="002E4AF8">
        <w:rPr>
          <w:i/>
          <w:noProof/>
          <w:szCs w:val="16"/>
          <w:lang w:val="es-ES"/>
        </w:rPr>
        <w:t>US – Tuna II (Mexico)</w:t>
      </w:r>
      <w:r w:rsidRPr="002E4AF8">
        <w:rPr>
          <w:noProof/>
          <w:szCs w:val="16"/>
          <w:lang w:val="es-ES"/>
        </w:rPr>
        <w:t>, paras. 212</w:t>
      </w:r>
      <w:r w:rsidRPr="002E4AF8">
        <w:rPr>
          <w:noProof/>
          <w:szCs w:val="16"/>
          <w:lang w:val="es-ES"/>
        </w:rPr>
        <w:noBreakHyphen/>
        <w:t>213)</w:t>
      </w:r>
    </w:p>
  </w:footnote>
  <w:footnote w:id="163">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 xml:space="preserve">7.31 (referring to Appellate Body Report, </w:t>
      </w:r>
      <w:r w:rsidRPr="002E4AF8">
        <w:rPr>
          <w:i/>
          <w:noProof/>
          <w:szCs w:val="16"/>
        </w:rPr>
        <w:t>US – Clove Cigarettes</w:t>
      </w:r>
      <w:r w:rsidRPr="002E4AF8">
        <w:rPr>
          <w:noProof/>
          <w:szCs w:val="16"/>
        </w:rPr>
        <w:t xml:space="preserve">, para. 182). See also Appellate Body Reports, </w:t>
      </w:r>
      <w:r w:rsidRPr="002E4AF8">
        <w:rPr>
          <w:i/>
          <w:noProof/>
          <w:szCs w:val="16"/>
        </w:rPr>
        <w:t>US – Clove Cigarettes</w:t>
      </w:r>
      <w:r w:rsidRPr="002E4AF8">
        <w:rPr>
          <w:noProof/>
          <w:szCs w:val="16"/>
        </w:rPr>
        <w:t>, para. </w:t>
      </w:r>
      <w:r w:rsidRPr="002E4AF8">
        <w:rPr>
          <w:noProof/>
          <w:szCs w:val="16"/>
          <w:lang w:val="es-ES"/>
        </w:rPr>
        <w:t xml:space="preserve">215; </w:t>
      </w:r>
      <w:r w:rsidRPr="002E4AF8">
        <w:rPr>
          <w:i/>
          <w:noProof/>
          <w:szCs w:val="16"/>
          <w:lang w:val="es-ES"/>
        </w:rPr>
        <w:t>US – COOL</w:t>
      </w:r>
      <w:r w:rsidRPr="002E4AF8">
        <w:rPr>
          <w:noProof/>
          <w:szCs w:val="16"/>
          <w:lang w:val="es-ES"/>
        </w:rPr>
        <w:t xml:space="preserve">, para. 340; </w:t>
      </w:r>
      <w:r w:rsidRPr="002E4AF8">
        <w:rPr>
          <w:i/>
          <w:noProof/>
          <w:szCs w:val="16"/>
          <w:lang w:val="es-ES"/>
        </w:rPr>
        <w:t>US – Tuna II (Mexico)</w:t>
      </w:r>
      <w:r w:rsidRPr="002E4AF8">
        <w:rPr>
          <w:noProof/>
          <w:szCs w:val="16"/>
          <w:lang w:val="es-ES"/>
        </w:rPr>
        <w:t>,</w:t>
      </w:r>
      <w:r w:rsidRPr="002E4AF8">
        <w:rPr>
          <w:i/>
          <w:noProof/>
          <w:szCs w:val="16"/>
          <w:lang w:val="es-ES"/>
        </w:rPr>
        <w:t xml:space="preserve"> </w:t>
      </w:r>
      <w:r w:rsidRPr="002E4AF8">
        <w:rPr>
          <w:noProof/>
          <w:szCs w:val="16"/>
          <w:lang w:val="es-ES"/>
        </w:rPr>
        <w:t>para. 216.</w:t>
      </w:r>
    </w:p>
  </w:footnote>
  <w:footnote w:id="164">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 xml:space="preserve">7.31. See also Appellate Body Reports, </w:t>
      </w:r>
      <w:r w:rsidRPr="002E4AF8">
        <w:rPr>
          <w:i/>
          <w:noProof/>
          <w:szCs w:val="16"/>
        </w:rPr>
        <w:t>US – COOL</w:t>
      </w:r>
      <w:r w:rsidRPr="002E4AF8">
        <w:rPr>
          <w:noProof/>
          <w:szCs w:val="16"/>
        </w:rPr>
        <w:t xml:space="preserve">, para. 271; </w:t>
      </w:r>
      <w:r w:rsidRPr="002E4AF8">
        <w:rPr>
          <w:i/>
          <w:noProof/>
          <w:szCs w:val="16"/>
        </w:rPr>
        <w:t>US – COOL (Article 21.5 – Canada and Mexico)</w:t>
      </w:r>
      <w:r w:rsidRPr="002E4AF8">
        <w:rPr>
          <w:noProof/>
          <w:szCs w:val="16"/>
        </w:rPr>
        <w:t>, para. </w:t>
      </w:r>
      <w:r w:rsidRPr="002E4AF8">
        <w:rPr>
          <w:noProof/>
          <w:szCs w:val="16"/>
          <w:lang w:val="es-ES"/>
        </w:rPr>
        <w:t>5.94.</w:t>
      </w:r>
    </w:p>
  </w:footnote>
  <w:footnote w:id="165">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 xml:space="preserve">7.94. (emphasis original) See also </w:t>
      </w:r>
      <w:r w:rsidRPr="002E4AF8">
        <w:rPr>
          <w:szCs w:val="16"/>
        </w:rPr>
        <w:t xml:space="preserve">ibid., </w:t>
      </w:r>
      <w:r w:rsidRPr="002E4AF8">
        <w:rPr>
          <w:noProof/>
          <w:szCs w:val="16"/>
        </w:rPr>
        <w:t>para. 7.31.</w:t>
      </w:r>
    </w:p>
  </w:footnote>
  <w:footnote w:id="166">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w:t>
      </w:r>
      <w:r w:rsidRPr="002E4AF8">
        <w:rPr>
          <w:noProof/>
          <w:szCs w:val="16"/>
        </w:rPr>
        <w:t xml:space="preserve">Appellate Body Reports, </w:t>
      </w:r>
      <w:r w:rsidRPr="002E4AF8">
        <w:rPr>
          <w:i/>
          <w:noProof/>
          <w:szCs w:val="16"/>
        </w:rPr>
        <w:t>EC – Seal Products</w:t>
      </w:r>
      <w:r w:rsidRPr="002E4AF8">
        <w:rPr>
          <w:noProof/>
          <w:szCs w:val="16"/>
        </w:rPr>
        <w:t>, para. </w:t>
      </w:r>
      <w:r w:rsidRPr="002E4AF8">
        <w:rPr>
          <w:noProof/>
          <w:szCs w:val="16"/>
          <w:lang w:val="es-ES"/>
        </w:rPr>
        <w:t xml:space="preserve">5.310; </w:t>
      </w:r>
      <w:r w:rsidRPr="002E4AF8">
        <w:rPr>
          <w:i/>
          <w:noProof/>
          <w:szCs w:val="16"/>
          <w:lang w:val="es-ES"/>
        </w:rPr>
        <w:t xml:space="preserve">US – Tuna II (Mexico) </w:t>
      </w:r>
      <w:r w:rsidRPr="002E4AF8">
        <w:rPr>
          <w:i/>
          <w:noProof/>
          <w:szCs w:val="16"/>
          <w:lang w:val="es-ES"/>
        </w:rPr>
        <w:br/>
        <w:t>(Article 21.5 – Mexico)</w:t>
      </w:r>
      <w:r w:rsidRPr="002E4AF8">
        <w:rPr>
          <w:noProof/>
          <w:szCs w:val="16"/>
          <w:lang w:val="es-ES"/>
        </w:rPr>
        <w:t>, para. </w:t>
      </w:r>
      <w:r w:rsidRPr="002E4AF8">
        <w:rPr>
          <w:noProof/>
          <w:szCs w:val="16"/>
        </w:rPr>
        <w:t xml:space="preserve">7.89. We recall that the </w:t>
      </w:r>
      <w:r w:rsidRPr="002E4AF8">
        <w:rPr>
          <w:i/>
          <w:noProof/>
          <w:szCs w:val="16"/>
        </w:rPr>
        <w:t>chapeau</w:t>
      </w:r>
      <w:r w:rsidRPr="002E4AF8">
        <w:rPr>
          <w:noProof/>
          <w:szCs w:val="16"/>
        </w:rPr>
        <w:t xml:space="preserve"> of Article XX of the GATT 1994 provides that WTO Members may resort to measures that fall within one of the discrete categories of general exceptions contained in Article XX of the GATT 1994 "[s]ubject to the requirement that such measures are not applied in a manner which would constitute a means of arbitrary or unjustifiable discrimination between countries where the same conditions prevail, or a disguised restriction on international trade". Given that the sixth recital of the preamble of the TBT Agreement "serves as relevant context for understanding Article 2.1, and the language of that recital has important commonalities with the chapeau of Article XX of the GATT 1994", the jurisprudence under the </w:t>
      </w:r>
      <w:r w:rsidRPr="002E4AF8">
        <w:rPr>
          <w:i/>
          <w:noProof/>
          <w:szCs w:val="16"/>
        </w:rPr>
        <w:t>chapeau</w:t>
      </w:r>
      <w:r w:rsidRPr="002E4AF8">
        <w:rPr>
          <w:noProof/>
          <w:szCs w:val="16"/>
        </w:rPr>
        <w:t xml:space="preserve"> of Article XX is relevant to understanding the content of the second step of the "treatment no less favourable" requirement under Article 2.1 of the TBT Agreement.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7.88)</w:t>
      </w:r>
    </w:p>
  </w:footnote>
  <w:footnote w:id="16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7.91.</w:t>
      </w:r>
    </w:p>
  </w:footnote>
  <w:footnote w:id="16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 xml:space="preserve">7.92 (quoting Appellate Body Reports, </w:t>
      </w:r>
      <w:r w:rsidRPr="002E4AF8">
        <w:rPr>
          <w:i/>
          <w:noProof/>
          <w:szCs w:val="16"/>
        </w:rPr>
        <w:t>EC – Seal Products</w:t>
      </w:r>
      <w:r w:rsidRPr="002E4AF8">
        <w:rPr>
          <w:noProof/>
          <w:szCs w:val="16"/>
        </w:rPr>
        <w:t xml:space="preserve">, para. 5.306, in turn referring to Appellate Body Reports, </w:t>
      </w:r>
      <w:r w:rsidRPr="002E4AF8">
        <w:rPr>
          <w:noProof/>
          <w:szCs w:val="16"/>
        </w:rPr>
        <w:br/>
      </w:r>
      <w:r w:rsidRPr="002E4AF8">
        <w:rPr>
          <w:i/>
          <w:noProof/>
          <w:szCs w:val="16"/>
        </w:rPr>
        <w:t>US – Shrimp</w:t>
      </w:r>
      <w:r w:rsidRPr="002E4AF8">
        <w:rPr>
          <w:noProof/>
          <w:szCs w:val="16"/>
        </w:rPr>
        <w:t>, para. </w:t>
      </w:r>
      <w:r w:rsidRPr="002E4AF8">
        <w:rPr>
          <w:noProof/>
          <w:szCs w:val="16"/>
          <w:lang w:val="es-ES"/>
        </w:rPr>
        <w:t xml:space="preserve">165; </w:t>
      </w:r>
      <w:r w:rsidRPr="002E4AF8">
        <w:rPr>
          <w:i/>
          <w:noProof/>
          <w:szCs w:val="16"/>
          <w:lang w:val="es-ES"/>
        </w:rPr>
        <w:t>Brazil – Retreaded Tyres</w:t>
      </w:r>
      <w:r w:rsidRPr="002E4AF8">
        <w:rPr>
          <w:noProof/>
          <w:szCs w:val="16"/>
          <w:lang w:val="es-ES"/>
        </w:rPr>
        <w:t>, paras. 227</w:t>
      </w:r>
      <w:r w:rsidRPr="002E4AF8">
        <w:rPr>
          <w:noProof/>
          <w:szCs w:val="16"/>
          <w:lang w:val="es-ES"/>
        </w:rPr>
        <w:noBreakHyphen/>
        <w:t>228 and 232).</w:t>
      </w:r>
    </w:p>
  </w:footnote>
  <w:footnote w:id="169">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7.92.</w:t>
      </w:r>
    </w:p>
  </w:footnote>
  <w:footnote w:id="17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7.97.</w:t>
      </w:r>
    </w:p>
  </w:footnote>
  <w:footnote w:id="17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7.95.</w:t>
      </w:r>
    </w:p>
  </w:footnote>
  <w:footnote w:id="172">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7.98.</w:t>
      </w:r>
    </w:p>
  </w:footnote>
  <w:footnote w:id="173">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7.98.</w:t>
      </w:r>
    </w:p>
  </w:footnote>
  <w:footnote w:id="174">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7.98. (emphasis added)</w:t>
      </w:r>
    </w:p>
  </w:footnote>
  <w:footnote w:id="17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7.102.</w:t>
      </w:r>
    </w:p>
  </w:footnote>
  <w:footnote w:id="17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7.102. The Panels noted that the Appellate Body had, in the first compliance proceedings, repeatedly emphasized that the appropriate way, in the context of this dispute, for a panel to assess whether the detrimental impact caused by the Tuna Measure stems exclusively from a legitimate regulatory distinction is to assess whether the Measure is properly "calibrated" to different risks to dolphins. (See Panel Reports, para. 7.84 (referring to </w:t>
      </w:r>
      <w:r w:rsidRPr="002E4AF8">
        <w:rPr>
          <w:noProof/>
          <w:szCs w:val="16"/>
        </w:rPr>
        <w:t xml:space="preserve">Appellate Body Report, </w:t>
      </w:r>
      <w:r w:rsidRPr="002E4AF8">
        <w:rPr>
          <w:i/>
          <w:noProof/>
          <w:szCs w:val="16"/>
        </w:rPr>
        <w:t xml:space="preserve">US – Tuna II (Mexico) </w:t>
      </w:r>
      <w:r w:rsidRPr="002E4AF8">
        <w:rPr>
          <w:i/>
          <w:noProof/>
          <w:szCs w:val="16"/>
        </w:rPr>
        <w:br/>
        <w:t>(Article 21.5 – Mexico)</w:t>
      </w:r>
      <w:r w:rsidRPr="002E4AF8">
        <w:rPr>
          <w:noProof/>
          <w:szCs w:val="16"/>
        </w:rPr>
        <w:t>, para. 7.155))</w:t>
      </w:r>
    </w:p>
  </w:footnote>
  <w:footnote w:id="17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Mexico's appellant's submission, para. 325 (quoting Appellate Body Report, </w:t>
      </w:r>
      <w:r w:rsidRPr="002E4AF8">
        <w:rPr>
          <w:i/>
          <w:noProof/>
          <w:szCs w:val="16"/>
        </w:rPr>
        <w:t>US – Tuna II (Mexico) (Article 21.5 – Mexico)</w:t>
      </w:r>
      <w:r w:rsidRPr="002E4AF8">
        <w:rPr>
          <w:noProof/>
          <w:szCs w:val="16"/>
        </w:rPr>
        <w:t>, para. 7.92). (emphasis added)</w:t>
      </w:r>
    </w:p>
  </w:footnote>
  <w:footnote w:id="17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86.</w:t>
      </w:r>
    </w:p>
  </w:footnote>
  <w:footnote w:id="17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7.128. (emphasis added)</w:t>
      </w:r>
    </w:p>
  </w:footnote>
  <w:footnote w:id="18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7.128.</w:t>
      </w:r>
    </w:p>
  </w:footnote>
  <w:footnote w:id="18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7.128.</w:t>
      </w:r>
    </w:p>
  </w:footnote>
  <w:footnote w:id="18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7.130.</w:t>
      </w:r>
    </w:p>
  </w:footnote>
  <w:footnote w:id="18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7.131.</w:t>
      </w:r>
    </w:p>
  </w:footnote>
  <w:footnote w:id="18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147-148.</w:t>
      </w:r>
    </w:p>
  </w:footnote>
  <w:footnote w:id="18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149.</w:t>
      </w:r>
    </w:p>
  </w:footnote>
  <w:footnote w:id="18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148. For instance, Mexico argues that the floating object/FAD method "attracts and kills immature as well as mature tuna, as well as a wide variety of other bycatch, including sea turtles, sharks, and other species". (Mexico's appellant's submission, para. 25 (referring to Original Panel Report, para. 4.10))</w:t>
      </w:r>
    </w:p>
  </w:footnote>
  <w:footnote w:id="18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149.</w:t>
      </w:r>
    </w:p>
  </w:footnote>
  <w:footnote w:id="18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91.</w:t>
      </w:r>
    </w:p>
  </w:footnote>
  <w:footnote w:id="18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92 (referring to Mexico's appellant's submission, para. 148). (emphasis omitted)</w:t>
      </w:r>
    </w:p>
  </w:footnote>
  <w:footnote w:id="19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6.9 above.</w:t>
      </w:r>
    </w:p>
  </w:footnote>
  <w:footnote w:id="19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Clove Cigarettes</w:t>
      </w:r>
      <w:r w:rsidRPr="002E4AF8">
        <w:rPr>
          <w:szCs w:val="16"/>
        </w:rPr>
        <w:t>, para. 173.</w:t>
      </w:r>
    </w:p>
  </w:footnote>
  <w:footnote w:id="19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Shrimp</w:t>
      </w:r>
      <w:r w:rsidRPr="002E4AF8">
        <w:rPr>
          <w:szCs w:val="16"/>
        </w:rPr>
        <w:t xml:space="preserve">, para. 153. We recall that, in </w:t>
      </w:r>
      <w:r w:rsidRPr="002E4AF8">
        <w:rPr>
          <w:i/>
          <w:szCs w:val="16"/>
        </w:rPr>
        <w:t>US – Shrimp</w:t>
      </w:r>
      <w:r w:rsidRPr="002E4AF8">
        <w:rPr>
          <w:szCs w:val="16"/>
        </w:rPr>
        <w:t>,</w:t>
      </w:r>
      <w:r w:rsidRPr="002E4AF8">
        <w:rPr>
          <w:i/>
          <w:szCs w:val="16"/>
        </w:rPr>
        <w:t xml:space="preserve"> </w:t>
      </w:r>
      <w:r w:rsidRPr="002E4AF8">
        <w:rPr>
          <w:szCs w:val="16"/>
        </w:rPr>
        <w:t xml:space="preserve">the Appellate Body relied on the objective of sustainable development contained in the preamble of the WTO Agreement to determine whether a measure aimed at protecting sea turtles could fall within the ambit of the policy objective of conservation of "exhaustible natural resources" within the meaning of Article XX(g) of the GATT 1994. The Appellate Body indicated that the expression "exhaustible natural resources" contained in this provision should be read in light of the objective of sustainable development contained in the preamble of the WTO Agreement, and interpreted to refer not only to the conservation of exhaustible mineral or other non-living natural resources but also to living natural resources including sea turtles, the protection of which was sought by the measure at issue in that dispute. (Appellate Body Report, </w:t>
      </w:r>
      <w:r w:rsidRPr="002E4AF8">
        <w:rPr>
          <w:i/>
          <w:szCs w:val="16"/>
        </w:rPr>
        <w:t>US – Shrimp</w:t>
      </w:r>
      <w:r w:rsidRPr="002E4AF8">
        <w:rPr>
          <w:szCs w:val="16"/>
        </w:rPr>
        <w:t>, para. 131)</w:t>
      </w:r>
    </w:p>
  </w:footnote>
  <w:footnote w:id="19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also Panel Reports, para. 7.128 (quoting Mexico's second written submission to the Panels, para. 32).</w:t>
      </w:r>
    </w:p>
  </w:footnote>
  <w:footnote w:id="19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7.128 (referring to Mexico's response to Panel question No. 84, para. 130).</w:t>
      </w:r>
    </w:p>
  </w:footnote>
  <w:footnote w:id="19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147.</w:t>
      </w:r>
    </w:p>
  </w:footnote>
  <w:footnote w:id="19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148.</w:t>
      </w:r>
    </w:p>
  </w:footnote>
  <w:footnote w:id="19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147. In Mexico's view, "[a]s expressed in the preamble of the WTO Agreement, the objective of every WTO Member is to act sustainably", and this objective must "inform the interpretation of the Article 2.1 of the TBT Agreement". (Ibid., para. 149)</w:t>
      </w:r>
    </w:p>
  </w:footnote>
  <w:footnote w:id="19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149.</w:t>
      </w:r>
    </w:p>
  </w:footnote>
  <w:footnote w:id="19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5.8 above.</w:t>
      </w:r>
    </w:p>
  </w:footnote>
  <w:footnote w:id="20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Panel Reports, para. 7.103 (referring to Appellate Body Report, </w:t>
      </w:r>
      <w:r w:rsidRPr="002E4AF8">
        <w:rPr>
          <w:i/>
          <w:noProof/>
          <w:szCs w:val="16"/>
        </w:rPr>
        <w:t xml:space="preserve">US – Tuna II (Mexico) </w:t>
      </w:r>
      <w:r w:rsidRPr="002E4AF8">
        <w:rPr>
          <w:i/>
          <w:noProof/>
          <w:szCs w:val="16"/>
        </w:rPr>
        <w:br/>
        <w:t>(Article 21.5 – Mexico)</w:t>
      </w:r>
      <w:r w:rsidRPr="002E4AF8">
        <w:rPr>
          <w:noProof/>
          <w:szCs w:val="16"/>
        </w:rPr>
        <w:t>, para. 7.252).</w:t>
      </w:r>
    </w:p>
  </w:footnote>
  <w:footnote w:id="20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7.149 and 7.525.</w:t>
      </w:r>
    </w:p>
  </w:footnote>
  <w:footnote w:id="20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7.529 and 7.704.</w:t>
      </w:r>
    </w:p>
  </w:footnote>
  <w:footnote w:id="20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7.717.</w:t>
      </w:r>
    </w:p>
  </w:footnote>
  <w:footnote w:id="20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78.</w:t>
      </w:r>
    </w:p>
  </w:footnote>
  <w:footnote w:id="20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6.16 above.</w:t>
      </w:r>
    </w:p>
  </w:footnote>
  <w:footnote w:id="20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99 and 117-118.</w:t>
      </w:r>
    </w:p>
  </w:footnote>
  <w:footnote w:id="20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154.</w:t>
      </w:r>
    </w:p>
  </w:footnote>
  <w:footnote w:id="20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159-172, 235-240, and 254-260.</w:t>
      </w:r>
    </w:p>
  </w:footnote>
  <w:footnote w:id="20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230-240, 252-260, and 273-274, and fn 207 to para. 166.</w:t>
      </w:r>
    </w:p>
  </w:footnote>
  <w:footnote w:id="21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We address the other specific errors alleged by Mexico regarding the Panels' assessment of risk profiles in section 6.1.4, and whether the 2016 Tuna Measure is properly calibrated in section 6.1.5, below.</w:t>
      </w:r>
    </w:p>
  </w:footnote>
  <w:footnote w:id="21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Mexico's appellant's submission, para. 97 (quoting Appellate Body Report, </w:t>
      </w:r>
      <w:r w:rsidRPr="002E4AF8">
        <w:rPr>
          <w:i/>
          <w:noProof/>
          <w:szCs w:val="16"/>
        </w:rPr>
        <w:t>US – Tuna II (Mexico) (Article 21.5 – Mexico)</w:t>
      </w:r>
      <w:r w:rsidRPr="002E4AF8">
        <w:rPr>
          <w:noProof/>
          <w:szCs w:val="16"/>
        </w:rPr>
        <w:t>, para. 7.155). In its appellant's submission, Mexico argues that "</w:t>
      </w:r>
      <w:r w:rsidRPr="002E4AF8">
        <w:rPr>
          <w:i/>
          <w:noProof/>
          <w:szCs w:val="16"/>
        </w:rPr>
        <w:t>both</w:t>
      </w:r>
      <w:r w:rsidRPr="002E4AF8">
        <w:rPr>
          <w:noProof/>
          <w:szCs w:val="16"/>
        </w:rPr>
        <w:t xml:space="preserve"> an examination of the nexus between the regulatory distinctions and the objectives of the measure </w:t>
      </w:r>
      <w:r w:rsidRPr="002E4AF8">
        <w:rPr>
          <w:i/>
          <w:noProof/>
          <w:szCs w:val="16"/>
        </w:rPr>
        <w:t>and</w:t>
      </w:r>
      <w:r w:rsidRPr="002E4AF8">
        <w:rPr>
          <w:noProof/>
          <w:szCs w:val="16"/>
        </w:rPr>
        <w:t xml:space="preserve"> an examination of whether the measure is 'calibrated' are relevant factors for consideration in the assessment of whether the 2016 tuna measure is designed and applied in an even-handed manner." (Ibid., para. 98 (emphasis added)) This statement suggests that, in Mexico's view, consideration of the rational relationship may not be encompassed in the calibration analysis, such that the Panels should have determined separately whether there is, indeed, a rational relationship between the regulatory distinctions of the 2016 Tuna Measure and its objectives. However, Mexico clarified at the hearing that, in order to be </w:t>
      </w:r>
      <w:r w:rsidRPr="002E4AF8">
        <w:rPr>
          <w:i/>
          <w:noProof/>
          <w:szCs w:val="16"/>
        </w:rPr>
        <w:t>properly</w:t>
      </w:r>
      <w:r w:rsidRPr="002E4AF8">
        <w:rPr>
          <w:noProof/>
          <w:szCs w:val="16"/>
        </w:rPr>
        <w:t xml:space="preserve"> calibrated, the regulatory distinctions of the 2016 Tuna Measure would have to be rationally related to its objectives.</w:t>
      </w:r>
    </w:p>
  </w:footnote>
  <w:footnote w:id="21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100. Mexico also indicated at the hearing that, for a measure to be properly calibrated, it must not be designed or applied in a manner that constitutes a means of arbitrary or unjustifiable discrimination, and the primary factor for examining whether the measure constitutes such discrimination is to assess whether the detrimental impact can be reconciled with, or is rationally related to, the objectives of the measure.</w:t>
      </w:r>
    </w:p>
  </w:footnote>
  <w:footnote w:id="21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99.</w:t>
      </w:r>
    </w:p>
  </w:footnote>
  <w:footnote w:id="21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99.</w:t>
      </w:r>
    </w:p>
  </w:footnote>
  <w:footnote w:id="21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116.</w:t>
      </w:r>
    </w:p>
  </w:footnote>
  <w:footnote w:id="21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117.</w:t>
      </w:r>
    </w:p>
  </w:footnote>
  <w:footnote w:id="21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47.</w:t>
      </w:r>
    </w:p>
  </w:footnote>
  <w:footnote w:id="21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48. According to the United States, "at no time did the Appellate Body ever suggest that the risk profiles reflect anything other than observed and unobserved mortality or injury to dolphins." (Ibid. (referring to Panel Reports, para. 7.108))</w:t>
      </w:r>
    </w:p>
  </w:footnote>
  <w:footnote w:id="21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6.12 above.</w:t>
      </w:r>
    </w:p>
  </w:footnote>
  <w:footnote w:id="220">
    <w:p w:rsidR="00BA4B71" w:rsidRPr="00CE6066"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Appellate Body Report, </w:t>
      </w:r>
      <w:r w:rsidRPr="002E4AF8">
        <w:rPr>
          <w:i/>
          <w:noProof/>
          <w:szCs w:val="16"/>
        </w:rPr>
        <w:t>US – Tuna II (Mexico)</w:t>
      </w:r>
      <w:r w:rsidRPr="002E4AF8">
        <w:rPr>
          <w:noProof/>
          <w:szCs w:val="16"/>
        </w:rPr>
        <w:t xml:space="preserve">, para. </w:t>
      </w:r>
      <w:r w:rsidRPr="00CE6066">
        <w:rPr>
          <w:noProof/>
          <w:szCs w:val="16"/>
        </w:rPr>
        <w:t>297.</w:t>
      </w:r>
    </w:p>
  </w:footnote>
  <w:footnote w:id="221">
    <w:p w:rsidR="00BA4B71" w:rsidRPr="002E4AF8" w:rsidRDefault="00BA4B71" w:rsidP="002E4AF8">
      <w:pPr>
        <w:pStyle w:val="FootnoteText"/>
        <w:keepLines/>
        <w:rPr>
          <w:szCs w:val="16"/>
        </w:rPr>
      </w:pPr>
      <w:r w:rsidRPr="002E4AF8">
        <w:rPr>
          <w:rStyle w:val="FootnoteReference"/>
          <w:szCs w:val="16"/>
        </w:rPr>
        <w:footnoteRef/>
      </w:r>
      <w:r w:rsidRPr="00CE6066">
        <w:rPr>
          <w:szCs w:val="16"/>
        </w:rPr>
        <w:t xml:space="preserve"> </w:t>
      </w:r>
      <w:r w:rsidRPr="00CE6066">
        <w:rPr>
          <w:noProof/>
          <w:szCs w:val="16"/>
        </w:rPr>
        <w:t xml:space="preserve">Appellate Body Report, </w:t>
      </w:r>
      <w:r w:rsidRPr="00CE6066">
        <w:rPr>
          <w:i/>
          <w:noProof/>
          <w:szCs w:val="16"/>
        </w:rPr>
        <w:t>US – Tuna II (Mexico)</w:t>
      </w:r>
      <w:r w:rsidRPr="00CE6066">
        <w:rPr>
          <w:noProof/>
          <w:szCs w:val="16"/>
        </w:rPr>
        <w:t>, para. </w:t>
      </w:r>
      <w:r w:rsidRPr="002E4AF8">
        <w:rPr>
          <w:noProof/>
          <w:szCs w:val="16"/>
        </w:rPr>
        <w:t>287 (referring to Original Panel Report, para. 7.505).</w:t>
      </w:r>
    </w:p>
  </w:footnote>
  <w:footnote w:id="22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Appellate Body Report, </w:t>
      </w:r>
      <w:r w:rsidRPr="002E4AF8">
        <w:rPr>
          <w:i/>
          <w:noProof/>
          <w:szCs w:val="16"/>
        </w:rPr>
        <w:t>US – Tuna II (Mexico)</w:t>
      </w:r>
      <w:r w:rsidRPr="002E4AF8">
        <w:rPr>
          <w:noProof/>
          <w:szCs w:val="16"/>
        </w:rPr>
        <w:t>, para. 292 (referring to Original Panel Report, para. 7.534 and fn 767 thereto).</w:t>
      </w:r>
    </w:p>
  </w:footnote>
  <w:footnote w:id="223">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paras. </w:t>
      </w:r>
      <w:r w:rsidRPr="002E4AF8">
        <w:rPr>
          <w:noProof/>
          <w:szCs w:val="16"/>
        </w:rPr>
        <w:t xml:space="preserve">7.154-7.155 (referring to Appellate Body Report, </w:t>
      </w:r>
      <w:r w:rsidRPr="002E4AF8">
        <w:rPr>
          <w:i/>
          <w:noProof/>
          <w:szCs w:val="16"/>
        </w:rPr>
        <w:t>US – Tuna II (Mexico)</w:t>
      </w:r>
      <w:r w:rsidRPr="002E4AF8">
        <w:rPr>
          <w:noProof/>
          <w:szCs w:val="16"/>
        </w:rPr>
        <w:t xml:space="preserve">, para. </w:t>
      </w:r>
      <w:r w:rsidRPr="002E4AF8">
        <w:rPr>
          <w:noProof/>
          <w:szCs w:val="16"/>
          <w:lang w:val="es-ES"/>
        </w:rPr>
        <w:t>297).</w:t>
      </w:r>
    </w:p>
  </w:footnote>
  <w:footnote w:id="224">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7.155.</w:t>
      </w:r>
    </w:p>
  </w:footnote>
  <w:footnote w:id="225">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7.156.</w:t>
      </w:r>
    </w:p>
  </w:footnote>
  <w:footnote w:id="226">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paras. 7.252 and 7.353.</w:t>
      </w:r>
    </w:p>
  </w:footnote>
  <w:footnote w:id="22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paras. 7.163 and 7.252-7.253.</w:t>
      </w:r>
    </w:p>
  </w:footnote>
  <w:footnote w:id="22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paras. 7.155, 7.160, and 7.252-7.253.</w:t>
      </w:r>
    </w:p>
  </w:footnote>
  <w:footnote w:id="229">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See e.g. Appellate Body Report, </w:t>
      </w:r>
      <w:r w:rsidRPr="002E4AF8">
        <w:rPr>
          <w:i/>
          <w:noProof/>
          <w:szCs w:val="16"/>
          <w:lang w:val="es-ES"/>
        </w:rPr>
        <w:t>US – Tuna II (Mexico) (Article 21.5 – Mexico)</w:t>
      </w:r>
      <w:r w:rsidRPr="002E4AF8">
        <w:rPr>
          <w:noProof/>
          <w:szCs w:val="16"/>
          <w:lang w:val="es-ES"/>
        </w:rPr>
        <w:t>, para. 7.252.</w:t>
      </w:r>
    </w:p>
  </w:footnote>
  <w:footnote w:id="23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Panel Reports, para. 7.109.</w:t>
      </w:r>
    </w:p>
  </w:footnote>
  <w:footnote w:id="231">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7.155.</w:t>
      </w:r>
    </w:p>
  </w:footnote>
  <w:footnote w:id="232">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w:t>
      </w:r>
      <w:r w:rsidRPr="002E4AF8">
        <w:rPr>
          <w:noProof/>
          <w:szCs w:val="16"/>
        </w:rPr>
        <w:t xml:space="preserve">We recall that the Appellate Body also found that the first compliance panel had not performed a proper analysis under Article 2.1 of the TBT Agreement due to the following errors: (i) the panel's segmented analysis of the 2013 Tuna Measure; (ii) its erroneous assumption that disqualifying the method of setting on dolphins from the dolphin-safe label was found to be consistent with Article 2.1 of the TBT Agreement in the original proceedings; (iii) its failure to take due account of the different risks associated with tuna fishing in different fisheries by focusing solely on </w:t>
      </w:r>
      <w:r w:rsidRPr="002E4AF8">
        <w:rPr>
          <w:i/>
          <w:noProof/>
          <w:szCs w:val="16"/>
        </w:rPr>
        <w:t>unobserved</w:t>
      </w:r>
      <w:r w:rsidRPr="002E4AF8">
        <w:rPr>
          <w:noProof/>
          <w:szCs w:val="16"/>
        </w:rPr>
        <w:t xml:space="preserve"> harms to dolphins; and (iv) its focus on the technique of setting on dolphins in assessing the respective risk profiles of different fishing methods and areas of the ocean.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paras. 7.126, 7.159, 7.161, and 7.165)</w:t>
      </w:r>
    </w:p>
  </w:footnote>
  <w:footnote w:id="233">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7.142 (referring to Original Panel Report, para. 7.398).</w:t>
      </w:r>
    </w:p>
  </w:footnote>
  <w:footnote w:id="234">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7.166. (Ibid., fn 611 to para. </w:t>
      </w:r>
      <w:r w:rsidRPr="002E4AF8">
        <w:rPr>
          <w:noProof/>
          <w:szCs w:val="16"/>
        </w:rPr>
        <w:t xml:space="preserve">7.166 (referring to First Compliance Panel Report, para. 7.233) (emphasis added)) The Appellate Body also noted that the first compliance panel had indicated that the different tracking and verification requirements that apply outside the ETP large purse seine fisheries are less burdensome, making it more likely that tuna caught other than by ETP large purse seine vessels will be incorrectly labelled as dolphin-safe. </w:t>
      </w:r>
      <w:r w:rsidRPr="002E4AF8">
        <w:rPr>
          <w:noProof/>
          <w:szCs w:val="16"/>
          <w:lang w:val="es-ES"/>
        </w:rPr>
        <w:t xml:space="preserve">(See also Appellate Body Report, </w:t>
      </w:r>
      <w:r w:rsidRPr="002E4AF8">
        <w:rPr>
          <w:i/>
          <w:noProof/>
          <w:szCs w:val="16"/>
          <w:lang w:val="es-ES"/>
        </w:rPr>
        <w:t>US – Tuna II (Mexico) (Article 21.5 – Mexico)</w:t>
      </w:r>
      <w:r w:rsidRPr="002E4AF8">
        <w:rPr>
          <w:noProof/>
          <w:szCs w:val="16"/>
          <w:lang w:val="es-ES"/>
        </w:rPr>
        <w:t>, para. 7.253)</w:t>
      </w:r>
    </w:p>
  </w:footnote>
  <w:footnote w:id="235">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7.166 and fn 611 thereto, and para. 7.169.</w:t>
      </w:r>
    </w:p>
  </w:footnote>
  <w:footnote w:id="23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7.102.</w:t>
      </w:r>
    </w:p>
  </w:footnote>
  <w:footnote w:id="23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Panel Reports, para. 7.103 (referring to Appellate Body Report, </w:t>
      </w:r>
      <w:r w:rsidRPr="002E4AF8">
        <w:rPr>
          <w:i/>
          <w:noProof/>
          <w:szCs w:val="16"/>
        </w:rPr>
        <w:t xml:space="preserve">US – Tuna II (Mexico) </w:t>
      </w:r>
      <w:r w:rsidRPr="002E4AF8">
        <w:rPr>
          <w:i/>
          <w:noProof/>
          <w:szCs w:val="16"/>
        </w:rPr>
        <w:br/>
        <w:t>(Article 21.5 – Mexico)</w:t>
      </w:r>
      <w:r w:rsidRPr="002E4AF8">
        <w:rPr>
          <w:noProof/>
          <w:szCs w:val="16"/>
        </w:rPr>
        <w:t>, para. 7.252).</w:t>
      </w:r>
    </w:p>
  </w:footnote>
  <w:footnote w:id="23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7.115.</w:t>
      </w:r>
    </w:p>
  </w:footnote>
  <w:footnote w:id="23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7.115.</w:t>
      </w:r>
    </w:p>
  </w:footnote>
  <w:footnote w:id="24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7.116-7.117.</w:t>
      </w:r>
    </w:p>
  </w:footnote>
  <w:footnote w:id="24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Panel Reports, para. 7.117 (quoting Appellate Body Report, </w:t>
      </w:r>
      <w:r w:rsidRPr="002E4AF8">
        <w:rPr>
          <w:i/>
          <w:noProof/>
          <w:szCs w:val="16"/>
        </w:rPr>
        <w:t xml:space="preserve">US – Tuna II (Mexico) </w:t>
      </w:r>
      <w:r w:rsidRPr="002E4AF8">
        <w:rPr>
          <w:i/>
          <w:noProof/>
          <w:szCs w:val="16"/>
        </w:rPr>
        <w:br/>
        <w:t>(Article 21.5 – Mexico)</w:t>
      </w:r>
      <w:r w:rsidRPr="002E4AF8">
        <w:rPr>
          <w:noProof/>
          <w:szCs w:val="16"/>
        </w:rPr>
        <w:t>, para. 7.16).</w:t>
      </w:r>
    </w:p>
  </w:footnote>
  <w:footnote w:id="24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7.125 (referring to Original Panel Report, para. 7.427). (fn omitted)</w:t>
      </w:r>
    </w:p>
  </w:footnote>
  <w:footnote w:id="24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7.117.</w:t>
      </w:r>
    </w:p>
  </w:footnote>
  <w:footnote w:id="24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7.125 (quoting Original Panel Report, para. 7.550). Mexico agrees that the objectives of the measure are "inseparable". (Mexico's appellant's submission, para. 144)</w:t>
      </w:r>
    </w:p>
  </w:footnote>
  <w:footnote w:id="24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99. (fn omitted)</w:t>
      </w:r>
    </w:p>
  </w:footnote>
  <w:footnote w:id="24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As noted in para. 5.11 above, under the 2016 Tuna Measure, tuna products labelled as dolphin-safe must not contain tuna harvested in a manner that adversely affects dolphins.</w:t>
      </w:r>
    </w:p>
  </w:footnote>
  <w:footnote w:id="24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5.8 above.</w:t>
      </w:r>
    </w:p>
  </w:footnote>
  <w:footnote w:id="24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7.115. In sections 6.1.4 and 6.1.5 below, we examine whether the Panels conducted the calibration analysis properly in this dispute.</w:t>
      </w:r>
    </w:p>
  </w:footnote>
  <w:footnote w:id="24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138 (quoting Panel Reports, para. 7.118).</w:t>
      </w:r>
    </w:p>
  </w:footnote>
  <w:footnote w:id="25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138.</w:t>
      </w:r>
    </w:p>
  </w:footnote>
  <w:footnote w:id="25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99.</w:t>
      </w:r>
    </w:p>
  </w:footnote>
  <w:footnote w:id="25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w:t>
      </w:r>
      <w:r w:rsidRPr="002E4AF8">
        <w:rPr>
          <w:noProof/>
          <w:szCs w:val="16"/>
        </w:rPr>
        <w:t>Mexico's appellant's submission, paras. 99, 114, and 124.</w:t>
      </w:r>
    </w:p>
  </w:footnote>
  <w:footnote w:id="25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123.</w:t>
      </w:r>
    </w:p>
  </w:footnote>
  <w:footnote w:id="25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127.</w:t>
      </w:r>
    </w:p>
  </w:footnote>
  <w:footnote w:id="255">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w:t>
      </w:r>
      <w:r w:rsidRPr="002E4AF8">
        <w:rPr>
          <w:noProof/>
          <w:szCs w:val="16"/>
        </w:rPr>
        <w:t xml:space="preserve">See paras. 6.36-6.41 above. See also Appellate Body Report, </w:t>
      </w:r>
      <w:r w:rsidRPr="002E4AF8">
        <w:rPr>
          <w:i/>
          <w:noProof/>
          <w:szCs w:val="16"/>
        </w:rPr>
        <w:t xml:space="preserve">US – Tuna II (Mexico) </w:t>
      </w:r>
      <w:r w:rsidRPr="002E4AF8">
        <w:rPr>
          <w:i/>
          <w:noProof/>
          <w:szCs w:val="16"/>
        </w:rPr>
        <w:br/>
        <w:t>(Article 21.5 – Mexico)</w:t>
      </w:r>
      <w:r w:rsidRPr="002E4AF8">
        <w:rPr>
          <w:noProof/>
          <w:szCs w:val="16"/>
        </w:rPr>
        <w:t>, para. 7.166 and fn 611 thereto (referring to First Compliance Panel Report, para. </w:t>
      </w:r>
      <w:r w:rsidRPr="002E4AF8">
        <w:rPr>
          <w:noProof/>
          <w:szCs w:val="16"/>
          <w:lang w:val="es-ES"/>
        </w:rPr>
        <w:t>7.398).</w:t>
      </w:r>
    </w:p>
  </w:footnote>
  <w:footnote w:id="256">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See e.g. Appellate Body Report, </w:t>
      </w:r>
      <w:r w:rsidRPr="002E4AF8">
        <w:rPr>
          <w:i/>
          <w:noProof/>
          <w:szCs w:val="16"/>
          <w:lang w:val="es-ES"/>
        </w:rPr>
        <w:t>US – Tuna II (Mexico) (Article 21.5 – Mexico)</w:t>
      </w:r>
      <w:r w:rsidRPr="002E4AF8">
        <w:rPr>
          <w:noProof/>
          <w:szCs w:val="16"/>
          <w:lang w:val="es-ES"/>
        </w:rPr>
        <w:t>, para. 7.155.</w:t>
      </w:r>
    </w:p>
  </w:footnote>
  <w:footnote w:id="25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Panel Reports, para. 7.112.</w:t>
      </w:r>
    </w:p>
  </w:footnote>
  <w:footnote w:id="25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Panel Reports, para. 7.112.</w:t>
      </w:r>
    </w:p>
  </w:footnote>
  <w:footnote w:id="259">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Mexico's appellant's submission, para. 124.</w:t>
      </w:r>
    </w:p>
  </w:footnote>
  <w:footnote w:id="26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Mexico's appellant's submission, para. 109.</w:t>
      </w:r>
    </w:p>
  </w:footnote>
  <w:footnote w:id="26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Mexico's appellant's submission, para. 110.</w:t>
      </w:r>
    </w:p>
  </w:footnote>
  <w:footnote w:id="262">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Mexico's appellant's submission, para. </w:t>
      </w:r>
      <w:r w:rsidRPr="002E4AF8">
        <w:rPr>
          <w:noProof/>
          <w:szCs w:val="16"/>
        </w:rPr>
        <w:t>124.</w:t>
      </w:r>
    </w:p>
  </w:footnote>
  <w:footnote w:id="26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45 (quoting Mexico's appellant's submission, para. 124).</w:t>
      </w:r>
    </w:p>
  </w:footnote>
  <w:footnote w:id="26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45 (quoting Mexico's appellant's submission, para. 109).</w:t>
      </w:r>
    </w:p>
  </w:footnote>
  <w:footnote w:id="26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53.</w:t>
      </w:r>
    </w:p>
  </w:footnote>
  <w:footnote w:id="26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53 (referring to Panel Reports, para. 7.110).</w:t>
      </w:r>
    </w:p>
  </w:footnote>
  <w:footnote w:id="26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109.</w:t>
      </w:r>
    </w:p>
  </w:footnote>
  <w:footnote w:id="26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45 (referring to Mexico's appellant's submission, paras. 120 and 124).</w:t>
      </w:r>
    </w:p>
  </w:footnote>
  <w:footnote w:id="26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7.110. (emphasis added)</w:t>
      </w:r>
    </w:p>
  </w:footnote>
  <w:footnote w:id="27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7.110. This is because "one of the objectives of the label is to provide consumers with information as to the dolphin-safe status of tuna products in order to</w:t>
      </w:r>
      <w:r w:rsidRPr="002E4AF8">
        <w:rPr>
          <w:i/>
          <w:noProof/>
          <w:szCs w:val="16"/>
        </w:rPr>
        <w:t xml:space="preserve"> </w:t>
      </w:r>
      <w:r w:rsidRPr="002E4AF8">
        <w:rPr>
          <w:noProof/>
          <w:szCs w:val="16"/>
        </w:rPr>
        <w:t xml:space="preserve">ensure 'that the US market is not used to encourage fishing fleets to catch tuna in a manner that adversely affects dolphins'." (Panel Reports, fn 222 to para. 7.110 (quoting Appellate Body Report, </w:t>
      </w:r>
      <w:r w:rsidRPr="002E4AF8">
        <w:rPr>
          <w:i/>
          <w:noProof/>
          <w:szCs w:val="16"/>
        </w:rPr>
        <w:t xml:space="preserve">US – Tuna II (Mexico) </w:t>
      </w:r>
      <w:r w:rsidRPr="002E4AF8">
        <w:rPr>
          <w:i/>
          <w:noProof/>
          <w:szCs w:val="16"/>
        </w:rPr>
        <w:br/>
        <w:t>(Article 21.5 – Mexico)</w:t>
      </w:r>
      <w:r w:rsidRPr="002E4AF8">
        <w:rPr>
          <w:noProof/>
          <w:szCs w:val="16"/>
        </w:rPr>
        <w:t>, para. 6.3))</w:t>
      </w:r>
    </w:p>
  </w:footnote>
  <w:footnote w:id="27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7.110.</w:t>
      </w:r>
    </w:p>
  </w:footnote>
  <w:footnote w:id="27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7.113.</w:t>
      </w:r>
    </w:p>
  </w:footnote>
  <w:footnote w:id="27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7.118.</w:t>
      </w:r>
    </w:p>
  </w:footnote>
  <w:footnote w:id="27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124.</w:t>
      </w:r>
    </w:p>
  </w:footnote>
  <w:footnote w:id="27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7.110. (fn omitted)</w:t>
      </w:r>
    </w:p>
  </w:footnote>
  <w:footnote w:id="27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7.119. (emphasis added)</w:t>
      </w:r>
    </w:p>
  </w:footnote>
  <w:footnote w:id="27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139.</w:t>
      </w:r>
    </w:p>
  </w:footnote>
  <w:footnote w:id="27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133 (referring to Panel Reports, para. 7.122).</w:t>
      </w:r>
    </w:p>
  </w:footnote>
  <w:footnote w:id="27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140.</w:t>
      </w:r>
    </w:p>
  </w:footnote>
  <w:footnote w:id="28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135.</w:t>
      </w:r>
    </w:p>
  </w:footnote>
  <w:footnote w:id="28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66.</w:t>
      </w:r>
    </w:p>
  </w:footnote>
  <w:footnote w:id="28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68.</w:t>
      </w:r>
    </w:p>
  </w:footnote>
  <w:footnote w:id="28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74 and fn 168 thereto (quoting Panel Reports, paras. 7.601 and 7.605).</w:t>
      </w:r>
    </w:p>
  </w:footnote>
  <w:footnote w:id="28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74 (quoting Panel Reports, para. 7.605). (emphasis added)</w:t>
      </w:r>
    </w:p>
  </w:footnote>
  <w:footnote w:id="28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75.</w:t>
      </w:r>
    </w:p>
  </w:footnote>
  <w:footnote w:id="28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140.</w:t>
      </w:r>
    </w:p>
  </w:footnote>
  <w:footnote w:id="28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As noted above, the Panels defined the "risk of inaccuracy" as the risk that, due to "an error in the recording and reporting of information", a batch of tuna containing tuna that should have been designated as non-dolphin-safe is nonetheless designated as dolphin-safe. (Panel Reports, para. 7.119)</w:t>
      </w:r>
    </w:p>
  </w:footnote>
  <w:footnote w:id="28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7.120.</w:t>
      </w:r>
    </w:p>
  </w:footnote>
  <w:footnote w:id="28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7.120. (emphasis added) The Panels indicated that, for example, where the margin of error is high but the occurrence of such events is low in a given fishery, the risk of inaccurate information being conveyed to consumers would be low. Conversely, where the margin of error is low but occurrence of such events is high, the resulting risk of inaccurate information would be high. (Ibid., para. 7.121) The Panels further explained that the "events that require recording" include "not only the events, such as death or serious injury of dolphins, which make up the risk profile of the relevant fishery, but also other events, such as the fact that dolphins were observed by the vessel captain or independent observer; whether or not dolphin</w:t>
      </w:r>
      <w:r w:rsidRPr="002E4AF8">
        <w:rPr>
          <w:noProof/>
          <w:szCs w:val="16"/>
        </w:rPr>
        <w:noBreakHyphen/>
        <w:t>safe and non-dolphin-safe tuna were segregated in the wells on board the vessel; and whether that segregation was maintained during the trans</w:t>
      </w:r>
      <w:r w:rsidRPr="002E4AF8">
        <w:rPr>
          <w:noProof/>
          <w:szCs w:val="16"/>
        </w:rPr>
        <w:noBreakHyphen/>
        <w:t>shipment and unloading of the tuna". (Ibid., fn 235 to para. 7.121)</w:t>
      </w:r>
    </w:p>
  </w:footnote>
  <w:footnote w:id="29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7.121. (fn omitted)</w:t>
      </w:r>
    </w:p>
  </w:footnote>
  <w:footnote w:id="29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7.123.</w:t>
      </w:r>
    </w:p>
  </w:footnote>
  <w:footnote w:id="29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7.123. (emphasis added)</w:t>
      </w:r>
    </w:p>
  </w:footnote>
  <w:footnote w:id="29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7.123.</w:t>
      </w:r>
    </w:p>
  </w:footnote>
  <w:footnote w:id="29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135.</w:t>
      </w:r>
    </w:p>
  </w:footnote>
  <w:footnote w:id="29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Indeed, we observe that certain statements by the Panels regarding the term "margin of error", when read in isolation, could potentially give rise to the understanding Mexico suggests. Specifically, the Panels stated that "a measure that tolerates a larger margin of error where a risk is low, but tolerates a lower margin of error where the risk is high, may very well be calibrated." (Panel Reports, para. 7.606) To the extent "a larger margin of error" in this statement could be read to suggest a higher degree of label inaccuracy, this would be contradicted by other statements by the Panels and the totality of their calibration analysis.</w:t>
      </w:r>
    </w:p>
  </w:footnote>
  <w:footnote w:id="29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7.123.</w:t>
      </w:r>
    </w:p>
  </w:footnote>
  <w:footnote w:id="29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159-172.</w:t>
      </w:r>
    </w:p>
  </w:footnote>
  <w:footnote w:id="29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166 and fn 207 thereto. In Mexico's view, fisheries "with relatively higher risk profiles" must be distinguished from fisheries with "relatively lower risk profiles", and should be ineligible for the label. (Ibid., para. 167) Mexico refers to certain gillnet, longline, and trawl fisheries that the Panels found to have particularly high-risk profiles, and argues that "[p]ermitting access to the label to tuna caught by such methods in those ocean areas contradicts and undermines the objective of the tuna measure to discourage fishing practices that adversely affect dolphins." (Ibid., para. 167)</w:t>
      </w:r>
    </w:p>
  </w:footnote>
  <w:footnote w:id="29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Mexico's response to questioning at the hearing. The Appellate Body in the first compliance proceedings explained that "[f]or purposes of this dispute, the term 'fishery' may be defined by the geographic region in which the fishing occurs, the vessel and fishing method used, and the target species."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fn 130 to para. </w:t>
      </w:r>
      <w:r w:rsidRPr="002E4AF8">
        <w:rPr>
          <w:noProof/>
          <w:szCs w:val="16"/>
        </w:rPr>
        <w:t>6.10)</w:t>
      </w:r>
    </w:p>
  </w:footnote>
  <w:footnote w:id="30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166 and fn 207 thereto. Mexico highlights that tuna caught by driftnet fishing on the high seas is ineligible for the dolphin-safe label and argues on this basis that the measure, in setting out the eligibility criteria, makes distinctions involving both fishing methods and ocean areas. In response to questioning at the hearing, Mexico stated that the design of the measure is subject to the legal analysis; so even if the eligibility requirement was assessed under the measure on a fishing-method-by-fishing-method basis, that would not shield it from challenge and it would not shield the measure from being assessed for calibration on a fishery-by-fishery basis.</w:t>
      </w:r>
    </w:p>
  </w:footnote>
  <w:footnote w:id="30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117-118.</w:t>
      </w:r>
    </w:p>
  </w:footnote>
  <w:footnote w:id="30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118.</w:t>
      </w:r>
    </w:p>
  </w:footnote>
  <w:footnote w:id="30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122-123.</w:t>
      </w:r>
    </w:p>
  </w:footnote>
  <w:footnote w:id="30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119. The United States explains that, since the determination provisions increase the certification and tracking and verification requirements in specific high</w:t>
      </w:r>
      <w:r w:rsidRPr="002E4AF8">
        <w:rPr>
          <w:noProof/>
          <w:szCs w:val="16"/>
        </w:rPr>
        <w:noBreakHyphen/>
        <w:t>risk fisheries, the determination provisions would be "meaningless" if such high</w:t>
      </w:r>
      <w:r w:rsidRPr="002E4AF8">
        <w:rPr>
          <w:noProof/>
          <w:szCs w:val="16"/>
        </w:rPr>
        <w:noBreakHyphen/>
        <w:t>risk fisheries were in any event ineligible for the label.</w:t>
      </w:r>
    </w:p>
  </w:footnote>
  <w:footnote w:id="305">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 xml:space="preserve">US – Tuna II </w:t>
      </w:r>
      <w:r w:rsidRPr="002E4AF8">
        <w:rPr>
          <w:i/>
          <w:noProof/>
          <w:szCs w:val="16"/>
          <w:lang w:val="es-ES"/>
        </w:rPr>
        <w:t xml:space="preserve">(Mexico) </w:t>
      </w:r>
      <w:r w:rsidRPr="002E4AF8">
        <w:rPr>
          <w:i/>
          <w:szCs w:val="16"/>
          <w:lang w:val="es-ES"/>
        </w:rPr>
        <w:t>(Article 21.5 – Mexico)</w:t>
      </w:r>
      <w:r w:rsidRPr="002E4AF8">
        <w:rPr>
          <w:szCs w:val="16"/>
          <w:lang w:val="es-ES"/>
        </w:rPr>
        <w:t>,</w:t>
      </w:r>
      <w:r w:rsidRPr="002E4AF8">
        <w:rPr>
          <w:i/>
          <w:szCs w:val="16"/>
          <w:lang w:val="es-ES"/>
        </w:rPr>
        <w:t xml:space="preserve"> </w:t>
      </w:r>
      <w:r w:rsidRPr="002E4AF8">
        <w:rPr>
          <w:szCs w:val="16"/>
          <w:lang w:val="es-ES"/>
        </w:rPr>
        <w:t>para. </w:t>
      </w:r>
      <w:r w:rsidRPr="002E4AF8">
        <w:rPr>
          <w:szCs w:val="16"/>
        </w:rPr>
        <w:t>7.155. (emphasis added) See also Mexico's appellant's submission, para. 159.</w:t>
      </w:r>
    </w:p>
  </w:footnote>
  <w:footnote w:id="30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 xml:space="preserve">US – Tuna II </w:t>
      </w:r>
      <w:r w:rsidRPr="002E4AF8">
        <w:rPr>
          <w:i/>
          <w:noProof/>
          <w:szCs w:val="16"/>
        </w:rPr>
        <w:t xml:space="preserve">(Mexico) </w:t>
      </w:r>
      <w:r w:rsidRPr="002E4AF8">
        <w:rPr>
          <w:i/>
          <w:szCs w:val="16"/>
        </w:rPr>
        <w:t>(Article 21.5 – Mexico)</w:t>
      </w:r>
      <w:r w:rsidRPr="002E4AF8">
        <w:rPr>
          <w:szCs w:val="16"/>
        </w:rPr>
        <w:t>,</w:t>
      </w:r>
      <w:r w:rsidRPr="002E4AF8">
        <w:rPr>
          <w:i/>
          <w:szCs w:val="16"/>
        </w:rPr>
        <w:t xml:space="preserve"> </w:t>
      </w:r>
      <w:r w:rsidRPr="002E4AF8">
        <w:rPr>
          <w:szCs w:val="16"/>
        </w:rPr>
        <w:t>para. 7.155. (emphasis added)</w:t>
      </w:r>
    </w:p>
  </w:footnote>
  <w:footnote w:id="30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noProof/>
          <w:szCs w:val="16"/>
        </w:rPr>
        <w:t>7.31 (referring to</w:t>
      </w:r>
      <w:r w:rsidRPr="002E4AF8">
        <w:rPr>
          <w:szCs w:val="16"/>
        </w:rPr>
        <w:t xml:space="preserve"> Appellate Body Report,</w:t>
      </w:r>
      <w:r w:rsidRPr="002E4AF8">
        <w:rPr>
          <w:noProof/>
          <w:szCs w:val="16"/>
        </w:rPr>
        <w:t xml:space="preserve"> </w:t>
      </w:r>
      <w:r w:rsidRPr="002E4AF8">
        <w:rPr>
          <w:i/>
          <w:noProof/>
          <w:szCs w:val="16"/>
        </w:rPr>
        <w:t>US – Clove Cigarettes</w:t>
      </w:r>
      <w:r w:rsidRPr="002E4AF8">
        <w:rPr>
          <w:noProof/>
          <w:szCs w:val="16"/>
        </w:rPr>
        <w:t xml:space="preserve">, para. 182). See also Appellate Body Reports, </w:t>
      </w:r>
      <w:r w:rsidRPr="002E4AF8">
        <w:rPr>
          <w:i/>
          <w:noProof/>
          <w:szCs w:val="16"/>
        </w:rPr>
        <w:t>US – Clove Cigarettes</w:t>
      </w:r>
      <w:r w:rsidRPr="002E4AF8">
        <w:rPr>
          <w:noProof/>
          <w:szCs w:val="16"/>
        </w:rPr>
        <w:t>, para. </w:t>
      </w:r>
      <w:r w:rsidRPr="002E4AF8">
        <w:rPr>
          <w:noProof/>
          <w:szCs w:val="16"/>
          <w:lang w:val="es-ES"/>
        </w:rPr>
        <w:t xml:space="preserve">215; </w:t>
      </w:r>
      <w:r w:rsidRPr="002E4AF8">
        <w:rPr>
          <w:i/>
          <w:noProof/>
          <w:szCs w:val="16"/>
          <w:lang w:val="es-ES"/>
        </w:rPr>
        <w:t>US – COOL</w:t>
      </w:r>
      <w:r w:rsidRPr="002E4AF8">
        <w:rPr>
          <w:noProof/>
          <w:szCs w:val="16"/>
          <w:lang w:val="es-ES"/>
        </w:rPr>
        <w:t xml:space="preserve">, para. 340; </w:t>
      </w:r>
      <w:r w:rsidRPr="002E4AF8">
        <w:rPr>
          <w:i/>
          <w:noProof/>
          <w:szCs w:val="16"/>
          <w:lang w:val="es-ES"/>
        </w:rPr>
        <w:t>US – Tuna II (Mexico)</w:t>
      </w:r>
      <w:r w:rsidRPr="002E4AF8">
        <w:rPr>
          <w:noProof/>
          <w:szCs w:val="16"/>
          <w:lang w:val="es-ES"/>
        </w:rPr>
        <w:t>,</w:t>
      </w:r>
      <w:r w:rsidRPr="002E4AF8">
        <w:rPr>
          <w:i/>
          <w:noProof/>
          <w:szCs w:val="16"/>
          <w:lang w:val="es-ES"/>
        </w:rPr>
        <w:t xml:space="preserve"> </w:t>
      </w:r>
      <w:r w:rsidRPr="002E4AF8">
        <w:rPr>
          <w:noProof/>
          <w:szCs w:val="16"/>
          <w:lang w:val="es-ES"/>
        </w:rPr>
        <w:t>paras. 216 and 225.</w:t>
      </w:r>
    </w:p>
  </w:footnote>
  <w:footnote w:id="308">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See paras. </w:t>
      </w:r>
      <w:r w:rsidRPr="002E4AF8">
        <w:rPr>
          <w:noProof/>
          <w:szCs w:val="16"/>
        </w:rPr>
        <w:t>5.10-5.11 above.</w:t>
      </w:r>
    </w:p>
  </w:footnote>
  <w:footnote w:id="30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paras. 5.12-5.13 and 5.17 above.</w:t>
      </w:r>
    </w:p>
  </w:footnote>
  <w:footnote w:id="31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7.568.</w:t>
      </w:r>
    </w:p>
  </w:footnote>
  <w:footnote w:id="31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Panel Reports, para. 7.568.</w:t>
      </w:r>
      <w:r w:rsidRPr="002E4AF8">
        <w:rPr>
          <w:szCs w:val="16"/>
        </w:rPr>
        <w:t xml:space="preserve"> As explained above, for the purpose of this dispute, the term "fishery" may be defined by the geographic region in which the fishing occurs, the vessel and fishing method used, and the target species. See </w:t>
      </w:r>
      <w:r w:rsidRPr="002E4AF8">
        <w:rPr>
          <w:i/>
          <w:szCs w:val="16"/>
        </w:rPr>
        <w:t>supra</w:t>
      </w:r>
      <w:r w:rsidRPr="002E4AF8">
        <w:rPr>
          <w:szCs w:val="16"/>
        </w:rPr>
        <w:t>, fn 299.</w:t>
      </w:r>
    </w:p>
  </w:footnote>
  <w:footnote w:id="31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See Panel Reports, para. 7.568. </w:t>
      </w:r>
      <w:r w:rsidRPr="002E4AF8">
        <w:rPr>
          <w:szCs w:val="16"/>
        </w:rPr>
        <w:t>We also note that, s</w:t>
      </w:r>
      <w:r w:rsidRPr="002E4AF8">
        <w:rPr>
          <w:noProof/>
          <w:szCs w:val="16"/>
        </w:rPr>
        <w:t xml:space="preserve">ince tuna products containing tuna caught by driftnet fishing on the high seas are </w:t>
      </w:r>
      <w:r w:rsidRPr="002E4AF8">
        <w:rPr>
          <w:i/>
          <w:noProof/>
          <w:szCs w:val="16"/>
        </w:rPr>
        <w:t xml:space="preserve">ineligible </w:t>
      </w:r>
      <w:r w:rsidRPr="002E4AF8">
        <w:rPr>
          <w:noProof/>
          <w:szCs w:val="16"/>
        </w:rPr>
        <w:t>for the dolphin-safe label, any certification (or tracking and verification) of tuna caught by driftnet fishing on the high seas would only have the effect that such tuna products would not</w:t>
      </w:r>
      <w:r w:rsidRPr="002E4AF8">
        <w:rPr>
          <w:i/>
          <w:noProof/>
          <w:szCs w:val="16"/>
        </w:rPr>
        <w:t xml:space="preserve"> </w:t>
      </w:r>
      <w:r w:rsidRPr="002E4AF8">
        <w:rPr>
          <w:noProof/>
          <w:szCs w:val="16"/>
        </w:rPr>
        <w:t>receive the dolphin-safe label.</w:t>
      </w:r>
    </w:p>
  </w:footnote>
  <w:footnote w:id="31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w:t>
      </w:r>
      <w:r w:rsidRPr="002E4AF8">
        <w:rPr>
          <w:szCs w:val="16"/>
        </w:rPr>
        <w:t xml:space="preserve">. 7.76 (quoting Appellate Body Report, </w:t>
      </w:r>
      <w:r w:rsidRPr="002E4AF8">
        <w:rPr>
          <w:i/>
          <w:szCs w:val="16"/>
        </w:rPr>
        <w:t xml:space="preserve">US – Tuna II (Mexico) </w:t>
      </w:r>
      <w:r w:rsidRPr="002E4AF8">
        <w:rPr>
          <w:i/>
          <w:szCs w:val="16"/>
        </w:rPr>
        <w:br/>
        <w:t>(Article 21.5 – Mexico)</w:t>
      </w:r>
      <w:r w:rsidRPr="002E4AF8">
        <w:rPr>
          <w:szCs w:val="16"/>
        </w:rPr>
        <w:t>, para. </w:t>
      </w:r>
      <w:r w:rsidRPr="002E4AF8">
        <w:rPr>
          <w:noProof/>
          <w:szCs w:val="16"/>
        </w:rPr>
        <w:t>7.236, in turn quoting Original Panel Report, para. 7.317).</w:t>
      </w:r>
    </w:p>
  </w:footnote>
  <w:footnote w:id="31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7.77.</w:t>
      </w:r>
    </w:p>
  </w:footnote>
  <w:footnote w:id="31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7.78.</w:t>
      </w:r>
    </w:p>
  </w:footnote>
  <w:footnote w:id="31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To the extent that Mexico argues that the Panels failed to take into account all the relevant evidence in making this assessment, we address these arguments in section 6.1.4 below.</w:t>
      </w:r>
    </w:p>
  </w:footnote>
  <w:footnote w:id="31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7.529.</w:t>
      </w:r>
    </w:p>
  </w:footnote>
  <w:footnote w:id="31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Panel Reports, paras. 7.539-7.546.</w:t>
      </w:r>
    </w:p>
  </w:footnote>
  <w:footnote w:id="31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Panel </w:t>
      </w:r>
      <w:r w:rsidRPr="002E4AF8">
        <w:rPr>
          <w:noProof/>
          <w:szCs w:val="16"/>
        </w:rPr>
        <w:t>Reports, paras. 7.568-7.573, 7.578, 7.599-7.603, 7.613, 7.651-7.652, 7.671</w:t>
      </w:r>
      <w:r w:rsidRPr="002E4AF8">
        <w:rPr>
          <w:noProof/>
          <w:szCs w:val="16"/>
        </w:rPr>
        <w:noBreakHyphen/>
        <w:t>7.673, and 7.709-7.716.</w:t>
      </w:r>
    </w:p>
  </w:footnote>
  <w:footnote w:id="32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7.568.</w:t>
      </w:r>
    </w:p>
  </w:footnote>
  <w:footnote w:id="32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6.61 above.</w:t>
      </w:r>
    </w:p>
  </w:footnote>
  <w:footnote w:id="32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We are aware of Mexico's view that the Panels unduly focused on fishing methods in conducting their assessment of risk profiles, such that the Panels failed to adequately assess the risks in each individual fishery. (See paras. 6.91 and 6.100 below) Since that aspect of Mexico's arguments relates more specifically to the way in which the Panels conducted their assessment of risk profiles, we address it in section 6.1.4 below, rather than this section, which concerns more broadly whether the Panels correctly framed the calibration analysis.</w:t>
      </w:r>
    </w:p>
  </w:footnote>
  <w:footnote w:id="32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fn 207 to para. 166.</w:t>
      </w:r>
    </w:p>
  </w:footnote>
  <w:footnote w:id="32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fn 207 to para. 166.</w:t>
      </w:r>
    </w:p>
  </w:footnote>
  <w:footnote w:id="32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paras. 5.10-5.11 above.</w:t>
      </w:r>
    </w:p>
  </w:footnote>
  <w:footnote w:id="32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Appellate Body Reports, </w:t>
      </w:r>
      <w:r w:rsidRPr="002E4AF8">
        <w:rPr>
          <w:i/>
          <w:noProof/>
          <w:szCs w:val="16"/>
        </w:rPr>
        <w:t>US – COOL (Article 21.5 – Canada and Mexico)</w:t>
      </w:r>
      <w:r w:rsidRPr="002E4AF8">
        <w:rPr>
          <w:noProof/>
          <w:szCs w:val="16"/>
        </w:rPr>
        <w:t xml:space="preserve">, para. 5.93. See also Appellate Body Report, </w:t>
      </w:r>
      <w:r w:rsidRPr="002E4AF8">
        <w:rPr>
          <w:i/>
          <w:noProof/>
          <w:szCs w:val="16"/>
        </w:rPr>
        <w:t>US – Tuna II (Mexico)</w:t>
      </w:r>
      <w:r w:rsidRPr="002E4AF8">
        <w:rPr>
          <w:noProof/>
          <w:szCs w:val="16"/>
        </w:rPr>
        <w:t>, para. 286.</w:t>
      </w:r>
    </w:p>
  </w:footnote>
  <w:footnote w:id="32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We note that, on appeal, Mexico only raises the measure's distinct treatment of driftnet fishing on the high seas in support of its view that the Panels erred by making a fishing-method-by-fishing-method analysis. Mexico does </w:t>
      </w:r>
      <w:r w:rsidRPr="002E4AF8">
        <w:rPr>
          <w:i/>
          <w:noProof/>
          <w:szCs w:val="16"/>
        </w:rPr>
        <w:t>not</w:t>
      </w:r>
      <w:r w:rsidRPr="002E4AF8">
        <w:rPr>
          <w:noProof/>
          <w:szCs w:val="16"/>
        </w:rPr>
        <w:t xml:space="preserve"> argue in its appellant's submission that: (a) the distinction between driftnet fishing on the high seas and other individual fisheries causes the detrimental impact on Mexican tuna products; or</w:t>
      </w:r>
      <w:r w:rsidRPr="002E4AF8">
        <w:rPr>
          <w:i/>
          <w:noProof/>
          <w:szCs w:val="16"/>
        </w:rPr>
        <w:t xml:space="preserve"> </w:t>
      </w:r>
      <w:r w:rsidRPr="002E4AF8">
        <w:rPr>
          <w:noProof/>
          <w:szCs w:val="16"/>
        </w:rPr>
        <w:t>(b) the Panels erred by failing to examine whether this particular distinction is calibrated to different risks to dolphins.</w:t>
      </w:r>
    </w:p>
  </w:footnote>
  <w:footnote w:id="328">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Panel Reports, paras. 7.76-7.78; Appellate Body Report, </w:t>
      </w:r>
      <w:r w:rsidRPr="002E4AF8">
        <w:rPr>
          <w:i/>
          <w:noProof/>
          <w:szCs w:val="16"/>
          <w:lang w:val="es-ES"/>
        </w:rPr>
        <w:t xml:space="preserve">US – Tuna II (Mexico) </w:t>
      </w:r>
      <w:r w:rsidRPr="002E4AF8">
        <w:rPr>
          <w:i/>
          <w:noProof/>
          <w:szCs w:val="16"/>
          <w:lang w:val="es-ES"/>
        </w:rPr>
        <w:br/>
        <w:t>(Article 21.5 – Mexico)</w:t>
      </w:r>
      <w:r w:rsidRPr="002E4AF8">
        <w:rPr>
          <w:noProof/>
          <w:szCs w:val="16"/>
          <w:lang w:val="es-ES"/>
        </w:rPr>
        <w:t>, para. </w:t>
      </w:r>
      <w:r w:rsidRPr="002E4AF8">
        <w:rPr>
          <w:noProof/>
          <w:szCs w:val="16"/>
        </w:rPr>
        <w:t>7.236; Original Panel Report, para. 7.317.</w:t>
      </w:r>
    </w:p>
  </w:footnote>
  <w:footnote w:id="32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fn 207 to para. 166.</w:t>
      </w:r>
    </w:p>
  </w:footnote>
  <w:footnote w:id="33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6.9 above.</w:t>
      </w:r>
    </w:p>
  </w:footnote>
  <w:footnote w:id="33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As part of this assessment, the Panels were also required to examine whether the regulatory distinctions underlying the certification and tracking and verification requirements are calibrated to the risk profiles of the ETP large purse seine fishery and all other fisheries. As noted in paragraph 6.67 above, we understand the Panels to have compared the risk profiles of the relevant fisheries for the purpose of this analysis, and we examine in section 6.1.5 below whether the Panels properly concluded that the relevant regulatory distinctions are calibrated to these risk profiles.</w:t>
      </w:r>
    </w:p>
  </w:footnote>
  <w:footnote w:id="33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See para. 6.36 above. See also Appellate Body Report, </w:t>
      </w:r>
      <w:r w:rsidRPr="002E4AF8">
        <w:rPr>
          <w:i/>
          <w:noProof/>
          <w:szCs w:val="16"/>
        </w:rPr>
        <w:t xml:space="preserve">US – Tuna II (Mexico) </w:t>
      </w:r>
      <w:r w:rsidRPr="002E4AF8">
        <w:rPr>
          <w:i/>
          <w:noProof/>
          <w:szCs w:val="16"/>
        </w:rPr>
        <w:br/>
        <w:t>(Article 21.5 – Mexico)</w:t>
      </w:r>
      <w:r w:rsidRPr="002E4AF8">
        <w:rPr>
          <w:noProof/>
          <w:szCs w:val="16"/>
        </w:rPr>
        <w:t>, para. 7.155.</w:t>
      </w:r>
    </w:p>
  </w:footnote>
  <w:footnote w:id="33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We note that Mexico does not contest that the objectives of the 2016 Tuna Measure include the protection of dolphins. (Mexico's appellant's submission, para. 71)</w:t>
      </w:r>
    </w:p>
  </w:footnote>
  <w:footnote w:id="33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w:t>
      </w:r>
      <w:r w:rsidRPr="002E4AF8">
        <w:rPr>
          <w:i/>
          <w:szCs w:val="16"/>
        </w:rPr>
        <w:t>supra</w:t>
      </w:r>
      <w:r w:rsidRPr="002E4AF8">
        <w:rPr>
          <w:szCs w:val="16"/>
        </w:rPr>
        <w:t xml:space="preserve">, fn 332. See also </w:t>
      </w:r>
      <w:r w:rsidRPr="002E4AF8">
        <w:rPr>
          <w:noProof/>
          <w:szCs w:val="16"/>
        </w:rPr>
        <w:t xml:space="preserve">Appellate Body Report, </w:t>
      </w:r>
      <w:r w:rsidRPr="002E4AF8">
        <w:rPr>
          <w:i/>
          <w:noProof/>
          <w:szCs w:val="16"/>
        </w:rPr>
        <w:t>US – Tuna II (Mexico) (Article 21.5 – Mexico)</w:t>
      </w:r>
      <w:r w:rsidRPr="002E4AF8">
        <w:rPr>
          <w:noProof/>
          <w:szCs w:val="16"/>
        </w:rPr>
        <w:t>, para. 7.98.</w:t>
      </w:r>
    </w:p>
  </w:footnote>
  <w:footnote w:id="33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167.</w:t>
      </w:r>
    </w:p>
  </w:footnote>
  <w:footnote w:id="33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159-162 and 164-171.</w:t>
      </w:r>
    </w:p>
  </w:footnote>
  <w:footnote w:id="33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6.65 above.</w:t>
      </w:r>
    </w:p>
  </w:footnote>
  <w:footnote w:id="33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6.63 above.</w:t>
      </w:r>
    </w:p>
  </w:footnote>
  <w:footnote w:id="33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6.63 above.</w:t>
      </w:r>
    </w:p>
  </w:footnote>
  <w:footnote w:id="34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section 6.1.4 below.</w:t>
      </w:r>
    </w:p>
  </w:footnote>
  <w:footnote w:id="34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Appellate Body Report, </w:t>
      </w:r>
      <w:r w:rsidRPr="002E4AF8">
        <w:rPr>
          <w:i/>
          <w:szCs w:val="16"/>
        </w:rPr>
        <w:t>US – Tuna II (Mexico) (Article 21.5 – Mexico)</w:t>
      </w:r>
      <w:r w:rsidRPr="002E4AF8">
        <w:rPr>
          <w:szCs w:val="16"/>
        </w:rPr>
        <w:t>, paras. </w:t>
      </w:r>
      <w:r w:rsidRPr="002E4AF8">
        <w:rPr>
          <w:szCs w:val="16"/>
          <w:lang w:val="es-ES"/>
        </w:rPr>
        <w:t>7.14-7.15.</w:t>
      </w:r>
    </w:p>
  </w:footnote>
  <w:footnote w:id="342">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noProof/>
          <w:szCs w:val="16"/>
        </w:rPr>
        <w:t>7.15.</w:t>
      </w:r>
    </w:p>
  </w:footnote>
  <w:footnote w:id="34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6.67 above.</w:t>
      </w:r>
    </w:p>
  </w:footnote>
  <w:footnote w:id="34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We address whether the Panels' analysis took into account the manner in which the discrete elements of the 2016 Tuna Measure are cumulative and highly interrelated in section 6.1.5 below.</w:t>
      </w:r>
    </w:p>
  </w:footnote>
  <w:footnote w:id="34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Panel Reports, section 7.8.6. See also section 6.1.5.5 below.</w:t>
      </w:r>
    </w:p>
  </w:footnote>
  <w:footnote w:id="34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154-225. As further discussed below, per set evidence involves averaging the total number of a particular indicator of adverse effects to dolphins, such as mortalities and serious injuries, by the number of operations of a particular type of fishing gear used in a particular fishery in a given time period. (See para. 6.84 below)</w:t>
      </w:r>
    </w:p>
  </w:footnote>
  <w:footnote w:id="34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96-203.</w:t>
      </w:r>
    </w:p>
  </w:footnote>
  <w:footnote w:id="34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United States' appellee's submission, paras. 114, 138, 152, 172-173, and 192.</w:t>
      </w:r>
    </w:p>
  </w:footnote>
  <w:footnote w:id="34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151-203.</w:t>
      </w:r>
    </w:p>
  </w:footnote>
  <w:footnote w:id="35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We note that, in its appellant's submission, Mexico states that, although "the evaluation of the </w:t>
      </w:r>
      <w:r w:rsidRPr="002E4AF8">
        <w:rPr>
          <w:noProof/>
          <w:szCs w:val="16"/>
        </w:rPr>
        <w:br/>
        <w:t>risk profiles in certain respects required scientific expertise …, the Panels declined to consult with experts … [and i]n Mexico's view, the Panels did not make an appropriate exercise of their discretion under Article 13 of the DSU in declining to request technical advice from experts". (Mexico's appellant's submission, paras. 155 and 157) The United States, in its appellee's submission, stated that "Mexico makes no appeal with respect to the Panels' decision not to consult experts, and thus there is no reason, or basis, for the Appellate Body to engage on this aspect of the Panel Reports." (United States' appellee's submission, para. 98 (fn omitted)) However, Mexico clarified at the hearing that it was not asserting any legal error by the Panels in this respect, and that its comments regarding Article 13 of the DSU were not relevant to the specific issues before the Appellate Body. We therefore do not address this aspect of Mexico's appellant's submission.</w:t>
      </w:r>
    </w:p>
  </w:footnote>
  <w:footnote w:id="35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Panel Reports, para. 7.146 (referring to Appellate Body Report, </w:t>
      </w:r>
      <w:r w:rsidRPr="002E4AF8">
        <w:rPr>
          <w:i/>
          <w:noProof/>
          <w:color w:val="000000"/>
          <w:szCs w:val="16"/>
        </w:rPr>
        <w:t xml:space="preserve">US – Tuna II (Mexico) </w:t>
      </w:r>
      <w:r w:rsidRPr="002E4AF8">
        <w:rPr>
          <w:i/>
          <w:noProof/>
          <w:color w:val="000000"/>
          <w:szCs w:val="16"/>
        </w:rPr>
        <w:br/>
        <w:t>(Article 21.5 – Mexico)</w:t>
      </w:r>
      <w:r w:rsidRPr="002E4AF8">
        <w:rPr>
          <w:noProof/>
          <w:color w:val="000000"/>
          <w:szCs w:val="16"/>
        </w:rPr>
        <w:t>, para. 7.243).</w:t>
      </w:r>
    </w:p>
  </w:footnote>
  <w:footnote w:id="35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7.149.</w:t>
      </w:r>
    </w:p>
  </w:footnote>
  <w:footnote w:id="35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7.170.</w:t>
      </w:r>
    </w:p>
  </w:footnote>
  <w:footnote w:id="35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7.171.</w:t>
      </w:r>
    </w:p>
  </w:footnote>
  <w:footnote w:id="35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7.214. The Panels considered Mexico's proposed methodologies, consisting of: (a) a Potential Biological Removal (PBR) methodology, measuring the maximum number of animals that may be removed from an animal stock without affecting that stock's optimum sustainable population; and (b) either as an alternative to a PBR methodology, or to be read in conjunction with PBR evidence, a comparison of the absolute levels of dolphin mortalities and serious injury from different fishing methods and fishing areas. The Panels rejected the PBR methodology and relied on evidence of absolute levels of adverse effects to dolphins in situations where the Panels considered the per set evidence to be insufficient. (Ibid., paras. 7.175</w:t>
      </w:r>
      <w:r w:rsidRPr="002E4AF8">
        <w:rPr>
          <w:noProof/>
          <w:szCs w:val="16"/>
        </w:rPr>
        <w:noBreakHyphen/>
        <w:t>7.195. See also Mexico's first written submission to the Panels, para. 247) As discussed in section 6.1.4.4 below, Mexico appeals the Panels' rejection of such benchmarks.</w:t>
      </w:r>
    </w:p>
  </w:footnote>
  <w:footnote w:id="35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7.204.</w:t>
      </w:r>
    </w:p>
  </w:footnote>
  <w:footnote w:id="35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7.245-7.251.</w:t>
      </w:r>
    </w:p>
  </w:footnote>
  <w:footnote w:id="35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7.253. The Panels explained that "the magnitude of interactions does not indicate the number of dolphins that actually do suffer unobserved harms, but rather, the upper bound of dolphins that could suffer such harms. The lower the interaction the less likely it is for the relevant fishing method to cause harms to dolphins." (Ibid.)</w:t>
      </w:r>
    </w:p>
  </w:footnote>
  <w:footnote w:id="35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Purse seine fishing by setting on dolphins consists of "chasing and encircling the dolphins with a purse-seine net in order to catch the tuna swimming beneath the dolphins" in areas where there is an association between tuna and dolphins.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 xml:space="preserve">6.5) According to the Panel Reports, "[s]peedboats are used to chase down the dolphins and herd them into a tight group; then the net is set around them. The tuna-dolphin bond is so strong that the tuna stay with the dolphins during this process, and tuna and dolphins are captured together in the net. … If all goes well, the dolphins are released alive, but … things can go wrong, and when they do, dolphins may be killed." (Panel Reports, para. 7.258 (quoting </w:t>
      </w:r>
      <w:bookmarkStart w:id="210" w:name="_Hlk529185457"/>
      <w:r w:rsidRPr="002E4AF8">
        <w:rPr>
          <w:noProof/>
          <w:szCs w:val="16"/>
        </w:rPr>
        <w:t xml:space="preserve">T. Gerrodette, "The Tuna-Dolphin Issue", in Perrin, Wursig, and Thewissen (eds.), </w:t>
      </w:r>
      <w:r w:rsidRPr="002E4AF8">
        <w:rPr>
          <w:i/>
          <w:noProof/>
          <w:szCs w:val="16"/>
        </w:rPr>
        <w:t>Encyclopedia of Marine Mammals</w:t>
      </w:r>
      <w:r w:rsidRPr="002E4AF8">
        <w:rPr>
          <w:noProof/>
          <w:szCs w:val="16"/>
        </w:rPr>
        <w:t>, 2nd edn (Elsevier, 2009) (Panel Exhibit USA</w:t>
      </w:r>
      <w:r w:rsidRPr="002E4AF8">
        <w:rPr>
          <w:noProof/>
          <w:szCs w:val="16"/>
        </w:rPr>
        <w:noBreakHyphen/>
        <w:t>12)</w:t>
      </w:r>
      <w:bookmarkEnd w:id="210"/>
      <w:r w:rsidRPr="002E4AF8">
        <w:rPr>
          <w:noProof/>
          <w:szCs w:val="16"/>
        </w:rPr>
        <w:t>, p. 1192))</w:t>
      </w:r>
    </w:p>
  </w:footnote>
  <w:footnote w:id="36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7.281.</w:t>
      </w:r>
    </w:p>
  </w:footnote>
  <w:footnote w:id="36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7.282.</w:t>
      </w:r>
    </w:p>
  </w:footnote>
  <w:footnote w:id="36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 Panels found that the mortality rate per 1,000 sets associated with setting on dolphins in the ETP ranged between 69.42 in 2015 and 113.38 in 2009, with an average of 91.15 mortalities. (Panel Reports, para. 7.280)</w:t>
      </w:r>
    </w:p>
  </w:footnote>
  <w:footnote w:id="36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7.285.</w:t>
      </w:r>
    </w:p>
  </w:footnote>
  <w:footnote w:id="36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7.308.</w:t>
      </w:r>
    </w:p>
  </w:footnote>
  <w:footnote w:id="36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Panel Reports, para. 7.309 (quoting Appellate Body Report, </w:t>
      </w:r>
      <w:r w:rsidRPr="002E4AF8">
        <w:rPr>
          <w:i/>
          <w:noProof/>
          <w:szCs w:val="16"/>
        </w:rPr>
        <w:t>US – Tuna II (Mexico)</w:t>
      </w:r>
      <w:r w:rsidRPr="002E4AF8">
        <w:rPr>
          <w:noProof/>
          <w:szCs w:val="16"/>
        </w:rPr>
        <w:t>, fn 663 to para. 330, in turn referring to Original Panel Report, paras. 7.491-7.506).</w:t>
      </w:r>
    </w:p>
  </w:footnote>
  <w:footnote w:id="36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In addition to setting on dolphins, purse seine fishing is also conducted by setting on: (i) seamounts (a category of oceanic ridges); (ii) floating objects; or (iii) schools of tuna (i.e. where the set is not based on the tuna's association with any other marine feature/object/animal). (Panel Reports, paras. 7.313-7.316 (referring to Food and Agricultural Organization of the United Nations (FAO), FAO Fisheries and Aquaculture Technical Paper 568, </w:t>
      </w:r>
      <w:r w:rsidRPr="002E4AF8">
        <w:rPr>
          <w:i/>
          <w:noProof/>
          <w:szCs w:val="16"/>
        </w:rPr>
        <w:t>Bycatch and Non</w:t>
      </w:r>
      <w:r w:rsidRPr="002E4AF8">
        <w:rPr>
          <w:i/>
          <w:noProof/>
          <w:szCs w:val="16"/>
        </w:rPr>
        <w:noBreakHyphen/>
        <w:t>Tuna Catch in the Tropical Purse Seine Fisheries of the World</w:t>
      </w:r>
      <w:r w:rsidRPr="002E4AF8">
        <w:rPr>
          <w:noProof/>
          <w:szCs w:val="16"/>
        </w:rPr>
        <w:t xml:space="preserve"> (Rome, 2013) (Panel Exhibit USA</w:t>
      </w:r>
      <w:r w:rsidRPr="002E4AF8">
        <w:rPr>
          <w:noProof/>
          <w:szCs w:val="16"/>
        </w:rPr>
        <w:noBreakHyphen/>
        <w:t>60), pp. 17-24))</w:t>
      </w:r>
    </w:p>
  </w:footnote>
  <w:footnote w:id="36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7.326-7.399.</w:t>
      </w:r>
    </w:p>
  </w:footnote>
  <w:footnote w:id="36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7.400.</w:t>
      </w:r>
    </w:p>
  </w:footnote>
  <w:footnote w:id="36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7.401.</w:t>
      </w:r>
    </w:p>
  </w:footnote>
  <w:footnote w:id="37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7.334.</w:t>
      </w:r>
    </w:p>
  </w:footnote>
  <w:footnote w:id="37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7.334, 7.367, 7.385, and 7.398.</w:t>
      </w:r>
    </w:p>
  </w:footnote>
  <w:footnote w:id="37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7.401.</w:t>
      </w:r>
    </w:p>
  </w:footnote>
  <w:footnote w:id="37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Gillnets are nets "set on the seafloor … or floated vertically" using buoys (i.e. driftnets or drift gillnets). (Panel Reports, paras. 7.404-7.405 (referring to </w:t>
      </w:r>
      <w:r w:rsidRPr="002E4AF8">
        <w:rPr>
          <w:szCs w:val="16"/>
          <w:lang w:val="en-CA"/>
        </w:rPr>
        <w:t xml:space="preserve">Natural Resources Defense Council, </w:t>
      </w:r>
      <w:r w:rsidRPr="002E4AF8">
        <w:rPr>
          <w:i/>
          <w:szCs w:val="16"/>
          <w:lang w:val="en-CA"/>
        </w:rPr>
        <w:t>Net Loss: The Killing of Marine Mammals in Foreign Fisheries</w:t>
      </w:r>
      <w:r w:rsidRPr="002E4AF8">
        <w:rPr>
          <w:szCs w:val="16"/>
        </w:rPr>
        <w:t xml:space="preserve"> (New York, January 2014) (Panel Exhibit MEX</w:t>
      </w:r>
      <w:r w:rsidRPr="002E4AF8">
        <w:rPr>
          <w:szCs w:val="16"/>
        </w:rPr>
        <w:noBreakHyphen/>
        <w:t xml:space="preserve">18), p. 13; </w:t>
      </w:r>
      <w:r w:rsidRPr="002E4AF8">
        <w:rPr>
          <w:szCs w:val="16"/>
          <w:lang w:val="en-CA"/>
        </w:rPr>
        <w:t xml:space="preserve">FAO, "Tuna Drifting Gillnet" </w:t>
      </w:r>
      <w:r w:rsidRPr="002E4AF8">
        <w:rPr>
          <w:szCs w:val="16"/>
        </w:rPr>
        <w:t>(Panel Exhibit MEX</w:t>
      </w:r>
      <w:r w:rsidRPr="002E4AF8">
        <w:rPr>
          <w:szCs w:val="16"/>
        </w:rPr>
        <w:noBreakHyphen/>
        <w:t>15)</w:t>
      </w:r>
      <w:r w:rsidRPr="002E4AF8">
        <w:rPr>
          <w:noProof/>
          <w:szCs w:val="16"/>
        </w:rPr>
        <w:t>))</w:t>
      </w:r>
    </w:p>
  </w:footnote>
  <w:footnote w:id="37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7.444.</w:t>
      </w:r>
    </w:p>
  </w:footnote>
  <w:footnote w:id="37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Ghost fishing occurs when fishing gear (such as gillnets) continue to cause harm to marine life (such as dolphins) after being lost or discarded. (Panel Reports, paras. 7.410 and 7.447 (referring to </w:t>
      </w:r>
      <w:bookmarkStart w:id="214" w:name="_Hlk529185262"/>
      <w:r w:rsidRPr="002E4AF8">
        <w:rPr>
          <w:noProof/>
          <w:szCs w:val="16"/>
        </w:rPr>
        <w:t xml:space="preserve">NOAA, 2015 NOAA Marine Debris Program Report, </w:t>
      </w:r>
      <w:r w:rsidRPr="002E4AF8">
        <w:rPr>
          <w:i/>
          <w:noProof/>
          <w:szCs w:val="16"/>
        </w:rPr>
        <w:t>Impact of "Ghost Fishing" via Derelict Fishing Gear</w:t>
      </w:r>
      <w:r w:rsidRPr="002E4AF8">
        <w:rPr>
          <w:noProof/>
          <w:szCs w:val="16"/>
        </w:rPr>
        <w:t xml:space="preserve"> (Charleston, March 2015) (Panel Exhibit MEX</w:t>
      </w:r>
      <w:r w:rsidRPr="002E4AF8">
        <w:rPr>
          <w:noProof/>
          <w:szCs w:val="16"/>
        </w:rPr>
        <w:noBreakHyphen/>
        <w:t>104)</w:t>
      </w:r>
      <w:bookmarkEnd w:id="214"/>
      <w:r w:rsidRPr="002E4AF8">
        <w:rPr>
          <w:noProof/>
          <w:szCs w:val="16"/>
        </w:rPr>
        <w:t>, p. 6))</w:t>
      </w:r>
    </w:p>
  </w:footnote>
  <w:footnote w:id="37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7.450</w:t>
      </w:r>
      <w:r w:rsidRPr="002E4AF8">
        <w:rPr>
          <w:noProof/>
          <w:szCs w:val="16"/>
        </w:rPr>
        <w:noBreakHyphen/>
        <w:t>7.457.</w:t>
      </w:r>
    </w:p>
  </w:footnote>
  <w:footnote w:id="37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Tuna longlining is "'a passive type of fishing technique making use of lines with baited hooks as fishing gear'", with a typical set consisting of "'200 or more units or "baskets" connected together, with a buoy at each connection, and a total of about 3,000 hooks'". (Panel Reports, para. 7.458 (quoting FAO, "Industrial Tuna Longlining" (Panel Exhibit MEX</w:t>
      </w:r>
      <w:r w:rsidRPr="002E4AF8">
        <w:rPr>
          <w:noProof/>
          <w:szCs w:val="16"/>
        </w:rPr>
        <w:noBreakHyphen/>
        <w:t>26), pp. 2-3))</w:t>
      </w:r>
    </w:p>
  </w:footnote>
  <w:footnote w:id="37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A tuna handline is a "'single vertical line with one barbed hook at the distal point'", or several barbed hooks connected to branchlines along the mainline at regular intervals. (Panel Reports, para. 7.495 (quoting FAO, "Tuna Handlining" (Panel Exhibit MEX</w:t>
      </w:r>
      <w:r w:rsidRPr="002E4AF8">
        <w:rPr>
          <w:noProof/>
          <w:szCs w:val="16"/>
        </w:rPr>
        <w:noBreakHyphen/>
        <w:t>38)))</w:t>
      </w:r>
    </w:p>
  </w:footnote>
  <w:footnote w:id="37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7.481 and 7.511.</w:t>
      </w:r>
    </w:p>
  </w:footnote>
  <w:footnote w:id="38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Trawl fishing consists of "'towing a net … either with bottom contact or in midwater'", catching fish and shellfish by filtering the water. (Panel Reports, para. 7.482 (quoting FAO, "Trawl Nets" (Panel Exhibit MEX</w:t>
      </w:r>
      <w:r w:rsidRPr="002E4AF8">
        <w:rPr>
          <w:noProof/>
          <w:szCs w:val="16"/>
        </w:rPr>
        <w:noBreakHyphen/>
        <w:t>37)))</w:t>
      </w:r>
    </w:p>
  </w:footnote>
  <w:footnote w:id="38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7.493</w:t>
      </w:r>
      <w:r w:rsidRPr="002E4AF8">
        <w:rPr>
          <w:noProof/>
          <w:szCs w:val="16"/>
        </w:rPr>
        <w:noBreakHyphen/>
        <w:t xml:space="preserve">7.494. </w:t>
      </w:r>
    </w:p>
  </w:footnote>
  <w:footnote w:id="38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7.494.</w:t>
      </w:r>
    </w:p>
  </w:footnote>
  <w:footnote w:id="38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7.515.</w:t>
      </w:r>
    </w:p>
  </w:footnote>
  <w:footnote w:id="38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7.516.</w:t>
      </w:r>
    </w:p>
  </w:footnote>
  <w:footnote w:id="38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7.517. The Panels explained that the reason for conducting this comparative assessment was that "the issue before [them was] whether the 2016 Tuna Measure, under which tuna products obtained from tuna caught by setting on dolphins are ineligible for the dolphin-safe label whereas tuna products obtained from tuna caught by the other six methods cited above are conditionally eligible for that label, is calibrated to different levels of risks posed to dolphins by different fishing methods in different areas of the ocean." (Ibid.)</w:t>
      </w:r>
    </w:p>
  </w:footnote>
  <w:footnote w:id="38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7.525.</w:t>
      </w:r>
    </w:p>
  </w:footnote>
  <w:footnote w:id="38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161.</w:t>
      </w:r>
    </w:p>
  </w:footnote>
  <w:footnote w:id="38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Specifically, purse seine fishing without setting on dolphins, gillnet fishing, longlining, trawl fishing, and handlining. (See Mexico's appellant's submission, para. 162)</w:t>
      </w:r>
    </w:p>
  </w:footnote>
  <w:footnote w:id="38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164 (referring to Panel Reports, para. 7.517).</w:t>
      </w:r>
    </w:p>
  </w:footnote>
  <w:footnote w:id="39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167. See also Mexico's appellant's submission, paras. 168-170 (referring to Panel Reports, paras. 7.438, 7.440-7.443, 7.466-7.467, 7.473-7.474, 7.489-7.490, and 7.493</w:t>
      </w:r>
      <w:r w:rsidRPr="002E4AF8">
        <w:rPr>
          <w:noProof/>
          <w:szCs w:val="16"/>
        </w:rPr>
        <w:noBreakHyphen/>
        <w:t>7.494).</w:t>
      </w:r>
    </w:p>
  </w:footnote>
  <w:footnote w:id="39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162. We note that Mexico's appellant's submission additionally states that "[t]he Panels did not address ocean areas in the context of the risk profile for pole-and-line fishing." (Ibid.) However, Mexico also indicated in its appellant's submission that "the parties agreed during the first compliance proceeding that this method is not known to harm dolphins." (Ibid., fn 21 to para. 22) Mexico clarified at the hearing that pole and line fishing was included in paragraph 162 to be complete in describing what the Panels said, and that Mexico does not take issue with the Panels' findings on pole and line fishing.</w:t>
      </w:r>
    </w:p>
  </w:footnote>
  <w:footnote w:id="39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125-126.</w:t>
      </w:r>
    </w:p>
  </w:footnote>
  <w:footnote w:id="39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125 (referring to Panel Reports, paras. 7.401 (purse seine fishing other than by setting on dolphins), 7.475 (longline fishing), 7.494 (trawl fishing), 7.511 (handlining), 7.514-7.515, and 7.520 (gillnet fishing)).</w:t>
      </w:r>
    </w:p>
  </w:footnote>
  <w:footnote w:id="39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125 (referring to Panel Reports, paras. 7.332</w:t>
      </w:r>
      <w:r w:rsidRPr="002E4AF8">
        <w:rPr>
          <w:noProof/>
          <w:szCs w:val="16"/>
        </w:rPr>
        <w:noBreakHyphen/>
        <w:t>7.334, 7.365-7.367, 7.383-7.385, 7.396-7.398, 7.440-7.444, 7.466-7.471, 7.475, 7.488-7.494, 7.511, 7.514-7.515, and 7.521).</w:t>
      </w:r>
    </w:p>
  </w:footnote>
  <w:footnote w:id="39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125 (quoting Panel Reports, para. 7.517; referring to Panel Reports, paras. 7.402, 7.457, 7.480, 7.493-7.494, 7.511, 7.516-7.518, 7.520</w:t>
      </w:r>
      <w:r w:rsidRPr="002E4AF8">
        <w:rPr>
          <w:noProof/>
          <w:szCs w:val="16"/>
        </w:rPr>
        <w:noBreakHyphen/>
        <w:t>7.523, and 7.525).</w:t>
      </w:r>
    </w:p>
  </w:footnote>
  <w:footnote w:id="39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126 (referring to Mexico's appellant's submission, paras. 168-170). The United States elaborates that Mexico specifically refers to the Panels' findings on Indian Ocean gillnet fisheries, absolute levels of mortalities caused by longline fishing in the Pacific Ocean, PBR evidence concerning an additional longline fishery, and per set evidence of mortalities in a North Atlantic trawl fishery. The United States recalls that the Panels "rejected" the exhibits that Mexico relied on in defining the Pacific Ocean longline fishery and North Atlantic trawl fisheries as "high risk", and explained why they chose not to rely on PBR evidence. Furthermore, with respect to the Indian Ocean gillnet fisheries, the Panels explained that the 2016 Tuna Measure "appropriately addresses the risks to dolphins in that fishery". (See ibid., fn 285 to para. 126)</w:t>
      </w:r>
    </w:p>
  </w:footnote>
  <w:footnote w:id="39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and the United States' responses to questioning at the hearing.</w:t>
      </w:r>
    </w:p>
  </w:footnote>
  <w:footnote w:id="39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For example, with respect to purse seine fishing without setting on dolphins, the Panels assessed the risks to dolphins in the ETP, the WCPO, the Indian Ocean, and the ETAO. (Panel Reports, paras. 7.326-7.399)</w:t>
      </w:r>
    </w:p>
  </w:footnote>
  <w:footnote w:id="39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For example, with respect to pole and line fishing, the Panels examined evidence pertaining to the fishing method in general, without specifying any particular fisheries. (Panel Reports, paras. 7.514-7.516)</w:t>
      </w:r>
    </w:p>
  </w:footnote>
  <w:footnote w:id="40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164 and 167.</w:t>
      </w:r>
    </w:p>
  </w:footnote>
  <w:footnote w:id="40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168 (quoting Panel Reports, paras. 7.441</w:t>
      </w:r>
      <w:r w:rsidRPr="002E4AF8">
        <w:rPr>
          <w:noProof/>
          <w:szCs w:val="16"/>
        </w:rPr>
        <w:noBreakHyphen/>
        <w:t xml:space="preserve">7.442 (emphasis original)). </w:t>
      </w:r>
    </w:p>
  </w:footnote>
  <w:footnote w:id="40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7.256-7.311.</w:t>
      </w:r>
    </w:p>
  </w:footnote>
  <w:footnote w:id="40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7.440.</w:t>
      </w:r>
    </w:p>
  </w:footnote>
  <w:footnote w:id="40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7.442.</w:t>
      </w:r>
    </w:p>
  </w:footnote>
  <w:footnote w:id="40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Appellate Body Report, </w:t>
      </w:r>
      <w:r w:rsidRPr="002E4AF8">
        <w:rPr>
          <w:i/>
          <w:noProof/>
          <w:szCs w:val="16"/>
        </w:rPr>
        <w:t>US – Large Civil Aircraft (2</w:t>
      </w:r>
      <w:r w:rsidRPr="002E4AF8">
        <w:rPr>
          <w:i/>
          <w:noProof/>
          <w:szCs w:val="16"/>
          <w:vertAlign w:val="superscript"/>
        </w:rPr>
        <w:t>nd</w:t>
      </w:r>
      <w:r w:rsidRPr="002E4AF8">
        <w:rPr>
          <w:i/>
          <w:noProof/>
          <w:szCs w:val="16"/>
        </w:rPr>
        <w:t xml:space="preserve"> complaint)</w:t>
      </w:r>
      <w:r w:rsidRPr="002E4AF8">
        <w:rPr>
          <w:noProof/>
          <w:szCs w:val="16"/>
        </w:rPr>
        <w:t xml:space="preserve">, paras. 955-958. See also Appellate Body Report, </w:t>
      </w:r>
      <w:r w:rsidRPr="002E4AF8">
        <w:rPr>
          <w:i/>
          <w:noProof/>
          <w:szCs w:val="16"/>
        </w:rPr>
        <w:t>Mexico – Anti-Dumping Measures on Rice</w:t>
      </w:r>
      <w:r w:rsidRPr="002E4AF8">
        <w:rPr>
          <w:noProof/>
          <w:szCs w:val="16"/>
        </w:rPr>
        <w:t>, para. 274.</w:t>
      </w:r>
    </w:p>
  </w:footnote>
  <w:footnote w:id="40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We note that the only evidence adduced to the Panels with respect to any individual fishery where setting on dolphins is practised was evidence related to the ETP. (See Panel Reports, paras. 7.270-7.311) </w:t>
      </w:r>
    </w:p>
  </w:footnote>
  <w:footnote w:id="40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173 and 178.</w:t>
      </w:r>
    </w:p>
  </w:footnote>
  <w:footnote w:id="40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176.</w:t>
      </w:r>
    </w:p>
  </w:footnote>
  <w:footnote w:id="40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179.</w:t>
      </w:r>
    </w:p>
  </w:footnote>
  <w:footnote w:id="41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181.</w:t>
      </w:r>
    </w:p>
  </w:footnote>
  <w:footnote w:id="41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186.</w:t>
      </w:r>
    </w:p>
  </w:footnote>
  <w:footnote w:id="41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187 (referring to Panel Reports, para. 7.310).</w:t>
      </w:r>
    </w:p>
  </w:footnote>
  <w:footnote w:id="41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Mexico's appellant's submission, para. 189 (referring to Appellate Body Report, </w:t>
      </w:r>
      <w:r w:rsidRPr="002E4AF8">
        <w:rPr>
          <w:i/>
          <w:noProof/>
          <w:szCs w:val="16"/>
        </w:rPr>
        <w:t>US – Tuna II (Mexico) (Article 21.5 – Mexico)</w:t>
      </w:r>
      <w:r w:rsidRPr="002E4AF8">
        <w:rPr>
          <w:noProof/>
          <w:szCs w:val="16"/>
        </w:rPr>
        <w:t>, paras. 7.152 and 7.155-7.156).</w:t>
      </w:r>
    </w:p>
  </w:footnote>
  <w:footnote w:id="41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139-143.</w:t>
      </w:r>
    </w:p>
  </w:footnote>
  <w:footnote w:id="41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United States' appellee's submission, para. 142 (referring to Appellate Body Report, </w:t>
      </w:r>
      <w:r w:rsidRPr="002E4AF8">
        <w:rPr>
          <w:i/>
          <w:noProof/>
          <w:szCs w:val="16"/>
        </w:rPr>
        <w:t>US – Tuna II (Mexico) (Article 21.5 – Mexico)</w:t>
      </w:r>
      <w:r w:rsidRPr="002E4AF8">
        <w:rPr>
          <w:noProof/>
          <w:szCs w:val="16"/>
        </w:rPr>
        <w:t>, para. 7.112; First Compliance Panel Report, paras. 7.111-7.112; Mexico's first written submission to the Panels, para. 256; Mexico's second written submission to the Panels, paras. 248, 256, and 263). (fns omitted)</w:t>
      </w:r>
    </w:p>
  </w:footnote>
  <w:footnote w:id="41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147.</w:t>
      </w:r>
    </w:p>
  </w:footnote>
  <w:footnote w:id="41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148 (quoting Panel Reports, para. 7.448).</w:t>
      </w:r>
    </w:p>
  </w:footnote>
  <w:footnote w:id="41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paras. 6.64-6.77 above.</w:t>
      </w:r>
    </w:p>
  </w:footnote>
  <w:footnote w:id="41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paras. 6.65-6.77 above.</w:t>
      </w:r>
    </w:p>
  </w:footnote>
  <w:footnote w:id="42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7.417 and 7.685. The Panels noted the United States' explanation that NOAA compared the bycatch rates (i.e. number of dolphins killed per ton of tuna landed) of the Indian Ocean gillnet fishery to those caused by setting on dolphins in the ETP (the "ETP benchmark" to which Mexico refers). NOAA concluded, on this basis, that there was a "regular and significant" dolphin mortality rate in the Indian Ocean gillnet fishery. Under the structure of the 2016 Tuna Measure, this formal determination resulted in tuna from the Indian Ocean gillnet fishery being subject to stricter certification and tracking and verification requirements than would otherwise have been required to gain access to the dolphin</w:t>
      </w:r>
      <w:r w:rsidRPr="002E4AF8">
        <w:rPr>
          <w:noProof/>
          <w:szCs w:val="16"/>
        </w:rPr>
        <w:noBreakHyphen/>
        <w:t>safe label. (See also ibid., paras. 7.67</w:t>
      </w:r>
      <w:r w:rsidRPr="002E4AF8">
        <w:rPr>
          <w:noProof/>
          <w:szCs w:val="16"/>
        </w:rPr>
        <w:noBreakHyphen/>
        <w:t>7.69)</w:t>
      </w:r>
    </w:p>
  </w:footnote>
  <w:footnote w:id="42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7.171.</w:t>
      </w:r>
    </w:p>
  </w:footnote>
  <w:footnote w:id="42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6.84 above. Furthermore, Mexico clarified at the hearing that the Panels' reliance on per set evidence constitutes an independent and objective standard or point of reference on which the Panels should have relied. Mexico nonetheless argued that, in addition to relying on per set evidence, the Panels should have also taken into account evidence related to the sustainability of different dolphin populations, as well as absolute levels of adverse effects in different areas. We address these aspects of Mexico's arguments in section 6.1.4.4 below.</w:t>
      </w:r>
    </w:p>
  </w:footnote>
  <w:footnote w:id="42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Panel Reports, paras. 7.212, 7.434, 7.446-7.456, 7.476-7.481, and 7.514.</w:t>
      </w:r>
    </w:p>
  </w:footnote>
  <w:footnote w:id="42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paras. 6.67 and 6.90 below.</w:t>
      </w:r>
    </w:p>
  </w:footnote>
  <w:footnote w:id="42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6.77 above.</w:t>
      </w:r>
    </w:p>
  </w:footnote>
  <w:footnote w:id="42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Mexico's </w:t>
      </w:r>
      <w:r w:rsidRPr="002E4AF8">
        <w:rPr>
          <w:szCs w:val="16"/>
        </w:rPr>
        <w:t>appellant's submission, paras. </w:t>
      </w:r>
      <w:r w:rsidRPr="002E4AF8">
        <w:rPr>
          <w:noProof/>
          <w:szCs w:val="16"/>
        </w:rPr>
        <w:t>175 and 186.</w:t>
      </w:r>
    </w:p>
  </w:footnote>
  <w:footnote w:id="42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Specifically, the Panels' assessment of observed mortality and serious injury, observable serious injury, and unobserved mortality and serious injury appears to be based on evidence that is specific to the ETP. (See Panel Reports, paras. 7.279-7.285) By contrast, we note that the Panels' conclusion that "setting on dolphins causes unobservable harms" is not specific to the ETP and, consequently, applies to the fishing method as a whole. (See ibid., para. 7.309)</w:t>
      </w:r>
    </w:p>
  </w:footnote>
  <w:footnote w:id="42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See </w:t>
      </w:r>
      <w:r w:rsidRPr="002E4AF8">
        <w:rPr>
          <w:i/>
          <w:noProof/>
          <w:szCs w:val="16"/>
        </w:rPr>
        <w:t>supra</w:t>
      </w:r>
      <w:r w:rsidRPr="002E4AF8">
        <w:rPr>
          <w:noProof/>
          <w:szCs w:val="16"/>
        </w:rPr>
        <w:t>, fn 406.</w:t>
      </w:r>
    </w:p>
  </w:footnote>
  <w:footnote w:id="42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For instance, with respect to unobservable harms, the Panels referred to the first compliance panel's findings that certain unobservable harms "occur as a result of the 'chase itself'". (Panel Reports, para. 7.286 (referring to Original Panel Report, para. 7.504)) Further, on examining the evidence submitted by the parties, the Panels concluded that "because chasing and encirclement are essential elements of the process of setting on dolphins, setting on dolphins cannot be used without putting dolphins at risk, even though that risk may not eventuate in every set." (Ibid., para. 7.310)</w:t>
      </w:r>
    </w:p>
  </w:footnote>
  <w:footnote w:id="43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182.</w:t>
      </w:r>
    </w:p>
  </w:footnote>
  <w:footnote w:id="43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181.</w:t>
      </w:r>
    </w:p>
  </w:footnote>
  <w:footnote w:id="43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182 (quoting Appellate Body Report, </w:t>
      </w:r>
      <w:r w:rsidRPr="002E4AF8">
        <w:rPr>
          <w:i/>
          <w:szCs w:val="16"/>
        </w:rPr>
        <w:t>US – Tuna II (Mexico) (Article 21.5 – Mexico)</w:t>
      </w:r>
      <w:r w:rsidRPr="002E4AF8">
        <w:rPr>
          <w:szCs w:val="16"/>
        </w:rPr>
        <w:t>, para. </w:t>
      </w:r>
      <w:r w:rsidRPr="002E4AF8">
        <w:rPr>
          <w:noProof/>
          <w:szCs w:val="16"/>
        </w:rPr>
        <w:t xml:space="preserve">7.126). Mexico argues that "[p]ermitting access to the label to tuna caught by such methods in [high-risk] ocean areas contradicts and undermines the objective of the tuna measure to discourage fishing practices that adversely affect dolphins." </w:t>
      </w:r>
      <w:r w:rsidRPr="002E4AF8">
        <w:rPr>
          <w:szCs w:val="16"/>
        </w:rPr>
        <w:t>(Ibid., para. 167)</w:t>
      </w:r>
    </w:p>
  </w:footnote>
  <w:footnote w:id="43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183.</w:t>
      </w:r>
    </w:p>
  </w:footnote>
  <w:footnote w:id="43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145.</w:t>
      </w:r>
    </w:p>
  </w:footnote>
  <w:footnote w:id="43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response to questioning at the hearing.</w:t>
      </w:r>
    </w:p>
  </w:footnote>
  <w:footnote w:id="43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6.103 above.</w:t>
      </w:r>
    </w:p>
  </w:footnote>
  <w:footnote w:id="43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6.67 above. In the context of determining the risk profile of </w:t>
      </w:r>
      <w:r w:rsidRPr="002E4AF8">
        <w:rPr>
          <w:i/>
          <w:szCs w:val="16"/>
        </w:rPr>
        <w:t xml:space="preserve">setting on dolphins </w:t>
      </w:r>
      <w:r w:rsidRPr="002E4AF8">
        <w:rPr>
          <w:szCs w:val="16"/>
        </w:rPr>
        <w:t>(anywhere in the world), the Panels relied to a significant extent on evidence related to the use of this fishing method in the ETP</w:t>
      </w:r>
      <w:r w:rsidRPr="002E4AF8">
        <w:rPr>
          <w:i/>
          <w:szCs w:val="16"/>
        </w:rPr>
        <w:t xml:space="preserve"> </w:t>
      </w:r>
      <w:r w:rsidRPr="002E4AF8">
        <w:rPr>
          <w:szCs w:val="16"/>
        </w:rPr>
        <w:t xml:space="preserve">in particular. (See </w:t>
      </w:r>
      <w:r w:rsidRPr="002E4AF8">
        <w:rPr>
          <w:i/>
          <w:szCs w:val="16"/>
        </w:rPr>
        <w:t>supra</w:t>
      </w:r>
      <w:r w:rsidRPr="002E4AF8">
        <w:rPr>
          <w:szCs w:val="16"/>
        </w:rPr>
        <w:t xml:space="preserve">, fn 406) Nevertheless, the Panels did not </w:t>
      </w:r>
      <w:r w:rsidRPr="002E4AF8">
        <w:rPr>
          <w:i/>
          <w:szCs w:val="16"/>
        </w:rPr>
        <w:t>compare</w:t>
      </w:r>
      <w:r w:rsidRPr="002E4AF8">
        <w:rPr>
          <w:szCs w:val="16"/>
        </w:rPr>
        <w:t xml:space="preserve"> setting on dolphins in the ETP – as a distinct fishery – with other fisheries. Rather, the Panels took into account the evidence regarding the ETP setting-on-dolphins fishery in assessing the overall risk profile of setting on dolphins that the Panels proceeded to compare with the overall risk profiles of other fishing methods.</w:t>
      </w:r>
    </w:p>
  </w:footnote>
  <w:footnote w:id="43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6.67 above. The ETP large purse seine fishery refers to all purse seine fishing in the ETP by large purse seine vessels, including by setting on dolphins and by other means.</w:t>
      </w:r>
    </w:p>
  </w:footnote>
  <w:footnote w:id="43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section 6.1.3.2 above.</w:t>
      </w:r>
    </w:p>
  </w:footnote>
  <w:footnote w:id="44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See para. </w:t>
      </w:r>
      <w:r w:rsidRPr="002E4AF8">
        <w:rPr>
          <w:szCs w:val="16"/>
          <w:lang w:val="es-ES"/>
        </w:rPr>
        <w:t>6.64 above.</w:t>
      </w:r>
    </w:p>
  </w:footnote>
  <w:footnote w:id="441">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 xml:space="preserve">US – Tuna II </w:t>
      </w:r>
      <w:r w:rsidRPr="002E4AF8">
        <w:rPr>
          <w:i/>
          <w:noProof/>
          <w:szCs w:val="16"/>
          <w:lang w:val="es-ES"/>
        </w:rPr>
        <w:t xml:space="preserve">(Mexico) </w:t>
      </w:r>
      <w:r w:rsidRPr="002E4AF8">
        <w:rPr>
          <w:i/>
          <w:szCs w:val="16"/>
          <w:lang w:val="es-ES"/>
        </w:rPr>
        <w:t>(Article 21.5 – Mexico)</w:t>
      </w:r>
      <w:r w:rsidRPr="002E4AF8">
        <w:rPr>
          <w:szCs w:val="16"/>
          <w:lang w:val="es-ES"/>
        </w:rPr>
        <w:t>, para. </w:t>
      </w:r>
      <w:r w:rsidRPr="002E4AF8">
        <w:rPr>
          <w:szCs w:val="16"/>
        </w:rPr>
        <w:t>7.165.</w:t>
      </w:r>
    </w:p>
  </w:footnote>
  <w:footnote w:id="44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173 and 186.</w:t>
      </w:r>
    </w:p>
  </w:footnote>
  <w:footnote w:id="44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187 (referring to Panel Reports, para. 7.310).</w:t>
      </w:r>
    </w:p>
  </w:footnote>
  <w:footnote w:id="44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Mexico's appellant's submission, para. 189 (referring to Appellate Body Report, </w:t>
      </w:r>
      <w:r w:rsidRPr="002E4AF8">
        <w:rPr>
          <w:i/>
          <w:noProof/>
          <w:szCs w:val="16"/>
        </w:rPr>
        <w:t>US – Tuna II (Mexico) (Article 21.5 – Mexico)</w:t>
      </w:r>
      <w:r w:rsidRPr="002E4AF8">
        <w:rPr>
          <w:noProof/>
          <w:szCs w:val="16"/>
        </w:rPr>
        <w:t>, paras. 7.152 and 7.155-7.156).</w:t>
      </w:r>
    </w:p>
  </w:footnote>
  <w:footnote w:id="44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See </w:t>
      </w:r>
      <w:r w:rsidRPr="002E4AF8">
        <w:rPr>
          <w:i/>
          <w:noProof/>
          <w:szCs w:val="16"/>
        </w:rPr>
        <w:t>supra</w:t>
      </w:r>
      <w:r w:rsidRPr="002E4AF8">
        <w:rPr>
          <w:noProof/>
          <w:szCs w:val="16"/>
        </w:rPr>
        <w:t>, fn 375.</w:t>
      </w:r>
    </w:p>
  </w:footnote>
  <w:footnote w:id="44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188 (quoting Panel Reports, para. 7.450 (emphasis original)).</w:t>
      </w:r>
    </w:p>
  </w:footnote>
  <w:footnote w:id="44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w:t>
      </w:r>
      <w:r w:rsidRPr="002E4AF8">
        <w:rPr>
          <w:noProof/>
          <w:szCs w:val="16"/>
        </w:rPr>
        <w:t>See para. 6.85 above (referring to Panel Reports, paras. </w:t>
      </w:r>
      <w:r w:rsidRPr="002E4AF8">
        <w:rPr>
          <w:noProof/>
          <w:szCs w:val="16"/>
          <w:lang w:val="es-ES"/>
        </w:rPr>
        <w:t>7.245-7.251).</w:t>
      </w:r>
    </w:p>
  </w:footnote>
  <w:footnote w:id="44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Panel Reports, para. 7.251.</w:t>
      </w:r>
    </w:p>
  </w:footnote>
  <w:footnote w:id="449">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7.248.</w:t>
      </w:r>
    </w:p>
  </w:footnote>
  <w:footnote w:id="45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Panel Reports, paras. 7.327-7.332 and 7.434.</w:t>
      </w:r>
    </w:p>
  </w:footnote>
  <w:footnote w:id="45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Panel Reports, paras. 7.170, 7.310, and 7.514.</w:t>
      </w:r>
    </w:p>
  </w:footnote>
  <w:footnote w:id="45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Panel Reports, paras. 7.333 and 7.385. See also para. 6.85 above.</w:t>
      </w:r>
    </w:p>
  </w:footnote>
  <w:footnote w:id="453">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See e.g. </w:t>
      </w:r>
      <w:r w:rsidRPr="002E4AF8">
        <w:rPr>
          <w:noProof/>
          <w:szCs w:val="16"/>
        </w:rPr>
        <w:t>Panel Reports, paras. </w:t>
      </w:r>
      <w:r w:rsidRPr="002E4AF8">
        <w:rPr>
          <w:noProof/>
          <w:szCs w:val="16"/>
          <w:lang w:val="es-ES"/>
        </w:rPr>
        <w:t>7.289-7.310.</w:t>
      </w:r>
    </w:p>
  </w:footnote>
  <w:footnote w:id="454">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paras. </w:t>
      </w:r>
      <w:r w:rsidRPr="002E4AF8">
        <w:rPr>
          <w:noProof/>
          <w:szCs w:val="16"/>
        </w:rPr>
        <w:t>7.246</w:t>
      </w:r>
      <w:r w:rsidRPr="002E4AF8">
        <w:rPr>
          <w:noProof/>
          <w:szCs w:val="16"/>
        </w:rPr>
        <w:noBreakHyphen/>
        <w:t>7.251.</w:t>
      </w:r>
    </w:p>
  </w:footnote>
  <w:footnote w:id="45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188.</w:t>
      </w:r>
    </w:p>
  </w:footnote>
  <w:footnote w:id="45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7.309.</w:t>
      </w:r>
    </w:p>
  </w:footnote>
  <w:footnote w:id="45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Panel Reports, para. 7.525.</w:t>
      </w:r>
    </w:p>
  </w:footnote>
  <w:footnote w:id="45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7.447-7.450.</w:t>
      </w:r>
    </w:p>
  </w:footnote>
  <w:footnote w:id="45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7.450 (quoting First Compliance Panel Report, para. 7.134). (emphasis original)</w:t>
      </w:r>
    </w:p>
  </w:footnote>
  <w:footnote w:id="46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7.444.</w:t>
      </w:r>
    </w:p>
  </w:footnote>
  <w:footnote w:id="46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7.480.</w:t>
      </w:r>
    </w:p>
  </w:footnote>
  <w:footnote w:id="46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7.475.</w:t>
      </w:r>
    </w:p>
  </w:footnote>
  <w:footnote w:id="46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fn 231 to para. 187.</w:t>
      </w:r>
    </w:p>
  </w:footnote>
  <w:footnote w:id="46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See </w:t>
      </w:r>
      <w:r w:rsidRPr="002E4AF8">
        <w:rPr>
          <w:i/>
          <w:noProof/>
          <w:szCs w:val="16"/>
        </w:rPr>
        <w:t>supra</w:t>
      </w:r>
      <w:r w:rsidRPr="002E4AF8">
        <w:rPr>
          <w:noProof/>
          <w:szCs w:val="16"/>
        </w:rPr>
        <w:t>, fn 405.</w:t>
      </w:r>
    </w:p>
  </w:footnote>
  <w:footnote w:id="46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responses to questioning at the hearing.</w:t>
      </w:r>
    </w:p>
  </w:footnote>
  <w:footnote w:id="46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193. See also ibid., paras. 192 and 194.</w:t>
      </w:r>
    </w:p>
  </w:footnote>
  <w:footnote w:id="46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194.</w:t>
      </w:r>
    </w:p>
  </w:footnote>
  <w:footnote w:id="46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151-203.</w:t>
      </w:r>
    </w:p>
  </w:footnote>
  <w:footnote w:id="46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162-174.</w:t>
      </w:r>
    </w:p>
  </w:footnote>
  <w:footnote w:id="47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177-194 and 197-198.</w:t>
      </w:r>
    </w:p>
  </w:footnote>
  <w:footnote w:id="47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202.</w:t>
      </w:r>
    </w:p>
  </w:footnote>
  <w:footnote w:id="47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200.</w:t>
      </w:r>
    </w:p>
  </w:footnote>
  <w:footnote w:id="47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200. The United States argues that these aspects of Mexico's arguments pertain to the Panels' appreciation of the facts, and that, in any ev</w:t>
      </w:r>
      <w:r>
        <w:rPr>
          <w:noProof/>
          <w:szCs w:val="16"/>
        </w:rPr>
        <w:t>ent, the Panels did examine per </w:t>
      </w:r>
      <w:r w:rsidRPr="002E4AF8">
        <w:rPr>
          <w:noProof/>
          <w:szCs w:val="16"/>
        </w:rPr>
        <w:t>set data for trawl fishing, and, with respect to gillnet fishing, the Panels relied on per set data as far as possible and relied on other evidence when per set data were not available. (United States' appellee's submission, paras. 167</w:t>
      </w:r>
      <w:r w:rsidRPr="002E4AF8">
        <w:rPr>
          <w:noProof/>
          <w:szCs w:val="16"/>
        </w:rPr>
        <w:noBreakHyphen/>
        <w:t>173 (referring to Panel Reports, paras. 7.433-7.434, 7.441</w:t>
      </w:r>
      <w:r w:rsidRPr="002E4AF8">
        <w:rPr>
          <w:noProof/>
          <w:szCs w:val="16"/>
        </w:rPr>
        <w:noBreakHyphen/>
        <w:t>7.443, and 7.489</w:t>
      </w:r>
      <w:r w:rsidRPr="002E4AF8">
        <w:rPr>
          <w:noProof/>
          <w:szCs w:val="16"/>
        </w:rPr>
        <w:noBreakHyphen/>
        <w:t>7.494))</w:t>
      </w:r>
    </w:p>
  </w:footnote>
  <w:footnote w:id="47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response to questioning at the hearing.</w:t>
      </w:r>
    </w:p>
  </w:footnote>
  <w:footnote w:id="47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At the hearing, Mexico clarified that it is arguing that PBR evidence should have been taken into account in addition to per set evidence, and that all relevant factors should have been taken into account.</w:t>
      </w:r>
    </w:p>
  </w:footnote>
  <w:footnote w:id="47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 does raise a claim under Article 11 of the DSU pertaining to the Panels' assessment of whether the 2016 Tuna Measure is adequately calibrated to different risks to dolphins. We address this claim in section 6.1.5.4 below.</w:t>
      </w:r>
    </w:p>
  </w:footnote>
  <w:footnote w:id="47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202 (referring to Panel Reports, para. 7.184 and fn 328 thereto).</w:t>
      </w:r>
    </w:p>
  </w:footnote>
  <w:footnote w:id="47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202 and 211.</w:t>
      </w:r>
    </w:p>
  </w:footnote>
  <w:footnote w:id="47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207 and 209 (referring to Original Panel Report, paras. 7.419-7.420, 7.433, 7.485-7.486, 7.490, 7.550-7.552, 7.562, 7.574, 7.600, 7.621, 7.718, and 7.726).</w:t>
      </w:r>
    </w:p>
  </w:footnote>
  <w:footnote w:id="48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210 (quoting First Compliance Panel Report, para. 7.528, in turn referring to Original Panel Report, paras. 7.485-7.486).</w:t>
      </w:r>
    </w:p>
  </w:footnote>
  <w:footnote w:id="48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paras. 212-213.</w:t>
      </w:r>
    </w:p>
  </w:footnote>
  <w:footnote w:id="48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177-184.</w:t>
      </w:r>
    </w:p>
  </w:footnote>
  <w:footnote w:id="48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178 (referring to Panel Reports, paras. 7.186</w:t>
      </w:r>
      <w:r w:rsidRPr="002E4AF8">
        <w:rPr>
          <w:noProof/>
          <w:szCs w:val="16"/>
        </w:rPr>
        <w:noBreakHyphen/>
        <w:t xml:space="preserve">7.190 and 7.473). The United States notes that, under a PBR methodology, "huge numbers of dolphin mortalities in one fishery may be tolerated while </w:t>
      </w:r>
      <w:r w:rsidRPr="002E4AF8">
        <w:rPr>
          <w:i/>
          <w:noProof/>
          <w:szCs w:val="16"/>
        </w:rPr>
        <w:t xml:space="preserve">de minimis </w:t>
      </w:r>
      <w:r w:rsidRPr="002E4AF8">
        <w:rPr>
          <w:noProof/>
          <w:szCs w:val="16"/>
        </w:rPr>
        <w:t xml:space="preserve">levels in another are deemed unacceptable." (Ibid.) The United States highlights findings by the Appellate Body in the first compliance proceedings that the calibration analysis relates to the "likelihood that dolphins would be adversely affected in the course of tuna fishing operations in different fisheries". </w:t>
      </w:r>
      <w:r w:rsidRPr="002E4AF8">
        <w:rPr>
          <w:noProof/>
          <w:szCs w:val="16"/>
          <w:lang w:val="es-ES"/>
        </w:rPr>
        <w:t xml:space="preserve">(Ibid., para. 179 (quoting Appellate Body Report, </w:t>
      </w:r>
      <w:r w:rsidRPr="002E4AF8">
        <w:rPr>
          <w:i/>
          <w:noProof/>
          <w:szCs w:val="16"/>
          <w:lang w:val="es-ES"/>
        </w:rPr>
        <w:t>US – Tuna II (Mexico) (Article 21.5 – Mexico)</w:t>
      </w:r>
      <w:r w:rsidRPr="002E4AF8">
        <w:rPr>
          <w:noProof/>
          <w:szCs w:val="16"/>
          <w:lang w:val="es-ES"/>
        </w:rPr>
        <w:t xml:space="preserve">, para. </w:t>
      </w:r>
      <w:r w:rsidRPr="002E4AF8">
        <w:rPr>
          <w:noProof/>
          <w:szCs w:val="16"/>
        </w:rPr>
        <w:t>7.157; referring to paras. 7.101, 7.110, 7.122, 7.157, 7.162, 7.239, 7.245</w:t>
      </w:r>
      <w:r w:rsidRPr="002E4AF8">
        <w:rPr>
          <w:noProof/>
          <w:szCs w:val="16"/>
        </w:rPr>
        <w:noBreakHyphen/>
        <w:t>7.251, 7.288, 7.325, and 7.330)) In the United States' view, the original panel's reference to "dolphin populations" should be read as referring to "risks to groups of dolphins in different areas" rather than risks to dolphin stocks, and this is "confirmed" by relevant findings of the Appellate Body in the original proceedings. (Ibid., paras. 181-182)</w:t>
      </w:r>
    </w:p>
  </w:footnote>
  <w:footnote w:id="48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183 (referring to Original Panel Report, paras. 7.419</w:t>
      </w:r>
      <w:r w:rsidRPr="002E4AF8">
        <w:rPr>
          <w:noProof/>
          <w:szCs w:val="16"/>
        </w:rPr>
        <w:noBreakHyphen/>
        <w:t>7.420, 7.485-7.486, 7.490, 7.550-7.551, and 7.528).</w:t>
      </w:r>
    </w:p>
  </w:footnote>
  <w:footnote w:id="48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185-189 (referring to Panel Reports, paras. 7.186, 7.188</w:t>
      </w:r>
      <w:r w:rsidRPr="002E4AF8">
        <w:rPr>
          <w:noProof/>
          <w:szCs w:val="16"/>
        </w:rPr>
        <w:noBreakHyphen/>
        <w:t>7.189, 7.469, and 7.473).</w:t>
      </w:r>
    </w:p>
  </w:footnote>
  <w:footnote w:id="48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paras. 191-192 (referring to Panel Reports, paras. 7.186</w:t>
      </w:r>
      <w:r w:rsidRPr="002E4AF8">
        <w:rPr>
          <w:noProof/>
          <w:szCs w:val="16"/>
        </w:rPr>
        <w:noBreakHyphen/>
        <w:t>7.187).</w:t>
      </w:r>
    </w:p>
  </w:footnote>
  <w:footnote w:id="48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7.184.</w:t>
      </w:r>
    </w:p>
  </w:footnote>
  <w:footnote w:id="48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7.184.</w:t>
      </w:r>
    </w:p>
  </w:footnote>
  <w:footnote w:id="48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7.186.</w:t>
      </w:r>
    </w:p>
  </w:footnote>
  <w:footnote w:id="49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7.188.</w:t>
      </w:r>
    </w:p>
  </w:footnote>
  <w:footnote w:id="49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7.190.</w:t>
      </w:r>
    </w:p>
  </w:footnote>
  <w:footnote w:id="49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202.</w:t>
      </w:r>
    </w:p>
  </w:footnote>
  <w:footnote w:id="49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204.</w:t>
      </w:r>
    </w:p>
  </w:footnote>
  <w:footnote w:id="49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para. 6.81</w:t>
      </w:r>
      <w:r w:rsidRPr="002E4AF8">
        <w:rPr>
          <w:szCs w:val="16"/>
        </w:rPr>
        <w:t xml:space="preserve"> </w:t>
      </w:r>
      <w:r w:rsidRPr="002E4AF8">
        <w:rPr>
          <w:noProof/>
          <w:szCs w:val="16"/>
        </w:rPr>
        <w:t>above.</w:t>
      </w:r>
    </w:p>
  </w:footnote>
  <w:footnote w:id="49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para. 6.64 above.</w:t>
      </w:r>
    </w:p>
  </w:footnote>
  <w:footnote w:id="49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7.190.</w:t>
      </w:r>
    </w:p>
  </w:footnote>
  <w:footnote w:id="49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7.213.</w:t>
      </w:r>
    </w:p>
  </w:footnote>
  <w:footnote w:id="49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7.190. The Panels also explained that the 2016 Tuna Measure is concerned with "the protection of the well-being of dolphins, and with informing consumers whether the tuna used in the production of particular tuna products was caught in a set that harmed dolphins". (Ibid., para. 7.186)</w:t>
      </w:r>
    </w:p>
  </w:footnote>
  <w:footnote w:id="49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214 (quoting Panel Reports, para. 7.473). (emphasis omitted)</w:t>
      </w:r>
    </w:p>
  </w:footnote>
  <w:footnote w:id="50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Mexico's appellant's submission, para. 214 (referring to Original Panel Report, para. 2.16). Section 1385(g) of the DPCIA requires the Secretary of Commerce to make a finding regarding whether setting on dolphins "is having a significant adverse impact on any depleted dolphin stock in the [ETP]". Section 1385(h)(2) further requires that the certification requirements regarding tuna caught by large purse seine vessels in the ETP are inapplicable if the Secretary of Commerce determines that setting on dolphins is not having a significant adverse impact on depleted dolphin stock in the ETP. (See Original Panel Report, para. 2.16; Appellate Body Report, </w:t>
      </w:r>
      <w:r w:rsidRPr="002E4AF8">
        <w:rPr>
          <w:i/>
          <w:noProof/>
          <w:szCs w:val="16"/>
        </w:rPr>
        <w:t>US – Tuna II (Mexico) (Article 21.5 – Mexico)</w:t>
      </w:r>
      <w:r w:rsidRPr="002E4AF8">
        <w:rPr>
          <w:noProof/>
          <w:szCs w:val="16"/>
        </w:rPr>
        <w:t>, fn 127 to para. 6.9. See also DPCIA (Panel Exhibits MEX</w:t>
      </w:r>
      <w:r w:rsidRPr="002E4AF8">
        <w:rPr>
          <w:noProof/>
          <w:szCs w:val="16"/>
        </w:rPr>
        <w:noBreakHyphen/>
        <w:t>1 and USA</w:t>
      </w:r>
      <w:r w:rsidRPr="002E4AF8">
        <w:rPr>
          <w:noProof/>
          <w:szCs w:val="16"/>
        </w:rPr>
        <w:noBreakHyphen/>
        <w:t xml:space="preserve">1)) As noted in paragraph 5.10 above, although the Secretary of Commerce made such a determination, it was overturned by the </w:t>
      </w:r>
      <w:r w:rsidRPr="002E4AF8">
        <w:rPr>
          <w:i/>
          <w:noProof/>
          <w:szCs w:val="16"/>
        </w:rPr>
        <w:t>Hogarth</w:t>
      </w:r>
      <w:r w:rsidRPr="002E4AF8">
        <w:rPr>
          <w:noProof/>
          <w:szCs w:val="16"/>
        </w:rPr>
        <w:t xml:space="preserve"> ruling.</w:t>
      </w:r>
    </w:p>
  </w:footnote>
  <w:footnote w:id="50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7.473. (emphasis omitted)</w:t>
      </w:r>
    </w:p>
  </w:footnote>
  <w:footnote w:id="50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7.186.</w:t>
      </w:r>
    </w:p>
  </w:footnote>
  <w:footnote w:id="50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Original Panel Report, para. 7.486. The first compliance panel also found that "there is an essential and inextricable link between the protection of dolphins on an individual scale and the 'replenishment of [an] endangered species', for it is only through protecting individual dolphins that a population itself can be protected, replenished, and maintained</w:t>
      </w:r>
      <w:r w:rsidRPr="002E4AF8">
        <w:rPr>
          <w:i/>
          <w:noProof/>
          <w:szCs w:val="16"/>
        </w:rPr>
        <w:t>.</w:t>
      </w:r>
      <w:r w:rsidRPr="002E4AF8">
        <w:rPr>
          <w:noProof/>
          <w:szCs w:val="16"/>
        </w:rPr>
        <w:t xml:space="preserve">" (First Compliance Panel Report, para. 7.527 (quoting Appellate Body Reports, </w:t>
      </w:r>
      <w:r w:rsidRPr="002E4AF8">
        <w:rPr>
          <w:i/>
          <w:noProof/>
          <w:szCs w:val="16"/>
        </w:rPr>
        <w:t>China – Rare Earths</w:t>
      </w:r>
      <w:r w:rsidRPr="002E4AF8">
        <w:rPr>
          <w:noProof/>
          <w:szCs w:val="16"/>
        </w:rPr>
        <w:t>, para. 5.89))</w:t>
      </w:r>
    </w:p>
  </w:footnote>
  <w:footnote w:id="50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response to questioning at the hearing.</w:t>
      </w:r>
    </w:p>
  </w:footnote>
  <w:footnote w:id="50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216.</w:t>
      </w:r>
    </w:p>
  </w:footnote>
  <w:footnote w:id="50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6.36 above.</w:t>
      </w:r>
    </w:p>
  </w:footnote>
  <w:footnote w:id="50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6.74 above.</w:t>
      </w:r>
    </w:p>
  </w:footnote>
  <w:footnote w:id="50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7.186.</w:t>
      </w:r>
    </w:p>
  </w:footnote>
  <w:footnote w:id="50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In contrast, per set evidence, revealing the risk of a dolphin being injured in any </w:t>
      </w:r>
      <w:r w:rsidRPr="002E4AF8">
        <w:rPr>
          <w:i/>
          <w:noProof/>
          <w:szCs w:val="16"/>
        </w:rPr>
        <w:t>individual set</w:t>
      </w:r>
      <w:r w:rsidRPr="002E4AF8">
        <w:rPr>
          <w:noProof/>
          <w:szCs w:val="16"/>
        </w:rPr>
        <w:t>, is indeed a relevant and useful measure of the risk that dolphins are killed or seriously injured in the fishing process. (Panel Reports, para. 7.204)</w:t>
      </w:r>
    </w:p>
  </w:footnote>
  <w:footnote w:id="51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7.175 (stating that "[f]or Mexico, the use of the PBR methodology would capture all of the relevant factors that need to be taken into account by the Panels").</w:t>
      </w:r>
    </w:p>
  </w:footnote>
  <w:footnote w:id="51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215; responses to questioning at the hearing.</w:t>
      </w:r>
    </w:p>
  </w:footnote>
  <w:footnote w:id="51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7.186-7.190.</w:t>
      </w:r>
    </w:p>
  </w:footnote>
  <w:footnote w:id="513">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w:t>
      </w:r>
      <w:r w:rsidRPr="002E4AF8">
        <w:rPr>
          <w:noProof/>
          <w:szCs w:val="16"/>
        </w:rPr>
        <w:t>Panel Reports, para. </w:t>
      </w:r>
      <w:r w:rsidRPr="002E4AF8">
        <w:rPr>
          <w:noProof/>
          <w:szCs w:val="16"/>
          <w:lang w:val="es-ES"/>
        </w:rPr>
        <w:t>7.190.</w:t>
      </w:r>
    </w:p>
  </w:footnote>
  <w:footnote w:id="514">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fn 827 to para. </w:t>
      </w:r>
      <w:r w:rsidRPr="002E4AF8">
        <w:rPr>
          <w:noProof/>
          <w:szCs w:val="16"/>
        </w:rPr>
        <w:t>7.251.</w:t>
      </w:r>
    </w:p>
  </w:footnote>
  <w:footnote w:id="51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212 (quoting Panel Reports, para. 7.544).</w:t>
      </w:r>
    </w:p>
  </w:footnote>
  <w:footnote w:id="51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7.186-7.191, 7.204-7.214, and 7.251.</w:t>
      </w:r>
    </w:p>
  </w:footnote>
  <w:footnote w:id="51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213.</w:t>
      </w:r>
    </w:p>
  </w:footnote>
  <w:footnote w:id="51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7.186.</w:t>
      </w:r>
    </w:p>
  </w:footnote>
  <w:footnote w:id="51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218.</w:t>
      </w:r>
    </w:p>
  </w:footnote>
  <w:footnote w:id="52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218.</w:t>
      </w:r>
    </w:p>
  </w:footnote>
  <w:footnote w:id="52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218.</w:t>
      </w:r>
    </w:p>
  </w:footnote>
  <w:footnote w:id="52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219.</w:t>
      </w:r>
    </w:p>
  </w:footnote>
  <w:footnote w:id="52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198 (quoting Panel Reports, para. 7.195).</w:t>
      </w:r>
    </w:p>
  </w:footnote>
  <w:footnote w:id="52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198.</w:t>
      </w:r>
    </w:p>
  </w:footnote>
  <w:footnote w:id="52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199. (fn omitted)</w:t>
      </w:r>
    </w:p>
  </w:footnote>
  <w:footnote w:id="52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Panel Reports, paras. 7.434, 7.438, 7.441, and 7.467.</w:t>
      </w:r>
    </w:p>
  </w:footnote>
  <w:footnote w:id="52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As the Panels explained, "a per set or per gear deployment comparison entails averaging some of the relevant indicators identified in paragraph 7.169 [of the Panel Reports], including observed mortalities, serious injuries, and interactions, by the number of operations of the fishing gear used in a particular fishery in a given time period." (Panel Reports, para. 7.204)</w:t>
      </w:r>
    </w:p>
  </w:footnote>
  <w:footnote w:id="52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 has not argued that the Panels' appreciation of the evidence was inconsistent with Article 11 of the DSU, and we therefore proceed by assessing only whether the Panels' primary reliance on per set evidence was inconsistent with the legal standard under Article 2.1 of the TBT Agreement.</w:t>
      </w:r>
    </w:p>
  </w:footnote>
  <w:footnote w:id="52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7.195. (emphasis original)</w:t>
      </w:r>
    </w:p>
  </w:footnote>
  <w:footnote w:id="53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e.g. para. 6.38 above.</w:t>
      </w:r>
    </w:p>
  </w:footnote>
  <w:footnote w:id="53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also </w:t>
      </w:r>
      <w:r w:rsidRPr="002E4AF8">
        <w:rPr>
          <w:noProof/>
          <w:szCs w:val="16"/>
        </w:rPr>
        <w:t xml:space="preserve">Appellate Body Report, </w:t>
      </w:r>
      <w:r w:rsidRPr="002E4AF8">
        <w:rPr>
          <w:i/>
          <w:noProof/>
          <w:szCs w:val="16"/>
        </w:rPr>
        <w:t>US – Tuna II (Mexico) (Article 21.5 – Mexico)</w:t>
      </w:r>
      <w:r w:rsidRPr="002E4AF8">
        <w:rPr>
          <w:noProof/>
          <w:szCs w:val="16"/>
        </w:rPr>
        <w:t>, paras. 7.169, 7.229, and 7.248. The Appellate Body emphasized in the first compliance proceedings the "relational and comparative nature of the analysis of whether the amended measure is calibrated and even-handed" under Article 2.1 of the TBT Agreement. (Ibid., para. 7.126)</w:t>
      </w:r>
    </w:p>
  </w:footnote>
  <w:footnote w:id="53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7.195. (emphasis added)</w:t>
      </w:r>
    </w:p>
  </w:footnote>
  <w:footnote w:id="53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7.195. See also ibid., para. 7.204.</w:t>
      </w:r>
    </w:p>
  </w:footnote>
  <w:footnote w:id="53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paras. 7.195 and 7.204.</w:t>
      </w:r>
    </w:p>
  </w:footnote>
  <w:footnote w:id="53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7.195. (emphasis original)</w:t>
      </w:r>
    </w:p>
  </w:footnote>
  <w:footnote w:id="53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These include observed mortalities, serious injuries, and interactions with dolphins of the fishing method in a given area of the ocean. (Panel Reports, paras. 7.169 and 7.204)</w:t>
      </w:r>
    </w:p>
  </w:footnote>
  <w:footnote w:id="53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w:t>
      </w:r>
      <w:r w:rsidRPr="002E4AF8">
        <w:rPr>
          <w:noProof/>
          <w:szCs w:val="16"/>
        </w:rPr>
        <w:t xml:space="preserve">Panel Reports, para. 7.204. We note that this tension between per set evidence and "absolute" evidence was demonstrated in the Panels' assessment of longline fishing, with respect to which Mexico presented evidence of high levels of absolute annual mortalities in the Pacific Ocean. (Ibid., para. 7.467) The Panels declined to accord much weight to this data, on the basis that the data reflected many different longline fisheries, and relevant per set data for certain individual longline fisheries covered by the absolute data revealed a low rate of dolphin interactions. </w:t>
      </w:r>
      <w:r w:rsidRPr="002E4AF8">
        <w:rPr>
          <w:noProof/>
          <w:szCs w:val="16"/>
          <w:lang w:val="es-ES"/>
        </w:rPr>
        <w:t>(Ibid., para. 7.468)</w:t>
      </w:r>
    </w:p>
  </w:footnote>
  <w:footnote w:id="53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Panel Reports, para. 7.213.</w:t>
      </w:r>
    </w:p>
  </w:footnote>
  <w:footnote w:id="539">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See para. 6.127 above.</w:t>
      </w:r>
    </w:p>
  </w:footnote>
  <w:footnote w:id="54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Panel Reports, para. 7.195. </w:t>
      </w:r>
    </w:p>
  </w:footnote>
  <w:footnote w:id="54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Mexico's appellant's submission, para. 218.</w:t>
      </w:r>
    </w:p>
  </w:footnote>
  <w:footnote w:id="542">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7.161.</w:t>
      </w:r>
    </w:p>
  </w:footnote>
  <w:footnote w:id="543">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paras. </w:t>
      </w:r>
      <w:r w:rsidRPr="002E4AF8">
        <w:rPr>
          <w:noProof/>
          <w:szCs w:val="16"/>
        </w:rPr>
        <w:t>7.169, 7.229, and 7.248.</w:t>
      </w:r>
    </w:p>
  </w:footnote>
  <w:footnote w:id="54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 xml:space="preserve">See Panel Reports, para. 7.204. Notwithstanding that such absolute levels of harm are less helpful in comparing the risks to dolphins </w:t>
      </w:r>
      <w:r w:rsidRPr="002E4AF8">
        <w:rPr>
          <w:szCs w:val="16"/>
        </w:rPr>
        <w:t xml:space="preserve">for the purpose of </w:t>
      </w:r>
      <w:r w:rsidRPr="002E4AF8">
        <w:rPr>
          <w:noProof/>
          <w:szCs w:val="16"/>
        </w:rPr>
        <w:t>the calibration analysis, we see no reason for the Panels not to rely on such evidence in assessing the risks to dolphins in situations where the relevant per set evidence was lacking.</w:t>
      </w:r>
    </w:p>
  </w:footnote>
  <w:footnote w:id="54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220.</w:t>
      </w:r>
    </w:p>
  </w:footnote>
  <w:footnote w:id="54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223 (referring to Panel Reports, paras. 7.186 and 7.705).</w:t>
      </w:r>
    </w:p>
  </w:footnote>
  <w:footnote w:id="54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 appellant's submission, para. 223.</w:t>
      </w:r>
    </w:p>
  </w:footnote>
  <w:footnote w:id="54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202.</w:t>
      </w:r>
    </w:p>
  </w:footnote>
  <w:footnote w:id="54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202. See also paras. 6.47-6.50 above. The United States argued in that context that, contrary to Mexico's preferred approach, the Panels' approach was consistent with the Appellate Body's guidance in the first compliance proceedings. (Ibid., paras. 47-50) The United States also argued that Mexico's approach implies that the Panels should have applied a different type of calibration analysis to the certification and tracking and verification requirements than to the eligibility criteria, and that Mexico has never argued as a factual matter that dolphins are at a greater risk of harm in areas where the reliability of applicable systems is low. (Ibid., paras. 51-53)</w:t>
      </w:r>
    </w:p>
  </w:footnote>
  <w:footnote w:id="55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202 (referring to Panel Reports, paras. 7.109</w:t>
      </w:r>
      <w:r w:rsidRPr="002E4AF8">
        <w:rPr>
          <w:noProof/>
          <w:szCs w:val="16"/>
        </w:rPr>
        <w:noBreakHyphen/>
        <w:t>7.113 and 7.119-7.124).</w:t>
      </w:r>
    </w:p>
  </w:footnote>
  <w:footnote w:id="55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United States' appellee's submission, para. 202 (referring to Panel Reports, paras. 7.119</w:t>
      </w:r>
      <w:r w:rsidRPr="002E4AF8">
        <w:rPr>
          <w:noProof/>
          <w:szCs w:val="16"/>
        </w:rPr>
        <w:noBreakHyphen/>
        <w:t>7.124).</w:t>
      </w:r>
    </w:p>
  </w:footnote>
  <w:footnote w:id="55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section 6.1.3.1 and para. 6.79 above.</w:t>
      </w:r>
    </w:p>
  </w:footnote>
  <w:footnote w:id="55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We further note that Mexico has not argued that the Panels erred under Article 11 of the DSU by omitting specific evidence of a heightened risk to dolphins in any particular fishery in their examination of risks to dolphins in different fisheries.</w:t>
      </w:r>
    </w:p>
  </w:footnote>
  <w:footnote w:id="55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7.110. Although Mexico has described its arguments on appeal as relating to "insufficient regulatory oversight", we note that Mexico specifically takes issue with the Panels' findings with respect to "inaccurate certification, reporting, and/or record-keeping". (Mexico's appellant's submission, paras. 220-222) We therefore see no distinction between Mexico's references to "regulatory oversight" and the Panels' discussion of "inaccurate certification, reporting, and/or record-keeping".</w:t>
      </w:r>
    </w:p>
  </w:footnote>
  <w:footnote w:id="55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6.52 above.</w:t>
      </w:r>
    </w:p>
  </w:footnote>
  <w:footnote w:id="55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6.52 above.</w:t>
      </w:r>
    </w:p>
  </w:footnote>
  <w:footnote w:id="55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7.530. See also ibid., paras. 7.547, 7.611, 7.676, 7.702, and 7.704.</w:t>
      </w:r>
    </w:p>
  </w:footnote>
  <w:footnote w:id="55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7.530 (referring to </w:t>
      </w:r>
      <w:bookmarkStart w:id="292" w:name="_Hlk526948556"/>
      <w:r w:rsidRPr="002E4AF8">
        <w:rPr>
          <w:szCs w:val="16"/>
        </w:rPr>
        <w:t xml:space="preserve">Appellate Body Report, </w:t>
      </w:r>
      <w:r w:rsidRPr="002E4AF8">
        <w:rPr>
          <w:i/>
          <w:szCs w:val="16"/>
        </w:rPr>
        <w:t xml:space="preserve">US – Tuna II (Mexico) </w:t>
      </w:r>
      <w:r w:rsidRPr="002E4AF8">
        <w:rPr>
          <w:i/>
          <w:szCs w:val="16"/>
        </w:rPr>
        <w:br/>
        <w:t>(Article 21.5 – Mexico)</w:t>
      </w:r>
      <w:r w:rsidRPr="002E4AF8">
        <w:rPr>
          <w:szCs w:val="16"/>
        </w:rPr>
        <w:t>, para. 7.21</w:t>
      </w:r>
      <w:bookmarkEnd w:id="292"/>
      <w:r w:rsidRPr="002E4AF8">
        <w:rPr>
          <w:szCs w:val="16"/>
        </w:rPr>
        <w:t>). See also ibid., paras. 7.703-7.716.</w:t>
      </w:r>
    </w:p>
  </w:footnote>
  <w:footnote w:id="55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7.717.</w:t>
      </w:r>
    </w:p>
  </w:footnote>
  <w:footnote w:id="56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9; appellant's submission, paras. 75, 76, and 307.</w:t>
      </w:r>
    </w:p>
  </w:footnote>
  <w:footnote w:id="56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These findings are contained in paragraphs 7.677-7.702 of the Panel Reports.</w:t>
      </w:r>
    </w:p>
  </w:footnote>
  <w:footnote w:id="562">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 xml:space="preserve">7.21. We note that the Panels in these compliance proceedings took account of this reasoning by the Appellate Body in setting out their approach to their assessment of the 2016 Tuna Measure. </w:t>
      </w:r>
      <w:r w:rsidRPr="002E4AF8">
        <w:rPr>
          <w:szCs w:val="16"/>
          <w:lang w:val="es-ES"/>
        </w:rPr>
        <w:t>(Panel Reports, paras. 7.527-7.530)</w:t>
      </w:r>
    </w:p>
  </w:footnote>
  <w:footnote w:id="563">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paras. 7.14-7.15.</w:t>
      </w:r>
    </w:p>
  </w:footnote>
  <w:footnote w:id="564">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7.166.</w:t>
      </w:r>
    </w:p>
  </w:footnote>
  <w:footnote w:id="565">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Panel Reports, para. 7.530 (referring to Appellate Body Report, </w:t>
      </w:r>
      <w:r w:rsidRPr="002E4AF8">
        <w:rPr>
          <w:i/>
          <w:szCs w:val="16"/>
          <w:lang w:val="es-ES"/>
        </w:rPr>
        <w:t xml:space="preserve">US – Tuna II (Mexico) </w:t>
      </w:r>
      <w:r w:rsidRPr="002E4AF8">
        <w:rPr>
          <w:i/>
          <w:szCs w:val="16"/>
          <w:lang w:val="es-ES"/>
        </w:rPr>
        <w:br/>
        <w:t>(Article 21.5 – Mexico)</w:t>
      </w:r>
      <w:r w:rsidRPr="002E4AF8">
        <w:rPr>
          <w:szCs w:val="16"/>
          <w:lang w:val="es-ES"/>
        </w:rPr>
        <w:t>, para. 7.21). See also ibid., paras. 7.703-7.716.</w:t>
      </w:r>
    </w:p>
  </w:footnote>
  <w:footnote w:id="566">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7.15.</w:t>
      </w:r>
    </w:p>
  </w:footnote>
  <w:footnote w:id="567">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7.166.</w:t>
      </w:r>
    </w:p>
  </w:footnote>
  <w:footnote w:id="56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e.g. Mexico's appellant's submission, paras. 233-237, 241-246, 252, 267, 273-274, and 306.</w:t>
      </w:r>
    </w:p>
  </w:footnote>
  <w:footnote w:id="56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9.a (referring to Panel Reports, paras. 7.539-7.547).</w:t>
      </w:r>
    </w:p>
  </w:footnote>
  <w:footnote w:id="57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247 (referring to Panel Reports, paras. 7.538</w:t>
      </w:r>
      <w:r w:rsidRPr="002E4AF8">
        <w:rPr>
          <w:szCs w:val="16"/>
        </w:rPr>
        <w:noBreakHyphen/>
        <w:t>7.547).</w:t>
      </w:r>
    </w:p>
  </w:footnote>
  <w:footnote w:id="57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206.</w:t>
      </w:r>
    </w:p>
  </w:footnote>
  <w:footnote w:id="57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7.50 (referring to DPCIA (Panel Exhibits MEX</w:t>
      </w:r>
      <w:r w:rsidRPr="002E4AF8">
        <w:rPr>
          <w:szCs w:val="16"/>
        </w:rPr>
        <w:noBreakHyphen/>
        <w:t>1 and USA</w:t>
      </w:r>
      <w:r w:rsidRPr="002E4AF8">
        <w:rPr>
          <w:szCs w:val="16"/>
        </w:rPr>
        <w:noBreakHyphen/>
        <w:t>1), Section 1385(d); 2016 implementing regulations (Panel Exhibits MEX</w:t>
      </w:r>
      <w:r w:rsidRPr="002E4AF8">
        <w:rPr>
          <w:szCs w:val="16"/>
        </w:rPr>
        <w:noBreakHyphen/>
        <w:t>2 and USA</w:t>
      </w:r>
      <w:r w:rsidRPr="002E4AF8">
        <w:rPr>
          <w:szCs w:val="16"/>
        </w:rPr>
        <w:noBreakHyphen/>
        <w:t>2), Section 216.91(a)). See also ibid., para. 7.532.</w:t>
      </w:r>
    </w:p>
  </w:footnote>
  <w:footnote w:id="57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7.50.</w:t>
      </w:r>
    </w:p>
  </w:footnote>
  <w:footnote w:id="57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As noted in paragraph 6.158 above, the measure also automatically disqualifies tuna caught using large</w:t>
      </w:r>
      <w:r w:rsidRPr="002E4AF8">
        <w:rPr>
          <w:szCs w:val="16"/>
        </w:rPr>
        <w:noBreakHyphen/>
        <w:t>scale driftnets on the high seas from the dolphin-safe label. Before the Panels, the parties did not submit "arguments concerning the disqualification of tuna caught by driftnet on the high seas". (Panel Reports, fn 936 to para. 7.532) For the reasons stated in paragraphs 6.69-6.70 above, this regulatory distinction is not relevant for assessing whether the detrimental impact found in this dispute stems exclusively from a legitimate regulatory distinction.</w:t>
      </w:r>
    </w:p>
  </w:footnote>
  <w:footnote w:id="57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We recall that the seven fishing methods that the Panels discussed are: purse seine fishing by setting on dolphins; purse seine fishing without setting on dolphins; gillnet fishing; longline fishing; trawl fishing; tuna handlining; and pole and line fishing. (See para. 6.86 above)</w:t>
      </w:r>
    </w:p>
  </w:footnote>
  <w:footnote w:id="57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e.g. Panel Reports, para. 7.541.</w:t>
      </w:r>
    </w:p>
  </w:footnote>
  <w:footnote w:id="57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7.541.</w:t>
      </w:r>
    </w:p>
  </w:footnote>
  <w:footnote w:id="57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7.542 (quoting First Compliance Panel Report, para. 7.120).</w:t>
      </w:r>
    </w:p>
  </w:footnote>
  <w:footnote w:id="57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7.543.</w:t>
      </w:r>
    </w:p>
  </w:footnote>
  <w:footnote w:id="58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7.544-7.546.</w:t>
      </w:r>
    </w:p>
  </w:footnote>
  <w:footnote w:id="58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7.525.</w:t>
      </w:r>
    </w:p>
  </w:footnote>
  <w:footnote w:id="58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7.539.</w:t>
      </w:r>
    </w:p>
  </w:footnote>
  <w:footnote w:id="58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7.540.</w:t>
      </w:r>
    </w:p>
  </w:footnote>
  <w:footnote w:id="58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paras. 230-247.</w:t>
      </w:r>
    </w:p>
  </w:footnote>
  <w:footnote w:id="58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6.77 above.</w:t>
      </w:r>
    </w:p>
  </w:footnote>
  <w:footnote w:id="58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See para. 6.99 above.</w:t>
      </w:r>
    </w:p>
  </w:footnote>
  <w:footnote w:id="58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7.539.</w:t>
      </w:r>
    </w:p>
  </w:footnote>
  <w:footnote w:id="58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Mexico's</w:t>
      </w:r>
      <w:r w:rsidRPr="002E4AF8">
        <w:rPr>
          <w:szCs w:val="16"/>
        </w:rPr>
        <w:t xml:space="preserve"> appellant's submission, paras. 238-240. (emphasis added)</w:t>
      </w:r>
    </w:p>
  </w:footnote>
  <w:footnote w:id="589">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Panel Reports, para. 7.532 (quoting Appellate Body Report, </w:t>
      </w:r>
      <w:r w:rsidRPr="002E4AF8">
        <w:rPr>
          <w:i/>
          <w:szCs w:val="16"/>
          <w:lang w:val="es-ES"/>
        </w:rPr>
        <w:t>US – Tuna II (Mexico)</w:t>
      </w:r>
      <w:r w:rsidRPr="002E4AF8">
        <w:rPr>
          <w:i/>
          <w:szCs w:val="16"/>
          <w:lang w:val="es-ES"/>
        </w:rPr>
        <w:br/>
        <w:t>(Article 21.5 – Mexico)</w:t>
      </w:r>
      <w:r w:rsidRPr="002E4AF8">
        <w:rPr>
          <w:szCs w:val="16"/>
          <w:lang w:val="es-ES"/>
        </w:rPr>
        <w:t>, para. 7.19).</w:t>
      </w:r>
    </w:p>
  </w:footnote>
  <w:footnote w:id="590">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7.159.</w:t>
      </w:r>
    </w:p>
  </w:footnote>
  <w:footnote w:id="59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section 7.8.3. We review the Panels' findings concerning the certification requirements under the 2016 Tuna Measure in section 6.1.5.3 below.</w:t>
      </w:r>
    </w:p>
  </w:footnote>
  <w:footnote w:id="59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7.549.</w:t>
      </w:r>
    </w:p>
  </w:footnote>
  <w:footnote w:id="59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246. In response to questioning at the hearing, Mexico indicated that there was evidence on the Panel record illustrating the existence of risks arising from insufficient regulatory oversight, IUU fishing, and trans</w:t>
      </w:r>
      <w:r w:rsidRPr="002E4AF8">
        <w:rPr>
          <w:szCs w:val="16"/>
        </w:rPr>
        <w:noBreakHyphen/>
        <w:t>shipment at sea. However, Mexico conceded that there was no evidence on the record to demonstrate that</w:t>
      </w:r>
      <w:r w:rsidRPr="002E4AF8">
        <w:rPr>
          <w:szCs w:val="16"/>
          <w:lang w:eastAsia="en-US"/>
        </w:rPr>
        <w:t xml:space="preserve"> </w:t>
      </w:r>
      <w:r w:rsidRPr="002E4AF8">
        <w:rPr>
          <w:szCs w:val="16"/>
        </w:rPr>
        <w:t>dolphins are at a greater overall risk in ocean areas where these attributes exist than in ocean areas where the method of setting on dolphins is practised. Instead, Mexico clarified that the assertion, in its appellant's submission, about "dolphins [being] at a greater overall risk in ocean areas</w:t>
      </w:r>
      <w:r w:rsidRPr="002E4AF8">
        <w:rPr>
          <w:szCs w:val="16"/>
          <w:lang w:eastAsia="en-US"/>
        </w:rPr>
        <w:t xml:space="preserve"> </w:t>
      </w:r>
      <w:r w:rsidRPr="002E4AF8">
        <w:rPr>
          <w:szCs w:val="16"/>
        </w:rPr>
        <w:t>with insufficient regulatory oversight, unreliable reporting, IUU fishing and trans</w:t>
      </w:r>
      <w:r w:rsidRPr="002E4AF8">
        <w:rPr>
          <w:szCs w:val="16"/>
        </w:rPr>
        <w:noBreakHyphen/>
        <w:t>shipment at sea" was made merely as "a point of argument" in support of its view that the Panels should have turned their attention to all of the factors that are relevant to the general objective of discouraging fishing practices that harm dolphins.</w:t>
      </w:r>
    </w:p>
  </w:footnote>
  <w:footnote w:id="59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246. (emphasis added)</w:t>
      </w:r>
    </w:p>
  </w:footnote>
  <w:footnote w:id="59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7.110 (referring to First Compliance Panel Report, paras. 7.169 and 7.372, and fn 464 to para. 7.258, fn 681 to para. 7.463, and fn 711 to para. 7.502).</w:t>
      </w:r>
    </w:p>
  </w:footnote>
  <w:footnote w:id="59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r w:rsidRPr="002E4AF8">
        <w:rPr>
          <w:noProof/>
          <w:szCs w:val="16"/>
        </w:rPr>
        <w:t>Panel Reports, para. 7.110. (emphasis added)</w:t>
      </w:r>
    </w:p>
  </w:footnote>
  <w:footnote w:id="59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246. As discussed in section 6.1.3.1 above, factors that affect the ultimate accuracy of the dolphin</w:t>
      </w:r>
      <w:r w:rsidRPr="002E4AF8">
        <w:rPr>
          <w:szCs w:val="16"/>
        </w:rPr>
        <w:noBreakHyphen/>
        <w:t xml:space="preserve">safe label are relevant to assessing whether the labelling conditions under the measure are properly calibrated. In this vein, we recall that the certification requirements and the tracking and verification requirements, which, </w:t>
      </w:r>
      <w:r w:rsidRPr="002E4AF8">
        <w:rPr>
          <w:i/>
          <w:szCs w:val="16"/>
        </w:rPr>
        <w:t>inter alia</w:t>
      </w:r>
      <w:r w:rsidRPr="002E4AF8">
        <w:rPr>
          <w:szCs w:val="16"/>
        </w:rPr>
        <w:t xml:space="preserve">, address such factors, "work together" with the eligibility criteria of the 2016 Tuna Measure "to limit access to the dolphin-safe label". </w:t>
      </w:r>
      <w:r w:rsidRPr="002E4AF8">
        <w:rPr>
          <w:szCs w:val="16"/>
          <w:lang w:val="es-ES"/>
        </w:rPr>
        <w:t xml:space="preserve">(Appellate Body Report, </w:t>
      </w:r>
      <w:r w:rsidRPr="002E4AF8">
        <w:rPr>
          <w:szCs w:val="16"/>
          <w:lang w:val="es-ES"/>
        </w:rPr>
        <w:br/>
      </w:r>
      <w:r w:rsidRPr="002E4AF8">
        <w:rPr>
          <w:i/>
          <w:szCs w:val="16"/>
          <w:lang w:val="es-ES"/>
        </w:rPr>
        <w:t>US – Tuna II (Mexico) (Article 21.5 – Mexico)</w:t>
      </w:r>
      <w:r w:rsidRPr="002E4AF8">
        <w:rPr>
          <w:szCs w:val="16"/>
          <w:lang w:val="es-ES"/>
        </w:rPr>
        <w:t>, para. </w:t>
      </w:r>
      <w:r w:rsidRPr="002E4AF8">
        <w:rPr>
          <w:szCs w:val="16"/>
        </w:rPr>
        <w:t>7.159)</w:t>
      </w:r>
      <w:r w:rsidRPr="002E4AF8">
        <w:rPr>
          <w:szCs w:val="16"/>
          <w:lang w:eastAsia="en-US"/>
        </w:rPr>
        <w:t xml:space="preserve"> </w:t>
      </w:r>
      <w:r w:rsidRPr="002E4AF8">
        <w:rPr>
          <w:szCs w:val="16"/>
        </w:rPr>
        <w:t>We review the Panels' examination of the certification requirements and the tracking and verification requirements in sections 6.1.5.3 and 6.1.5.4 below.</w:t>
      </w:r>
    </w:p>
  </w:footnote>
  <w:footnote w:id="59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7.539. See also ibid., para. 7.525.</w:t>
      </w:r>
    </w:p>
  </w:footnote>
  <w:footnote w:id="59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7.540.</w:t>
      </w:r>
    </w:p>
  </w:footnote>
  <w:footnote w:id="60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7.547. See also ibid., para. 7.540.</w:t>
      </w:r>
    </w:p>
  </w:footnote>
  <w:footnote w:id="60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9.b (referring to Panel Reports, paras. 7.571-7.573 and 7.600</w:t>
      </w:r>
      <w:r w:rsidRPr="002E4AF8">
        <w:rPr>
          <w:szCs w:val="16"/>
        </w:rPr>
        <w:noBreakHyphen/>
        <w:t>7.611).</w:t>
      </w:r>
    </w:p>
  </w:footnote>
  <w:footnote w:id="60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252. See also para. 6.154 above.</w:t>
      </w:r>
    </w:p>
  </w:footnote>
  <w:footnote w:id="60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258 (referring to First Compliance Report, para. 3.46; United States' first written submission to the Panels, fn 225 to para. 116).</w:t>
      </w:r>
    </w:p>
  </w:footnote>
  <w:footnote w:id="60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267.</w:t>
      </w:r>
    </w:p>
  </w:footnote>
  <w:footnote w:id="60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264.</w:t>
      </w:r>
    </w:p>
  </w:footnote>
  <w:footnote w:id="60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244.</w:t>
      </w:r>
    </w:p>
  </w:footnote>
  <w:footnote w:id="60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244.</w:t>
      </w:r>
    </w:p>
  </w:footnote>
  <w:footnote w:id="60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7.51 (referring to 2016 implementing regulations (Panel Exhibits MEX</w:t>
      </w:r>
      <w:r w:rsidRPr="002E4AF8">
        <w:rPr>
          <w:szCs w:val="16"/>
        </w:rPr>
        <w:noBreakHyphen/>
        <w:t>2 and USA</w:t>
      </w:r>
      <w:r w:rsidRPr="002E4AF8">
        <w:rPr>
          <w:szCs w:val="16"/>
        </w:rPr>
        <w:noBreakHyphen/>
        <w:t>2), Section 216.91(a)(3)).</w:t>
      </w:r>
    </w:p>
  </w:footnote>
  <w:footnote w:id="60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bookmarkStart w:id="309" w:name="_Hlk525659784"/>
      <w:r w:rsidRPr="002E4AF8">
        <w:rPr>
          <w:szCs w:val="16"/>
        </w:rPr>
        <w:t>Panel Reports, paras. 7.51 and 7.54 (referring to 2016 implementing regulations (Panel Exhibits MEX</w:t>
      </w:r>
      <w:r w:rsidRPr="002E4AF8">
        <w:rPr>
          <w:szCs w:val="16"/>
        </w:rPr>
        <w:noBreakHyphen/>
        <w:t>2 and USA</w:t>
      </w:r>
      <w:r w:rsidRPr="002E4AF8">
        <w:rPr>
          <w:szCs w:val="16"/>
        </w:rPr>
        <w:noBreakHyphen/>
        <w:t>2), Section 216.91(a)(1) and (3)).</w:t>
      </w:r>
      <w:bookmarkEnd w:id="309"/>
    </w:p>
  </w:footnote>
  <w:footnote w:id="61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 (referring to 2016 implementing regulations (Panel Exhibits MEX</w:t>
      </w:r>
      <w:r w:rsidRPr="002E4AF8">
        <w:rPr>
          <w:szCs w:val="16"/>
        </w:rPr>
        <w:noBreakHyphen/>
        <w:t>2 and USA</w:t>
      </w:r>
      <w:r w:rsidRPr="002E4AF8">
        <w:rPr>
          <w:szCs w:val="16"/>
        </w:rPr>
        <w:noBreakHyphen/>
        <w:t>2), Section 216.91(a)(1)). See also 2016 implementing regulations (Panel Exhibits MEX</w:t>
      </w:r>
      <w:r w:rsidRPr="002E4AF8">
        <w:rPr>
          <w:szCs w:val="16"/>
        </w:rPr>
        <w:noBreakHyphen/>
        <w:t>2 and USA</w:t>
      </w:r>
      <w:r w:rsidRPr="002E4AF8">
        <w:rPr>
          <w:szCs w:val="16"/>
        </w:rPr>
        <w:noBreakHyphen/>
        <w:t>2), Section 216.92.</w:t>
      </w:r>
    </w:p>
  </w:footnote>
  <w:footnote w:id="61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7.51 (referring to 2016 implementing regulations (Panel Exhibits MEX</w:t>
      </w:r>
      <w:r w:rsidRPr="002E4AF8">
        <w:rPr>
          <w:szCs w:val="16"/>
        </w:rPr>
        <w:noBreakHyphen/>
        <w:t>2 and USA</w:t>
      </w:r>
      <w:r w:rsidRPr="002E4AF8">
        <w:rPr>
          <w:szCs w:val="16"/>
        </w:rPr>
        <w:noBreakHyphen/>
        <w:t>2), Section 216.91(a)(3)(iii)).</w:t>
      </w:r>
    </w:p>
  </w:footnote>
  <w:footnote w:id="61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7.53 (referring to 2016 implementing regulations (Panel Exhibits MEX</w:t>
      </w:r>
      <w:r w:rsidRPr="002E4AF8">
        <w:rPr>
          <w:szCs w:val="16"/>
        </w:rPr>
        <w:noBreakHyphen/>
        <w:t>2 and USA</w:t>
      </w:r>
      <w:r w:rsidRPr="002E4AF8">
        <w:rPr>
          <w:szCs w:val="16"/>
        </w:rPr>
        <w:noBreakHyphen/>
        <w:t>2), Section 216.91(a)(3)(iii)(B)).</w:t>
      </w:r>
    </w:p>
  </w:footnote>
  <w:footnote w:id="61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In the first compliance panel proceedings, the United States identified the seven domestic fisheries where tuna is regularly harvested as: (i) American Samoa Pelagic Longline Fishery; (ii) Atlantic Bluefin Tuna Purse Seine Fishery; (iii) Atlantic Highly Migratory Species Pelagic Longline Fishery; (iv) California Deep-set Pelagic Longline Fishery; (v) California Large</w:t>
      </w:r>
      <w:r w:rsidRPr="002E4AF8">
        <w:rPr>
          <w:szCs w:val="16"/>
        </w:rPr>
        <w:noBreakHyphen/>
        <w:t>mesh Drift Gillnet Fishery; (vi) Hawaii Deep-set Longline Fishery; and (vii) Hawaii Shallow</w:t>
      </w:r>
      <w:r w:rsidRPr="002E4AF8">
        <w:rPr>
          <w:szCs w:val="16"/>
        </w:rPr>
        <w:noBreakHyphen/>
        <w:t xml:space="preserve">set Longline Fishery. (United States' second written submission to the first compliance panel, para. 128 and fn 244 thereto (referring to Determination of Observer Programs as Qualified and Authorized by the Assistant Administrator for Fisheries, </w:t>
      </w:r>
      <w:r w:rsidRPr="002E4AF8">
        <w:rPr>
          <w:i/>
          <w:szCs w:val="16"/>
        </w:rPr>
        <w:t>United States Federal Register</w:t>
      </w:r>
      <w:r w:rsidRPr="002E4AF8">
        <w:rPr>
          <w:szCs w:val="16"/>
        </w:rPr>
        <w:t>, Vol. 79, No. 134 (14 July 2014) (First Compliance Panel Exhibit US</w:t>
      </w:r>
      <w:r w:rsidRPr="002E4AF8">
        <w:rPr>
          <w:szCs w:val="16"/>
        </w:rPr>
        <w:noBreakHyphen/>
        <w:t>113), p. 40720))</w:t>
      </w:r>
    </w:p>
  </w:footnote>
  <w:footnote w:id="61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Thus, in these fisheries, tuna caught on a trip where no observer is already on board may still be labelled dolphin-safe with only a captain's certification. (See First Compliance Panel Report, para. 3.46; Appellate Body Report, </w:t>
      </w:r>
      <w:r w:rsidRPr="002E4AF8">
        <w:rPr>
          <w:i/>
          <w:szCs w:val="16"/>
        </w:rPr>
        <w:t>US – Tuna II (Mexico) (Article 21.5 – Mexico)</w:t>
      </w:r>
      <w:r w:rsidRPr="002E4AF8">
        <w:rPr>
          <w:szCs w:val="16"/>
        </w:rPr>
        <w:t>, para. 6.23 and fn 171 thereto)</w:t>
      </w:r>
    </w:p>
  </w:footnote>
  <w:footnote w:id="61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This observer is described as one "participating in a national or international program acceptable to the Assistant Administrator". (2016 implementing regulations (Panel Exhibits MEX</w:t>
      </w:r>
      <w:r w:rsidRPr="002E4AF8">
        <w:rPr>
          <w:szCs w:val="16"/>
        </w:rPr>
        <w:noBreakHyphen/>
        <w:t>2 and USA</w:t>
      </w:r>
      <w:r w:rsidRPr="002E4AF8">
        <w:rPr>
          <w:szCs w:val="16"/>
        </w:rPr>
        <w:noBreakHyphen/>
        <w:t>2), Section 216.91(a)(3)(v). See also Panel Reports, para. 7.68)</w:t>
      </w:r>
    </w:p>
  </w:footnote>
  <w:footnote w:id="61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7.68 (referring to 2016 implementing regulations (Panel Exhibits MEX</w:t>
      </w:r>
      <w:r w:rsidRPr="002E4AF8">
        <w:rPr>
          <w:szCs w:val="16"/>
        </w:rPr>
        <w:noBreakHyphen/>
        <w:t>2 and USA</w:t>
      </w:r>
      <w:r w:rsidRPr="002E4AF8">
        <w:rPr>
          <w:szCs w:val="16"/>
        </w:rPr>
        <w:noBreakHyphen/>
        <w:t>2), Section 216.91(a)(3)(v)).</w:t>
      </w:r>
    </w:p>
  </w:footnote>
  <w:footnote w:id="61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7.568.</w:t>
      </w:r>
    </w:p>
  </w:footnote>
  <w:footnote w:id="61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7.570.</w:t>
      </w:r>
    </w:p>
  </w:footnote>
  <w:footnote w:id="61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7.569 (quoting Original Panel Report, para. 7.520 (fn omitted; emphasis original)). We also take note of the Panels' observation, in the context of their assessment of the risk profiles, that "due to the significant and regular association between tuna and dolphins in the ETP, even purse seine fishing without setting on dolphins might end up, inadvertently, interacting with dolphins, perhaps even at a higher rate than purse seine fishing by setting on dolphins or other fishing methods in other areas of the ocean." (Ibid., para. 7.333)</w:t>
      </w:r>
    </w:p>
  </w:footnote>
  <w:footnote w:id="62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7.571.</w:t>
      </w:r>
    </w:p>
  </w:footnote>
  <w:footnote w:id="62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7.572.</w:t>
      </w:r>
    </w:p>
  </w:footnote>
  <w:footnote w:id="62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255 (quoting Panel Reports, para. 7.572).</w:t>
      </w:r>
    </w:p>
  </w:footnote>
  <w:footnote w:id="62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252.</w:t>
      </w:r>
    </w:p>
  </w:footnote>
  <w:footnote w:id="62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w:t>
      </w:r>
      <w:r w:rsidRPr="002E4AF8">
        <w:rPr>
          <w:noProof/>
          <w:szCs w:val="16"/>
        </w:rPr>
        <w:t xml:space="preserve"> Body Reports, </w:t>
      </w:r>
      <w:r w:rsidRPr="002E4AF8">
        <w:rPr>
          <w:i/>
          <w:noProof/>
          <w:szCs w:val="16"/>
        </w:rPr>
        <w:t>US – COOL (Article 21.5 – Canada and Mexico)</w:t>
      </w:r>
      <w:r w:rsidRPr="002E4AF8">
        <w:rPr>
          <w:noProof/>
          <w:szCs w:val="16"/>
        </w:rPr>
        <w:t xml:space="preserve">, para. 5.93. See also Appellate Body Report, </w:t>
      </w:r>
      <w:r w:rsidRPr="002E4AF8">
        <w:rPr>
          <w:i/>
          <w:noProof/>
          <w:szCs w:val="16"/>
        </w:rPr>
        <w:t>US – Tuna II (Mexico)</w:t>
      </w:r>
      <w:r w:rsidRPr="002E4AF8">
        <w:rPr>
          <w:noProof/>
          <w:szCs w:val="16"/>
        </w:rPr>
        <w:t>, para. 286.</w:t>
      </w:r>
    </w:p>
  </w:footnote>
  <w:footnote w:id="62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6.65 above. See also Panel Reports, paras. 7.51-7.54; 2016 implementing regulations (Panel Exhibits MEX</w:t>
      </w:r>
      <w:r w:rsidRPr="002E4AF8">
        <w:rPr>
          <w:szCs w:val="16"/>
        </w:rPr>
        <w:noBreakHyphen/>
        <w:t>2 and USA</w:t>
      </w:r>
      <w:r w:rsidRPr="002E4AF8">
        <w:rPr>
          <w:szCs w:val="16"/>
        </w:rPr>
        <w:noBreakHyphen/>
        <w:t>2), Section 216.91(a)(1) and (3).</w:t>
      </w:r>
    </w:p>
  </w:footnote>
  <w:footnote w:id="62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6.77 above.</w:t>
      </w:r>
    </w:p>
  </w:footnote>
  <w:footnote w:id="62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7.572. (emphasis original)</w:t>
      </w:r>
    </w:p>
  </w:footnote>
  <w:footnote w:id="62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256.</w:t>
      </w:r>
    </w:p>
  </w:footnote>
  <w:footnote w:id="62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To the contrary, the United States, in its appellee's submission, points us to evidence on the Panel record that indicates that vessels with DMLs may not set on dolphins during particular trips either because they choose not to or because they have reached their DML for the year. Further, DMLs can be transferred or changed mid</w:t>
      </w:r>
      <w:r w:rsidRPr="002E4AF8">
        <w:rPr>
          <w:szCs w:val="16"/>
        </w:rPr>
        <w:noBreakHyphen/>
        <w:t xml:space="preserve">year, so the fact that a vessel was not given a DML does not mean that it can never legally set on dolphins that year. (United States' appellee's submission, para. 262 (referring to </w:t>
      </w:r>
      <w:bookmarkStart w:id="320" w:name="_Hlk529185281"/>
      <w:r w:rsidRPr="002E4AF8">
        <w:rPr>
          <w:szCs w:val="16"/>
        </w:rPr>
        <w:t xml:space="preserve">AIDCP, </w:t>
      </w:r>
      <w:r w:rsidRPr="002E4AF8">
        <w:rPr>
          <w:i/>
          <w:szCs w:val="16"/>
        </w:rPr>
        <w:t>Report on the International Dolphin Conservation Program</w:t>
      </w:r>
      <w:r w:rsidRPr="002E4AF8">
        <w:rPr>
          <w:szCs w:val="16"/>
        </w:rPr>
        <w:t>, Doc. MOP-28-05, 18 October 2013 (Panel Exhibit MEX</w:t>
      </w:r>
      <w:r w:rsidRPr="002E4AF8">
        <w:rPr>
          <w:szCs w:val="16"/>
        </w:rPr>
        <w:noBreakHyphen/>
        <w:t>8)</w:t>
      </w:r>
      <w:bookmarkEnd w:id="320"/>
      <w:r w:rsidRPr="002E4AF8">
        <w:rPr>
          <w:szCs w:val="16"/>
        </w:rPr>
        <w:t>, pp. 2</w:t>
      </w:r>
      <w:r w:rsidRPr="002E4AF8">
        <w:rPr>
          <w:szCs w:val="16"/>
        </w:rPr>
        <w:noBreakHyphen/>
        <w:t xml:space="preserve">3; </w:t>
      </w:r>
      <w:bookmarkStart w:id="321" w:name="_Hlk529185471"/>
      <w:r w:rsidRPr="002E4AF8">
        <w:rPr>
          <w:szCs w:val="16"/>
        </w:rPr>
        <w:t xml:space="preserve">AIDCP, </w:t>
      </w:r>
      <w:r w:rsidRPr="002E4AF8">
        <w:rPr>
          <w:i/>
          <w:szCs w:val="16"/>
        </w:rPr>
        <w:t>Report on the International Dolphin Conservation Program</w:t>
      </w:r>
      <w:r w:rsidRPr="002E4AF8">
        <w:rPr>
          <w:szCs w:val="16"/>
        </w:rPr>
        <w:t>, Doc. MOP</w:t>
      </w:r>
      <w:r w:rsidRPr="002E4AF8">
        <w:rPr>
          <w:szCs w:val="16"/>
        </w:rPr>
        <w:noBreakHyphen/>
        <w:t>32-05, 20 October 2015 (Panel Exhibit USA</w:t>
      </w:r>
      <w:r w:rsidRPr="002E4AF8">
        <w:rPr>
          <w:szCs w:val="16"/>
        </w:rPr>
        <w:noBreakHyphen/>
        <w:t>15)</w:t>
      </w:r>
      <w:bookmarkEnd w:id="321"/>
      <w:r w:rsidRPr="002E4AF8">
        <w:rPr>
          <w:szCs w:val="16"/>
        </w:rPr>
        <w:t>, pp. 2-3))</w:t>
      </w:r>
    </w:p>
  </w:footnote>
  <w:footnote w:id="63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7.572. (emphasis original; fns omitted)</w:t>
      </w:r>
    </w:p>
  </w:footnote>
  <w:footnote w:id="63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6.99 above.</w:t>
      </w:r>
    </w:p>
  </w:footnote>
  <w:footnote w:id="63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7.572.</w:t>
      </w:r>
    </w:p>
  </w:footnote>
  <w:footnote w:id="63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6.173 and fn 613 above.</w:t>
      </w:r>
    </w:p>
  </w:footnote>
  <w:footnote w:id="63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258 (referring to First Compliance Panel Report, para. 3.46; United States' first written submission to the Panels, fn 225 to para. 116, in turn referring to 2016 implementing regulations (Panel Exhibits MEX</w:t>
      </w:r>
      <w:r w:rsidRPr="002E4AF8">
        <w:rPr>
          <w:szCs w:val="16"/>
        </w:rPr>
        <w:noBreakHyphen/>
        <w:t>2 and USA</w:t>
      </w:r>
      <w:r w:rsidRPr="002E4AF8">
        <w:rPr>
          <w:szCs w:val="16"/>
        </w:rPr>
        <w:noBreakHyphen/>
        <w:t>2), Section 216.91(a)(3)(iv); First Compliance Panel Report, para. 3.45).</w:t>
      </w:r>
    </w:p>
  </w:footnote>
  <w:footnote w:id="63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264.</w:t>
      </w:r>
    </w:p>
  </w:footnote>
  <w:footnote w:id="63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first written submission to the Panels, para. 128 (referring to First Compliance Panel Report, para. 3.46).</w:t>
      </w:r>
    </w:p>
  </w:footnote>
  <w:footnote w:id="63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w:t>
      </w:r>
      <w:r w:rsidRPr="002E4AF8">
        <w:rPr>
          <w:i/>
          <w:szCs w:val="16"/>
        </w:rPr>
        <w:t>supra</w:t>
      </w:r>
      <w:r w:rsidRPr="002E4AF8">
        <w:rPr>
          <w:szCs w:val="16"/>
        </w:rPr>
        <w:t>, fn 613.</w:t>
      </w:r>
    </w:p>
  </w:footnote>
  <w:footnote w:id="63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second written submission to the first compliance panel, para. 128 and fn 245 thereto (referring to NMFS, </w:t>
      </w:r>
      <w:r w:rsidRPr="002E4AF8">
        <w:rPr>
          <w:i/>
          <w:szCs w:val="16"/>
        </w:rPr>
        <w:t>National Observer Program FY 2012 Annual Report</w:t>
      </w:r>
      <w:r w:rsidRPr="002E4AF8">
        <w:rPr>
          <w:szCs w:val="16"/>
        </w:rPr>
        <w:t xml:space="preserve"> (2013) (First Compliance Panel Exhibit US-114), pp. 29-38).</w:t>
      </w:r>
    </w:p>
  </w:footnote>
  <w:footnote w:id="63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w:t>
      </w:r>
      <w:r w:rsidRPr="002E4AF8">
        <w:rPr>
          <w:szCs w:val="16"/>
          <w:lang w:val="es-ES"/>
        </w:rPr>
        <w:t xml:space="preserve">3.46; Appellate Body Report, </w:t>
      </w:r>
      <w:r w:rsidRPr="002E4AF8">
        <w:rPr>
          <w:i/>
          <w:szCs w:val="16"/>
          <w:lang w:val="es-ES"/>
        </w:rPr>
        <w:t>US – Tuna II (Mexico) (Article 21.5 – Mexico)</w:t>
      </w:r>
      <w:r w:rsidRPr="002E4AF8">
        <w:rPr>
          <w:szCs w:val="16"/>
          <w:lang w:val="es-ES"/>
        </w:rPr>
        <w:t xml:space="preserve">, fn 171 to para. </w:t>
      </w:r>
      <w:r w:rsidRPr="002E4AF8">
        <w:rPr>
          <w:szCs w:val="16"/>
        </w:rPr>
        <w:t xml:space="preserve">6.23. See also 2016 implementing regulations (Panel Exhibits MEX-2 and USA-2), Section 216.91(a)(3)(iv). The United States pointed to evidence on the record of the first compliance panel indicating that the NMFS relies on fishery observers to collect data from US commercial fishing and processing vessels, as well as from some shore-side processing plants. In response to questioning at the hearing in these compliance proceedings, the United States indicated that the information collected by fisheries observers is used for a wide range of assessment and monitoring purposes, and supports the management and conservation of fisheries, protected resources, and ecosystems throughout the United States. (NMFS, </w:t>
      </w:r>
      <w:r w:rsidRPr="002E4AF8">
        <w:rPr>
          <w:i/>
          <w:szCs w:val="16"/>
        </w:rPr>
        <w:t>National Observer Program FY 2012 Annual Report</w:t>
      </w:r>
      <w:r w:rsidRPr="002E4AF8">
        <w:rPr>
          <w:szCs w:val="16"/>
        </w:rPr>
        <w:t xml:space="preserve"> (2013) (First Compliance Panel Exhibit US-114), pp. vi</w:t>
      </w:r>
      <w:r w:rsidRPr="002E4AF8">
        <w:rPr>
          <w:szCs w:val="16"/>
        </w:rPr>
        <w:noBreakHyphen/>
        <w:t>vii and 1-4)</w:t>
      </w:r>
    </w:p>
  </w:footnote>
  <w:footnote w:id="64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258.</w:t>
      </w:r>
    </w:p>
  </w:footnote>
  <w:footnote w:id="64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2016 implementing regulations (Panel Exhibits MEX</w:t>
      </w:r>
      <w:r w:rsidRPr="002E4AF8">
        <w:rPr>
          <w:szCs w:val="16"/>
        </w:rPr>
        <w:noBreakHyphen/>
        <w:t>2 and USA</w:t>
      </w:r>
      <w:r w:rsidRPr="002E4AF8">
        <w:rPr>
          <w:szCs w:val="16"/>
        </w:rPr>
        <w:noBreakHyphen/>
        <w:t>2), Section 216.91(a)(3)(iv).</w:t>
      </w:r>
    </w:p>
  </w:footnote>
  <w:footnote w:id="642">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 xml:space="preserve">7.108 (referring to Appellate Body Report, </w:t>
      </w:r>
      <w:r w:rsidRPr="002E4AF8">
        <w:rPr>
          <w:i/>
          <w:szCs w:val="16"/>
        </w:rPr>
        <w:t>US – Tuna II (Mexico)</w:t>
      </w:r>
      <w:r w:rsidRPr="002E4AF8">
        <w:rPr>
          <w:szCs w:val="16"/>
        </w:rPr>
        <w:t>, paras. 282-284).</w:t>
      </w:r>
    </w:p>
  </w:footnote>
  <w:footnote w:id="64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263 (quoting Panel Reports, para. 7.607).</w:t>
      </w:r>
    </w:p>
  </w:footnote>
  <w:footnote w:id="64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269 (referring to Panel Reports, paras. 7.599, 7.603</w:t>
      </w:r>
      <w:r w:rsidRPr="002E4AF8">
        <w:rPr>
          <w:szCs w:val="16"/>
        </w:rPr>
        <w:noBreakHyphen/>
        <w:t>7.604, and 7.607).</w:t>
      </w:r>
    </w:p>
  </w:footnote>
  <w:footnote w:id="64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7.602.</w:t>
      </w:r>
    </w:p>
  </w:footnote>
  <w:footnote w:id="64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7.604 (referring to Mexico's response to Panel question No. 86, para. 147).</w:t>
      </w:r>
    </w:p>
  </w:footnote>
  <w:footnote w:id="64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7.602 and 7.606.</w:t>
      </w:r>
    </w:p>
  </w:footnote>
  <w:footnote w:id="64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7.606 (referring to Appellate Body Reports, </w:t>
      </w:r>
      <w:r w:rsidRPr="002E4AF8">
        <w:rPr>
          <w:i/>
          <w:szCs w:val="16"/>
        </w:rPr>
        <w:t xml:space="preserve">US – Tuna II (Mexico) </w:t>
      </w:r>
      <w:r w:rsidRPr="002E4AF8">
        <w:rPr>
          <w:i/>
          <w:szCs w:val="16"/>
        </w:rPr>
        <w:br/>
        <w:t>(Article 21.5 – Mexico)</w:t>
      </w:r>
      <w:r w:rsidRPr="002E4AF8">
        <w:rPr>
          <w:szCs w:val="16"/>
        </w:rPr>
        <w:t xml:space="preserve">, para. 7.122; </w:t>
      </w:r>
      <w:r w:rsidRPr="002E4AF8">
        <w:rPr>
          <w:i/>
          <w:szCs w:val="16"/>
        </w:rPr>
        <w:t>US – Tuna II (Mexico)</w:t>
      </w:r>
      <w:r w:rsidRPr="002E4AF8">
        <w:rPr>
          <w:szCs w:val="16"/>
        </w:rPr>
        <w:t>, para. 292).</w:t>
      </w:r>
    </w:p>
  </w:footnote>
  <w:footnote w:id="64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7.608.</w:t>
      </w:r>
    </w:p>
  </w:footnote>
  <w:footnote w:id="65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7.123 and 7.608.</w:t>
      </w:r>
    </w:p>
  </w:footnote>
  <w:footnote w:id="65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7.608.</w:t>
      </w:r>
    </w:p>
  </w:footnote>
  <w:footnote w:id="65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263 (quoting First Compliance Panel Report, para. 7.168 (emphasis original)).</w:t>
      </w:r>
    </w:p>
  </w:footnote>
  <w:footnote w:id="65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7.168. See also United States' appellee's submission, para. 268.</w:t>
      </w:r>
    </w:p>
  </w:footnote>
  <w:footnote w:id="65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7.169.</w:t>
      </w:r>
    </w:p>
  </w:footnote>
  <w:footnote w:id="65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7.591.</w:t>
      </w:r>
    </w:p>
  </w:footnote>
  <w:footnote w:id="65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7.594 and 7.675.</w:t>
      </w:r>
    </w:p>
  </w:footnote>
  <w:footnote w:id="65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7.594-7.595.</w:t>
      </w:r>
    </w:p>
  </w:footnote>
  <w:footnote w:id="65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265 (quoting Panel Reports, para. 7.710).</w:t>
      </w:r>
    </w:p>
  </w:footnote>
  <w:footnote w:id="65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266 (referring to Panel Reports, para. 7.683).</w:t>
      </w:r>
    </w:p>
  </w:footnote>
  <w:footnote w:id="66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An observer is described as one "participating in a national or international program acceptable to the Assistant Administrator". (2016 implementing regulations (Panel Exhibits MEX</w:t>
      </w:r>
      <w:r w:rsidRPr="002E4AF8">
        <w:rPr>
          <w:szCs w:val="16"/>
        </w:rPr>
        <w:noBreakHyphen/>
        <w:t>2 and USA</w:t>
      </w:r>
      <w:r w:rsidRPr="002E4AF8">
        <w:rPr>
          <w:szCs w:val="16"/>
        </w:rPr>
        <w:noBreakHyphen/>
        <w:t>2), Section 216.91(a)(3)(v). See also Panel Reports, para. 7.68)</w:t>
      </w:r>
    </w:p>
  </w:footnote>
  <w:footnote w:id="66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7.68 (referring to 2016 implementing regulations (Panel Exhibits MEX</w:t>
      </w:r>
      <w:r w:rsidRPr="002E4AF8">
        <w:rPr>
          <w:szCs w:val="16"/>
        </w:rPr>
        <w:noBreakHyphen/>
        <w:t>2 and USA</w:t>
      </w:r>
      <w:r w:rsidRPr="002E4AF8">
        <w:rPr>
          <w:szCs w:val="16"/>
        </w:rPr>
        <w:noBreakHyphen/>
        <w:t>2), Section 216.91(a)(3)(v)). We take note of the Panels' explanation that the determination provisions under the 2016 Tuna Measure have been applied on at least one occasion. On 28 September 2016, the Assistant Administrator issued a determination, based on the best information available, that a regular and significant mortality of dolphins was occurring in the Indian Ocean gillnet fisheries. The determination provided that, for any tuna product produced from these fisheries to be marketed as dolphin-safe in the United States, the product would have to be accompanied by a certification by an observer from a qualified and authorized observer program and a certification attesting to the catch documentation, the substance of the dolphin-safe labelling standards, and the chain of custody information. (See Panel Reports, paras. 7.685-7.686)</w:t>
      </w:r>
    </w:p>
  </w:footnote>
  <w:footnote w:id="66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also paras. 6.122-6.143 above.</w:t>
      </w:r>
    </w:p>
  </w:footnote>
  <w:footnote w:id="66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266 (referring to Panel Reports, para. 7.683). The 20</w:t>
      </w:r>
      <w:r w:rsidRPr="002E4AF8">
        <w:rPr>
          <w:szCs w:val="16"/>
        </w:rPr>
        <w:noBreakHyphen/>
        <w:t>year average encompasses a period that starts two years before the entry into force of the AIDCP regime when mortalities were higher. The 20</w:t>
      </w:r>
      <w:r w:rsidRPr="002E4AF8">
        <w:rPr>
          <w:szCs w:val="16"/>
        </w:rPr>
        <w:noBreakHyphen/>
        <w:t>year period also covers the years when there was dramatic reduction of observed dolphin mortality in the ETP, following the entry into force of the AIDCP regime. (See para. 5.2 above; Original Panel Report, paras. 2.39 and 7.609)</w:t>
      </w:r>
    </w:p>
  </w:footnote>
  <w:footnote w:id="66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266.</w:t>
      </w:r>
    </w:p>
  </w:footnote>
  <w:footnote w:id="66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266.</w:t>
      </w:r>
    </w:p>
  </w:footnote>
  <w:footnote w:id="66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9.a-d.</w:t>
      </w:r>
    </w:p>
  </w:footnote>
  <w:footnote w:id="66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Panel Reports, paras. </w:t>
      </w:r>
      <w:r w:rsidRPr="002E4AF8">
        <w:rPr>
          <w:szCs w:val="16"/>
          <w:lang w:val="es-ES"/>
        </w:rPr>
        <w:t>7.677-7.702.</w:t>
      </w:r>
    </w:p>
  </w:footnote>
  <w:footnote w:id="66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Panel Reports, para. 7.677.</w:t>
      </w:r>
    </w:p>
  </w:footnote>
  <w:footnote w:id="669">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7.166.</w:t>
      </w:r>
    </w:p>
  </w:footnote>
  <w:footnote w:id="67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266. In challenging these findings of the Panels, we note that Mexico does not question the objectivity of the Panels' assessment of the facts, as required by Article 11 of the DSU.</w:t>
      </w:r>
    </w:p>
  </w:footnote>
  <w:footnote w:id="67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7.518.</w:t>
      </w:r>
    </w:p>
  </w:footnote>
  <w:footnote w:id="67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7.519.</w:t>
      </w:r>
    </w:p>
  </w:footnote>
  <w:footnote w:id="67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7.525.</w:t>
      </w:r>
    </w:p>
  </w:footnote>
  <w:footnote w:id="67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7.698 (referring to </w:t>
      </w:r>
      <w:bookmarkStart w:id="338" w:name="_Hlk529185482"/>
      <w:r w:rsidRPr="002E4AF8">
        <w:rPr>
          <w:szCs w:val="16"/>
        </w:rPr>
        <w:t>Dolphin Mortalities Per Set Due to ETP Dolphin Sets and in Other Fisheries (Panel Exhibit USA</w:t>
      </w:r>
      <w:r w:rsidRPr="002E4AF8">
        <w:rPr>
          <w:szCs w:val="16"/>
        </w:rPr>
        <w:noBreakHyphen/>
        <w:t>111)</w:t>
      </w:r>
      <w:bookmarkEnd w:id="338"/>
      <w:r w:rsidRPr="002E4AF8">
        <w:rPr>
          <w:szCs w:val="16"/>
        </w:rPr>
        <w:t>).</w:t>
      </w:r>
    </w:p>
  </w:footnote>
  <w:footnote w:id="67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We understand that Mexico's main argument on appeal repeats its argument before the Panels that the 20-year average (between 1997</w:t>
      </w:r>
      <w:r w:rsidRPr="002E4AF8">
        <w:rPr>
          <w:szCs w:val="16"/>
        </w:rPr>
        <w:noBreakHyphen/>
        <w:t>2017) artificially inflates the benchmark that the United States relies on in applying its determination provisions. At the same time, as indicated in paragraph 6.196 above, Mexico explicitly stated that it was not challenging the Panels' discrete findings on the determination provisions where the Panels addressed the US methodology. In any event, given the Panels' uncontested finding that the additional requirements imposed by the AIDCP had significantly reduced the extent of mortality and serious injury in the ETP large purse seine fishery, we see no reason to disagree with the Panels' explanation that, for the purpose of the determination provisions, it would be misleading to compare, as Mexico suggests, the risk profile of the ETP in 2015, following the adoption of heightened certification and tracking and verification requirements pursuant to the AIDCP, with the risk profile of other fisheries that are not subject to similar requirements. (See Panel Reports, para. 7.699) Moreover, even under the 2009-2015 data, with the exception of the Indian Ocean gillnet fishery, the Panels explained that, based on their review of the available evidence on the record, the other fisheries have a lower risk profile than the ETP large purse seine fishery. (Panel Reports, paras. 7.441, 7.572, 7.685, and 7.699)</w:t>
      </w:r>
    </w:p>
  </w:footnote>
  <w:footnote w:id="67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266. (emphasis original) In response to questioning at the hearing, Mexico acknowledged that the use of "</w:t>
      </w:r>
      <w:r w:rsidRPr="002E4AF8">
        <w:rPr>
          <w:i/>
          <w:szCs w:val="16"/>
        </w:rPr>
        <w:t>de minimis</w:t>
      </w:r>
      <w:r w:rsidRPr="002E4AF8">
        <w:rPr>
          <w:szCs w:val="16"/>
        </w:rPr>
        <w:t>" in its argument may have overstated the issue. However, Mexico insisted that the point that it was making was that the determination provisions were deficient because they did not take into account certain relevant factors, such as the mortality rates in a given fishery.</w:t>
      </w:r>
    </w:p>
  </w:footnote>
  <w:footnote w:id="67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7.541.</w:t>
      </w:r>
    </w:p>
  </w:footnote>
  <w:footnote w:id="67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7.700.</w:t>
      </w:r>
    </w:p>
  </w:footnote>
  <w:footnote w:id="67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7.691. See also ibid., para. 7.702.</w:t>
      </w:r>
    </w:p>
  </w:footnote>
  <w:footnote w:id="68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7.611.</w:t>
      </w:r>
    </w:p>
  </w:footnote>
  <w:footnote w:id="68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9.c (referring to Panel Reports, paras. 7.650, 7.652, and 7.671</w:t>
      </w:r>
      <w:r w:rsidRPr="002E4AF8">
        <w:rPr>
          <w:szCs w:val="16"/>
        </w:rPr>
        <w:noBreakHyphen/>
        <w:t>7.676).</w:t>
      </w:r>
    </w:p>
  </w:footnote>
  <w:footnote w:id="68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7.613 (referring to 2016 implementing regulations (Panel Exhibits MEX</w:t>
      </w:r>
      <w:r w:rsidRPr="002E4AF8">
        <w:rPr>
          <w:szCs w:val="16"/>
        </w:rPr>
        <w:noBreakHyphen/>
        <w:t>2 and USA</w:t>
      </w:r>
      <w:r w:rsidRPr="002E4AF8">
        <w:rPr>
          <w:szCs w:val="16"/>
        </w:rPr>
        <w:noBreakHyphen/>
        <w:t xml:space="preserve">2), Section 216.93(c)(1)-(3); Appellate Body Report, </w:t>
      </w:r>
      <w:r w:rsidRPr="002E4AF8">
        <w:rPr>
          <w:i/>
          <w:szCs w:val="16"/>
        </w:rPr>
        <w:t>US – Tuna II (Mexico) (Article 21.5 – Mexico)</w:t>
      </w:r>
      <w:r w:rsidRPr="002E4AF8">
        <w:rPr>
          <w:szCs w:val="16"/>
        </w:rPr>
        <w:t>, para. 6.12).</w:t>
      </w:r>
    </w:p>
  </w:footnote>
  <w:footnote w:id="68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7.56-7.61. See also 2016 implementing regulations (Panel Exhibits MEX</w:t>
      </w:r>
      <w:r w:rsidRPr="002E4AF8">
        <w:rPr>
          <w:szCs w:val="16"/>
        </w:rPr>
        <w:noBreakHyphen/>
        <w:t>2 and USA</w:t>
      </w:r>
      <w:r w:rsidRPr="002E4AF8">
        <w:rPr>
          <w:szCs w:val="16"/>
        </w:rPr>
        <w:noBreakHyphen/>
        <w:t>2), Section 216.93(a)</w:t>
      </w:r>
      <w:r w:rsidRPr="002E4AF8">
        <w:rPr>
          <w:szCs w:val="16"/>
        </w:rPr>
        <w:noBreakHyphen/>
        <w:t>(c)(1).</w:t>
      </w:r>
    </w:p>
  </w:footnote>
  <w:footnote w:id="68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7.62 (quoting United States' first written submission to the Panels, para. 143). See also 2016 implementing regulations (Panel Exhibits MEX</w:t>
      </w:r>
      <w:r w:rsidRPr="002E4AF8">
        <w:rPr>
          <w:szCs w:val="16"/>
        </w:rPr>
        <w:noBreakHyphen/>
        <w:t>2 and USA</w:t>
      </w:r>
      <w:r w:rsidRPr="002E4AF8">
        <w:rPr>
          <w:szCs w:val="16"/>
        </w:rPr>
        <w:noBreakHyphen/>
        <w:t>2), Sections 216.91(4)-(5) and 216.93(c)(2)-(3) and (d)(4).</w:t>
      </w:r>
    </w:p>
  </w:footnote>
  <w:footnote w:id="68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7.354. (emphasis omitted)</w:t>
      </w:r>
    </w:p>
  </w:footnote>
  <w:footnote w:id="68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7.355 (referring to </w:t>
      </w:r>
      <w:bookmarkStart w:id="343" w:name="_Hlk529185293"/>
      <w:r w:rsidRPr="002E4AF8">
        <w:rPr>
          <w:szCs w:val="16"/>
        </w:rPr>
        <w:t>AIDCP, Resolution to Adopt the Modified System for Tracking and Verification of Tuna (20 June 2001) (First Compliance Panel Exhibit MEX</w:t>
      </w:r>
      <w:r w:rsidRPr="002E4AF8">
        <w:rPr>
          <w:szCs w:val="16"/>
        </w:rPr>
        <w:noBreakHyphen/>
        <w:t>36)</w:t>
      </w:r>
      <w:bookmarkEnd w:id="343"/>
      <w:r w:rsidRPr="002E4AF8">
        <w:rPr>
          <w:szCs w:val="16"/>
        </w:rPr>
        <w:t>).</w:t>
      </w:r>
    </w:p>
  </w:footnote>
  <w:footnote w:id="68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 7.356.</w:t>
      </w:r>
    </w:p>
  </w:footnote>
  <w:footnote w:id="68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paras. 7.360-7.363.</w:t>
      </w:r>
    </w:p>
  </w:footnote>
  <w:footnote w:id="68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paras. 7.364-7.369.</w:t>
      </w:r>
    </w:p>
  </w:footnote>
  <w:footnote w:id="69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First Compliance Panel Report, paras. 7.370 and 7.382.</w:t>
      </w:r>
    </w:p>
  </w:footnote>
  <w:footnote w:id="69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First Compliance Panel Report, paras. </w:t>
      </w:r>
      <w:r w:rsidRPr="002E4AF8">
        <w:rPr>
          <w:szCs w:val="16"/>
          <w:lang w:val="es-ES"/>
        </w:rPr>
        <w:t>7.400 and 8.2.</w:t>
      </w:r>
    </w:p>
  </w:footnote>
  <w:footnote w:id="692">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7.169.</w:t>
      </w:r>
    </w:p>
  </w:footnote>
  <w:footnote w:id="693">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8.1.a.viii. See also para. 1.11 above.</w:t>
      </w:r>
    </w:p>
  </w:footnote>
  <w:footnote w:id="69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7.56-7.61. See also 2016 implementing regulations (Panel Exhibits MEX</w:t>
      </w:r>
      <w:r w:rsidRPr="002E4AF8">
        <w:rPr>
          <w:szCs w:val="16"/>
        </w:rPr>
        <w:noBreakHyphen/>
        <w:t>2 and USA</w:t>
      </w:r>
      <w:r w:rsidRPr="002E4AF8">
        <w:rPr>
          <w:szCs w:val="16"/>
        </w:rPr>
        <w:noBreakHyphen/>
        <w:t>2), Section 216.93(a)</w:t>
      </w:r>
      <w:r w:rsidRPr="002E4AF8">
        <w:rPr>
          <w:szCs w:val="16"/>
        </w:rPr>
        <w:noBreakHyphen/>
        <w:t>(c)(1).</w:t>
      </w:r>
    </w:p>
  </w:footnote>
  <w:footnote w:id="69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7.62 (quoting United States' first written submission to the Panels, para. 143). See also 2016 implementing regulations (Panel Exhibits MEX</w:t>
      </w:r>
      <w:r w:rsidRPr="002E4AF8">
        <w:rPr>
          <w:szCs w:val="16"/>
        </w:rPr>
        <w:noBreakHyphen/>
        <w:t>2 and USA</w:t>
      </w:r>
      <w:r w:rsidRPr="002E4AF8">
        <w:rPr>
          <w:szCs w:val="16"/>
        </w:rPr>
        <w:noBreakHyphen/>
        <w:t>2), Sections 216.91(4)-(5) and 216.93(c)(2)-(3) and (d)(4).</w:t>
      </w:r>
    </w:p>
  </w:footnote>
  <w:footnote w:id="69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7.651.</w:t>
      </w:r>
    </w:p>
  </w:footnote>
  <w:footnote w:id="69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7.652.</w:t>
      </w:r>
    </w:p>
  </w:footnote>
  <w:footnote w:id="69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7.622 (quoting Appellate Body Report, </w:t>
      </w:r>
      <w:r w:rsidRPr="002E4AF8">
        <w:rPr>
          <w:i/>
          <w:szCs w:val="16"/>
        </w:rPr>
        <w:t xml:space="preserve">US – Tuna II (Mexico) </w:t>
      </w:r>
      <w:r w:rsidRPr="002E4AF8">
        <w:rPr>
          <w:i/>
          <w:szCs w:val="16"/>
        </w:rPr>
        <w:br/>
        <w:t>(Article 21.5 – Mexico)</w:t>
      </w:r>
      <w:r w:rsidRPr="002E4AF8">
        <w:rPr>
          <w:szCs w:val="16"/>
        </w:rPr>
        <w:t>, para. 7.169).</w:t>
      </w:r>
    </w:p>
  </w:footnote>
  <w:footnote w:id="69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7.622 and 7.653.</w:t>
      </w:r>
    </w:p>
  </w:footnote>
  <w:footnote w:id="70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7.654-7.656.</w:t>
      </w:r>
    </w:p>
  </w:footnote>
  <w:footnote w:id="70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7.657 (referring to First Compliance Panel Report, paras. 7.360</w:t>
      </w:r>
      <w:r w:rsidRPr="002E4AF8">
        <w:rPr>
          <w:szCs w:val="16"/>
        </w:rPr>
        <w:noBreakHyphen/>
        <w:t>7.361).</w:t>
      </w:r>
    </w:p>
  </w:footnote>
  <w:footnote w:id="70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7.658-7.660 (referring to First Compliance Panel Report, paras. 7.364-7.368).</w:t>
      </w:r>
    </w:p>
  </w:footnote>
  <w:footnote w:id="70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7.661-7.663.</w:t>
      </w:r>
    </w:p>
  </w:footnote>
  <w:footnote w:id="70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 word "Secretariat" refers to the staff of the IATTC. (International Dolphin Conservation Program, System for Tracking and Verifying Tuna, as amended (2015) (Panel Exhibit USA</w:t>
      </w:r>
      <w:r w:rsidRPr="002E4AF8">
        <w:rPr>
          <w:szCs w:val="16"/>
        </w:rPr>
        <w:noBreakHyphen/>
        <w:t>90), Section 1.i.)</w:t>
      </w:r>
    </w:p>
  </w:footnote>
  <w:footnote w:id="70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7.665 (referring to International Dolphin Conservation Program, System for Tracking and Verifying Tuna, as amended (2015) (Panel Exhibit USA</w:t>
      </w:r>
      <w:r w:rsidRPr="002E4AF8">
        <w:rPr>
          <w:szCs w:val="16"/>
        </w:rPr>
        <w:noBreakHyphen/>
        <w:t>90), Section 7).</w:t>
      </w:r>
    </w:p>
  </w:footnote>
  <w:footnote w:id="70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7.664-7.666.</w:t>
      </w:r>
    </w:p>
  </w:footnote>
  <w:footnote w:id="70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7.671.</w:t>
      </w:r>
    </w:p>
  </w:footnote>
  <w:footnote w:id="70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7.671-7.673.</w:t>
      </w:r>
    </w:p>
  </w:footnote>
  <w:footnote w:id="70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7.674.</w:t>
      </w:r>
    </w:p>
  </w:footnote>
  <w:footnote w:id="71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7.675.</w:t>
      </w:r>
    </w:p>
  </w:footnote>
  <w:footnote w:id="71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7.676.</w:t>
      </w:r>
    </w:p>
  </w:footnote>
  <w:footnote w:id="71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paras. 275-277.</w:t>
      </w:r>
    </w:p>
  </w:footnote>
  <w:footnote w:id="71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280.</w:t>
      </w:r>
    </w:p>
  </w:footnote>
  <w:footnote w:id="71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paras. 285-299. Mexico also argues that the Panels' calibration analysis is flawed, owing to alleged errors in the Panels' assessment of risk profiles. (Mexico's appellant's submission, paras. 273-274) We recall that these arguments were addressed in section 6.1.4 above.</w:t>
      </w:r>
    </w:p>
  </w:footnote>
  <w:footnote w:id="71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9.c (referring to Panel Reports, paras. 6.57 and 7.656); appellant's submission, para. 306.</w:t>
      </w:r>
    </w:p>
  </w:footnote>
  <w:footnote w:id="71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281.</w:t>
      </w:r>
    </w:p>
  </w:footnote>
  <w:footnote w:id="71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300.</w:t>
      </w:r>
    </w:p>
  </w:footnote>
  <w:footnote w:id="71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281.</w:t>
      </w:r>
    </w:p>
  </w:footnote>
  <w:footnote w:id="71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281.</w:t>
      </w:r>
    </w:p>
  </w:footnote>
  <w:footnote w:id="72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278.</w:t>
      </w:r>
    </w:p>
  </w:footnote>
  <w:footnote w:id="72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278. See also ibid., paras. 275-277.</w:t>
      </w:r>
    </w:p>
  </w:footnote>
  <w:footnote w:id="72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6.177 above.</w:t>
      </w:r>
    </w:p>
  </w:footnote>
  <w:footnote w:id="72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7.672.</w:t>
      </w:r>
    </w:p>
  </w:footnote>
  <w:footnote w:id="72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278.</w:t>
      </w:r>
    </w:p>
  </w:footnote>
  <w:footnote w:id="72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7.661-7.663.</w:t>
      </w:r>
    </w:p>
  </w:footnote>
  <w:footnote w:id="72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7.675.</w:t>
      </w:r>
    </w:p>
  </w:footnote>
  <w:footnote w:id="72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278.</w:t>
      </w:r>
    </w:p>
  </w:footnote>
  <w:footnote w:id="72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53 and fn 122 thereto.</w:t>
      </w:r>
    </w:p>
  </w:footnote>
  <w:footnote w:id="72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278.</w:t>
      </w:r>
    </w:p>
  </w:footnote>
  <w:footnote w:id="73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7.660. See also ibid., paras. 7.659-7.663.</w:t>
      </w:r>
    </w:p>
  </w:footnote>
  <w:footnote w:id="73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paras. 279-280.</w:t>
      </w:r>
    </w:p>
  </w:footnote>
  <w:footnote w:id="73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paras. 285 and 299. </w:t>
      </w:r>
    </w:p>
  </w:footnote>
  <w:footnote w:id="73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We note that the findings of the first compliance panel that Mexico seeks to rely on were not the subject of appeal in the first compliance proceedings.</w:t>
      </w:r>
    </w:p>
  </w:footnote>
  <w:footnote w:id="73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288 (quoting First Compliance Panel Report, para. 7.361).</w:t>
      </w:r>
    </w:p>
  </w:footnote>
  <w:footnote w:id="73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289 (quoting First Compliance Panel Report, para. 7.362).</w:t>
      </w:r>
    </w:p>
  </w:footnote>
  <w:footnote w:id="73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290 (referring to First Compliance Panel Report, para. 7.363).</w:t>
      </w:r>
    </w:p>
  </w:footnote>
  <w:footnote w:id="73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7.657.</w:t>
      </w:r>
    </w:p>
  </w:footnote>
  <w:footnote w:id="73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7.657. (emphasis added)</w:t>
      </w:r>
    </w:p>
  </w:footnote>
  <w:footnote w:id="73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292.</w:t>
      </w:r>
    </w:p>
  </w:footnote>
  <w:footnote w:id="74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293 (quoting First Compliance Panel Report, para. 7.365).</w:t>
      </w:r>
    </w:p>
  </w:footnote>
  <w:footnote w:id="74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294 (quoting First Compliance Panel Report, para. 7.368 (emphasis original)).</w:t>
      </w:r>
    </w:p>
  </w:footnote>
  <w:footnote w:id="74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7.658-7.664.</w:t>
      </w:r>
    </w:p>
  </w:footnote>
  <w:footnote w:id="74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7.659.</w:t>
      </w:r>
    </w:p>
  </w:footnote>
  <w:footnote w:id="74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7.662. (emphasis added)</w:t>
      </w:r>
    </w:p>
  </w:footnote>
  <w:footnote w:id="74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 (Article 21.5 – Mexico)</w:t>
      </w:r>
      <w:r w:rsidRPr="002E4AF8">
        <w:rPr>
          <w:szCs w:val="16"/>
        </w:rPr>
        <w:t>, para. 7.169.</w:t>
      </w:r>
    </w:p>
  </w:footnote>
  <w:footnote w:id="74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7.670 and 7.676.</w:t>
      </w:r>
    </w:p>
  </w:footnote>
  <w:footnote w:id="74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305. See also ibid., paras. 300-304.</w:t>
      </w:r>
    </w:p>
  </w:footnote>
  <w:footnote w:id="74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6.57.</w:t>
      </w:r>
    </w:p>
  </w:footnote>
  <w:footnote w:id="74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Reports, </w:t>
      </w:r>
      <w:r w:rsidRPr="002E4AF8">
        <w:rPr>
          <w:i/>
          <w:szCs w:val="16"/>
        </w:rPr>
        <w:t>China – Rare Earths</w:t>
      </w:r>
      <w:r w:rsidRPr="002E4AF8">
        <w:rPr>
          <w:szCs w:val="16"/>
        </w:rPr>
        <w:t xml:space="preserve">, para. 5.178; </w:t>
      </w:r>
      <w:r w:rsidRPr="002E4AF8">
        <w:rPr>
          <w:i/>
          <w:iCs/>
          <w:szCs w:val="16"/>
        </w:rPr>
        <w:t>Brazil – Retreaded Tyres</w:t>
      </w:r>
      <w:r w:rsidRPr="002E4AF8">
        <w:rPr>
          <w:szCs w:val="16"/>
        </w:rPr>
        <w:t xml:space="preserve">, para. 185 (referring to Appellate Body Report, </w:t>
      </w:r>
      <w:r w:rsidRPr="002E4AF8">
        <w:rPr>
          <w:i/>
          <w:iCs/>
          <w:szCs w:val="16"/>
        </w:rPr>
        <w:t>EC – Hormones</w:t>
      </w:r>
      <w:r w:rsidRPr="002E4AF8">
        <w:rPr>
          <w:szCs w:val="16"/>
        </w:rPr>
        <w:t>, paras. 132</w:t>
      </w:r>
      <w:r w:rsidRPr="002E4AF8">
        <w:rPr>
          <w:szCs w:val="16"/>
        </w:rPr>
        <w:noBreakHyphen/>
        <w:t xml:space="preserve">133). See also Appellate Body Reports, </w:t>
      </w:r>
      <w:r w:rsidRPr="002E4AF8">
        <w:rPr>
          <w:i/>
          <w:iCs/>
          <w:szCs w:val="16"/>
        </w:rPr>
        <w:t>Australia – Salmon</w:t>
      </w:r>
      <w:r w:rsidRPr="002E4AF8">
        <w:rPr>
          <w:szCs w:val="16"/>
        </w:rPr>
        <w:t xml:space="preserve">, para. 266; </w:t>
      </w:r>
      <w:r w:rsidRPr="002E4AF8">
        <w:rPr>
          <w:i/>
          <w:iCs/>
          <w:szCs w:val="16"/>
        </w:rPr>
        <w:t>EC – Asbestos</w:t>
      </w:r>
      <w:r w:rsidRPr="002E4AF8">
        <w:rPr>
          <w:szCs w:val="16"/>
        </w:rPr>
        <w:t xml:space="preserve">, para. 161; </w:t>
      </w:r>
      <w:r w:rsidRPr="002E4AF8">
        <w:rPr>
          <w:i/>
          <w:iCs/>
          <w:szCs w:val="16"/>
        </w:rPr>
        <w:t>EC – Bed Linen (Article 21.5 – India)</w:t>
      </w:r>
      <w:r w:rsidRPr="002E4AF8">
        <w:rPr>
          <w:szCs w:val="16"/>
        </w:rPr>
        <w:t xml:space="preserve">, paras. 170, 177, and 181; </w:t>
      </w:r>
      <w:r w:rsidRPr="002E4AF8">
        <w:rPr>
          <w:i/>
          <w:iCs/>
          <w:szCs w:val="16"/>
        </w:rPr>
        <w:t>EC – Sardines</w:t>
      </w:r>
      <w:r w:rsidRPr="002E4AF8">
        <w:rPr>
          <w:iCs/>
          <w:szCs w:val="16"/>
        </w:rPr>
        <w:t xml:space="preserve">, </w:t>
      </w:r>
      <w:r w:rsidRPr="002E4AF8">
        <w:rPr>
          <w:szCs w:val="16"/>
        </w:rPr>
        <w:t xml:space="preserve">para. 299; </w:t>
      </w:r>
      <w:r w:rsidRPr="002E4AF8">
        <w:rPr>
          <w:i/>
          <w:iCs/>
          <w:szCs w:val="16"/>
        </w:rPr>
        <w:t>EC – Tube or Pipe Fittings</w:t>
      </w:r>
      <w:r w:rsidRPr="002E4AF8">
        <w:rPr>
          <w:szCs w:val="16"/>
        </w:rPr>
        <w:t xml:space="preserve">, para. 125; </w:t>
      </w:r>
      <w:r w:rsidRPr="002E4AF8">
        <w:rPr>
          <w:i/>
          <w:iCs/>
          <w:szCs w:val="16"/>
        </w:rPr>
        <w:t>Japan – Apples</w:t>
      </w:r>
      <w:r w:rsidRPr="002E4AF8">
        <w:rPr>
          <w:szCs w:val="16"/>
        </w:rPr>
        <w:t xml:space="preserve">, para. 221; </w:t>
      </w:r>
      <w:r w:rsidRPr="002E4AF8">
        <w:rPr>
          <w:i/>
          <w:iCs/>
          <w:szCs w:val="16"/>
        </w:rPr>
        <w:t>Japan – Agricultural Products II</w:t>
      </w:r>
      <w:r w:rsidRPr="002E4AF8">
        <w:rPr>
          <w:szCs w:val="16"/>
        </w:rPr>
        <w:t>, paras. 141</w:t>
      </w:r>
      <w:r w:rsidRPr="002E4AF8">
        <w:rPr>
          <w:szCs w:val="16"/>
        </w:rPr>
        <w:noBreakHyphen/>
        <w:t xml:space="preserve">142; </w:t>
      </w:r>
      <w:r w:rsidRPr="002E4AF8">
        <w:rPr>
          <w:i/>
          <w:iCs/>
          <w:szCs w:val="16"/>
        </w:rPr>
        <w:t>Korea – Alcoholic Beverages</w:t>
      </w:r>
      <w:r w:rsidRPr="002E4AF8">
        <w:rPr>
          <w:szCs w:val="16"/>
        </w:rPr>
        <w:t>, paras. 161</w:t>
      </w:r>
      <w:r w:rsidRPr="002E4AF8">
        <w:rPr>
          <w:szCs w:val="16"/>
        </w:rPr>
        <w:noBreakHyphen/>
        <w:t xml:space="preserve">162; </w:t>
      </w:r>
      <w:r w:rsidRPr="002E4AF8">
        <w:rPr>
          <w:i/>
          <w:iCs/>
          <w:szCs w:val="16"/>
        </w:rPr>
        <w:t>Korea – Dairy</w:t>
      </w:r>
      <w:r w:rsidRPr="002E4AF8">
        <w:rPr>
          <w:szCs w:val="16"/>
        </w:rPr>
        <w:t xml:space="preserve">, para. 138; </w:t>
      </w:r>
      <w:r w:rsidRPr="002E4AF8">
        <w:rPr>
          <w:i/>
          <w:iCs/>
          <w:szCs w:val="16"/>
        </w:rPr>
        <w:t>US – Carbon Steel</w:t>
      </w:r>
      <w:r w:rsidRPr="002E4AF8">
        <w:rPr>
          <w:szCs w:val="16"/>
        </w:rPr>
        <w:t xml:space="preserve">, para. 142; </w:t>
      </w:r>
      <w:r w:rsidRPr="002E4AF8">
        <w:rPr>
          <w:i/>
          <w:iCs/>
          <w:szCs w:val="16"/>
        </w:rPr>
        <w:t>US – Gambling</w:t>
      </w:r>
      <w:r w:rsidRPr="002E4AF8">
        <w:rPr>
          <w:szCs w:val="16"/>
        </w:rPr>
        <w:t xml:space="preserve">, para. 363; </w:t>
      </w:r>
      <w:r w:rsidRPr="002E4AF8">
        <w:rPr>
          <w:i/>
          <w:iCs/>
          <w:szCs w:val="16"/>
        </w:rPr>
        <w:t>US – Oil Country Tubular Goods Sunset Reviews</w:t>
      </w:r>
      <w:r w:rsidRPr="002E4AF8">
        <w:rPr>
          <w:szCs w:val="16"/>
        </w:rPr>
        <w:t xml:space="preserve">, para. 313; </w:t>
      </w:r>
      <w:r w:rsidRPr="002E4AF8">
        <w:rPr>
          <w:i/>
          <w:iCs/>
          <w:szCs w:val="16"/>
        </w:rPr>
        <w:t>EC – Selected Customs Matters</w:t>
      </w:r>
      <w:r w:rsidRPr="002E4AF8">
        <w:rPr>
          <w:szCs w:val="16"/>
        </w:rPr>
        <w:t>, para. 258.</w:t>
      </w:r>
    </w:p>
  </w:footnote>
  <w:footnote w:id="75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Reports, </w:t>
      </w:r>
      <w:r w:rsidRPr="002E4AF8">
        <w:rPr>
          <w:i/>
          <w:szCs w:val="16"/>
        </w:rPr>
        <w:t>EU – Fatty Alcohols (Indonesia)</w:t>
      </w:r>
      <w:r w:rsidRPr="002E4AF8">
        <w:rPr>
          <w:szCs w:val="16"/>
        </w:rPr>
        <w:t xml:space="preserve">, para. 5.87; </w:t>
      </w:r>
      <w:r w:rsidRPr="002E4AF8">
        <w:rPr>
          <w:i/>
          <w:szCs w:val="16"/>
        </w:rPr>
        <w:t>China – Rare Earths</w:t>
      </w:r>
      <w:r w:rsidRPr="002E4AF8">
        <w:rPr>
          <w:szCs w:val="16"/>
        </w:rPr>
        <w:t xml:space="preserve">, para. 5.178; </w:t>
      </w:r>
      <w:r w:rsidRPr="002E4AF8">
        <w:rPr>
          <w:i/>
          <w:iCs/>
          <w:szCs w:val="16"/>
        </w:rPr>
        <w:t>EC – Hormones</w:t>
      </w:r>
      <w:r w:rsidRPr="002E4AF8">
        <w:rPr>
          <w:szCs w:val="16"/>
        </w:rPr>
        <w:t>, para. 135.</w:t>
      </w:r>
    </w:p>
  </w:footnote>
  <w:footnote w:id="75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Reports, </w:t>
      </w:r>
      <w:r w:rsidRPr="002E4AF8">
        <w:rPr>
          <w:i/>
          <w:szCs w:val="16"/>
        </w:rPr>
        <w:t>EU – Fatty Alcohols (Indonesia)</w:t>
      </w:r>
      <w:r w:rsidRPr="002E4AF8">
        <w:rPr>
          <w:szCs w:val="16"/>
        </w:rPr>
        <w:t xml:space="preserve">, para. 5.87; </w:t>
      </w:r>
      <w:r w:rsidRPr="002E4AF8">
        <w:rPr>
          <w:i/>
          <w:szCs w:val="16"/>
        </w:rPr>
        <w:t>EC – Fasteners (China)</w:t>
      </w:r>
      <w:r w:rsidRPr="002E4AF8">
        <w:rPr>
          <w:szCs w:val="16"/>
        </w:rPr>
        <w:t xml:space="preserve">, paras. 441-442; </w:t>
      </w:r>
      <w:r w:rsidRPr="002E4AF8">
        <w:rPr>
          <w:i/>
          <w:szCs w:val="16"/>
        </w:rPr>
        <w:t>Brazil – Retreaded Tyres</w:t>
      </w:r>
      <w:r w:rsidRPr="002E4AF8">
        <w:rPr>
          <w:szCs w:val="16"/>
        </w:rPr>
        <w:t>, para. 202.</w:t>
      </w:r>
    </w:p>
  </w:footnote>
  <w:footnote w:id="75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300 (referring to ISSF, </w:t>
      </w:r>
      <w:r w:rsidRPr="002E4AF8">
        <w:rPr>
          <w:i/>
          <w:szCs w:val="16"/>
        </w:rPr>
        <w:t>RFMO Catch Documentation Schemes: A Summary</w:t>
      </w:r>
      <w:r w:rsidRPr="002E4AF8">
        <w:rPr>
          <w:szCs w:val="16"/>
        </w:rPr>
        <w:t xml:space="preserve"> (Washington, DC, 14 September 2016) (Panel Exhibit MEX</w:t>
      </w:r>
      <w:r w:rsidRPr="002E4AF8">
        <w:rPr>
          <w:szCs w:val="16"/>
        </w:rPr>
        <w:noBreakHyphen/>
        <w:t>127), paras. 1 and 9).</w:t>
      </w:r>
    </w:p>
  </w:footnote>
  <w:footnote w:id="75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305.</w:t>
      </w:r>
    </w:p>
  </w:footnote>
  <w:footnote w:id="75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ISSF, </w:t>
      </w:r>
      <w:r w:rsidRPr="002E4AF8">
        <w:rPr>
          <w:i/>
          <w:szCs w:val="16"/>
        </w:rPr>
        <w:t>RFMO Catch Documentation Schemes: A Summary</w:t>
      </w:r>
      <w:r w:rsidRPr="002E4AF8">
        <w:rPr>
          <w:szCs w:val="16"/>
        </w:rPr>
        <w:t xml:space="preserve"> (Washington, DC, 14 September 2016) (Panel Exhibit MEX</w:t>
      </w:r>
      <w:r w:rsidRPr="002E4AF8">
        <w:rPr>
          <w:szCs w:val="16"/>
        </w:rPr>
        <w:noBreakHyphen/>
        <w:t>127), para. 1. See also United States' appellee's submission, para. 335.</w:t>
      </w:r>
    </w:p>
  </w:footnote>
  <w:footnote w:id="75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ISSF, </w:t>
      </w:r>
      <w:r w:rsidRPr="002E4AF8">
        <w:rPr>
          <w:i/>
          <w:szCs w:val="16"/>
        </w:rPr>
        <w:t>RFMO Catch Documentation Schemes: A Summary</w:t>
      </w:r>
      <w:r w:rsidRPr="002E4AF8">
        <w:rPr>
          <w:szCs w:val="16"/>
        </w:rPr>
        <w:t xml:space="preserve"> (Washington, DC, 14 September 2016) (Panel Exhibit MEX</w:t>
      </w:r>
      <w:r w:rsidRPr="002E4AF8">
        <w:rPr>
          <w:szCs w:val="16"/>
        </w:rPr>
        <w:noBreakHyphen/>
        <w:t>127), para. 3.</w:t>
      </w:r>
    </w:p>
  </w:footnote>
  <w:footnote w:id="75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6.57.</w:t>
      </w:r>
    </w:p>
  </w:footnote>
  <w:footnote w:id="75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6.57.</w:t>
      </w:r>
    </w:p>
  </w:footnote>
  <w:footnote w:id="75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305.</w:t>
      </w:r>
    </w:p>
  </w:footnote>
  <w:footnote w:id="75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paras. 335-337.</w:t>
      </w:r>
    </w:p>
  </w:footnote>
  <w:footnote w:id="76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7.57-7.59 and 7.63</w:t>
      </w:r>
      <w:r w:rsidRPr="002E4AF8">
        <w:rPr>
          <w:szCs w:val="16"/>
        </w:rPr>
        <w:noBreakHyphen/>
        <w:t>7.66. See also United States' appellee's submission, para. 336.</w:t>
      </w:r>
    </w:p>
  </w:footnote>
  <w:footnote w:id="76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ISSF, </w:t>
      </w:r>
      <w:r w:rsidRPr="002E4AF8">
        <w:rPr>
          <w:i/>
          <w:szCs w:val="16"/>
        </w:rPr>
        <w:t>RFMO Catch Documentation Schemes: A Summary</w:t>
      </w:r>
      <w:r w:rsidRPr="002E4AF8">
        <w:rPr>
          <w:szCs w:val="16"/>
        </w:rPr>
        <w:t xml:space="preserve"> (Washington, DC, 14 September 2016) (Panel Exhibit MEX</w:t>
      </w:r>
      <w:r w:rsidRPr="002E4AF8">
        <w:rPr>
          <w:szCs w:val="16"/>
        </w:rPr>
        <w:noBreakHyphen/>
        <w:t>127), para. 22.</w:t>
      </w:r>
    </w:p>
  </w:footnote>
  <w:footnote w:id="76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7.676.</w:t>
      </w:r>
    </w:p>
  </w:footnote>
  <w:footnote w:id="76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307 (referring to Panel Reports, paras. 7.703</w:t>
      </w:r>
      <w:r w:rsidRPr="002E4AF8">
        <w:rPr>
          <w:szCs w:val="16"/>
        </w:rPr>
        <w:noBreakHyphen/>
        <w:t>7.717).</w:t>
      </w:r>
    </w:p>
  </w:footnote>
  <w:footnote w:id="764">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United States' appellee's submission, para. 353 (quoting Panel Reports, paras. 7.711 and 7.713; referring to ibid., paras. </w:t>
      </w:r>
      <w:r w:rsidRPr="002E4AF8">
        <w:rPr>
          <w:szCs w:val="16"/>
          <w:lang w:val="es-ES"/>
        </w:rPr>
        <w:t>7.709 and 7.712).</w:t>
      </w:r>
    </w:p>
  </w:footnote>
  <w:footnote w:id="765">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w:t>
      </w:r>
      <w:r w:rsidRPr="002E4AF8">
        <w:rPr>
          <w:noProof/>
          <w:szCs w:val="16"/>
          <w:lang w:val="es-ES"/>
        </w:rPr>
        <w:t xml:space="preserve">Appellate Body Report, </w:t>
      </w:r>
      <w:r w:rsidRPr="002E4AF8">
        <w:rPr>
          <w:i/>
          <w:noProof/>
          <w:szCs w:val="16"/>
          <w:lang w:val="es-ES"/>
        </w:rPr>
        <w:t>US – Tuna II (Mexico) (Article 21.5 – Mexico)</w:t>
      </w:r>
      <w:r w:rsidRPr="002E4AF8">
        <w:rPr>
          <w:noProof/>
          <w:szCs w:val="16"/>
          <w:lang w:val="es-ES"/>
        </w:rPr>
        <w:t>, para. </w:t>
      </w:r>
      <w:r w:rsidRPr="002E4AF8">
        <w:rPr>
          <w:noProof/>
          <w:szCs w:val="16"/>
        </w:rPr>
        <w:t>7.15.</w:t>
      </w:r>
    </w:p>
  </w:footnote>
  <w:footnote w:id="76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7.530, 7.609-7.610, and 7.674.</w:t>
      </w:r>
    </w:p>
  </w:footnote>
  <w:footnote w:id="76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7.593.</w:t>
      </w:r>
    </w:p>
  </w:footnote>
  <w:footnote w:id="76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7.704.</w:t>
      </w:r>
    </w:p>
  </w:footnote>
  <w:footnote w:id="76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7.707.</w:t>
      </w:r>
    </w:p>
  </w:footnote>
  <w:footnote w:id="77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7.717.</w:t>
      </w:r>
    </w:p>
  </w:footnote>
  <w:footnote w:id="77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7.717, 8.2, and 8.6.</w:t>
      </w:r>
    </w:p>
  </w:footnote>
  <w:footnote w:id="77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7.729 (referring to First Compliance Panel Report, paras. </w:t>
      </w:r>
      <w:r w:rsidRPr="002E4AF8">
        <w:rPr>
          <w:szCs w:val="16"/>
          <w:lang w:val="es-ES"/>
        </w:rPr>
        <w:t>7.404</w:t>
      </w:r>
      <w:r w:rsidRPr="002E4AF8">
        <w:rPr>
          <w:szCs w:val="16"/>
          <w:lang w:val="es-ES"/>
        </w:rPr>
        <w:noBreakHyphen/>
        <w:t xml:space="preserve">7.416, 7.434, 7.469-7.481, and 7.494-7.495; Appellate Body Report, </w:t>
      </w:r>
      <w:r w:rsidRPr="002E4AF8">
        <w:rPr>
          <w:i/>
          <w:szCs w:val="16"/>
          <w:lang w:val="es-ES"/>
        </w:rPr>
        <w:t>US – Tuna II (Mexico) (Article 21.5 – Mexico)</w:t>
      </w:r>
      <w:r w:rsidRPr="002E4AF8">
        <w:rPr>
          <w:szCs w:val="16"/>
          <w:lang w:val="es-ES"/>
        </w:rPr>
        <w:t>, para. </w:t>
      </w:r>
      <w:r w:rsidRPr="002E4AF8">
        <w:rPr>
          <w:szCs w:val="16"/>
        </w:rPr>
        <w:t>8.1(d)(ii)).</w:t>
      </w:r>
    </w:p>
  </w:footnote>
  <w:footnote w:id="77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7.730 (referring to First Compliance Panel Report, para. </w:t>
      </w:r>
      <w:r w:rsidRPr="002E4AF8">
        <w:rPr>
          <w:szCs w:val="16"/>
          <w:lang w:val="es-ES"/>
        </w:rPr>
        <w:t xml:space="preserve">7.541; Appellate Body Report, </w:t>
      </w:r>
      <w:r w:rsidRPr="002E4AF8">
        <w:rPr>
          <w:i/>
          <w:szCs w:val="16"/>
          <w:lang w:val="es-ES"/>
        </w:rPr>
        <w:t>US – Tuna II (Mexico) (Article 21.5 – Mexico)</w:t>
      </w:r>
      <w:r w:rsidRPr="002E4AF8">
        <w:rPr>
          <w:szCs w:val="16"/>
          <w:lang w:val="es-ES"/>
        </w:rPr>
        <w:t>, para. </w:t>
      </w:r>
      <w:r w:rsidRPr="002E4AF8">
        <w:rPr>
          <w:szCs w:val="16"/>
        </w:rPr>
        <w:t>7.341).</w:t>
      </w:r>
    </w:p>
  </w:footnote>
  <w:footnote w:id="77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7.740.</w:t>
      </w:r>
    </w:p>
  </w:footnote>
  <w:footnote w:id="77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10; appellant's submission, paras. 308</w:t>
      </w:r>
      <w:r w:rsidRPr="002E4AF8">
        <w:rPr>
          <w:szCs w:val="16"/>
        </w:rPr>
        <w:noBreakHyphen/>
        <w:t>309.</w:t>
      </w:r>
    </w:p>
  </w:footnote>
  <w:footnote w:id="77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7.731.</w:t>
      </w:r>
    </w:p>
  </w:footnote>
  <w:footnote w:id="77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7.732 (referring to Appellate Body Report, </w:t>
      </w:r>
      <w:r w:rsidRPr="002E4AF8">
        <w:rPr>
          <w:i/>
          <w:szCs w:val="16"/>
        </w:rPr>
        <w:t xml:space="preserve">US – Tuna II (Mexico) </w:t>
      </w:r>
      <w:r w:rsidRPr="002E4AF8">
        <w:rPr>
          <w:i/>
          <w:szCs w:val="16"/>
        </w:rPr>
        <w:br/>
        <w:t>(Article 21.5 – Mexico)</w:t>
      </w:r>
      <w:r w:rsidRPr="002E4AF8">
        <w:rPr>
          <w:szCs w:val="16"/>
        </w:rPr>
        <w:t>, para. 7.238).</w:t>
      </w:r>
    </w:p>
  </w:footnote>
  <w:footnote w:id="77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7.732.</w:t>
      </w:r>
    </w:p>
  </w:footnote>
  <w:footnote w:id="77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7.733 (referring to Appellate Body Report, </w:t>
      </w:r>
      <w:r w:rsidRPr="002E4AF8">
        <w:rPr>
          <w:i/>
          <w:szCs w:val="16"/>
        </w:rPr>
        <w:t xml:space="preserve">US – Tuna II (Mexico) </w:t>
      </w:r>
      <w:r w:rsidRPr="002E4AF8">
        <w:rPr>
          <w:i/>
          <w:szCs w:val="16"/>
        </w:rPr>
        <w:br/>
        <w:t>(Article 21.5 – Mexico)</w:t>
      </w:r>
      <w:r w:rsidRPr="002E4AF8">
        <w:rPr>
          <w:szCs w:val="16"/>
        </w:rPr>
        <w:t>, para. 7.308).</w:t>
      </w:r>
    </w:p>
  </w:footnote>
  <w:footnote w:id="78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7.732-7.733 (referring to Mexico's first written submission to the Panels, para. 204; response to Panel question No. 110; United States' first written submission to the Panels, para. 69; response to Panel question No. 110).</w:t>
      </w:r>
    </w:p>
  </w:footnote>
  <w:footnote w:id="78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7.727 and 7.734 (quoting Appellate Body Report, </w:t>
      </w:r>
      <w:r w:rsidRPr="002E4AF8">
        <w:rPr>
          <w:i/>
          <w:szCs w:val="16"/>
        </w:rPr>
        <w:t>US – Tuna II (Mexico) (Article 21.5 – Mexico)</w:t>
      </w:r>
      <w:r w:rsidRPr="002E4AF8">
        <w:rPr>
          <w:szCs w:val="16"/>
        </w:rPr>
        <w:t>, para. 7.347).</w:t>
      </w:r>
    </w:p>
  </w:footnote>
  <w:footnote w:id="78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7.738. In the Panels' view, they did not repeat the first compliance panel's errors found by the Appellate Body, namely, the first compliance panel's segmented analysis under Article 2.1 of the TBT Agreement and its erroneous assumption that disqualifying tuna products containing tuna caught by setting on dolphins from accessing the label was consistent with that provision. (Ibid., paras. 7.735-7.736)</w:t>
      </w:r>
    </w:p>
  </w:footnote>
  <w:footnote w:id="78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7.738.</w:t>
      </w:r>
    </w:p>
  </w:footnote>
  <w:footnote w:id="78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7.739.</w:t>
      </w:r>
    </w:p>
  </w:footnote>
  <w:footnote w:id="78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7.739.</w:t>
      </w:r>
    </w:p>
  </w:footnote>
  <w:footnote w:id="78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7.740.</w:t>
      </w:r>
    </w:p>
  </w:footnote>
  <w:footnote w:id="78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309.</w:t>
      </w:r>
    </w:p>
  </w:footnote>
  <w:footnote w:id="78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315.</w:t>
      </w:r>
    </w:p>
  </w:footnote>
  <w:footnote w:id="78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317 (referring to Appellate Body Report, </w:t>
      </w:r>
      <w:r w:rsidRPr="002E4AF8">
        <w:rPr>
          <w:i/>
          <w:szCs w:val="16"/>
        </w:rPr>
        <w:t xml:space="preserve">US – Tuna II </w:t>
      </w:r>
      <w:r w:rsidRPr="002E4AF8">
        <w:rPr>
          <w:i/>
          <w:noProof/>
          <w:szCs w:val="16"/>
        </w:rPr>
        <w:t xml:space="preserve">(Mexico) </w:t>
      </w:r>
      <w:r w:rsidRPr="002E4AF8">
        <w:rPr>
          <w:i/>
          <w:szCs w:val="16"/>
        </w:rPr>
        <w:t>(Article 21.5 – Mexico)</w:t>
      </w:r>
      <w:r w:rsidRPr="002E4AF8">
        <w:rPr>
          <w:szCs w:val="16"/>
        </w:rPr>
        <w:t>, paras. 7.345-7.347).</w:t>
      </w:r>
    </w:p>
  </w:footnote>
  <w:footnote w:id="79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318.</w:t>
      </w:r>
    </w:p>
  </w:footnote>
  <w:footnote w:id="79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paras. 319-330 (referring to Appellate Body Report, </w:t>
      </w:r>
      <w:r w:rsidRPr="002E4AF8">
        <w:rPr>
          <w:i/>
          <w:szCs w:val="16"/>
        </w:rPr>
        <w:t xml:space="preserve">US – Tuna II </w:t>
      </w:r>
      <w:r w:rsidRPr="002E4AF8">
        <w:rPr>
          <w:i/>
          <w:noProof/>
          <w:szCs w:val="16"/>
        </w:rPr>
        <w:t xml:space="preserve">(Mexico) </w:t>
      </w:r>
      <w:r w:rsidRPr="002E4AF8">
        <w:rPr>
          <w:i/>
          <w:szCs w:val="16"/>
        </w:rPr>
        <w:t>(Article 21.5 – Mexico)</w:t>
      </w:r>
      <w:r w:rsidRPr="002E4AF8">
        <w:rPr>
          <w:szCs w:val="16"/>
        </w:rPr>
        <w:t>,</w:t>
      </w:r>
      <w:r w:rsidRPr="002E4AF8">
        <w:rPr>
          <w:i/>
          <w:szCs w:val="16"/>
        </w:rPr>
        <w:t xml:space="preserve"> </w:t>
      </w:r>
      <w:r w:rsidRPr="002E4AF8">
        <w:rPr>
          <w:szCs w:val="16"/>
        </w:rPr>
        <w:t xml:space="preserve">para. 7.320). Mexico also argued in its appellant's submission that the 2016 Tuna Measure results in "unjustifiable discrimination" because the United States did not seek a multilateral solution before imposing a unilateral measure. Mexico referred in this regard to the Appellate Body Report in </w:t>
      </w:r>
      <w:r w:rsidRPr="002E4AF8">
        <w:rPr>
          <w:i/>
          <w:szCs w:val="16"/>
        </w:rPr>
        <w:t>US – Shrimp</w:t>
      </w:r>
      <w:r w:rsidRPr="002E4AF8">
        <w:rPr>
          <w:szCs w:val="16"/>
        </w:rPr>
        <w:t>, and argued that of importance in the present proceedings is the fact that there is a fully functioning and highly effective multilateral process already in place that the United States helped to create in the form of the IATTC and its dolphin</w:t>
      </w:r>
      <w:r w:rsidRPr="002E4AF8">
        <w:rPr>
          <w:szCs w:val="16"/>
        </w:rPr>
        <w:noBreakHyphen/>
        <w:t>protection program, which the United States chose to ignore. (Ibid., paras. 333</w:t>
      </w:r>
      <w:r w:rsidRPr="002E4AF8">
        <w:rPr>
          <w:szCs w:val="16"/>
        </w:rPr>
        <w:noBreakHyphen/>
        <w:t>334) However, during the hearing, Mexico indicated that it was not pursuing a decision by the Appellate Body on this issue but merely included it in its appellant's submission as relevant background. (Mexico's response to questioning at the hearing) Therefore, we do not address this claim.</w:t>
      </w:r>
    </w:p>
  </w:footnote>
  <w:footnote w:id="79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365 (quoting Appellate Body Report, </w:t>
      </w:r>
      <w:r w:rsidRPr="002E4AF8">
        <w:rPr>
          <w:i/>
          <w:szCs w:val="16"/>
        </w:rPr>
        <w:t xml:space="preserve">US – Tuna II </w:t>
      </w:r>
      <w:r w:rsidRPr="002E4AF8">
        <w:rPr>
          <w:i/>
          <w:noProof/>
          <w:szCs w:val="16"/>
        </w:rPr>
        <w:t xml:space="preserve">(Mexico) </w:t>
      </w:r>
      <w:r w:rsidRPr="002E4AF8">
        <w:rPr>
          <w:i/>
          <w:szCs w:val="16"/>
        </w:rPr>
        <w:t>(Article 21.5 – Mexico)</w:t>
      </w:r>
      <w:r w:rsidRPr="002E4AF8">
        <w:rPr>
          <w:szCs w:val="16"/>
        </w:rPr>
        <w:t>,</w:t>
      </w:r>
      <w:r w:rsidRPr="002E4AF8">
        <w:rPr>
          <w:i/>
          <w:szCs w:val="16"/>
        </w:rPr>
        <w:t xml:space="preserve"> </w:t>
      </w:r>
      <w:r w:rsidRPr="002E4AF8">
        <w:rPr>
          <w:szCs w:val="16"/>
        </w:rPr>
        <w:t>para. 7.330).</w:t>
      </w:r>
    </w:p>
  </w:footnote>
  <w:footnote w:id="79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367 (referring to Appellate Body Report, </w:t>
      </w:r>
      <w:r w:rsidRPr="002E4AF8">
        <w:rPr>
          <w:i/>
          <w:szCs w:val="16"/>
        </w:rPr>
        <w:t xml:space="preserve">US – Tuna II </w:t>
      </w:r>
      <w:r w:rsidRPr="002E4AF8">
        <w:rPr>
          <w:i/>
          <w:noProof/>
          <w:szCs w:val="16"/>
        </w:rPr>
        <w:t xml:space="preserve">(Mexico) </w:t>
      </w:r>
      <w:r w:rsidRPr="002E4AF8">
        <w:rPr>
          <w:i/>
          <w:szCs w:val="16"/>
        </w:rPr>
        <w:t>(Article 21.5 – Mexico)</w:t>
      </w:r>
      <w:r w:rsidRPr="002E4AF8">
        <w:rPr>
          <w:szCs w:val="16"/>
        </w:rPr>
        <w:t>, paras. 7.229 and 7.334-7.335).</w:t>
      </w:r>
    </w:p>
  </w:footnote>
  <w:footnote w:id="79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367.</w:t>
      </w:r>
    </w:p>
  </w:footnote>
  <w:footnote w:id="79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368 (referring to Panel Reports, paras. 7.115</w:t>
      </w:r>
      <w:r w:rsidRPr="002E4AF8">
        <w:rPr>
          <w:szCs w:val="16"/>
        </w:rPr>
        <w:noBreakHyphen/>
        <w:t>7.127).</w:t>
      </w:r>
    </w:p>
  </w:footnote>
  <w:footnote w:id="79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370.</w:t>
      </w:r>
    </w:p>
  </w:footnote>
  <w:footnote w:id="79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also Appellate Body Reports, </w:t>
      </w:r>
      <w:r w:rsidRPr="002E4AF8">
        <w:rPr>
          <w:i/>
          <w:szCs w:val="16"/>
        </w:rPr>
        <w:t>US – Gasoline</w:t>
      </w:r>
      <w:r w:rsidRPr="002E4AF8">
        <w:rPr>
          <w:szCs w:val="16"/>
        </w:rPr>
        <w:t xml:space="preserve">, p. 22, DSR 1996:I, p. 20; </w:t>
      </w:r>
      <w:r w:rsidRPr="002E4AF8">
        <w:rPr>
          <w:i/>
          <w:szCs w:val="16"/>
        </w:rPr>
        <w:t>US – Shrimp</w:t>
      </w:r>
      <w:r w:rsidRPr="002E4AF8">
        <w:rPr>
          <w:szCs w:val="16"/>
        </w:rPr>
        <w:t xml:space="preserve">, para. 115; </w:t>
      </w:r>
      <w:r w:rsidRPr="002E4AF8">
        <w:rPr>
          <w:i/>
          <w:szCs w:val="16"/>
        </w:rPr>
        <w:t>Brazil – Retreaded Tyres</w:t>
      </w:r>
      <w:r w:rsidRPr="002E4AF8">
        <w:rPr>
          <w:szCs w:val="16"/>
        </w:rPr>
        <w:t>, para. 215.</w:t>
      </w:r>
    </w:p>
  </w:footnote>
  <w:footnote w:id="79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Japan – Alcoholic Beverages II</w:t>
      </w:r>
      <w:r w:rsidRPr="002E4AF8">
        <w:rPr>
          <w:szCs w:val="16"/>
        </w:rPr>
        <w:t>, p. 29, DSR 1996:I, p. 120.</w:t>
      </w:r>
    </w:p>
  </w:footnote>
  <w:footnote w:id="79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Shrimp</w:t>
      </w:r>
      <w:r w:rsidRPr="002E4AF8">
        <w:rPr>
          <w:szCs w:val="16"/>
        </w:rPr>
        <w:t>, para. 150.</w:t>
      </w:r>
    </w:p>
  </w:footnote>
  <w:footnote w:id="80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Appellate Body Report, </w:t>
      </w:r>
      <w:r w:rsidRPr="002E4AF8">
        <w:rPr>
          <w:i/>
          <w:szCs w:val="16"/>
        </w:rPr>
        <w:t>Brazil – Retreaded Tyres</w:t>
      </w:r>
      <w:r w:rsidRPr="002E4AF8">
        <w:rPr>
          <w:szCs w:val="16"/>
        </w:rPr>
        <w:t>, para. </w:t>
      </w:r>
      <w:r w:rsidRPr="002E4AF8">
        <w:rPr>
          <w:szCs w:val="16"/>
          <w:lang w:val="es-ES"/>
        </w:rPr>
        <w:t>226.</w:t>
      </w:r>
    </w:p>
  </w:footnote>
  <w:footnote w:id="801">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 xml:space="preserve">7.316 (quoting Appellate Body Report, </w:t>
      </w:r>
      <w:r w:rsidRPr="002E4AF8">
        <w:rPr>
          <w:i/>
          <w:szCs w:val="16"/>
        </w:rPr>
        <w:t>Brazil – Retreaded Tyres</w:t>
      </w:r>
      <w:r w:rsidRPr="002E4AF8">
        <w:rPr>
          <w:szCs w:val="16"/>
        </w:rPr>
        <w:t>, para. 227).</w:t>
      </w:r>
    </w:p>
  </w:footnote>
  <w:footnote w:id="80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 (Article 21.5 – Mexico)</w:t>
      </w:r>
      <w:r w:rsidRPr="002E4AF8">
        <w:rPr>
          <w:szCs w:val="16"/>
        </w:rPr>
        <w:t xml:space="preserve">, para. 7.316 (quoting Appellate Body Reports, </w:t>
      </w:r>
      <w:r w:rsidRPr="002E4AF8">
        <w:rPr>
          <w:i/>
          <w:szCs w:val="16"/>
        </w:rPr>
        <w:t>EC – Seal Products</w:t>
      </w:r>
      <w:r w:rsidRPr="002E4AF8">
        <w:rPr>
          <w:szCs w:val="16"/>
        </w:rPr>
        <w:t xml:space="preserve">, para. 5.306). The Appellate Body has also explained that this is not the sole test, and that, depending on the nature of the measure at issue and the circumstances of the case at hand, additional factors may also be relevant to the overall assessment. (Ibid. (referring to Appellate Body Reports, </w:t>
      </w:r>
      <w:r w:rsidRPr="002E4AF8">
        <w:rPr>
          <w:i/>
          <w:szCs w:val="16"/>
        </w:rPr>
        <w:t>EC – Seal Products</w:t>
      </w:r>
      <w:r w:rsidRPr="002E4AF8">
        <w:rPr>
          <w:szCs w:val="16"/>
        </w:rPr>
        <w:t>, para. 5.321))</w:t>
      </w:r>
    </w:p>
  </w:footnote>
  <w:footnote w:id="80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Reports, </w:t>
      </w:r>
      <w:r w:rsidRPr="002E4AF8">
        <w:rPr>
          <w:i/>
          <w:szCs w:val="16"/>
        </w:rPr>
        <w:t>US – Clove Cigarettes</w:t>
      </w:r>
      <w:r w:rsidRPr="002E4AF8">
        <w:rPr>
          <w:szCs w:val="16"/>
        </w:rPr>
        <w:t xml:space="preserve">, para. 173; </w:t>
      </w:r>
      <w:r w:rsidRPr="002E4AF8">
        <w:rPr>
          <w:i/>
          <w:szCs w:val="16"/>
        </w:rPr>
        <w:t>US – Tuna II (Mexico)</w:t>
      </w:r>
      <w:r w:rsidRPr="002E4AF8">
        <w:rPr>
          <w:szCs w:val="16"/>
        </w:rPr>
        <w:t xml:space="preserve">, para. 213; </w:t>
      </w:r>
      <w:r w:rsidRPr="002E4AF8">
        <w:rPr>
          <w:szCs w:val="16"/>
        </w:rPr>
        <w:br/>
      </w:r>
      <w:r w:rsidRPr="002E4AF8">
        <w:rPr>
          <w:i/>
          <w:szCs w:val="16"/>
        </w:rPr>
        <w:t>EC – Seal Products</w:t>
      </w:r>
      <w:r w:rsidRPr="002E4AF8">
        <w:rPr>
          <w:szCs w:val="16"/>
        </w:rPr>
        <w:t>, para. 5.310.</w:t>
      </w:r>
    </w:p>
  </w:footnote>
  <w:footnote w:id="80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Specifically, Article 2.1 of the TBT Agreement requires panels to consider whether the detrimental impact on imported products caused by a measure stems from a legitimate regulatory distinction. Under the </w:t>
      </w:r>
      <w:r w:rsidRPr="002E4AF8">
        <w:rPr>
          <w:i/>
          <w:szCs w:val="16"/>
        </w:rPr>
        <w:t>chapeau</w:t>
      </w:r>
      <w:r w:rsidRPr="002E4AF8">
        <w:rPr>
          <w:szCs w:val="16"/>
        </w:rPr>
        <w:t xml:space="preserve"> of Article XX, by contrast, the question is whether a measure is applied in a manner that would constitute a means of arbitrary or unjustifiable discrimination between countries where the same conditions prevail. (See Appellate Body Reports, </w:t>
      </w:r>
      <w:r w:rsidRPr="002E4AF8">
        <w:rPr>
          <w:i/>
          <w:szCs w:val="16"/>
        </w:rPr>
        <w:t>EC – Seal Products</w:t>
      </w:r>
      <w:r w:rsidRPr="002E4AF8">
        <w:rPr>
          <w:szCs w:val="16"/>
        </w:rPr>
        <w:t>, para. 5.311)</w:t>
      </w:r>
    </w:p>
  </w:footnote>
  <w:footnote w:id="805">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Appellate Body Reports, </w:t>
      </w:r>
      <w:r w:rsidRPr="002E4AF8">
        <w:rPr>
          <w:i/>
          <w:szCs w:val="16"/>
        </w:rPr>
        <w:t>EC – Seal Products</w:t>
      </w:r>
      <w:r w:rsidRPr="002E4AF8">
        <w:rPr>
          <w:szCs w:val="16"/>
        </w:rPr>
        <w:t>, para. </w:t>
      </w:r>
      <w:r w:rsidRPr="002E4AF8">
        <w:rPr>
          <w:szCs w:val="16"/>
          <w:lang w:val="es-ES"/>
        </w:rPr>
        <w:t>5.312.</w:t>
      </w:r>
    </w:p>
  </w:footnote>
  <w:footnote w:id="806">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7.347.</w:t>
      </w:r>
    </w:p>
  </w:footnote>
  <w:footnote w:id="80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7.347.</w:t>
      </w:r>
    </w:p>
  </w:footnote>
  <w:footnote w:id="80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7.320.</w:t>
      </w:r>
    </w:p>
  </w:footnote>
  <w:footnote w:id="809">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7.330. (emphasis added)</w:t>
      </w:r>
    </w:p>
  </w:footnote>
  <w:footnote w:id="81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7.330.</w:t>
      </w:r>
    </w:p>
  </w:footnote>
  <w:footnote w:id="81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7.332.</w:t>
      </w:r>
    </w:p>
  </w:footnote>
  <w:footnote w:id="812">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7.229 (quoting First Compliance Panel Report, para. 7.91).</w:t>
      </w:r>
    </w:p>
  </w:footnote>
  <w:footnote w:id="81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Tuna II (Mexico) (Article 21.5 – Mexico)</w:t>
      </w:r>
      <w:r w:rsidRPr="002E4AF8">
        <w:rPr>
          <w:szCs w:val="16"/>
        </w:rPr>
        <w:t>, para. 7.332.</w:t>
      </w:r>
    </w:p>
  </w:footnote>
  <w:footnote w:id="814">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In addition to the above-mentioned errors, the Appellate Body also considered that the first compliance panel had failed to properly analyse whether the existing discrimination is between countries where the same conditions prevail. </w:t>
      </w:r>
      <w:r w:rsidRPr="002E4AF8">
        <w:rPr>
          <w:szCs w:val="16"/>
          <w:lang w:val="es-ES"/>
        </w:rPr>
        <w:t xml:space="preserve">(Appellate Body Report, </w:t>
      </w:r>
      <w:r w:rsidRPr="002E4AF8">
        <w:rPr>
          <w:i/>
          <w:szCs w:val="16"/>
          <w:lang w:val="es-ES"/>
        </w:rPr>
        <w:t>US – Tuna II (Mexico) (Article 21.5 – Mexico)</w:t>
      </w:r>
      <w:r w:rsidRPr="002E4AF8">
        <w:rPr>
          <w:szCs w:val="16"/>
          <w:lang w:val="es-ES"/>
        </w:rPr>
        <w:t>, para. </w:t>
      </w:r>
      <w:r w:rsidRPr="002E4AF8">
        <w:rPr>
          <w:szCs w:val="16"/>
        </w:rPr>
        <w:t xml:space="preserve">7.333) As noted above, this issue is not in dispute in the present proceedings. </w:t>
      </w:r>
      <w:r w:rsidRPr="002E4AF8">
        <w:rPr>
          <w:szCs w:val="16"/>
          <w:lang w:val="es-ES"/>
        </w:rPr>
        <w:t>(See paras. 6.261-6.262 above)</w:t>
      </w:r>
    </w:p>
  </w:footnote>
  <w:footnote w:id="815">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paras. </w:t>
      </w:r>
      <w:r w:rsidRPr="002E4AF8">
        <w:rPr>
          <w:szCs w:val="16"/>
        </w:rPr>
        <w:t>7.333</w:t>
      </w:r>
      <w:r w:rsidRPr="002E4AF8">
        <w:rPr>
          <w:szCs w:val="16"/>
        </w:rPr>
        <w:noBreakHyphen/>
        <w:t xml:space="preserve">7.335. At the same time, the Appellate Body recalled that, in completing the analysis in the context of its findings under Article 2.1 of the TBT Agreement, it had examined other features of the Tuna Measure that were not dependent on the first compliance panel's calibration analysis. In this regard, the Appellate Body agreed with the panel that the determination provisions left a "gap" in that fisheries other than the ETP large purse seine fishery may be treated differently, and less stringently, even where the conditions in that </w:t>
      </w:r>
      <w:r>
        <w:rPr>
          <w:szCs w:val="16"/>
        </w:rPr>
        <w:t>fishery mirror those in the ETP </w:t>
      </w:r>
      <w:r w:rsidRPr="002E4AF8">
        <w:rPr>
          <w:szCs w:val="16"/>
        </w:rPr>
        <w:t xml:space="preserve">large purse seine fishery. </w:t>
      </w:r>
      <w:r w:rsidRPr="002E4AF8">
        <w:rPr>
          <w:szCs w:val="16"/>
          <w:lang w:val="es-ES"/>
        </w:rPr>
        <w:t xml:space="preserve">(Appellate Body Report, </w:t>
      </w:r>
      <w:r w:rsidRPr="002E4AF8">
        <w:rPr>
          <w:i/>
          <w:szCs w:val="16"/>
          <w:lang w:val="es-ES"/>
        </w:rPr>
        <w:t>US – Tuna II (Mexico) (Article 21.5 – Mexico)</w:t>
      </w:r>
      <w:r w:rsidRPr="002E4AF8">
        <w:rPr>
          <w:szCs w:val="16"/>
          <w:lang w:val="es-ES"/>
        </w:rPr>
        <w:t>, paras. </w:t>
      </w:r>
      <w:r w:rsidRPr="002E4AF8">
        <w:rPr>
          <w:szCs w:val="16"/>
        </w:rPr>
        <w:t>7.354</w:t>
      </w:r>
      <w:r w:rsidRPr="002E4AF8">
        <w:rPr>
          <w:szCs w:val="16"/>
        </w:rPr>
        <w:noBreakHyphen/>
        <w:t xml:space="preserve">7.359) Therefore, the Appellate Body found that, with respect to the determination provisions, the United States had not demonstrated that the 2013 Tuna Measure was applied in a manner that did not constitute arbitrary or unjustifiable discrimination. Consequently, the Appellate Body found that the 2013 Tuna Measure was not justified under Article XX of the GATT 1994. </w:t>
      </w:r>
      <w:r w:rsidRPr="002E4AF8">
        <w:rPr>
          <w:szCs w:val="16"/>
          <w:lang w:val="es-ES"/>
        </w:rPr>
        <w:t>(Ibid., para. 7.359)</w:t>
      </w:r>
    </w:p>
  </w:footnote>
  <w:footnote w:id="816">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7.320.</w:t>
      </w:r>
    </w:p>
  </w:footnote>
  <w:footnote w:id="81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paras. 7.320 and 7.347.</w:t>
      </w:r>
    </w:p>
  </w:footnote>
  <w:footnote w:id="81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7.330.</w:t>
      </w:r>
    </w:p>
  </w:footnote>
  <w:footnote w:id="819">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Mexico's appellant's submission, para. 319.</w:t>
      </w:r>
    </w:p>
  </w:footnote>
  <w:footnote w:id="820">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Mexico's appellant's submission, para. 315.</w:t>
      </w:r>
    </w:p>
  </w:footnote>
  <w:footnote w:id="821">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Panel Reports, para. 7.732.</w:t>
      </w:r>
    </w:p>
  </w:footnote>
  <w:footnote w:id="822">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See paras. 6.261-6.262 above.</w:t>
      </w:r>
    </w:p>
  </w:footnote>
  <w:footnote w:id="823">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 xml:space="preserve">7.316 (quoting Appellate Body Reports, </w:t>
      </w:r>
      <w:r w:rsidRPr="002E4AF8">
        <w:rPr>
          <w:i/>
          <w:szCs w:val="16"/>
        </w:rPr>
        <w:t>EC – Seal Products</w:t>
      </w:r>
      <w:r w:rsidRPr="002E4AF8">
        <w:rPr>
          <w:szCs w:val="16"/>
        </w:rPr>
        <w:t xml:space="preserve">, para. 5.306). </w:t>
      </w:r>
    </w:p>
  </w:footnote>
  <w:footnote w:id="82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7.125.</w:t>
      </w:r>
    </w:p>
  </w:footnote>
  <w:footnote w:id="82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paras. 6.256-6.257 above.</w:t>
      </w:r>
    </w:p>
  </w:footnote>
  <w:footnote w:id="82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7.736-7.737.</w:t>
      </w:r>
    </w:p>
  </w:footnote>
  <w:footnote w:id="82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7.739.</w:t>
      </w:r>
    </w:p>
  </w:footnote>
  <w:footnote w:id="82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315.</w:t>
      </w:r>
    </w:p>
  </w:footnote>
  <w:footnote w:id="82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316.</w:t>
      </w:r>
    </w:p>
  </w:footnote>
  <w:footnote w:id="83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316.</w:t>
      </w:r>
    </w:p>
  </w:footnote>
  <w:footnote w:id="83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316.</w:t>
      </w:r>
    </w:p>
  </w:footnote>
  <w:footnote w:id="83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215. (emphasis omitted) We recall that PBR evidence calculates the "maximum possible number of animals … which can be removed from an animal stock without affecting the population or its sustainability". (Panel Reports, para. 7.184) These three fisheries are the Main Hawaii Island Insular Stock Longline fishery, the West North Atlantic Longline fishery, and the Pelagic Hawaii Longline fishery. (Mexico's appellant's submission, para. 215. See also Panel Reports, para. 7.473)</w:t>
      </w:r>
    </w:p>
  </w:footnote>
  <w:footnote w:id="83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responses to questioning during the hearing.</w:t>
      </w:r>
    </w:p>
  </w:footnote>
  <w:footnote w:id="834">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Mexico's appellant's submission, para. 316.</w:t>
      </w:r>
    </w:p>
  </w:footnote>
  <w:footnote w:id="835">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7.318.</w:t>
      </w:r>
    </w:p>
  </w:footnote>
  <w:footnote w:id="836">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7.318.</w:t>
      </w:r>
    </w:p>
  </w:footnote>
  <w:footnote w:id="837">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w:t>
      </w:r>
      <w:r w:rsidRPr="002E4AF8">
        <w:rPr>
          <w:szCs w:val="16"/>
        </w:rPr>
        <w:t>7.318.</w:t>
      </w:r>
    </w:p>
  </w:footnote>
  <w:footnote w:id="83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paras. 6.130-6.131 above.</w:t>
      </w:r>
    </w:p>
  </w:footnote>
  <w:footnote w:id="83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fn 331 to para. 7.187 (referring to Original Panel Report, para. 7.596; quoting First Compliance Panel Report, para. 7.527).</w:t>
      </w:r>
    </w:p>
  </w:footnote>
  <w:footnote w:id="84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7.187 (quoting Original </w:t>
      </w:r>
      <w:r w:rsidRPr="002E4AF8">
        <w:rPr>
          <w:noProof/>
          <w:szCs w:val="16"/>
        </w:rPr>
        <w:t xml:space="preserve">Panel Report, </w:t>
      </w:r>
      <w:r w:rsidRPr="002E4AF8">
        <w:rPr>
          <w:noProof/>
          <w:color w:val="000000"/>
          <w:szCs w:val="16"/>
        </w:rPr>
        <w:t>paras. 7.550 and 7.735).</w:t>
      </w:r>
    </w:p>
  </w:footnote>
  <w:footnote w:id="84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fn 331 to para. 7.187 (referring to Original Panel Report, para. 7.596; First Compliance Panel Report, para. 7.527).</w:t>
      </w:r>
    </w:p>
  </w:footnote>
  <w:footnote w:id="84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7.186.</w:t>
      </w:r>
    </w:p>
  </w:footnote>
  <w:footnote w:id="84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t>
      </w:r>
      <w:bookmarkStart w:id="381" w:name="_Hlk526338740"/>
      <w:r w:rsidRPr="002E4AF8">
        <w:rPr>
          <w:szCs w:val="16"/>
        </w:rPr>
        <w:t>First Compliance Panel Report, para. 7.527. The first compliance panel also indicated that "the fact that the [2013 Tuna Measure] is more concerned with the effects of tuna fishing on the well-being of individual dolphins rather than on the state of a particular dolphin population, considered globally or statistically, does not in itself negate the nexus between the measure and the goal of conserving exhaustible natural resources." (Ibid.) Mexico did not appeal these findings in the first compliance proceedings.</w:t>
      </w:r>
      <w:bookmarkEnd w:id="381"/>
    </w:p>
  </w:footnote>
  <w:footnote w:id="84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316.</w:t>
      </w:r>
    </w:p>
  </w:footnote>
  <w:footnote w:id="84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7.186.</w:t>
      </w:r>
    </w:p>
  </w:footnote>
  <w:footnote w:id="84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 Appellate Body has found that the provisional justification of a measure under one of the exceptions requires, first, that the measure be </w:t>
      </w:r>
      <w:r w:rsidRPr="002E4AF8">
        <w:rPr>
          <w:i/>
          <w:szCs w:val="16"/>
        </w:rPr>
        <w:t>designed</w:t>
      </w:r>
      <w:r w:rsidRPr="002E4AF8">
        <w:rPr>
          <w:szCs w:val="16"/>
        </w:rPr>
        <w:t xml:space="preserve"> to "address the particular interest specified in that paragraph" and, second, that "there be a sufficient nexus between the measure and the interest protected". (Appellate Body Report, </w:t>
      </w:r>
      <w:r w:rsidRPr="002E4AF8">
        <w:rPr>
          <w:i/>
          <w:szCs w:val="16"/>
        </w:rPr>
        <w:t>US – Gambling</w:t>
      </w:r>
      <w:r w:rsidRPr="002E4AF8">
        <w:rPr>
          <w:szCs w:val="16"/>
        </w:rPr>
        <w:t xml:space="preserve">, para. 292. See also Appellate Body Reports, </w:t>
      </w:r>
      <w:r w:rsidRPr="002E4AF8">
        <w:rPr>
          <w:i/>
          <w:szCs w:val="16"/>
        </w:rPr>
        <w:t>EC – Seal Products</w:t>
      </w:r>
      <w:r w:rsidRPr="002E4AF8">
        <w:rPr>
          <w:szCs w:val="16"/>
        </w:rPr>
        <w:t xml:space="preserve">, para. 5.169 and fn 1178 thereto) The required nexus is specified in the language of the paragraphs themselves through the use of terms such as "necessary to", "essential to", or – as in the case of Article XX(g), which is relevant to the present dispute – "relating to". (Appellate Body Report, </w:t>
      </w:r>
      <w:r w:rsidRPr="002E4AF8">
        <w:rPr>
          <w:i/>
          <w:szCs w:val="16"/>
        </w:rPr>
        <w:t>Colombia – Textiles</w:t>
      </w:r>
      <w:r w:rsidRPr="002E4AF8">
        <w:rPr>
          <w:szCs w:val="16"/>
        </w:rPr>
        <w:t xml:space="preserve">, para. 5.67 (referring to Appellate Body Report, </w:t>
      </w:r>
      <w:r w:rsidRPr="002E4AF8">
        <w:rPr>
          <w:i/>
          <w:szCs w:val="16"/>
        </w:rPr>
        <w:t>US – Gambling</w:t>
      </w:r>
      <w:r w:rsidRPr="002E4AF8">
        <w:rPr>
          <w:szCs w:val="16"/>
        </w:rPr>
        <w:t>, para. 292)) We also observe that the United States agree with Mexico that the 2016 Tuna Measure is provisionally justified under Article XX(g). (Panel Reports, para. 7.730) The issue of the provisional justification of the 2016 Tuna Measure is not on appeal before us.</w:t>
      </w:r>
    </w:p>
  </w:footnote>
  <w:footnote w:id="84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xml:space="preserve">, para. 7.316 (quoting Appellate Body Report, </w:t>
      </w:r>
      <w:r w:rsidRPr="002E4AF8">
        <w:rPr>
          <w:i/>
          <w:szCs w:val="16"/>
          <w:lang w:val="es-ES"/>
        </w:rPr>
        <w:t>Brazil – Retreaded Tyres</w:t>
      </w:r>
      <w:r w:rsidRPr="002E4AF8">
        <w:rPr>
          <w:szCs w:val="16"/>
          <w:lang w:val="es-ES"/>
        </w:rPr>
        <w:t>, para. 227).</w:t>
      </w:r>
    </w:p>
  </w:footnote>
  <w:footnote w:id="848">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lang w:val="es-ES"/>
        </w:rPr>
        <w:t xml:space="preserve"> Appellate Body Report, </w:t>
      </w:r>
      <w:r w:rsidRPr="002E4AF8">
        <w:rPr>
          <w:i/>
          <w:szCs w:val="16"/>
          <w:lang w:val="es-ES"/>
        </w:rPr>
        <w:t>US – Tuna II (Mexico) (Article 21.5 – Mexico)</w:t>
      </w:r>
      <w:r w:rsidRPr="002E4AF8">
        <w:rPr>
          <w:szCs w:val="16"/>
          <w:lang w:val="es-ES"/>
        </w:rPr>
        <w:t>, para. 7.318.</w:t>
      </w:r>
    </w:p>
  </w:footnote>
  <w:footnote w:id="849">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Panel Reports, para. </w:t>
      </w:r>
      <w:r w:rsidRPr="002E4AF8">
        <w:rPr>
          <w:szCs w:val="16"/>
        </w:rPr>
        <w:t>7.740.</w:t>
      </w:r>
    </w:p>
  </w:footnote>
  <w:footnote w:id="85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11. See also Mexico's appellant's submission, para. 353(g).</w:t>
      </w:r>
      <w:r w:rsidRPr="002E4AF8">
        <w:rPr>
          <w:rFonts w:cs="Arial"/>
          <w:szCs w:val="16"/>
          <w:lang w:eastAsia="en-US"/>
        </w:rPr>
        <w:t xml:space="preserve"> </w:t>
      </w:r>
      <w:r w:rsidRPr="002E4AF8">
        <w:rPr>
          <w:szCs w:val="16"/>
        </w:rPr>
        <w:t xml:space="preserve">While previous panels and the Appellate Body have held meetings and hearings that were open to public observation, this is the first time that a WTO adjudicator authorized such a meeting without the express consent of both parties to the dispute. (See e.g. Panel Report, </w:t>
      </w:r>
      <w:r w:rsidRPr="002E4AF8">
        <w:rPr>
          <w:i/>
          <w:szCs w:val="16"/>
        </w:rPr>
        <w:t>US – Tax Incentives</w:t>
      </w:r>
      <w:r w:rsidRPr="002E4AF8">
        <w:rPr>
          <w:szCs w:val="16"/>
        </w:rPr>
        <w:t xml:space="preserve">, para. 1.20; Appellate Body Report, </w:t>
      </w:r>
      <w:r w:rsidRPr="002E4AF8">
        <w:rPr>
          <w:i/>
          <w:iCs/>
          <w:szCs w:val="16"/>
        </w:rPr>
        <w:t>EC and certain member States – Large Civil Aircraft (Article 21.5 – US)</w:t>
      </w:r>
      <w:r w:rsidRPr="002E4AF8">
        <w:rPr>
          <w:iCs/>
          <w:szCs w:val="16"/>
        </w:rPr>
        <w:t>, para. 1.30</w:t>
      </w:r>
      <w:r w:rsidRPr="002E4AF8">
        <w:rPr>
          <w:szCs w:val="16"/>
        </w:rPr>
        <w:t>)</w:t>
      </w:r>
    </w:p>
  </w:footnote>
  <w:footnote w:id="85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paras. 381-384.</w:t>
      </w:r>
    </w:p>
  </w:footnote>
  <w:footnote w:id="85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1.14 and 1.16.</w:t>
      </w:r>
    </w:p>
  </w:footnote>
  <w:footnote w:id="85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1.18.</w:t>
      </w:r>
    </w:p>
  </w:footnote>
  <w:footnote w:id="85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 six third parties were Brazil, China, Ecuador, Guatemala, India, and Korea. (Panel Reports, para. 7.14)</w:t>
      </w:r>
    </w:p>
  </w:footnote>
  <w:footnote w:id="85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 three third parties were Australia, Japan, and Norway. (Panel Reports, para. 7.15)</w:t>
      </w:r>
    </w:p>
  </w:footnote>
  <w:footnote w:id="85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1.15.</w:t>
      </w:r>
    </w:p>
  </w:footnote>
  <w:footnote w:id="85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The Panels informed the parties of their decision through a joint communication with the Arbitrator acting under Article 22.6 of the DSU in the same dispute. (Panel Reports, para. 1.17)</w:t>
      </w:r>
    </w:p>
  </w:footnote>
  <w:footnote w:id="85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paras. 1.18</w:t>
      </w:r>
      <w:r w:rsidRPr="002E4AF8">
        <w:rPr>
          <w:szCs w:val="16"/>
        </w:rPr>
        <w:noBreakHyphen/>
        <w:t>1.19. The Panels elaborated on their reasons for adopting these procedures in section 7.7.2 of their Reports.</w:t>
      </w:r>
    </w:p>
  </w:footnote>
  <w:footnote w:id="85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Annex A-4.</w:t>
      </w:r>
    </w:p>
  </w:footnote>
  <w:footnote w:id="86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Seven third parties sought and were given permission to disclose statements of their own positions during the Panels' session with the third parties (Australia, Canada, the European Union, Japan, Korea, New Zealand, and Norway). (Panel Reports, fn 54 to para. 7.34)</w:t>
      </w:r>
    </w:p>
  </w:footnote>
  <w:footnote w:id="86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7.34.</w:t>
      </w:r>
    </w:p>
  </w:footnote>
  <w:footnote w:id="86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7.31.</w:t>
      </w:r>
    </w:p>
  </w:footnote>
  <w:footnote w:id="86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Panel Reports, para. 7.32.</w:t>
      </w:r>
    </w:p>
  </w:footnote>
  <w:footnote w:id="86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11.</w:t>
      </w:r>
    </w:p>
  </w:footnote>
  <w:footnote w:id="86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paras. 381-384.</w:t>
      </w:r>
    </w:p>
  </w:footnote>
  <w:footnote w:id="86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385.</w:t>
      </w:r>
    </w:p>
  </w:footnote>
  <w:footnote w:id="86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387.</w:t>
      </w:r>
    </w:p>
  </w:footnote>
  <w:footnote w:id="86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389.</w:t>
      </w:r>
    </w:p>
  </w:footnote>
  <w:footnote w:id="86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Working Procedures for Appellate Review, WT/AB/WP/6, 16 August 2010 (Working Procedures).</w:t>
      </w:r>
    </w:p>
  </w:footnote>
  <w:footnote w:id="87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Working Procedures for Appellate Review, Communication from the Appellate Body, WT/AB/WP/W/11, 27 July 2010, p. 5.</w:t>
      </w:r>
    </w:p>
  </w:footnote>
  <w:footnote w:id="87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387.</w:t>
      </w:r>
    </w:p>
  </w:footnote>
  <w:footnote w:id="87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Working Procedures for Appellate Review, Communication from the Appellate Body, WT/AB/WP/W/11, 27 July 2010, p. 5.</w:t>
      </w:r>
    </w:p>
  </w:footnote>
  <w:footnote w:id="87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Notice of Appeal, para. 11.</w:t>
      </w:r>
    </w:p>
  </w:footnote>
  <w:footnote w:id="87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Reports, </w:t>
      </w:r>
      <w:r w:rsidRPr="002E4AF8">
        <w:rPr>
          <w:i/>
          <w:szCs w:val="16"/>
        </w:rPr>
        <w:t>US – Shrimp</w:t>
      </w:r>
      <w:r w:rsidRPr="002E4AF8">
        <w:rPr>
          <w:szCs w:val="16"/>
        </w:rPr>
        <w:t xml:space="preserve">, para. 95; </w:t>
      </w:r>
      <w:r w:rsidRPr="002E4AF8">
        <w:rPr>
          <w:i/>
          <w:szCs w:val="16"/>
        </w:rPr>
        <w:t>Indonesia – Iron or Steel Products</w:t>
      </w:r>
      <w:r w:rsidRPr="002E4AF8">
        <w:rPr>
          <w:szCs w:val="16"/>
        </w:rPr>
        <w:t xml:space="preserve">, para. 5.6. It is noted that the statements by the Appellate Body in </w:t>
      </w:r>
      <w:r w:rsidRPr="002E4AF8">
        <w:rPr>
          <w:i/>
          <w:szCs w:val="16"/>
        </w:rPr>
        <w:t>US – Shrimp</w:t>
      </w:r>
      <w:r w:rsidRPr="002E4AF8">
        <w:rPr>
          <w:szCs w:val="16"/>
        </w:rPr>
        <w:t xml:space="preserve"> concern an earlier version of the Working Procedures for Appellate Review. In those Working Procedures, Rule 20(2)(d) provided that a notice of appeal shall include "a brief statement of the nature of the appeal, including the allegations of errors in the issues of law covered in the panel report and legal interpretations developed by the panel". (Appellate Body Report, </w:t>
      </w:r>
      <w:r w:rsidRPr="002E4AF8">
        <w:rPr>
          <w:szCs w:val="16"/>
        </w:rPr>
        <w:br/>
      </w:r>
      <w:r w:rsidRPr="002E4AF8">
        <w:rPr>
          <w:i/>
          <w:szCs w:val="16"/>
        </w:rPr>
        <w:t>US – Shrimp</w:t>
      </w:r>
      <w:r w:rsidRPr="002E4AF8">
        <w:rPr>
          <w:szCs w:val="16"/>
        </w:rPr>
        <w:t>, para. 95 (quoting Working Procedures for Appellate Review, WT/AB/WP/2, 28 February 1997))</w:t>
      </w:r>
    </w:p>
  </w:footnote>
  <w:footnote w:id="87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Shrimp</w:t>
      </w:r>
      <w:r w:rsidRPr="002E4AF8">
        <w:rPr>
          <w:szCs w:val="16"/>
        </w:rPr>
        <w:t xml:space="preserve">, para. 95. See also Appellate Body Report, </w:t>
      </w:r>
      <w:r w:rsidRPr="002E4AF8">
        <w:rPr>
          <w:i/>
          <w:szCs w:val="16"/>
        </w:rPr>
        <w:t>Indonesia – Iron or Steel Products</w:t>
      </w:r>
      <w:r w:rsidRPr="002E4AF8">
        <w:rPr>
          <w:szCs w:val="16"/>
        </w:rPr>
        <w:t>, para. 5.6.</w:t>
      </w:r>
    </w:p>
  </w:footnote>
  <w:footnote w:id="87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This is especially so because Rule 23</w:t>
      </w:r>
      <w:r w:rsidRPr="002E4AF8">
        <w:rPr>
          <w:i/>
          <w:szCs w:val="16"/>
        </w:rPr>
        <w:t>bis</w:t>
      </w:r>
      <w:r w:rsidRPr="002E4AF8">
        <w:rPr>
          <w:szCs w:val="16"/>
        </w:rPr>
        <w:t xml:space="preserve"> of the Working Procedures provides the avenue through which an appellant can amend its notice of appeal. Indeed, the Appellate Body has, in the past, considered certain claims to fall outside the scope of the appeal where the appellant identified the claim of error in the appellant's submission but not in the notice of appeal, as required by Rule 20(2)(d) of the Working Procedures. (See e.g. Appellate Body Reports, </w:t>
      </w:r>
      <w:r w:rsidRPr="002E4AF8">
        <w:rPr>
          <w:i/>
          <w:szCs w:val="16"/>
        </w:rPr>
        <w:t>US – Countervailing Measures on Certain EC Products</w:t>
      </w:r>
      <w:r w:rsidRPr="002E4AF8">
        <w:rPr>
          <w:szCs w:val="16"/>
        </w:rPr>
        <w:t xml:space="preserve">, paras. 72-75; </w:t>
      </w:r>
      <w:r w:rsidRPr="002E4AF8">
        <w:rPr>
          <w:szCs w:val="16"/>
        </w:rPr>
        <w:br/>
      </w:r>
      <w:r w:rsidRPr="002E4AF8">
        <w:rPr>
          <w:i/>
          <w:szCs w:val="16"/>
        </w:rPr>
        <w:t>Japan – Apples</w:t>
      </w:r>
      <w:r w:rsidRPr="002E4AF8">
        <w:rPr>
          <w:szCs w:val="16"/>
        </w:rPr>
        <w:t>, paras. 126</w:t>
      </w:r>
      <w:r w:rsidRPr="002E4AF8">
        <w:rPr>
          <w:szCs w:val="16"/>
        </w:rPr>
        <w:noBreakHyphen/>
        <w:t>128)</w:t>
      </w:r>
    </w:p>
  </w:footnote>
  <w:footnote w:id="87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In this regard, we consider the statements by the Appellate Body regarding the sufficiency of a panel request under Article 6.2 to be relevant, </w:t>
      </w:r>
      <w:r w:rsidRPr="002E4AF8">
        <w:rPr>
          <w:i/>
          <w:szCs w:val="16"/>
        </w:rPr>
        <w:t>mutatis mutandis</w:t>
      </w:r>
      <w:r w:rsidRPr="002E4AF8">
        <w:rPr>
          <w:szCs w:val="16"/>
        </w:rPr>
        <w:t xml:space="preserve">, to the discussion of the sufficiency of a notice of appeal. In </w:t>
      </w:r>
      <w:r w:rsidRPr="002E4AF8">
        <w:rPr>
          <w:i/>
          <w:szCs w:val="16"/>
        </w:rPr>
        <w:t>US – Carbon Steel</w:t>
      </w:r>
      <w:r w:rsidRPr="002E4AF8">
        <w:rPr>
          <w:rFonts w:cs="Arial"/>
          <w:szCs w:val="16"/>
        </w:rPr>
        <w:t>, the Appellate Body found that a defect in the panel request cannot be cured by including a claim in a panel submission. Nevertheless, in considering the sufficiency of a panel request, submissions and statements made during the course of the panel proceedings may be consulted in order to confirm the meaning of the words used in the panel request. (</w:t>
      </w:r>
      <w:r w:rsidRPr="002E4AF8">
        <w:rPr>
          <w:szCs w:val="16"/>
        </w:rPr>
        <w:t xml:space="preserve">Appellate Body Report, </w:t>
      </w:r>
      <w:r w:rsidRPr="002E4AF8">
        <w:rPr>
          <w:i/>
          <w:szCs w:val="16"/>
        </w:rPr>
        <w:t>US – Carbon Steel</w:t>
      </w:r>
      <w:r w:rsidRPr="002E4AF8">
        <w:rPr>
          <w:szCs w:val="16"/>
        </w:rPr>
        <w:t>, para. 127)</w:t>
      </w:r>
    </w:p>
  </w:footnote>
  <w:footnote w:id="87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paras. 341 and 344 (quoting Panel Reports, paras. 7.16 and 7.20).</w:t>
      </w:r>
    </w:p>
  </w:footnote>
  <w:footnote w:id="87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341 (quoting Panel Reports, para. 7.16).</w:t>
      </w:r>
    </w:p>
  </w:footnote>
  <w:footnote w:id="88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342.</w:t>
      </w:r>
    </w:p>
  </w:footnote>
  <w:footnote w:id="88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389.</w:t>
      </w:r>
    </w:p>
  </w:footnote>
  <w:footnote w:id="88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For example, in </w:t>
      </w:r>
      <w:r w:rsidRPr="002E4AF8">
        <w:rPr>
          <w:i/>
          <w:szCs w:val="16"/>
        </w:rPr>
        <w:t>US – Shrimp</w:t>
      </w:r>
      <w:r w:rsidRPr="002E4AF8">
        <w:rPr>
          <w:szCs w:val="16"/>
        </w:rPr>
        <w:t xml:space="preserve">, the Appellate Body considered a challenge of "the [p]anel's procedural finding that [it] lacked discretion to accept materials received from non-governmental sources" to be properly raised in the notice of appeal. (See Appellate Body Report, </w:t>
      </w:r>
      <w:r w:rsidRPr="002E4AF8">
        <w:rPr>
          <w:i/>
          <w:szCs w:val="16"/>
        </w:rPr>
        <w:t>US – Shrimp</w:t>
      </w:r>
      <w:r w:rsidRPr="002E4AF8">
        <w:rPr>
          <w:szCs w:val="16"/>
        </w:rPr>
        <w:t>, paras. 94 and 96)</w:t>
      </w:r>
    </w:p>
  </w:footnote>
  <w:footnote w:id="88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385.</w:t>
      </w:r>
    </w:p>
  </w:footnote>
  <w:footnote w:id="88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Rule 20(2)(d) of the Working Procedures.</w:t>
      </w:r>
    </w:p>
  </w:footnote>
  <w:footnote w:id="885">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Reports, </w:t>
      </w:r>
      <w:r w:rsidRPr="002E4AF8">
        <w:rPr>
          <w:i/>
          <w:szCs w:val="16"/>
          <w:lang w:val="es-ES"/>
        </w:rPr>
        <w:t xml:space="preserve">EC – Bananas III (Article 21.5 – Ecuador II) / EC – Bananas III </w:t>
      </w:r>
      <w:r w:rsidRPr="002E4AF8">
        <w:rPr>
          <w:i/>
          <w:szCs w:val="16"/>
          <w:lang w:val="es-ES"/>
        </w:rPr>
        <w:br/>
        <w:t>(Article 21.5 – US)</w:t>
      </w:r>
      <w:r w:rsidRPr="002E4AF8">
        <w:rPr>
          <w:szCs w:val="16"/>
          <w:lang w:val="es-ES"/>
        </w:rPr>
        <w:t>, para. </w:t>
      </w:r>
      <w:r w:rsidRPr="002E4AF8">
        <w:rPr>
          <w:szCs w:val="16"/>
        </w:rPr>
        <w:t>283. See also ibid., para. 279.</w:t>
      </w:r>
    </w:p>
  </w:footnote>
  <w:footnote w:id="88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Reports, </w:t>
      </w:r>
      <w:r w:rsidRPr="002E4AF8">
        <w:rPr>
          <w:i/>
          <w:szCs w:val="16"/>
        </w:rPr>
        <w:t xml:space="preserve">EC – Bananas III (Article 21.5 – Ecuador II) / EC – Bananas III </w:t>
      </w:r>
      <w:r w:rsidRPr="002E4AF8">
        <w:rPr>
          <w:i/>
          <w:szCs w:val="16"/>
        </w:rPr>
        <w:br/>
        <w:t>(Article 21.5 – US)</w:t>
      </w:r>
      <w:r w:rsidRPr="002E4AF8">
        <w:rPr>
          <w:szCs w:val="16"/>
        </w:rPr>
        <w:t>, para. 280.</w:t>
      </w:r>
    </w:p>
  </w:footnote>
  <w:footnote w:id="887">
    <w:p w:rsidR="00BA4B71" w:rsidRPr="002E4AF8" w:rsidRDefault="00BA4B71" w:rsidP="002E4AF8">
      <w:pPr>
        <w:pStyle w:val="FootnoteText"/>
        <w:keepLines/>
        <w:rPr>
          <w:szCs w:val="16"/>
          <w:lang w:val="es-ES"/>
        </w:rPr>
      </w:pPr>
      <w:r w:rsidRPr="002E4AF8">
        <w:rPr>
          <w:rStyle w:val="FootnoteReference"/>
          <w:szCs w:val="16"/>
        </w:rPr>
        <w:footnoteRef/>
      </w:r>
      <w:r w:rsidRPr="002E4AF8">
        <w:rPr>
          <w:szCs w:val="16"/>
        </w:rPr>
        <w:t xml:space="preserve"> Appellate Body Reports, </w:t>
      </w:r>
      <w:r w:rsidRPr="002E4AF8">
        <w:rPr>
          <w:i/>
          <w:szCs w:val="16"/>
        </w:rPr>
        <w:t>US – Countervailing Measures on Certain EC Products</w:t>
      </w:r>
      <w:r w:rsidRPr="002E4AF8">
        <w:rPr>
          <w:szCs w:val="16"/>
        </w:rPr>
        <w:t xml:space="preserve">, para. 62; </w:t>
      </w:r>
      <w:r w:rsidRPr="002E4AF8">
        <w:rPr>
          <w:i/>
          <w:szCs w:val="16"/>
        </w:rPr>
        <w:t>US – Offset Act (Byrd Amendment)</w:t>
      </w:r>
      <w:r w:rsidRPr="002E4AF8">
        <w:rPr>
          <w:szCs w:val="16"/>
        </w:rPr>
        <w:t xml:space="preserve">, para. 206. In this regard, the Appellate Body has also cautioned Members against drafting their notices of appeal or other appeal at a level of vagueness and imprecision that would make it "considerably difficult for the appellee, the third participants, and the Appellate Body to understand easily the full scope of [an appellant's] claim". Understanding the full scope of an appellant's claim should not require such effort. Drafting the notice of appeal or notice of other appeal with greater precision reduces the risk of procedural objections and possible dismissal of a claim because it does not comply with the requirements of Rule 20 or 23 of the Working Procedures. (Appellate Body Report, </w:t>
      </w:r>
      <w:r w:rsidRPr="002E4AF8">
        <w:rPr>
          <w:i/>
          <w:szCs w:val="16"/>
        </w:rPr>
        <w:t>US – Large Civil Aircraft (2nd complaint)</w:t>
      </w:r>
      <w:r w:rsidRPr="002E4AF8">
        <w:rPr>
          <w:szCs w:val="16"/>
        </w:rPr>
        <w:t>, para. </w:t>
      </w:r>
      <w:r w:rsidRPr="002E4AF8">
        <w:rPr>
          <w:szCs w:val="16"/>
          <w:lang w:val="es-ES"/>
        </w:rPr>
        <w:t>686)</w:t>
      </w:r>
    </w:p>
  </w:footnote>
  <w:footnote w:id="888">
    <w:p w:rsidR="00BA4B71" w:rsidRPr="002E4AF8" w:rsidRDefault="00BA4B71" w:rsidP="002E4AF8">
      <w:pPr>
        <w:pStyle w:val="FootnoteText"/>
        <w:keepLines/>
        <w:rPr>
          <w:szCs w:val="16"/>
        </w:rPr>
      </w:pPr>
      <w:r w:rsidRPr="002E4AF8">
        <w:rPr>
          <w:rStyle w:val="FootnoteReference"/>
          <w:szCs w:val="16"/>
        </w:rPr>
        <w:footnoteRef/>
      </w:r>
      <w:r w:rsidRPr="002E4AF8">
        <w:rPr>
          <w:szCs w:val="16"/>
          <w:lang w:val="es-ES"/>
        </w:rPr>
        <w:t xml:space="preserve"> Appellate Body Reports, </w:t>
      </w:r>
      <w:r w:rsidRPr="002E4AF8">
        <w:rPr>
          <w:i/>
          <w:szCs w:val="16"/>
          <w:lang w:val="es-ES"/>
        </w:rPr>
        <w:t xml:space="preserve">EC – Bananas III (Article 21.5 – Ecuador II) / EC – Bananas III </w:t>
      </w:r>
      <w:r w:rsidRPr="002E4AF8">
        <w:rPr>
          <w:i/>
          <w:szCs w:val="16"/>
          <w:lang w:val="es-ES"/>
        </w:rPr>
        <w:br/>
        <w:t>(Article 21.5 – US)</w:t>
      </w:r>
      <w:r w:rsidRPr="002E4AF8">
        <w:rPr>
          <w:szCs w:val="16"/>
          <w:lang w:val="es-ES"/>
        </w:rPr>
        <w:t>, para. </w:t>
      </w:r>
      <w:r w:rsidRPr="002E4AF8">
        <w:rPr>
          <w:szCs w:val="16"/>
        </w:rPr>
        <w:t>283.</w:t>
      </w:r>
    </w:p>
  </w:footnote>
  <w:footnote w:id="88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appellee's submission, para. 390.</w:t>
      </w:r>
    </w:p>
  </w:footnote>
  <w:footnote w:id="89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6.313 above.</w:t>
      </w:r>
    </w:p>
  </w:footnote>
  <w:footnote w:id="89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Article 17.6 limits an appeal to "issues of law covered in the panel report and legal interpretations developed by the panel".</w:t>
      </w:r>
    </w:p>
  </w:footnote>
  <w:footnote w:id="892">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Upland Cotton</w:t>
      </w:r>
      <w:r w:rsidRPr="002E4AF8">
        <w:rPr>
          <w:szCs w:val="16"/>
        </w:rPr>
        <w:t>, paras. 510-511.</w:t>
      </w:r>
      <w:r w:rsidRPr="002E4AF8">
        <w:rPr>
          <w:szCs w:val="16"/>
          <w:lang w:eastAsia="en-US"/>
        </w:rPr>
        <w:t xml:space="preserve"> O</w:t>
      </w:r>
      <w:r w:rsidRPr="002E4AF8">
        <w:rPr>
          <w:szCs w:val="16"/>
        </w:rPr>
        <w:t xml:space="preserve">n many of the occasions where the Appellate Body found that ruling on an issue would be unnecessary to resolve a dispute, this finding was made after the Appellate Body had already found an error or inconsistency under a related substantive claim. (See e.g. Appellate Body Reports, </w:t>
      </w:r>
      <w:r w:rsidRPr="002E4AF8">
        <w:rPr>
          <w:i/>
          <w:szCs w:val="16"/>
        </w:rPr>
        <w:t>EU – Biodiesel (Argentina)</w:t>
      </w:r>
      <w:r w:rsidRPr="002E4AF8">
        <w:rPr>
          <w:szCs w:val="16"/>
        </w:rPr>
        <w:t xml:space="preserve">, para. 6.89; </w:t>
      </w:r>
      <w:r w:rsidRPr="002E4AF8">
        <w:rPr>
          <w:i/>
          <w:szCs w:val="16"/>
        </w:rPr>
        <w:t>US – Zeroing (Japan)</w:t>
      </w:r>
      <w:r w:rsidRPr="002E4AF8">
        <w:rPr>
          <w:szCs w:val="16"/>
        </w:rPr>
        <w:t xml:space="preserve">, para. 140; </w:t>
      </w:r>
      <w:r w:rsidRPr="002E4AF8">
        <w:rPr>
          <w:szCs w:val="16"/>
        </w:rPr>
        <w:br/>
      </w:r>
      <w:r w:rsidRPr="002E4AF8">
        <w:rPr>
          <w:i/>
          <w:szCs w:val="16"/>
        </w:rPr>
        <w:t>US – Gambling</w:t>
      </w:r>
      <w:r w:rsidRPr="002E4AF8">
        <w:rPr>
          <w:szCs w:val="16"/>
        </w:rPr>
        <w:t xml:space="preserve">, para. 156; </w:t>
      </w:r>
      <w:r w:rsidRPr="002E4AF8">
        <w:rPr>
          <w:i/>
          <w:szCs w:val="16"/>
        </w:rPr>
        <w:t>EC – Selected Customs Matters</w:t>
      </w:r>
      <w:r w:rsidRPr="002E4AF8">
        <w:rPr>
          <w:szCs w:val="16"/>
        </w:rPr>
        <w:t xml:space="preserve">, para. 243) However, these examples are not exhaustive in identifying the circumstances in which it would be appropriate for the Appellate Body to find that ruling on an issue would be unnecessary to resolve a dispute. (See e.g. Appellate Body Reports, </w:t>
      </w:r>
      <w:r w:rsidRPr="002E4AF8">
        <w:rPr>
          <w:i/>
          <w:szCs w:val="16"/>
        </w:rPr>
        <w:t>EU – Fatty Alcohols (Indonesia)</w:t>
      </w:r>
      <w:r w:rsidRPr="002E4AF8">
        <w:rPr>
          <w:szCs w:val="16"/>
        </w:rPr>
        <w:t xml:space="preserve">, para. 5.252; </w:t>
      </w:r>
      <w:r w:rsidRPr="002E4AF8">
        <w:rPr>
          <w:i/>
          <w:szCs w:val="16"/>
        </w:rPr>
        <w:t>US – Upland Cotton</w:t>
      </w:r>
      <w:r w:rsidRPr="002E4AF8">
        <w:rPr>
          <w:szCs w:val="16"/>
        </w:rPr>
        <w:t>, paras. 510-511;</w:t>
      </w:r>
      <w:r w:rsidRPr="002E4AF8">
        <w:rPr>
          <w:rFonts w:eastAsia="Times New Roman"/>
          <w:szCs w:val="16"/>
        </w:rPr>
        <w:t xml:space="preserve"> </w:t>
      </w:r>
      <w:r w:rsidRPr="002E4AF8">
        <w:rPr>
          <w:i/>
          <w:szCs w:val="16"/>
        </w:rPr>
        <w:t>US – Steel Safeguards</w:t>
      </w:r>
      <w:r w:rsidRPr="002E4AF8">
        <w:rPr>
          <w:szCs w:val="16"/>
        </w:rPr>
        <w:t>, paras. 483</w:t>
      </w:r>
      <w:r w:rsidRPr="002E4AF8">
        <w:rPr>
          <w:szCs w:val="16"/>
        </w:rPr>
        <w:noBreakHyphen/>
        <w:t>484)</w:t>
      </w:r>
    </w:p>
  </w:footnote>
  <w:footnote w:id="893">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w:t>
      </w:r>
      <w:r w:rsidRPr="002E4AF8">
        <w:rPr>
          <w:i/>
          <w:color w:val="000000"/>
          <w:szCs w:val="16"/>
        </w:rPr>
        <w:t xml:space="preserve"> China – HP-SSST (EU)</w:t>
      </w:r>
      <w:r w:rsidRPr="002E4AF8">
        <w:rPr>
          <w:szCs w:val="16"/>
        </w:rPr>
        <w:t xml:space="preserve">, paras. 5.310 and 5.317. See also Appellate Body Report, </w:t>
      </w:r>
      <w:r w:rsidRPr="002E4AF8">
        <w:rPr>
          <w:i/>
          <w:szCs w:val="16"/>
        </w:rPr>
        <w:t>US – Upland Cotton</w:t>
      </w:r>
      <w:r w:rsidRPr="002E4AF8">
        <w:rPr>
          <w:szCs w:val="16"/>
        </w:rPr>
        <w:t>, para. 510.</w:t>
      </w:r>
    </w:p>
  </w:footnote>
  <w:footnote w:id="894">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Appellate Body Report, </w:t>
      </w:r>
      <w:r w:rsidRPr="002E4AF8">
        <w:rPr>
          <w:i/>
          <w:szCs w:val="16"/>
        </w:rPr>
        <w:t>US – Wool Shirts and Blouses</w:t>
      </w:r>
      <w:r w:rsidRPr="002E4AF8">
        <w:rPr>
          <w:szCs w:val="16"/>
        </w:rPr>
        <w:t xml:space="preserve">, p. 19, DSR 1997:I, p. 340. See also Appellate Body Reports, </w:t>
      </w:r>
      <w:r w:rsidRPr="002E4AF8">
        <w:rPr>
          <w:i/>
          <w:szCs w:val="16"/>
        </w:rPr>
        <w:t>EU – PET (Pakistan)</w:t>
      </w:r>
      <w:r w:rsidRPr="002E4AF8">
        <w:rPr>
          <w:szCs w:val="16"/>
        </w:rPr>
        <w:t xml:space="preserve">, para. 5.28; </w:t>
      </w:r>
      <w:r w:rsidRPr="002E4AF8">
        <w:rPr>
          <w:i/>
          <w:szCs w:val="16"/>
        </w:rPr>
        <w:t>India – Patents (US)</w:t>
      </w:r>
      <w:r w:rsidRPr="002E4AF8">
        <w:rPr>
          <w:szCs w:val="16"/>
        </w:rPr>
        <w:t xml:space="preserve">, para. 87; </w:t>
      </w:r>
      <w:r w:rsidRPr="002E4AF8">
        <w:rPr>
          <w:i/>
          <w:szCs w:val="16"/>
        </w:rPr>
        <w:t>Brazil – Retreaded Tyres</w:t>
      </w:r>
      <w:r w:rsidRPr="002E4AF8">
        <w:rPr>
          <w:szCs w:val="16"/>
        </w:rPr>
        <w:t xml:space="preserve">, para. 257; </w:t>
      </w:r>
      <w:r w:rsidRPr="002E4AF8">
        <w:rPr>
          <w:i/>
          <w:szCs w:val="16"/>
        </w:rPr>
        <w:t>Canada – Wheat Exports and Grain Imports</w:t>
      </w:r>
      <w:r w:rsidRPr="002E4AF8">
        <w:rPr>
          <w:szCs w:val="16"/>
        </w:rPr>
        <w:t xml:space="preserve">, para. 133; </w:t>
      </w:r>
      <w:r w:rsidRPr="002E4AF8">
        <w:rPr>
          <w:i/>
          <w:szCs w:val="16"/>
        </w:rPr>
        <w:t>US – Lead and Bismuth II</w:t>
      </w:r>
      <w:r w:rsidRPr="002E4AF8">
        <w:rPr>
          <w:szCs w:val="16"/>
        </w:rPr>
        <w:t xml:space="preserve">, paras. 71 and 73; </w:t>
      </w:r>
      <w:r w:rsidRPr="002E4AF8">
        <w:rPr>
          <w:i/>
          <w:szCs w:val="16"/>
        </w:rPr>
        <w:t>Argentina – Footwear (EC)</w:t>
      </w:r>
      <w:r w:rsidRPr="002E4AF8">
        <w:rPr>
          <w:szCs w:val="16"/>
        </w:rPr>
        <w:t xml:space="preserve">, para. 145; </w:t>
      </w:r>
      <w:r w:rsidRPr="002E4AF8">
        <w:rPr>
          <w:i/>
          <w:szCs w:val="16"/>
        </w:rPr>
        <w:t>Australia – Salmon</w:t>
      </w:r>
      <w:r w:rsidRPr="002E4AF8">
        <w:rPr>
          <w:szCs w:val="16"/>
        </w:rPr>
        <w:t xml:space="preserve">, para. 223; </w:t>
      </w:r>
      <w:r w:rsidRPr="002E4AF8">
        <w:rPr>
          <w:i/>
          <w:szCs w:val="16"/>
        </w:rPr>
        <w:t>Japan – Agricultural Products II</w:t>
      </w:r>
      <w:r w:rsidRPr="002E4AF8">
        <w:rPr>
          <w:szCs w:val="16"/>
        </w:rPr>
        <w:t>, para. 111.</w:t>
      </w:r>
    </w:p>
  </w:footnote>
  <w:footnote w:id="895">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United States' panel request; Mexico's panel request.</w:t>
      </w:r>
    </w:p>
  </w:footnote>
  <w:footnote w:id="896">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See para. 6.307 above.</w:t>
      </w:r>
    </w:p>
  </w:footnote>
  <w:footnote w:id="897">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353.</w:t>
      </w:r>
    </w:p>
  </w:footnote>
  <w:footnote w:id="898">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In this regard, we take note of the United States' assertion that "the DSU does not impose any conditions on either opening the hearing or closing the hearing to the public." (United States' appellee's submission, para. 396)</w:t>
      </w:r>
    </w:p>
  </w:footnote>
  <w:footnote w:id="899">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appellant's submission, para. 352. (emphasis added)</w:t>
      </w:r>
    </w:p>
  </w:footnote>
  <w:footnote w:id="900">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Mexico's response to questioning at the hearing.</w:t>
      </w:r>
    </w:p>
  </w:footnote>
  <w:footnote w:id="901">
    <w:p w:rsidR="00BA4B71" w:rsidRPr="002E4AF8" w:rsidRDefault="00BA4B71" w:rsidP="002E4AF8">
      <w:pPr>
        <w:pStyle w:val="FootnoteText"/>
        <w:keepLines/>
        <w:rPr>
          <w:szCs w:val="16"/>
        </w:rPr>
      </w:pPr>
      <w:r w:rsidRPr="002E4AF8">
        <w:rPr>
          <w:rStyle w:val="FootnoteReference"/>
          <w:szCs w:val="16"/>
        </w:rPr>
        <w:footnoteRef/>
      </w:r>
      <w:r w:rsidRPr="002E4AF8">
        <w:rPr>
          <w:szCs w:val="16"/>
        </w:rPr>
        <w:t xml:space="preserve"> Paragraph 2 of Appendix 3 to the DSU states that "[t]he panel shall meet in closed session" and that "[t]he parties to the dispute, and interested parties, shall be present at the meetings only when invited by the panel to appear before it." Article 12.1 of the DSU states that "[p]anels shall follow the Working Procedures in Appendix 3 unless the panel decides otherwise after consulting the parties to the dispute."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1" w:rsidRPr="00B80E6A" w:rsidRDefault="00BA4B71" w:rsidP="00B80E6A">
    <w:pPr>
      <w:pStyle w:val="Header"/>
      <w:pBdr>
        <w:bottom w:val="single" w:sz="4" w:space="1" w:color="auto"/>
      </w:pBdr>
      <w:tabs>
        <w:tab w:val="clear" w:pos="4513"/>
        <w:tab w:val="clear" w:pos="9027"/>
      </w:tabs>
      <w:jc w:val="center"/>
    </w:pPr>
    <w:r w:rsidRPr="00B80E6A">
      <w:t>WT/DS381/AB/RW/USA • WT/DS381/AB/RW2</w:t>
    </w:r>
  </w:p>
  <w:p w:rsidR="00BA4B71" w:rsidRPr="00B80E6A" w:rsidRDefault="00BA4B71" w:rsidP="00B80E6A">
    <w:pPr>
      <w:pStyle w:val="Header"/>
      <w:pBdr>
        <w:bottom w:val="single" w:sz="4" w:space="1" w:color="auto"/>
      </w:pBdr>
      <w:tabs>
        <w:tab w:val="clear" w:pos="4513"/>
        <w:tab w:val="clear" w:pos="9027"/>
      </w:tabs>
      <w:jc w:val="center"/>
    </w:pPr>
  </w:p>
  <w:p w:rsidR="00BA4B71" w:rsidRPr="00B80E6A" w:rsidRDefault="00BA4B71" w:rsidP="00B80E6A">
    <w:pPr>
      <w:pStyle w:val="Header"/>
      <w:pBdr>
        <w:bottom w:val="single" w:sz="4" w:space="1" w:color="auto"/>
      </w:pBdr>
      <w:tabs>
        <w:tab w:val="clear" w:pos="4513"/>
        <w:tab w:val="clear" w:pos="9027"/>
      </w:tabs>
      <w:jc w:val="center"/>
    </w:pPr>
    <w:r w:rsidRPr="00B80E6A">
      <w:t xml:space="preserve">- </w:t>
    </w:r>
    <w:r w:rsidRPr="00B80E6A">
      <w:fldChar w:fldCharType="begin"/>
    </w:r>
    <w:r w:rsidRPr="00B80E6A">
      <w:instrText xml:space="preserve"> PAGE </w:instrText>
    </w:r>
    <w:r w:rsidRPr="00B80E6A">
      <w:fldChar w:fldCharType="separate"/>
    </w:r>
    <w:r w:rsidR="006E1106">
      <w:rPr>
        <w:noProof/>
      </w:rPr>
      <w:t>106</w:t>
    </w:r>
    <w:r w:rsidRPr="00B80E6A">
      <w:fldChar w:fldCharType="end"/>
    </w:r>
    <w:r w:rsidRPr="00B80E6A">
      <w:t xml:space="preserve"> -</w:t>
    </w:r>
  </w:p>
  <w:p w:rsidR="00BA4B71" w:rsidRPr="00B80E6A" w:rsidRDefault="00BA4B71" w:rsidP="00B80E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71" w:rsidRPr="00B80E6A" w:rsidRDefault="00BA4B71" w:rsidP="00B80E6A">
    <w:pPr>
      <w:pStyle w:val="Header"/>
      <w:pBdr>
        <w:bottom w:val="single" w:sz="4" w:space="1" w:color="auto"/>
      </w:pBdr>
      <w:tabs>
        <w:tab w:val="clear" w:pos="4513"/>
        <w:tab w:val="clear" w:pos="9027"/>
      </w:tabs>
      <w:jc w:val="center"/>
    </w:pPr>
    <w:r w:rsidRPr="00B80E6A">
      <w:t>WT/DS381/AB/RW/USA • WT/DS381/AB/RW2</w:t>
    </w:r>
  </w:p>
  <w:p w:rsidR="00BA4B71" w:rsidRPr="00B80E6A" w:rsidRDefault="00BA4B71" w:rsidP="00B80E6A">
    <w:pPr>
      <w:pStyle w:val="Header"/>
      <w:pBdr>
        <w:bottom w:val="single" w:sz="4" w:space="1" w:color="auto"/>
      </w:pBdr>
      <w:tabs>
        <w:tab w:val="clear" w:pos="4513"/>
        <w:tab w:val="clear" w:pos="9027"/>
      </w:tabs>
      <w:jc w:val="center"/>
    </w:pPr>
  </w:p>
  <w:p w:rsidR="00BA4B71" w:rsidRPr="00B80E6A" w:rsidRDefault="00BA4B71" w:rsidP="00B80E6A">
    <w:pPr>
      <w:pStyle w:val="Header"/>
      <w:pBdr>
        <w:bottom w:val="single" w:sz="4" w:space="1" w:color="auto"/>
      </w:pBdr>
      <w:tabs>
        <w:tab w:val="clear" w:pos="4513"/>
        <w:tab w:val="clear" w:pos="9027"/>
      </w:tabs>
      <w:jc w:val="center"/>
    </w:pPr>
    <w:r w:rsidRPr="00B80E6A">
      <w:t xml:space="preserve">- </w:t>
    </w:r>
    <w:r w:rsidRPr="00B80E6A">
      <w:fldChar w:fldCharType="begin"/>
    </w:r>
    <w:r w:rsidRPr="00B80E6A">
      <w:instrText xml:space="preserve"> PAGE </w:instrText>
    </w:r>
    <w:r w:rsidRPr="00B80E6A">
      <w:fldChar w:fldCharType="separate"/>
    </w:r>
    <w:r w:rsidR="006E1106">
      <w:rPr>
        <w:noProof/>
      </w:rPr>
      <w:t>107</w:t>
    </w:r>
    <w:r w:rsidRPr="00B80E6A">
      <w:fldChar w:fldCharType="end"/>
    </w:r>
    <w:r w:rsidRPr="00B80E6A">
      <w:t xml:space="preserve"> -</w:t>
    </w:r>
  </w:p>
  <w:p w:rsidR="00BA4B71" w:rsidRPr="00B80E6A" w:rsidRDefault="00BA4B71" w:rsidP="00B80E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4B71" w:rsidRPr="00EF273A" w:rsidTr="00F9398E">
      <w:trPr>
        <w:trHeight w:val="240"/>
        <w:jc w:val="center"/>
      </w:trPr>
      <w:tc>
        <w:tcPr>
          <w:tcW w:w="3794" w:type="dxa"/>
          <w:shd w:val="clear" w:color="auto" w:fill="FFFFFF"/>
          <w:tcMar>
            <w:left w:w="108" w:type="dxa"/>
            <w:right w:w="108" w:type="dxa"/>
          </w:tcMar>
          <w:vAlign w:val="center"/>
        </w:tcPr>
        <w:p w:rsidR="00BA4B71" w:rsidRPr="00EF273A" w:rsidRDefault="00BA4B71" w:rsidP="006A4CAD">
          <w:pPr>
            <w:rPr>
              <w:noProof/>
              <w:lang w:eastAsia="en-GB"/>
            </w:rPr>
          </w:pPr>
        </w:p>
      </w:tc>
      <w:tc>
        <w:tcPr>
          <w:tcW w:w="5448" w:type="dxa"/>
          <w:gridSpan w:val="2"/>
          <w:shd w:val="clear" w:color="auto" w:fill="FFFFFF"/>
          <w:tcMar>
            <w:left w:w="108" w:type="dxa"/>
            <w:right w:w="108" w:type="dxa"/>
          </w:tcMar>
          <w:vAlign w:val="center"/>
        </w:tcPr>
        <w:p w:rsidR="00BA4B71" w:rsidRPr="00EF273A" w:rsidRDefault="00BA4B71" w:rsidP="006A4CAD">
          <w:pPr>
            <w:jc w:val="right"/>
            <w:rPr>
              <w:b/>
              <w:color w:val="FF0000"/>
              <w:szCs w:val="16"/>
            </w:rPr>
          </w:pPr>
        </w:p>
      </w:tc>
    </w:tr>
    <w:tr w:rsidR="00BA4B71" w:rsidRPr="00EF273A" w:rsidTr="00F9398E">
      <w:trPr>
        <w:trHeight w:val="213"/>
        <w:jc w:val="center"/>
      </w:trPr>
      <w:tc>
        <w:tcPr>
          <w:tcW w:w="3794" w:type="dxa"/>
          <w:vMerge w:val="restart"/>
          <w:shd w:val="clear" w:color="auto" w:fill="FFFFFF"/>
          <w:tcMar>
            <w:left w:w="0" w:type="dxa"/>
            <w:right w:w="0" w:type="dxa"/>
          </w:tcMar>
        </w:tcPr>
        <w:p w:rsidR="00BA4B71" w:rsidRPr="00EF273A" w:rsidRDefault="00BA4B71" w:rsidP="006A4CAD">
          <w:pPr>
            <w:jc w:val="left"/>
          </w:pPr>
          <w:r w:rsidRPr="00AE7277">
            <w:rPr>
              <w:noProof/>
              <w:lang w:eastAsia="en-GB"/>
            </w:rPr>
            <w:drawing>
              <wp:inline distT="0" distB="0" distL="0" distR="0" wp14:anchorId="280948DE" wp14:editId="073D3E8D">
                <wp:extent cx="2412365" cy="70993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365" cy="70993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A4B71" w:rsidRPr="00EF273A" w:rsidRDefault="00BA4B71" w:rsidP="006A4CAD">
          <w:pPr>
            <w:jc w:val="right"/>
            <w:rPr>
              <w:b/>
              <w:szCs w:val="16"/>
            </w:rPr>
          </w:pPr>
        </w:p>
      </w:tc>
    </w:tr>
    <w:tr w:rsidR="00BA4B71" w:rsidRPr="00EF273A" w:rsidTr="00F9398E">
      <w:trPr>
        <w:trHeight w:val="868"/>
        <w:jc w:val="center"/>
      </w:trPr>
      <w:tc>
        <w:tcPr>
          <w:tcW w:w="3794" w:type="dxa"/>
          <w:vMerge/>
          <w:shd w:val="clear" w:color="auto" w:fill="FFFFFF"/>
          <w:tcMar>
            <w:left w:w="108" w:type="dxa"/>
            <w:right w:w="108" w:type="dxa"/>
          </w:tcMar>
        </w:tcPr>
        <w:p w:rsidR="00BA4B71" w:rsidRPr="00EF273A" w:rsidRDefault="00BA4B71" w:rsidP="006A4CAD">
          <w:pPr>
            <w:jc w:val="left"/>
            <w:rPr>
              <w:noProof/>
              <w:lang w:eastAsia="en-GB"/>
            </w:rPr>
          </w:pPr>
        </w:p>
      </w:tc>
      <w:tc>
        <w:tcPr>
          <w:tcW w:w="5448" w:type="dxa"/>
          <w:gridSpan w:val="2"/>
          <w:shd w:val="clear" w:color="auto" w:fill="FFFFFF"/>
          <w:tcMar>
            <w:left w:w="108" w:type="dxa"/>
            <w:right w:w="108" w:type="dxa"/>
          </w:tcMar>
        </w:tcPr>
        <w:p w:rsidR="00BA4B71" w:rsidRDefault="00BA4B71" w:rsidP="006A4CAD">
          <w:pPr>
            <w:jc w:val="right"/>
            <w:rPr>
              <w:b/>
              <w:szCs w:val="16"/>
            </w:rPr>
          </w:pPr>
          <w:r w:rsidRPr="00780D2B">
            <w:rPr>
              <w:b/>
              <w:szCs w:val="16"/>
            </w:rPr>
            <w:t>WT/DS381/AB/RW/USA</w:t>
          </w:r>
        </w:p>
        <w:p w:rsidR="00BA4B71" w:rsidRDefault="00BA4B71" w:rsidP="006A4CAD">
          <w:pPr>
            <w:jc w:val="right"/>
            <w:rPr>
              <w:b/>
              <w:szCs w:val="16"/>
            </w:rPr>
          </w:pPr>
          <w:r w:rsidRPr="00780D2B">
            <w:rPr>
              <w:b/>
              <w:szCs w:val="16"/>
            </w:rPr>
            <w:t>WT/DS381/AB/RW2</w:t>
          </w:r>
        </w:p>
        <w:p w:rsidR="00BA4B71" w:rsidRPr="00EF273A" w:rsidRDefault="00BA4B71" w:rsidP="006A4CAD">
          <w:pPr>
            <w:jc w:val="right"/>
            <w:rPr>
              <w:b/>
              <w:szCs w:val="16"/>
            </w:rPr>
          </w:pPr>
        </w:p>
      </w:tc>
    </w:tr>
    <w:tr w:rsidR="00BA4B71" w:rsidRPr="00EF273A" w:rsidTr="00F9398E">
      <w:trPr>
        <w:trHeight w:val="240"/>
        <w:jc w:val="center"/>
      </w:trPr>
      <w:tc>
        <w:tcPr>
          <w:tcW w:w="3794" w:type="dxa"/>
          <w:vMerge/>
          <w:shd w:val="clear" w:color="auto" w:fill="FFFFFF"/>
          <w:tcMar>
            <w:left w:w="108" w:type="dxa"/>
            <w:right w:w="108" w:type="dxa"/>
          </w:tcMar>
          <w:vAlign w:val="center"/>
        </w:tcPr>
        <w:p w:rsidR="00BA4B71" w:rsidRPr="00EF273A" w:rsidRDefault="00BA4B71" w:rsidP="006A4CAD"/>
      </w:tc>
      <w:tc>
        <w:tcPr>
          <w:tcW w:w="5448" w:type="dxa"/>
          <w:gridSpan w:val="2"/>
          <w:shd w:val="clear" w:color="auto" w:fill="FFFFFF"/>
          <w:tcMar>
            <w:left w:w="108" w:type="dxa"/>
            <w:right w:w="108" w:type="dxa"/>
          </w:tcMar>
          <w:vAlign w:val="center"/>
        </w:tcPr>
        <w:p w:rsidR="00BA4B71" w:rsidRPr="00EF273A" w:rsidRDefault="00BA4B71" w:rsidP="006A4CAD">
          <w:pPr>
            <w:jc w:val="right"/>
            <w:rPr>
              <w:szCs w:val="16"/>
            </w:rPr>
          </w:pPr>
          <w:r>
            <w:rPr>
              <w:szCs w:val="16"/>
            </w:rPr>
            <w:t>14 December 2018</w:t>
          </w:r>
        </w:p>
      </w:tc>
    </w:tr>
    <w:tr w:rsidR="00BA4B71" w:rsidRPr="00EF273A" w:rsidTr="00F9398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A4B71" w:rsidRPr="00EF273A" w:rsidRDefault="00BA4B71" w:rsidP="006A4CAD">
          <w:pPr>
            <w:jc w:val="left"/>
            <w:rPr>
              <w:b/>
            </w:rPr>
          </w:pPr>
          <w:r>
            <w:rPr>
              <w:color w:val="FF0000"/>
              <w:szCs w:val="16"/>
            </w:rPr>
            <w:t>(18-7872</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BA4B71" w:rsidRPr="00EF273A" w:rsidRDefault="00BA4B71" w:rsidP="006A4CAD">
          <w:pPr>
            <w:jc w:val="right"/>
            <w:rPr>
              <w:szCs w:val="16"/>
            </w:rPr>
          </w:pPr>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sidR="006E1106">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sidR="006E1106">
            <w:rPr>
              <w:bCs/>
              <w:noProof/>
              <w:szCs w:val="16"/>
            </w:rPr>
            <w:t>111</w:t>
          </w:r>
          <w:r w:rsidRPr="00EF273A">
            <w:rPr>
              <w:bCs/>
              <w:szCs w:val="16"/>
            </w:rPr>
            <w:fldChar w:fldCharType="end"/>
          </w:r>
        </w:p>
      </w:tc>
    </w:tr>
    <w:tr w:rsidR="00BA4B71" w:rsidRPr="00EF273A" w:rsidTr="00F9398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A4B71" w:rsidRPr="00EF273A" w:rsidRDefault="00BA4B71" w:rsidP="006A4CAD">
          <w:pPr>
            <w:jc w:val="left"/>
            <w:rPr>
              <w:sz w:val="14"/>
              <w:szCs w:val="16"/>
            </w:rPr>
          </w:pPr>
          <w:r w:rsidRPr="00EF273A">
            <w:rPr>
              <w:b/>
            </w:rPr>
            <w:t xml:space="preserve"> </w:t>
          </w:r>
        </w:p>
      </w:tc>
      <w:tc>
        <w:tcPr>
          <w:tcW w:w="3325" w:type="dxa"/>
          <w:tcBorders>
            <w:top w:val="single" w:sz="4" w:space="0" w:color="auto"/>
          </w:tcBorders>
          <w:tcMar>
            <w:top w:w="113" w:type="dxa"/>
            <w:left w:w="108" w:type="dxa"/>
            <w:bottom w:w="57" w:type="dxa"/>
            <w:right w:w="108" w:type="dxa"/>
          </w:tcMar>
          <w:vAlign w:val="center"/>
        </w:tcPr>
        <w:p w:rsidR="00BA4B71" w:rsidRPr="00EF273A" w:rsidRDefault="00BA4B71" w:rsidP="006A4CAD">
          <w:pPr>
            <w:jc w:val="right"/>
            <w:rPr>
              <w:bCs/>
              <w:szCs w:val="18"/>
            </w:rPr>
          </w:pPr>
          <w:r>
            <w:rPr>
              <w:szCs w:val="18"/>
            </w:rPr>
            <w:t>Original: English</w:t>
          </w:r>
        </w:p>
      </w:tc>
    </w:tr>
  </w:tbl>
  <w:p w:rsidR="00BA4B71" w:rsidRDefault="00BA4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6" w15:restartNumberingAfterBreak="0">
    <w:nsid w:val="57454AB1"/>
    <w:multiLevelType w:val="multilevel"/>
    <w:tmpl w:val="9100200C"/>
    <w:lvl w:ilvl="0">
      <w:start w:val="1"/>
      <w:numFmt w:val="decimal"/>
      <w:lvlRestart w:val="0"/>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7"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5"/>
  </w:num>
  <w:num w:numId="3">
    <w:abstractNumId w:val="8"/>
  </w:num>
  <w:num w:numId="4">
    <w:abstractNumId w:val="4"/>
  </w:num>
  <w:num w:numId="5">
    <w:abstractNumId w:val="3"/>
  </w:num>
  <w:num w:numId="6">
    <w:abstractNumId w:val="2"/>
  </w:num>
  <w:num w:numId="7">
    <w:abstractNumId w:val="1"/>
  </w:num>
  <w:num w:numId="8">
    <w:abstractNumId w:val="0"/>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6A"/>
    <w:rsid w:val="00000642"/>
    <w:rsid w:val="0000093C"/>
    <w:rsid w:val="00001E3E"/>
    <w:rsid w:val="0000234F"/>
    <w:rsid w:val="00004041"/>
    <w:rsid w:val="000041B5"/>
    <w:rsid w:val="00005282"/>
    <w:rsid w:val="0001381F"/>
    <w:rsid w:val="000142B3"/>
    <w:rsid w:val="00016009"/>
    <w:rsid w:val="00016410"/>
    <w:rsid w:val="0001791D"/>
    <w:rsid w:val="00022826"/>
    <w:rsid w:val="00024415"/>
    <w:rsid w:val="00024DDC"/>
    <w:rsid w:val="00025CB6"/>
    <w:rsid w:val="000272F6"/>
    <w:rsid w:val="00030EB0"/>
    <w:rsid w:val="000326AC"/>
    <w:rsid w:val="00033652"/>
    <w:rsid w:val="000342C8"/>
    <w:rsid w:val="00034C56"/>
    <w:rsid w:val="00034E55"/>
    <w:rsid w:val="000359A6"/>
    <w:rsid w:val="00037AC4"/>
    <w:rsid w:val="0004230A"/>
    <w:rsid w:val="00043638"/>
    <w:rsid w:val="00044E0F"/>
    <w:rsid w:val="00046623"/>
    <w:rsid w:val="00046CFE"/>
    <w:rsid w:val="000472AA"/>
    <w:rsid w:val="000472F0"/>
    <w:rsid w:val="0005220A"/>
    <w:rsid w:val="00053091"/>
    <w:rsid w:val="00054C67"/>
    <w:rsid w:val="00055B5B"/>
    <w:rsid w:val="0006042C"/>
    <w:rsid w:val="00060932"/>
    <w:rsid w:val="00060A90"/>
    <w:rsid w:val="0006189D"/>
    <w:rsid w:val="00066E61"/>
    <w:rsid w:val="000726FF"/>
    <w:rsid w:val="00072B3A"/>
    <w:rsid w:val="0007665D"/>
    <w:rsid w:val="000813DE"/>
    <w:rsid w:val="00081E8B"/>
    <w:rsid w:val="00082AAC"/>
    <w:rsid w:val="00083DFC"/>
    <w:rsid w:val="000844CC"/>
    <w:rsid w:val="00084D2B"/>
    <w:rsid w:val="00090FCB"/>
    <w:rsid w:val="00091588"/>
    <w:rsid w:val="000919E4"/>
    <w:rsid w:val="000945D9"/>
    <w:rsid w:val="00096263"/>
    <w:rsid w:val="00096D00"/>
    <w:rsid w:val="00096EDB"/>
    <w:rsid w:val="000A30BD"/>
    <w:rsid w:val="000A3972"/>
    <w:rsid w:val="000A4945"/>
    <w:rsid w:val="000A5931"/>
    <w:rsid w:val="000A5E09"/>
    <w:rsid w:val="000A791C"/>
    <w:rsid w:val="000B145E"/>
    <w:rsid w:val="000B31E1"/>
    <w:rsid w:val="000B3A38"/>
    <w:rsid w:val="000B62E4"/>
    <w:rsid w:val="000B6D5B"/>
    <w:rsid w:val="000B7B5A"/>
    <w:rsid w:val="000C0AEB"/>
    <w:rsid w:val="000C37D8"/>
    <w:rsid w:val="000C446F"/>
    <w:rsid w:val="000C4BEF"/>
    <w:rsid w:val="000C73C1"/>
    <w:rsid w:val="000E0CC2"/>
    <w:rsid w:val="000E14CB"/>
    <w:rsid w:val="000E3914"/>
    <w:rsid w:val="000E492D"/>
    <w:rsid w:val="000E6847"/>
    <w:rsid w:val="000F09C6"/>
    <w:rsid w:val="000F192E"/>
    <w:rsid w:val="000F51EE"/>
    <w:rsid w:val="000F54E8"/>
    <w:rsid w:val="001008BC"/>
    <w:rsid w:val="001017BA"/>
    <w:rsid w:val="00105496"/>
    <w:rsid w:val="0010653E"/>
    <w:rsid w:val="00107307"/>
    <w:rsid w:val="001074DF"/>
    <w:rsid w:val="001124A0"/>
    <w:rsid w:val="00112B51"/>
    <w:rsid w:val="0011356B"/>
    <w:rsid w:val="001137D3"/>
    <w:rsid w:val="00120FAF"/>
    <w:rsid w:val="00124085"/>
    <w:rsid w:val="00126661"/>
    <w:rsid w:val="0012728D"/>
    <w:rsid w:val="00130DD5"/>
    <w:rsid w:val="001318E7"/>
    <w:rsid w:val="00132BF1"/>
    <w:rsid w:val="0013337F"/>
    <w:rsid w:val="00134A82"/>
    <w:rsid w:val="00136812"/>
    <w:rsid w:val="00141010"/>
    <w:rsid w:val="001437DD"/>
    <w:rsid w:val="001453BA"/>
    <w:rsid w:val="00145AA8"/>
    <w:rsid w:val="00145C22"/>
    <w:rsid w:val="00146784"/>
    <w:rsid w:val="00151545"/>
    <w:rsid w:val="001524DA"/>
    <w:rsid w:val="0015487C"/>
    <w:rsid w:val="00161499"/>
    <w:rsid w:val="00161F9D"/>
    <w:rsid w:val="00162E6F"/>
    <w:rsid w:val="00163859"/>
    <w:rsid w:val="001646CE"/>
    <w:rsid w:val="0016512E"/>
    <w:rsid w:val="00171F9A"/>
    <w:rsid w:val="001722EB"/>
    <w:rsid w:val="00173322"/>
    <w:rsid w:val="0017610B"/>
    <w:rsid w:val="001771DC"/>
    <w:rsid w:val="00181F42"/>
    <w:rsid w:val="00182B84"/>
    <w:rsid w:val="00183AC6"/>
    <w:rsid w:val="001854D7"/>
    <w:rsid w:val="001867A6"/>
    <w:rsid w:val="001903EB"/>
    <w:rsid w:val="001915D2"/>
    <w:rsid w:val="00194684"/>
    <w:rsid w:val="00194A69"/>
    <w:rsid w:val="001973D0"/>
    <w:rsid w:val="001A0755"/>
    <w:rsid w:val="001A2469"/>
    <w:rsid w:val="001A6212"/>
    <w:rsid w:val="001B13FE"/>
    <w:rsid w:val="001B4DCA"/>
    <w:rsid w:val="001B6C19"/>
    <w:rsid w:val="001B7BE7"/>
    <w:rsid w:val="001B7C09"/>
    <w:rsid w:val="001C019B"/>
    <w:rsid w:val="001C0F6E"/>
    <w:rsid w:val="001C1D3C"/>
    <w:rsid w:val="001C5672"/>
    <w:rsid w:val="001C637A"/>
    <w:rsid w:val="001D22FB"/>
    <w:rsid w:val="001D2891"/>
    <w:rsid w:val="001D41BE"/>
    <w:rsid w:val="001D4B63"/>
    <w:rsid w:val="001D5338"/>
    <w:rsid w:val="001D594F"/>
    <w:rsid w:val="001E22AC"/>
    <w:rsid w:val="001E291F"/>
    <w:rsid w:val="001E3946"/>
    <w:rsid w:val="001E3B10"/>
    <w:rsid w:val="001E6990"/>
    <w:rsid w:val="001F1525"/>
    <w:rsid w:val="001F1E23"/>
    <w:rsid w:val="001F3761"/>
    <w:rsid w:val="002006E7"/>
    <w:rsid w:val="00205FCC"/>
    <w:rsid w:val="00206B7C"/>
    <w:rsid w:val="002108BA"/>
    <w:rsid w:val="002114E9"/>
    <w:rsid w:val="00211CAB"/>
    <w:rsid w:val="0021457A"/>
    <w:rsid w:val="00215CE4"/>
    <w:rsid w:val="00226CAE"/>
    <w:rsid w:val="00230919"/>
    <w:rsid w:val="00232106"/>
    <w:rsid w:val="00233408"/>
    <w:rsid w:val="002338DE"/>
    <w:rsid w:val="00233CB9"/>
    <w:rsid w:val="002375CD"/>
    <w:rsid w:val="0024059B"/>
    <w:rsid w:val="002425C1"/>
    <w:rsid w:val="00244DE6"/>
    <w:rsid w:val="002458F1"/>
    <w:rsid w:val="00245933"/>
    <w:rsid w:val="00245A75"/>
    <w:rsid w:val="00251EAF"/>
    <w:rsid w:val="00253931"/>
    <w:rsid w:val="00254270"/>
    <w:rsid w:val="0025754C"/>
    <w:rsid w:val="00260F2C"/>
    <w:rsid w:val="00261D30"/>
    <w:rsid w:val="00264932"/>
    <w:rsid w:val="00264F03"/>
    <w:rsid w:val="00265504"/>
    <w:rsid w:val="002662CE"/>
    <w:rsid w:val="00267A39"/>
    <w:rsid w:val="0027067B"/>
    <w:rsid w:val="00270BAD"/>
    <w:rsid w:val="00272144"/>
    <w:rsid w:val="002725E3"/>
    <w:rsid w:val="002739A2"/>
    <w:rsid w:val="00273B80"/>
    <w:rsid w:val="002740AA"/>
    <w:rsid w:val="00274774"/>
    <w:rsid w:val="00274875"/>
    <w:rsid w:val="00274D38"/>
    <w:rsid w:val="002758B9"/>
    <w:rsid w:val="00276132"/>
    <w:rsid w:val="002766CF"/>
    <w:rsid w:val="00276A7C"/>
    <w:rsid w:val="002776E0"/>
    <w:rsid w:val="002777D4"/>
    <w:rsid w:val="002834A1"/>
    <w:rsid w:val="00284D51"/>
    <w:rsid w:val="00285890"/>
    <w:rsid w:val="00285916"/>
    <w:rsid w:val="002871D5"/>
    <w:rsid w:val="00292A86"/>
    <w:rsid w:val="00293100"/>
    <w:rsid w:val="00293120"/>
    <w:rsid w:val="002936AE"/>
    <w:rsid w:val="002948E2"/>
    <w:rsid w:val="00294A7C"/>
    <w:rsid w:val="00294E2D"/>
    <w:rsid w:val="00295995"/>
    <w:rsid w:val="00295B48"/>
    <w:rsid w:val="002961BF"/>
    <w:rsid w:val="00297B14"/>
    <w:rsid w:val="00297EEF"/>
    <w:rsid w:val="002A11CA"/>
    <w:rsid w:val="002A2BC3"/>
    <w:rsid w:val="002A3514"/>
    <w:rsid w:val="002A5102"/>
    <w:rsid w:val="002A7008"/>
    <w:rsid w:val="002B097B"/>
    <w:rsid w:val="002B183B"/>
    <w:rsid w:val="002B5735"/>
    <w:rsid w:val="002B5971"/>
    <w:rsid w:val="002B66BE"/>
    <w:rsid w:val="002B6BB9"/>
    <w:rsid w:val="002B76BA"/>
    <w:rsid w:val="002B78E7"/>
    <w:rsid w:val="002C0438"/>
    <w:rsid w:val="002C0B78"/>
    <w:rsid w:val="002C16C9"/>
    <w:rsid w:val="002C3A02"/>
    <w:rsid w:val="002C56EE"/>
    <w:rsid w:val="002C58C5"/>
    <w:rsid w:val="002C5E0F"/>
    <w:rsid w:val="002C62D7"/>
    <w:rsid w:val="002C7DA0"/>
    <w:rsid w:val="002D1680"/>
    <w:rsid w:val="002D39A9"/>
    <w:rsid w:val="002D5D4F"/>
    <w:rsid w:val="002D7646"/>
    <w:rsid w:val="002E01A0"/>
    <w:rsid w:val="002E0D72"/>
    <w:rsid w:val="002E1194"/>
    <w:rsid w:val="002E39BA"/>
    <w:rsid w:val="002E4AF8"/>
    <w:rsid w:val="002E59D6"/>
    <w:rsid w:val="002E631C"/>
    <w:rsid w:val="002E7E74"/>
    <w:rsid w:val="002F248B"/>
    <w:rsid w:val="00302093"/>
    <w:rsid w:val="003064D8"/>
    <w:rsid w:val="00306652"/>
    <w:rsid w:val="003105F8"/>
    <w:rsid w:val="00310828"/>
    <w:rsid w:val="00311A0C"/>
    <w:rsid w:val="003132D2"/>
    <w:rsid w:val="0031512E"/>
    <w:rsid w:val="00315765"/>
    <w:rsid w:val="003166AD"/>
    <w:rsid w:val="00323500"/>
    <w:rsid w:val="00324418"/>
    <w:rsid w:val="00326D27"/>
    <w:rsid w:val="00327238"/>
    <w:rsid w:val="0033166C"/>
    <w:rsid w:val="0033188F"/>
    <w:rsid w:val="00331D9A"/>
    <w:rsid w:val="00332194"/>
    <w:rsid w:val="003323C6"/>
    <w:rsid w:val="00333264"/>
    <w:rsid w:val="00333C6F"/>
    <w:rsid w:val="00335767"/>
    <w:rsid w:val="00340CE8"/>
    <w:rsid w:val="00344745"/>
    <w:rsid w:val="0034577D"/>
    <w:rsid w:val="00345F78"/>
    <w:rsid w:val="00346D6F"/>
    <w:rsid w:val="00352CA4"/>
    <w:rsid w:val="0035549E"/>
    <w:rsid w:val="003561EF"/>
    <w:rsid w:val="00357218"/>
    <w:rsid w:val="003572B4"/>
    <w:rsid w:val="00361570"/>
    <w:rsid w:val="00363041"/>
    <w:rsid w:val="00363DBF"/>
    <w:rsid w:val="00366E19"/>
    <w:rsid w:val="003715F8"/>
    <w:rsid w:val="00371673"/>
    <w:rsid w:val="0037632A"/>
    <w:rsid w:val="00377754"/>
    <w:rsid w:val="00377EC8"/>
    <w:rsid w:val="00377F77"/>
    <w:rsid w:val="003807C7"/>
    <w:rsid w:val="00381CC9"/>
    <w:rsid w:val="00384BDA"/>
    <w:rsid w:val="0039205B"/>
    <w:rsid w:val="0039272A"/>
    <w:rsid w:val="003932FC"/>
    <w:rsid w:val="0039433C"/>
    <w:rsid w:val="003962BF"/>
    <w:rsid w:val="003A0D1A"/>
    <w:rsid w:val="003A0F9C"/>
    <w:rsid w:val="003A28D5"/>
    <w:rsid w:val="003A4124"/>
    <w:rsid w:val="003A54D6"/>
    <w:rsid w:val="003B05B9"/>
    <w:rsid w:val="003B1889"/>
    <w:rsid w:val="003B3D93"/>
    <w:rsid w:val="003B5B01"/>
    <w:rsid w:val="003B5ED1"/>
    <w:rsid w:val="003B7A2F"/>
    <w:rsid w:val="003B7AD6"/>
    <w:rsid w:val="003C359E"/>
    <w:rsid w:val="003C5B4B"/>
    <w:rsid w:val="003C7D44"/>
    <w:rsid w:val="003D0393"/>
    <w:rsid w:val="003D14A6"/>
    <w:rsid w:val="003D21CD"/>
    <w:rsid w:val="003D23F3"/>
    <w:rsid w:val="003D386A"/>
    <w:rsid w:val="003D3FC5"/>
    <w:rsid w:val="003D674E"/>
    <w:rsid w:val="003D6F26"/>
    <w:rsid w:val="003E155E"/>
    <w:rsid w:val="003E34B4"/>
    <w:rsid w:val="003E3C32"/>
    <w:rsid w:val="003F0371"/>
    <w:rsid w:val="003F0DC5"/>
    <w:rsid w:val="003F0F04"/>
    <w:rsid w:val="003F21CF"/>
    <w:rsid w:val="003F2402"/>
    <w:rsid w:val="003F2DA2"/>
    <w:rsid w:val="003F72E6"/>
    <w:rsid w:val="003F7A2D"/>
    <w:rsid w:val="00401EAE"/>
    <w:rsid w:val="00406203"/>
    <w:rsid w:val="00406867"/>
    <w:rsid w:val="0041021D"/>
    <w:rsid w:val="004115B8"/>
    <w:rsid w:val="00417B79"/>
    <w:rsid w:val="00420D38"/>
    <w:rsid w:val="00423E07"/>
    <w:rsid w:val="004244CA"/>
    <w:rsid w:val="00424FD4"/>
    <w:rsid w:val="0042537B"/>
    <w:rsid w:val="00426611"/>
    <w:rsid w:val="004266A7"/>
    <w:rsid w:val="004275BD"/>
    <w:rsid w:val="00431128"/>
    <w:rsid w:val="00432CD2"/>
    <w:rsid w:val="00432E5C"/>
    <w:rsid w:val="00433184"/>
    <w:rsid w:val="00435927"/>
    <w:rsid w:val="00440602"/>
    <w:rsid w:val="0044060D"/>
    <w:rsid w:val="004410D1"/>
    <w:rsid w:val="00441113"/>
    <w:rsid w:val="00441272"/>
    <w:rsid w:val="00444581"/>
    <w:rsid w:val="00444C8B"/>
    <w:rsid w:val="004460CC"/>
    <w:rsid w:val="00446B15"/>
    <w:rsid w:val="00447002"/>
    <w:rsid w:val="004504CC"/>
    <w:rsid w:val="00451FDF"/>
    <w:rsid w:val="00455BFD"/>
    <w:rsid w:val="004575B7"/>
    <w:rsid w:val="00457AF0"/>
    <w:rsid w:val="00461904"/>
    <w:rsid w:val="00461A00"/>
    <w:rsid w:val="0046200C"/>
    <w:rsid w:val="004669BD"/>
    <w:rsid w:val="00467032"/>
    <w:rsid w:val="0046754A"/>
    <w:rsid w:val="0047152C"/>
    <w:rsid w:val="0047278E"/>
    <w:rsid w:val="00472DD6"/>
    <w:rsid w:val="00472F24"/>
    <w:rsid w:val="004737DD"/>
    <w:rsid w:val="0047389A"/>
    <w:rsid w:val="00473C4F"/>
    <w:rsid w:val="004756A6"/>
    <w:rsid w:val="00480746"/>
    <w:rsid w:val="00481818"/>
    <w:rsid w:val="00482A29"/>
    <w:rsid w:val="0048341A"/>
    <w:rsid w:val="00483873"/>
    <w:rsid w:val="00483FAD"/>
    <w:rsid w:val="0048494D"/>
    <w:rsid w:val="00490065"/>
    <w:rsid w:val="00491957"/>
    <w:rsid w:val="00494540"/>
    <w:rsid w:val="0049607B"/>
    <w:rsid w:val="00496950"/>
    <w:rsid w:val="00497473"/>
    <w:rsid w:val="00497710"/>
    <w:rsid w:val="00497C63"/>
    <w:rsid w:val="004A2254"/>
    <w:rsid w:val="004A5649"/>
    <w:rsid w:val="004A5D15"/>
    <w:rsid w:val="004A6722"/>
    <w:rsid w:val="004A703C"/>
    <w:rsid w:val="004B059E"/>
    <w:rsid w:val="004B44AA"/>
    <w:rsid w:val="004B51A7"/>
    <w:rsid w:val="004B5575"/>
    <w:rsid w:val="004B6ACF"/>
    <w:rsid w:val="004B724C"/>
    <w:rsid w:val="004B72D9"/>
    <w:rsid w:val="004B7C7B"/>
    <w:rsid w:val="004C09C6"/>
    <w:rsid w:val="004C2136"/>
    <w:rsid w:val="004D020F"/>
    <w:rsid w:val="004D2212"/>
    <w:rsid w:val="004D2943"/>
    <w:rsid w:val="004D4AA8"/>
    <w:rsid w:val="004D4FD1"/>
    <w:rsid w:val="004D5D5C"/>
    <w:rsid w:val="004D6A0F"/>
    <w:rsid w:val="004D6E56"/>
    <w:rsid w:val="004E4444"/>
    <w:rsid w:val="004E4C6E"/>
    <w:rsid w:val="004E727F"/>
    <w:rsid w:val="004E7281"/>
    <w:rsid w:val="004F203A"/>
    <w:rsid w:val="004F45E9"/>
    <w:rsid w:val="004F4A03"/>
    <w:rsid w:val="004F4BEE"/>
    <w:rsid w:val="004F5320"/>
    <w:rsid w:val="004F55C9"/>
    <w:rsid w:val="004F7B02"/>
    <w:rsid w:val="0050563D"/>
    <w:rsid w:val="00505D9B"/>
    <w:rsid w:val="00511268"/>
    <w:rsid w:val="005116C0"/>
    <w:rsid w:val="005130B8"/>
    <w:rsid w:val="00513E20"/>
    <w:rsid w:val="0051415E"/>
    <w:rsid w:val="00514E20"/>
    <w:rsid w:val="00516BF3"/>
    <w:rsid w:val="005173C0"/>
    <w:rsid w:val="00521BBF"/>
    <w:rsid w:val="00521D9C"/>
    <w:rsid w:val="00521F55"/>
    <w:rsid w:val="005257AB"/>
    <w:rsid w:val="00530EB8"/>
    <w:rsid w:val="00531AD6"/>
    <w:rsid w:val="005336B8"/>
    <w:rsid w:val="00543871"/>
    <w:rsid w:val="00545232"/>
    <w:rsid w:val="00547F19"/>
    <w:rsid w:val="005520F8"/>
    <w:rsid w:val="005537D2"/>
    <w:rsid w:val="0055419B"/>
    <w:rsid w:val="005546EA"/>
    <w:rsid w:val="00560D0B"/>
    <w:rsid w:val="00560E08"/>
    <w:rsid w:val="005623B3"/>
    <w:rsid w:val="0056346F"/>
    <w:rsid w:val="00564DB3"/>
    <w:rsid w:val="00573281"/>
    <w:rsid w:val="00573752"/>
    <w:rsid w:val="005761BE"/>
    <w:rsid w:val="00576DC3"/>
    <w:rsid w:val="00577B99"/>
    <w:rsid w:val="00580D72"/>
    <w:rsid w:val="005847A4"/>
    <w:rsid w:val="00590D3F"/>
    <w:rsid w:val="00593954"/>
    <w:rsid w:val="00593EA0"/>
    <w:rsid w:val="0059434A"/>
    <w:rsid w:val="005A6650"/>
    <w:rsid w:val="005A6FF3"/>
    <w:rsid w:val="005B04B9"/>
    <w:rsid w:val="005B111B"/>
    <w:rsid w:val="005B1CE4"/>
    <w:rsid w:val="005B3542"/>
    <w:rsid w:val="005B479A"/>
    <w:rsid w:val="005B68C7"/>
    <w:rsid w:val="005B7461"/>
    <w:rsid w:val="005C5ED4"/>
    <w:rsid w:val="005C6E5F"/>
    <w:rsid w:val="005C7196"/>
    <w:rsid w:val="005D06F7"/>
    <w:rsid w:val="005D4AC9"/>
    <w:rsid w:val="005D5599"/>
    <w:rsid w:val="005D5981"/>
    <w:rsid w:val="005D5EA0"/>
    <w:rsid w:val="005D7161"/>
    <w:rsid w:val="005D75E5"/>
    <w:rsid w:val="005D7C21"/>
    <w:rsid w:val="005D7FF0"/>
    <w:rsid w:val="005E125C"/>
    <w:rsid w:val="005E28BF"/>
    <w:rsid w:val="005E3477"/>
    <w:rsid w:val="005E6650"/>
    <w:rsid w:val="005E7D6E"/>
    <w:rsid w:val="005F0189"/>
    <w:rsid w:val="005F0C22"/>
    <w:rsid w:val="005F16F7"/>
    <w:rsid w:val="005F22BD"/>
    <w:rsid w:val="005F27DE"/>
    <w:rsid w:val="005F30CB"/>
    <w:rsid w:val="005F5276"/>
    <w:rsid w:val="005F56C8"/>
    <w:rsid w:val="005F6D5E"/>
    <w:rsid w:val="0060024D"/>
    <w:rsid w:val="0060533C"/>
    <w:rsid w:val="00606E68"/>
    <w:rsid w:val="006160D3"/>
    <w:rsid w:val="00617C7C"/>
    <w:rsid w:val="00617D19"/>
    <w:rsid w:val="00622BA2"/>
    <w:rsid w:val="00632E0E"/>
    <w:rsid w:val="00634B64"/>
    <w:rsid w:val="006366D0"/>
    <w:rsid w:val="00640812"/>
    <w:rsid w:val="00640EC4"/>
    <w:rsid w:val="00641EA6"/>
    <w:rsid w:val="006520A5"/>
    <w:rsid w:val="006526B6"/>
    <w:rsid w:val="006537C9"/>
    <w:rsid w:val="00656374"/>
    <w:rsid w:val="006570EB"/>
    <w:rsid w:val="006631EE"/>
    <w:rsid w:val="00665596"/>
    <w:rsid w:val="00665859"/>
    <w:rsid w:val="00667D42"/>
    <w:rsid w:val="0067446F"/>
    <w:rsid w:val="00674CCD"/>
    <w:rsid w:val="00676FD8"/>
    <w:rsid w:val="00677AB1"/>
    <w:rsid w:val="00682075"/>
    <w:rsid w:val="006851D1"/>
    <w:rsid w:val="00685601"/>
    <w:rsid w:val="00686443"/>
    <w:rsid w:val="006864C0"/>
    <w:rsid w:val="00687B23"/>
    <w:rsid w:val="00694E44"/>
    <w:rsid w:val="0069567D"/>
    <w:rsid w:val="006A01E8"/>
    <w:rsid w:val="006A1AD6"/>
    <w:rsid w:val="006A426D"/>
    <w:rsid w:val="006A4CAD"/>
    <w:rsid w:val="006A51F7"/>
    <w:rsid w:val="006A64FE"/>
    <w:rsid w:val="006A77AC"/>
    <w:rsid w:val="006B3226"/>
    <w:rsid w:val="006B3669"/>
    <w:rsid w:val="006B79C4"/>
    <w:rsid w:val="006C05C2"/>
    <w:rsid w:val="006C2C90"/>
    <w:rsid w:val="006C3241"/>
    <w:rsid w:val="006C5A52"/>
    <w:rsid w:val="006C5D49"/>
    <w:rsid w:val="006C6CB3"/>
    <w:rsid w:val="006D0AD4"/>
    <w:rsid w:val="006D4F40"/>
    <w:rsid w:val="006D5E70"/>
    <w:rsid w:val="006E10DA"/>
    <w:rsid w:val="006E1106"/>
    <w:rsid w:val="006E1BA3"/>
    <w:rsid w:val="006E33A6"/>
    <w:rsid w:val="006E4789"/>
    <w:rsid w:val="006E7AC8"/>
    <w:rsid w:val="006E7E5A"/>
    <w:rsid w:val="006F38CF"/>
    <w:rsid w:val="006F3B86"/>
    <w:rsid w:val="006F4574"/>
    <w:rsid w:val="006F4631"/>
    <w:rsid w:val="006F4B04"/>
    <w:rsid w:val="006F4B7D"/>
    <w:rsid w:val="006F57D7"/>
    <w:rsid w:val="006F5826"/>
    <w:rsid w:val="006F7087"/>
    <w:rsid w:val="00700181"/>
    <w:rsid w:val="007007D3"/>
    <w:rsid w:val="007010A8"/>
    <w:rsid w:val="007020DE"/>
    <w:rsid w:val="007048F9"/>
    <w:rsid w:val="00710E2F"/>
    <w:rsid w:val="0071233B"/>
    <w:rsid w:val="00712D60"/>
    <w:rsid w:val="007141CF"/>
    <w:rsid w:val="00714944"/>
    <w:rsid w:val="00715507"/>
    <w:rsid w:val="00715E99"/>
    <w:rsid w:val="0071622B"/>
    <w:rsid w:val="00716F63"/>
    <w:rsid w:val="007202A9"/>
    <w:rsid w:val="007206B1"/>
    <w:rsid w:val="00720FB2"/>
    <w:rsid w:val="0072351B"/>
    <w:rsid w:val="00730066"/>
    <w:rsid w:val="0073277C"/>
    <w:rsid w:val="00733C98"/>
    <w:rsid w:val="00733E5E"/>
    <w:rsid w:val="00735FC6"/>
    <w:rsid w:val="007403A4"/>
    <w:rsid w:val="00741836"/>
    <w:rsid w:val="0074765B"/>
    <w:rsid w:val="00755284"/>
    <w:rsid w:val="007577E3"/>
    <w:rsid w:val="00760C81"/>
    <w:rsid w:val="00760DB3"/>
    <w:rsid w:val="0076195A"/>
    <w:rsid w:val="00762962"/>
    <w:rsid w:val="00763DD3"/>
    <w:rsid w:val="00763EDC"/>
    <w:rsid w:val="007676C3"/>
    <w:rsid w:val="00767AC9"/>
    <w:rsid w:val="00767D2B"/>
    <w:rsid w:val="00770E91"/>
    <w:rsid w:val="00771595"/>
    <w:rsid w:val="007744D5"/>
    <w:rsid w:val="00775C71"/>
    <w:rsid w:val="00776A89"/>
    <w:rsid w:val="00777B39"/>
    <w:rsid w:val="007828FE"/>
    <w:rsid w:val="0078299F"/>
    <w:rsid w:val="007837E8"/>
    <w:rsid w:val="0078381B"/>
    <w:rsid w:val="00785942"/>
    <w:rsid w:val="00785EE5"/>
    <w:rsid w:val="00791445"/>
    <w:rsid w:val="0079182A"/>
    <w:rsid w:val="0079433A"/>
    <w:rsid w:val="00794967"/>
    <w:rsid w:val="007964F0"/>
    <w:rsid w:val="007A512C"/>
    <w:rsid w:val="007A68DF"/>
    <w:rsid w:val="007A6EA6"/>
    <w:rsid w:val="007B36E5"/>
    <w:rsid w:val="007B4BE0"/>
    <w:rsid w:val="007B5117"/>
    <w:rsid w:val="007B5E99"/>
    <w:rsid w:val="007C1365"/>
    <w:rsid w:val="007C4F3E"/>
    <w:rsid w:val="007C6482"/>
    <w:rsid w:val="007C78C7"/>
    <w:rsid w:val="007C7B0D"/>
    <w:rsid w:val="007C7C10"/>
    <w:rsid w:val="007D2C84"/>
    <w:rsid w:val="007D3D42"/>
    <w:rsid w:val="007D534B"/>
    <w:rsid w:val="007D5E73"/>
    <w:rsid w:val="007D646F"/>
    <w:rsid w:val="007E1110"/>
    <w:rsid w:val="007E2084"/>
    <w:rsid w:val="007E2FCE"/>
    <w:rsid w:val="007E3AB6"/>
    <w:rsid w:val="007E4186"/>
    <w:rsid w:val="007E5726"/>
    <w:rsid w:val="007E6507"/>
    <w:rsid w:val="007E66F5"/>
    <w:rsid w:val="007E7ED2"/>
    <w:rsid w:val="007F0105"/>
    <w:rsid w:val="007F146A"/>
    <w:rsid w:val="007F2B8E"/>
    <w:rsid w:val="007F2BAB"/>
    <w:rsid w:val="007F4CD0"/>
    <w:rsid w:val="007F57EA"/>
    <w:rsid w:val="0080058C"/>
    <w:rsid w:val="008011B0"/>
    <w:rsid w:val="0080253F"/>
    <w:rsid w:val="00805D29"/>
    <w:rsid w:val="00807247"/>
    <w:rsid w:val="00810ACB"/>
    <w:rsid w:val="0081211F"/>
    <w:rsid w:val="008124F9"/>
    <w:rsid w:val="00814174"/>
    <w:rsid w:val="00815268"/>
    <w:rsid w:val="00820319"/>
    <w:rsid w:val="00820726"/>
    <w:rsid w:val="00820C02"/>
    <w:rsid w:val="00822ED6"/>
    <w:rsid w:val="00823C56"/>
    <w:rsid w:val="00823F4B"/>
    <w:rsid w:val="00830984"/>
    <w:rsid w:val="00832345"/>
    <w:rsid w:val="00832630"/>
    <w:rsid w:val="008409C8"/>
    <w:rsid w:val="00840C2B"/>
    <w:rsid w:val="0084106E"/>
    <w:rsid w:val="00841226"/>
    <w:rsid w:val="00846476"/>
    <w:rsid w:val="00846AB4"/>
    <w:rsid w:val="00850114"/>
    <w:rsid w:val="008515B3"/>
    <w:rsid w:val="008527FB"/>
    <w:rsid w:val="008546F3"/>
    <w:rsid w:val="00861141"/>
    <w:rsid w:val="00865703"/>
    <w:rsid w:val="00867535"/>
    <w:rsid w:val="008739FD"/>
    <w:rsid w:val="00876263"/>
    <w:rsid w:val="00876440"/>
    <w:rsid w:val="00877026"/>
    <w:rsid w:val="00877949"/>
    <w:rsid w:val="00880CC8"/>
    <w:rsid w:val="00882C03"/>
    <w:rsid w:val="008903A4"/>
    <w:rsid w:val="00890EE3"/>
    <w:rsid w:val="00892C9A"/>
    <w:rsid w:val="00894AEF"/>
    <w:rsid w:val="008951B3"/>
    <w:rsid w:val="0089587C"/>
    <w:rsid w:val="00895E4D"/>
    <w:rsid w:val="00895F54"/>
    <w:rsid w:val="00896E5E"/>
    <w:rsid w:val="008A0F2E"/>
    <w:rsid w:val="008A0FB8"/>
    <w:rsid w:val="008A4673"/>
    <w:rsid w:val="008A71F4"/>
    <w:rsid w:val="008A7BE6"/>
    <w:rsid w:val="008B0B7D"/>
    <w:rsid w:val="008B2B60"/>
    <w:rsid w:val="008B2EF1"/>
    <w:rsid w:val="008B35FB"/>
    <w:rsid w:val="008C1379"/>
    <w:rsid w:val="008C23A2"/>
    <w:rsid w:val="008C30A1"/>
    <w:rsid w:val="008C3D3D"/>
    <w:rsid w:val="008C426A"/>
    <w:rsid w:val="008D1AFA"/>
    <w:rsid w:val="008D49FB"/>
    <w:rsid w:val="008D4CC0"/>
    <w:rsid w:val="008E372C"/>
    <w:rsid w:val="008E3BEF"/>
    <w:rsid w:val="008E5175"/>
    <w:rsid w:val="008E7A68"/>
    <w:rsid w:val="008F320D"/>
    <w:rsid w:val="008F3863"/>
    <w:rsid w:val="008F3F7F"/>
    <w:rsid w:val="008F415A"/>
    <w:rsid w:val="008F542D"/>
    <w:rsid w:val="008F5A85"/>
    <w:rsid w:val="008F7524"/>
    <w:rsid w:val="008F774D"/>
    <w:rsid w:val="008F7926"/>
    <w:rsid w:val="00901398"/>
    <w:rsid w:val="00901EF2"/>
    <w:rsid w:val="00902C7E"/>
    <w:rsid w:val="009035AE"/>
    <w:rsid w:val="00905990"/>
    <w:rsid w:val="0090653D"/>
    <w:rsid w:val="009067B4"/>
    <w:rsid w:val="009118A4"/>
    <w:rsid w:val="009126E4"/>
    <w:rsid w:val="00913A2E"/>
    <w:rsid w:val="00914876"/>
    <w:rsid w:val="00914FD8"/>
    <w:rsid w:val="0092045A"/>
    <w:rsid w:val="009206E4"/>
    <w:rsid w:val="00925B11"/>
    <w:rsid w:val="00927DAE"/>
    <w:rsid w:val="00934D0E"/>
    <w:rsid w:val="00935140"/>
    <w:rsid w:val="00940CBB"/>
    <w:rsid w:val="00942AAE"/>
    <w:rsid w:val="00943BD6"/>
    <w:rsid w:val="00944E60"/>
    <w:rsid w:val="009458E7"/>
    <w:rsid w:val="009463FC"/>
    <w:rsid w:val="00950664"/>
    <w:rsid w:val="00951DA3"/>
    <w:rsid w:val="00953021"/>
    <w:rsid w:val="009535C7"/>
    <w:rsid w:val="00954430"/>
    <w:rsid w:val="00955D9E"/>
    <w:rsid w:val="0095764E"/>
    <w:rsid w:val="00960D77"/>
    <w:rsid w:val="009629D6"/>
    <w:rsid w:val="00962F01"/>
    <w:rsid w:val="009670B7"/>
    <w:rsid w:val="00967A66"/>
    <w:rsid w:val="00967C56"/>
    <w:rsid w:val="009721B3"/>
    <w:rsid w:val="00972A51"/>
    <w:rsid w:val="00972E23"/>
    <w:rsid w:val="00980082"/>
    <w:rsid w:val="00985BA2"/>
    <w:rsid w:val="00993270"/>
    <w:rsid w:val="00993365"/>
    <w:rsid w:val="009937A7"/>
    <w:rsid w:val="00993C64"/>
    <w:rsid w:val="00993D91"/>
    <w:rsid w:val="00995560"/>
    <w:rsid w:val="0099613F"/>
    <w:rsid w:val="00996536"/>
    <w:rsid w:val="00997343"/>
    <w:rsid w:val="009A0681"/>
    <w:rsid w:val="009A536D"/>
    <w:rsid w:val="009A6943"/>
    <w:rsid w:val="009A6996"/>
    <w:rsid w:val="009A6F54"/>
    <w:rsid w:val="009B1607"/>
    <w:rsid w:val="009B335C"/>
    <w:rsid w:val="009B3623"/>
    <w:rsid w:val="009B6174"/>
    <w:rsid w:val="009C0297"/>
    <w:rsid w:val="009C39E8"/>
    <w:rsid w:val="009C3B56"/>
    <w:rsid w:val="009C43DD"/>
    <w:rsid w:val="009D1998"/>
    <w:rsid w:val="009D34F0"/>
    <w:rsid w:val="009D3582"/>
    <w:rsid w:val="009D3BE8"/>
    <w:rsid w:val="009D482B"/>
    <w:rsid w:val="009D48E4"/>
    <w:rsid w:val="009D4934"/>
    <w:rsid w:val="009D4E80"/>
    <w:rsid w:val="009D6723"/>
    <w:rsid w:val="009D6DF0"/>
    <w:rsid w:val="009D7D8A"/>
    <w:rsid w:val="009E078F"/>
    <w:rsid w:val="009E1687"/>
    <w:rsid w:val="009E2440"/>
    <w:rsid w:val="009E45E4"/>
    <w:rsid w:val="009E4856"/>
    <w:rsid w:val="009E4F61"/>
    <w:rsid w:val="009E5666"/>
    <w:rsid w:val="009E782D"/>
    <w:rsid w:val="009F3F1D"/>
    <w:rsid w:val="009F57DE"/>
    <w:rsid w:val="009F5B37"/>
    <w:rsid w:val="009F7711"/>
    <w:rsid w:val="00A07155"/>
    <w:rsid w:val="00A10307"/>
    <w:rsid w:val="00A10853"/>
    <w:rsid w:val="00A1588F"/>
    <w:rsid w:val="00A1748D"/>
    <w:rsid w:val="00A17678"/>
    <w:rsid w:val="00A24B96"/>
    <w:rsid w:val="00A269F5"/>
    <w:rsid w:val="00A27021"/>
    <w:rsid w:val="00A32B91"/>
    <w:rsid w:val="00A330F5"/>
    <w:rsid w:val="00A359DE"/>
    <w:rsid w:val="00A35FA3"/>
    <w:rsid w:val="00A3788F"/>
    <w:rsid w:val="00A415FF"/>
    <w:rsid w:val="00A422E7"/>
    <w:rsid w:val="00A42E84"/>
    <w:rsid w:val="00A44E12"/>
    <w:rsid w:val="00A46487"/>
    <w:rsid w:val="00A519A1"/>
    <w:rsid w:val="00A5373F"/>
    <w:rsid w:val="00A53A52"/>
    <w:rsid w:val="00A54665"/>
    <w:rsid w:val="00A560B0"/>
    <w:rsid w:val="00A572EA"/>
    <w:rsid w:val="00A6057A"/>
    <w:rsid w:val="00A616F3"/>
    <w:rsid w:val="00A62761"/>
    <w:rsid w:val="00A63273"/>
    <w:rsid w:val="00A634F6"/>
    <w:rsid w:val="00A65282"/>
    <w:rsid w:val="00A705D6"/>
    <w:rsid w:val="00A71717"/>
    <w:rsid w:val="00A74017"/>
    <w:rsid w:val="00A749D6"/>
    <w:rsid w:val="00A75CC5"/>
    <w:rsid w:val="00A8009D"/>
    <w:rsid w:val="00A8106F"/>
    <w:rsid w:val="00A8658A"/>
    <w:rsid w:val="00A86789"/>
    <w:rsid w:val="00A91164"/>
    <w:rsid w:val="00A935D3"/>
    <w:rsid w:val="00A93707"/>
    <w:rsid w:val="00A94CE5"/>
    <w:rsid w:val="00A969AA"/>
    <w:rsid w:val="00A97A78"/>
    <w:rsid w:val="00AA13B4"/>
    <w:rsid w:val="00AA22DA"/>
    <w:rsid w:val="00AA332C"/>
    <w:rsid w:val="00AA4C92"/>
    <w:rsid w:val="00AA4DBE"/>
    <w:rsid w:val="00AB17EB"/>
    <w:rsid w:val="00AB3C5F"/>
    <w:rsid w:val="00AB468C"/>
    <w:rsid w:val="00AB52B2"/>
    <w:rsid w:val="00AC27F8"/>
    <w:rsid w:val="00AC4B41"/>
    <w:rsid w:val="00AD43BD"/>
    <w:rsid w:val="00AD46DC"/>
    <w:rsid w:val="00AD4C72"/>
    <w:rsid w:val="00AD73C5"/>
    <w:rsid w:val="00AD7CF6"/>
    <w:rsid w:val="00AE1A8C"/>
    <w:rsid w:val="00AE1EDF"/>
    <w:rsid w:val="00AE2AEE"/>
    <w:rsid w:val="00AE454C"/>
    <w:rsid w:val="00AE4601"/>
    <w:rsid w:val="00AE4A84"/>
    <w:rsid w:val="00AE7900"/>
    <w:rsid w:val="00AF19B2"/>
    <w:rsid w:val="00AF348E"/>
    <w:rsid w:val="00AF3906"/>
    <w:rsid w:val="00AF6540"/>
    <w:rsid w:val="00AF65B2"/>
    <w:rsid w:val="00AF6B35"/>
    <w:rsid w:val="00AF7BB7"/>
    <w:rsid w:val="00AF7E8C"/>
    <w:rsid w:val="00B0231B"/>
    <w:rsid w:val="00B0320C"/>
    <w:rsid w:val="00B0421A"/>
    <w:rsid w:val="00B04F17"/>
    <w:rsid w:val="00B0601F"/>
    <w:rsid w:val="00B06230"/>
    <w:rsid w:val="00B07A35"/>
    <w:rsid w:val="00B133EC"/>
    <w:rsid w:val="00B14092"/>
    <w:rsid w:val="00B147D0"/>
    <w:rsid w:val="00B1682F"/>
    <w:rsid w:val="00B16B56"/>
    <w:rsid w:val="00B17317"/>
    <w:rsid w:val="00B230EC"/>
    <w:rsid w:val="00B23AD2"/>
    <w:rsid w:val="00B24D87"/>
    <w:rsid w:val="00B25703"/>
    <w:rsid w:val="00B26D61"/>
    <w:rsid w:val="00B27160"/>
    <w:rsid w:val="00B30368"/>
    <w:rsid w:val="00B31446"/>
    <w:rsid w:val="00B325C3"/>
    <w:rsid w:val="00B32FC9"/>
    <w:rsid w:val="00B344DA"/>
    <w:rsid w:val="00B34E2C"/>
    <w:rsid w:val="00B35B43"/>
    <w:rsid w:val="00B40469"/>
    <w:rsid w:val="00B41DD8"/>
    <w:rsid w:val="00B41F45"/>
    <w:rsid w:val="00B421CE"/>
    <w:rsid w:val="00B446A4"/>
    <w:rsid w:val="00B45645"/>
    <w:rsid w:val="00B51AC5"/>
    <w:rsid w:val="00B521A9"/>
    <w:rsid w:val="00B53115"/>
    <w:rsid w:val="00B54727"/>
    <w:rsid w:val="00B55277"/>
    <w:rsid w:val="00B6045F"/>
    <w:rsid w:val="00B62A50"/>
    <w:rsid w:val="00B63350"/>
    <w:rsid w:val="00B656E4"/>
    <w:rsid w:val="00B66209"/>
    <w:rsid w:val="00B66FEE"/>
    <w:rsid w:val="00B70078"/>
    <w:rsid w:val="00B704A0"/>
    <w:rsid w:val="00B72927"/>
    <w:rsid w:val="00B738DF"/>
    <w:rsid w:val="00B73EE5"/>
    <w:rsid w:val="00B7639F"/>
    <w:rsid w:val="00B773BF"/>
    <w:rsid w:val="00B80E6A"/>
    <w:rsid w:val="00B82260"/>
    <w:rsid w:val="00B83A30"/>
    <w:rsid w:val="00B83C99"/>
    <w:rsid w:val="00B849DD"/>
    <w:rsid w:val="00B84E56"/>
    <w:rsid w:val="00B85CF5"/>
    <w:rsid w:val="00B85FE8"/>
    <w:rsid w:val="00B8647C"/>
    <w:rsid w:val="00B879D1"/>
    <w:rsid w:val="00B90A3A"/>
    <w:rsid w:val="00B9194D"/>
    <w:rsid w:val="00B92B1D"/>
    <w:rsid w:val="00B93235"/>
    <w:rsid w:val="00B93F98"/>
    <w:rsid w:val="00BA2113"/>
    <w:rsid w:val="00BA4B71"/>
    <w:rsid w:val="00BB17E5"/>
    <w:rsid w:val="00BB1F84"/>
    <w:rsid w:val="00BB25E7"/>
    <w:rsid w:val="00BB3358"/>
    <w:rsid w:val="00BB343B"/>
    <w:rsid w:val="00BB7DD3"/>
    <w:rsid w:val="00BC101F"/>
    <w:rsid w:val="00BC18EE"/>
    <w:rsid w:val="00BC1919"/>
    <w:rsid w:val="00BC48A8"/>
    <w:rsid w:val="00BC4DE9"/>
    <w:rsid w:val="00BD20F5"/>
    <w:rsid w:val="00BD2C33"/>
    <w:rsid w:val="00BD35EE"/>
    <w:rsid w:val="00BD494C"/>
    <w:rsid w:val="00BE528C"/>
    <w:rsid w:val="00BE5468"/>
    <w:rsid w:val="00BE61E0"/>
    <w:rsid w:val="00BE6C79"/>
    <w:rsid w:val="00BE7B03"/>
    <w:rsid w:val="00BF148B"/>
    <w:rsid w:val="00BF6F69"/>
    <w:rsid w:val="00C02166"/>
    <w:rsid w:val="00C045BF"/>
    <w:rsid w:val="00C0669C"/>
    <w:rsid w:val="00C0678F"/>
    <w:rsid w:val="00C072BC"/>
    <w:rsid w:val="00C11CF2"/>
    <w:rsid w:val="00C11EAC"/>
    <w:rsid w:val="00C136C6"/>
    <w:rsid w:val="00C16D95"/>
    <w:rsid w:val="00C17CFA"/>
    <w:rsid w:val="00C2019E"/>
    <w:rsid w:val="00C221D1"/>
    <w:rsid w:val="00C2294B"/>
    <w:rsid w:val="00C25536"/>
    <w:rsid w:val="00C25AAC"/>
    <w:rsid w:val="00C262D1"/>
    <w:rsid w:val="00C26D39"/>
    <w:rsid w:val="00C30685"/>
    <w:rsid w:val="00C30DE2"/>
    <w:rsid w:val="00C30F2A"/>
    <w:rsid w:val="00C327AF"/>
    <w:rsid w:val="00C34300"/>
    <w:rsid w:val="00C346BF"/>
    <w:rsid w:val="00C35D88"/>
    <w:rsid w:val="00C37C42"/>
    <w:rsid w:val="00C40146"/>
    <w:rsid w:val="00C402D8"/>
    <w:rsid w:val="00C40B12"/>
    <w:rsid w:val="00C4124A"/>
    <w:rsid w:val="00C41BC8"/>
    <w:rsid w:val="00C42CEB"/>
    <w:rsid w:val="00C43456"/>
    <w:rsid w:val="00C4557D"/>
    <w:rsid w:val="00C5145A"/>
    <w:rsid w:val="00C52A1A"/>
    <w:rsid w:val="00C54440"/>
    <w:rsid w:val="00C56FBE"/>
    <w:rsid w:val="00C57E36"/>
    <w:rsid w:val="00C60124"/>
    <w:rsid w:val="00C6060F"/>
    <w:rsid w:val="00C60D21"/>
    <w:rsid w:val="00C65645"/>
    <w:rsid w:val="00C65C0C"/>
    <w:rsid w:val="00C71830"/>
    <w:rsid w:val="00C769F8"/>
    <w:rsid w:val="00C80352"/>
    <w:rsid w:val="00C808FC"/>
    <w:rsid w:val="00C81CC4"/>
    <w:rsid w:val="00C85355"/>
    <w:rsid w:val="00C861DE"/>
    <w:rsid w:val="00C8749C"/>
    <w:rsid w:val="00C90DFE"/>
    <w:rsid w:val="00C92087"/>
    <w:rsid w:val="00C934CF"/>
    <w:rsid w:val="00C93C3D"/>
    <w:rsid w:val="00C97CB0"/>
    <w:rsid w:val="00CA3C08"/>
    <w:rsid w:val="00CA3CB5"/>
    <w:rsid w:val="00CA4490"/>
    <w:rsid w:val="00CA5718"/>
    <w:rsid w:val="00CA6607"/>
    <w:rsid w:val="00CA7BFF"/>
    <w:rsid w:val="00CB03A5"/>
    <w:rsid w:val="00CB05A9"/>
    <w:rsid w:val="00CB07A0"/>
    <w:rsid w:val="00CB07B3"/>
    <w:rsid w:val="00CB1728"/>
    <w:rsid w:val="00CB22D4"/>
    <w:rsid w:val="00CB3654"/>
    <w:rsid w:val="00CB3711"/>
    <w:rsid w:val="00CB422F"/>
    <w:rsid w:val="00CB50D7"/>
    <w:rsid w:val="00CB5133"/>
    <w:rsid w:val="00CB5C5C"/>
    <w:rsid w:val="00CC04CE"/>
    <w:rsid w:val="00CC189B"/>
    <w:rsid w:val="00CC1DC3"/>
    <w:rsid w:val="00CC2B03"/>
    <w:rsid w:val="00CC41E5"/>
    <w:rsid w:val="00CC4BF7"/>
    <w:rsid w:val="00CC7F99"/>
    <w:rsid w:val="00CD058F"/>
    <w:rsid w:val="00CD16C3"/>
    <w:rsid w:val="00CD1E22"/>
    <w:rsid w:val="00CD20EB"/>
    <w:rsid w:val="00CD3CD0"/>
    <w:rsid w:val="00CD576A"/>
    <w:rsid w:val="00CD5CF0"/>
    <w:rsid w:val="00CD7877"/>
    <w:rsid w:val="00CD7D97"/>
    <w:rsid w:val="00CE371F"/>
    <w:rsid w:val="00CE3C45"/>
    <w:rsid w:val="00CE3EE6"/>
    <w:rsid w:val="00CE4BA1"/>
    <w:rsid w:val="00CE6066"/>
    <w:rsid w:val="00CF03B1"/>
    <w:rsid w:val="00CF0EDB"/>
    <w:rsid w:val="00D000C7"/>
    <w:rsid w:val="00D00CFF"/>
    <w:rsid w:val="00D0148B"/>
    <w:rsid w:val="00D028BC"/>
    <w:rsid w:val="00D04F30"/>
    <w:rsid w:val="00D07BD7"/>
    <w:rsid w:val="00D10EFB"/>
    <w:rsid w:val="00D119C2"/>
    <w:rsid w:val="00D2425F"/>
    <w:rsid w:val="00D24BCF"/>
    <w:rsid w:val="00D25B4A"/>
    <w:rsid w:val="00D260B7"/>
    <w:rsid w:val="00D26456"/>
    <w:rsid w:val="00D26800"/>
    <w:rsid w:val="00D3145D"/>
    <w:rsid w:val="00D3798F"/>
    <w:rsid w:val="00D47F09"/>
    <w:rsid w:val="00D500D9"/>
    <w:rsid w:val="00D51BD0"/>
    <w:rsid w:val="00D52A9D"/>
    <w:rsid w:val="00D53C59"/>
    <w:rsid w:val="00D54A3E"/>
    <w:rsid w:val="00D55AAD"/>
    <w:rsid w:val="00D60B77"/>
    <w:rsid w:val="00D62941"/>
    <w:rsid w:val="00D6300E"/>
    <w:rsid w:val="00D65811"/>
    <w:rsid w:val="00D6768C"/>
    <w:rsid w:val="00D67A95"/>
    <w:rsid w:val="00D72A7C"/>
    <w:rsid w:val="00D72DBF"/>
    <w:rsid w:val="00D72F6A"/>
    <w:rsid w:val="00D747AE"/>
    <w:rsid w:val="00D84759"/>
    <w:rsid w:val="00D84CD8"/>
    <w:rsid w:val="00D85B8A"/>
    <w:rsid w:val="00D912A4"/>
    <w:rsid w:val="00D915CE"/>
    <w:rsid w:val="00D9226C"/>
    <w:rsid w:val="00D92709"/>
    <w:rsid w:val="00D93AF4"/>
    <w:rsid w:val="00D96261"/>
    <w:rsid w:val="00D975C5"/>
    <w:rsid w:val="00DA100B"/>
    <w:rsid w:val="00DA131D"/>
    <w:rsid w:val="00DA20BD"/>
    <w:rsid w:val="00DA31C9"/>
    <w:rsid w:val="00DA3B4B"/>
    <w:rsid w:val="00DA4B19"/>
    <w:rsid w:val="00DA705D"/>
    <w:rsid w:val="00DB042B"/>
    <w:rsid w:val="00DB0E36"/>
    <w:rsid w:val="00DB1B75"/>
    <w:rsid w:val="00DB3B06"/>
    <w:rsid w:val="00DB47C6"/>
    <w:rsid w:val="00DB550B"/>
    <w:rsid w:val="00DB5B58"/>
    <w:rsid w:val="00DB6C0E"/>
    <w:rsid w:val="00DB7262"/>
    <w:rsid w:val="00DB7FD3"/>
    <w:rsid w:val="00DC04B7"/>
    <w:rsid w:val="00DC1603"/>
    <w:rsid w:val="00DC1704"/>
    <w:rsid w:val="00DC1FF6"/>
    <w:rsid w:val="00DC3C11"/>
    <w:rsid w:val="00DD0893"/>
    <w:rsid w:val="00DD1BFE"/>
    <w:rsid w:val="00DD3E00"/>
    <w:rsid w:val="00DD4078"/>
    <w:rsid w:val="00DD5B91"/>
    <w:rsid w:val="00DD6F29"/>
    <w:rsid w:val="00DE196C"/>
    <w:rsid w:val="00DE2E1E"/>
    <w:rsid w:val="00DE3623"/>
    <w:rsid w:val="00DE3B49"/>
    <w:rsid w:val="00DE50DB"/>
    <w:rsid w:val="00DE6883"/>
    <w:rsid w:val="00DF3DD4"/>
    <w:rsid w:val="00DF4E10"/>
    <w:rsid w:val="00DF6824"/>
    <w:rsid w:val="00DF6AE1"/>
    <w:rsid w:val="00DF7B27"/>
    <w:rsid w:val="00E0345E"/>
    <w:rsid w:val="00E05732"/>
    <w:rsid w:val="00E05F54"/>
    <w:rsid w:val="00E07A0B"/>
    <w:rsid w:val="00E10A01"/>
    <w:rsid w:val="00E112F1"/>
    <w:rsid w:val="00E13B0A"/>
    <w:rsid w:val="00E141F8"/>
    <w:rsid w:val="00E15E02"/>
    <w:rsid w:val="00E175AB"/>
    <w:rsid w:val="00E20B3B"/>
    <w:rsid w:val="00E25708"/>
    <w:rsid w:val="00E25975"/>
    <w:rsid w:val="00E25FF8"/>
    <w:rsid w:val="00E262EC"/>
    <w:rsid w:val="00E268D2"/>
    <w:rsid w:val="00E30A76"/>
    <w:rsid w:val="00E3283E"/>
    <w:rsid w:val="00E32E87"/>
    <w:rsid w:val="00E34014"/>
    <w:rsid w:val="00E349D9"/>
    <w:rsid w:val="00E35FED"/>
    <w:rsid w:val="00E378F4"/>
    <w:rsid w:val="00E404CB"/>
    <w:rsid w:val="00E4120A"/>
    <w:rsid w:val="00E42C44"/>
    <w:rsid w:val="00E432D0"/>
    <w:rsid w:val="00E43BA1"/>
    <w:rsid w:val="00E44285"/>
    <w:rsid w:val="00E44816"/>
    <w:rsid w:val="00E44942"/>
    <w:rsid w:val="00E46FD5"/>
    <w:rsid w:val="00E501FA"/>
    <w:rsid w:val="00E51961"/>
    <w:rsid w:val="00E521DE"/>
    <w:rsid w:val="00E544BB"/>
    <w:rsid w:val="00E54AE4"/>
    <w:rsid w:val="00E55CA3"/>
    <w:rsid w:val="00E56545"/>
    <w:rsid w:val="00E56DD1"/>
    <w:rsid w:val="00E574A7"/>
    <w:rsid w:val="00E6283D"/>
    <w:rsid w:val="00E640B8"/>
    <w:rsid w:val="00E660D4"/>
    <w:rsid w:val="00E70747"/>
    <w:rsid w:val="00E7192D"/>
    <w:rsid w:val="00E721EB"/>
    <w:rsid w:val="00E82C65"/>
    <w:rsid w:val="00E84772"/>
    <w:rsid w:val="00E877F6"/>
    <w:rsid w:val="00E924BA"/>
    <w:rsid w:val="00E94403"/>
    <w:rsid w:val="00E9571A"/>
    <w:rsid w:val="00E96C9D"/>
    <w:rsid w:val="00EA4000"/>
    <w:rsid w:val="00EA5D4F"/>
    <w:rsid w:val="00EA6F2E"/>
    <w:rsid w:val="00EA7331"/>
    <w:rsid w:val="00EB04A8"/>
    <w:rsid w:val="00EB3087"/>
    <w:rsid w:val="00EB3AF7"/>
    <w:rsid w:val="00EB5611"/>
    <w:rsid w:val="00EB6C56"/>
    <w:rsid w:val="00EB7943"/>
    <w:rsid w:val="00EB79A4"/>
    <w:rsid w:val="00EB7D3B"/>
    <w:rsid w:val="00EC29A7"/>
    <w:rsid w:val="00EC3B22"/>
    <w:rsid w:val="00EC4A9C"/>
    <w:rsid w:val="00EC63C3"/>
    <w:rsid w:val="00EC7A5A"/>
    <w:rsid w:val="00ED1EE2"/>
    <w:rsid w:val="00ED1F82"/>
    <w:rsid w:val="00ED4F77"/>
    <w:rsid w:val="00ED54E0"/>
    <w:rsid w:val="00ED5C23"/>
    <w:rsid w:val="00ED6C8F"/>
    <w:rsid w:val="00EE061A"/>
    <w:rsid w:val="00EE08B0"/>
    <w:rsid w:val="00EE175D"/>
    <w:rsid w:val="00EE202D"/>
    <w:rsid w:val="00EE3014"/>
    <w:rsid w:val="00EE336E"/>
    <w:rsid w:val="00EE358C"/>
    <w:rsid w:val="00EE383F"/>
    <w:rsid w:val="00EF273A"/>
    <w:rsid w:val="00EF3B27"/>
    <w:rsid w:val="00F00236"/>
    <w:rsid w:val="00F00320"/>
    <w:rsid w:val="00F010A1"/>
    <w:rsid w:val="00F0172A"/>
    <w:rsid w:val="00F01F78"/>
    <w:rsid w:val="00F03B66"/>
    <w:rsid w:val="00F046EF"/>
    <w:rsid w:val="00F04AC1"/>
    <w:rsid w:val="00F101B2"/>
    <w:rsid w:val="00F10F8A"/>
    <w:rsid w:val="00F116D9"/>
    <w:rsid w:val="00F127A6"/>
    <w:rsid w:val="00F145E9"/>
    <w:rsid w:val="00F152F8"/>
    <w:rsid w:val="00F165CD"/>
    <w:rsid w:val="00F16717"/>
    <w:rsid w:val="00F1738C"/>
    <w:rsid w:val="00F22C4A"/>
    <w:rsid w:val="00F22C87"/>
    <w:rsid w:val="00F2366E"/>
    <w:rsid w:val="00F2708B"/>
    <w:rsid w:val="00F27F79"/>
    <w:rsid w:val="00F30082"/>
    <w:rsid w:val="00F31547"/>
    <w:rsid w:val="00F31C94"/>
    <w:rsid w:val="00F32397"/>
    <w:rsid w:val="00F329E6"/>
    <w:rsid w:val="00F349C7"/>
    <w:rsid w:val="00F3786C"/>
    <w:rsid w:val="00F37B0E"/>
    <w:rsid w:val="00F40595"/>
    <w:rsid w:val="00F42DBF"/>
    <w:rsid w:val="00F4303D"/>
    <w:rsid w:val="00F439F5"/>
    <w:rsid w:val="00F43B09"/>
    <w:rsid w:val="00F46A14"/>
    <w:rsid w:val="00F50456"/>
    <w:rsid w:val="00F507D1"/>
    <w:rsid w:val="00F535B9"/>
    <w:rsid w:val="00F553BD"/>
    <w:rsid w:val="00F55D63"/>
    <w:rsid w:val="00F56918"/>
    <w:rsid w:val="00F56ED5"/>
    <w:rsid w:val="00F63969"/>
    <w:rsid w:val="00F653D4"/>
    <w:rsid w:val="00F65D79"/>
    <w:rsid w:val="00F67977"/>
    <w:rsid w:val="00F7092E"/>
    <w:rsid w:val="00F70E38"/>
    <w:rsid w:val="00F72513"/>
    <w:rsid w:val="00F74483"/>
    <w:rsid w:val="00F74A60"/>
    <w:rsid w:val="00F75110"/>
    <w:rsid w:val="00F7665C"/>
    <w:rsid w:val="00F8030A"/>
    <w:rsid w:val="00F82150"/>
    <w:rsid w:val="00F829AB"/>
    <w:rsid w:val="00F85532"/>
    <w:rsid w:val="00F874E6"/>
    <w:rsid w:val="00F9040B"/>
    <w:rsid w:val="00F91CEB"/>
    <w:rsid w:val="00F9353C"/>
    <w:rsid w:val="00F93785"/>
    <w:rsid w:val="00F9398E"/>
    <w:rsid w:val="00F9504D"/>
    <w:rsid w:val="00F96110"/>
    <w:rsid w:val="00F962D5"/>
    <w:rsid w:val="00F96EF6"/>
    <w:rsid w:val="00F9777A"/>
    <w:rsid w:val="00FA10CC"/>
    <w:rsid w:val="00FA2761"/>
    <w:rsid w:val="00FA4F80"/>
    <w:rsid w:val="00FA5EBC"/>
    <w:rsid w:val="00FB03D2"/>
    <w:rsid w:val="00FB2E15"/>
    <w:rsid w:val="00FB3DDE"/>
    <w:rsid w:val="00FB4848"/>
    <w:rsid w:val="00FC0C48"/>
    <w:rsid w:val="00FC16D8"/>
    <w:rsid w:val="00FC5501"/>
    <w:rsid w:val="00FC68DE"/>
    <w:rsid w:val="00FC6B64"/>
    <w:rsid w:val="00FD1D5D"/>
    <w:rsid w:val="00FD224A"/>
    <w:rsid w:val="00FD445A"/>
    <w:rsid w:val="00FD4491"/>
    <w:rsid w:val="00FD4AB1"/>
    <w:rsid w:val="00FD4BF2"/>
    <w:rsid w:val="00FD639E"/>
    <w:rsid w:val="00FE139D"/>
    <w:rsid w:val="00FE23DF"/>
    <w:rsid w:val="00FE2E17"/>
    <w:rsid w:val="00FE2F85"/>
    <w:rsid w:val="00FE3BD1"/>
    <w:rsid w:val="00FE4087"/>
    <w:rsid w:val="00FE464C"/>
    <w:rsid w:val="00FE6C87"/>
    <w:rsid w:val="00FE7E7B"/>
    <w:rsid w:val="00FF0299"/>
    <w:rsid w:val="00FF1706"/>
    <w:rsid w:val="00FF1995"/>
    <w:rsid w:val="00FF2DE0"/>
    <w:rsid w:val="00FF379C"/>
    <w:rsid w:val="00FF3E42"/>
    <w:rsid w:val="00FF4616"/>
    <w:rsid w:val="00FF6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17D78-1B79-4293-9808-A7651F69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6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B230EC"/>
    <w:pPr>
      <w:keepNext/>
      <w:keepLines/>
      <w:numPr>
        <w:numId w:val="9"/>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B230EC"/>
    <w:pPr>
      <w:keepNext/>
      <w:keepLines/>
      <w:numPr>
        <w:ilvl w:val="1"/>
        <w:numId w:val="9"/>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B230EC"/>
    <w:pPr>
      <w:keepNext/>
      <w:keepLines/>
      <w:numPr>
        <w:ilvl w:val="2"/>
        <w:numId w:val="9"/>
      </w:numPr>
      <w:spacing w:after="240"/>
      <w:outlineLvl w:val="2"/>
    </w:pPr>
    <w:rPr>
      <w:rFonts w:eastAsia="Times New Roman"/>
      <w:b/>
      <w:bCs/>
      <w:color w:val="006283"/>
      <w:szCs w:val="20"/>
      <w:lang w:eastAsia="en-GB"/>
    </w:rPr>
  </w:style>
  <w:style w:type="paragraph" w:styleId="Heading4">
    <w:name w:val="heading 4"/>
    <w:basedOn w:val="Normal"/>
    <w:next w:val="Heading5"/>
    <w:link w:val="Heading4Char"/>
    <w:uiPriority w:val="2"/>
    <w:qFormat/>
    <w:rsid w:val="00B230EC"/>
    <w:pPr>
      <w:keepNext/>
      <w:keepLines/>
      <w:numPr>
        <w:ilvl w:val="3"/>
        <w:numId w:val="9"/>
      </w:numPr>
      <w:spacing w:after="240"/>
      <w:outlineLvl w:val="3"/>
    </w:pPr>
    <w:rPr>
      <w:rFonts w:eastAsia="Times New Roman"/>
      <w:b/>
      <w:bCs/>
      <w:iCs/>
      <w:color w:val="006283"/>
      <w:szCs w:val="20"/>
      <w:lang w:eastAsia="en-GB"/>
    </w:rPr>
  </w:style>
  <w:style w:type="paragraph" w:styleId="Heading5">
    <w:name w:val="heading 5"/>
    <w:basedOn w:val="Normal"/>
    <w:next w:val="Heading6"/>
    <w:link w:val="Heading5Char"/>
    <w:uiPriority w:val="2"/>
    <w:qFormat/>
    <w:rsid w:val="00B230EC"/>
    <w:pPr>
      <w:keepNext/>
      <w:keepLines/>
      <w:numPr>
        <w:ilvl w:val="4"/>
        <w:numId w:val="9"/>
      </w:numPr>
      <w:spacing w:after="240"/>
      <w:outlineLvl w:val="4"/>
    </w:pPr>
    <w:rPr>
      <w:rFonts w:eastAsia="Times New Roman"/>
      <w:b/>
      <w:color w:val="006283"/>
      <w:szCs w:val="20"/>
      <w:lang w:eastAsia="en-GB"/>
    </w:rPr>
  </w:style>
  <w:style w:type="paragraph" w:styleId="Heading6">
    <w:name w:val="heading 6"/>
    <w:basedOn w:val="Normal"/>
    <w:next w:val="BodyText"/>
    <w:link w:val="Heading6Char"/>
    <w:uiPriority w:val="2"/>
    <w:qFormat/>
    <w:rsid w:val="00B230EC"/>
    <w:pPr>
      <w:keepNext/>
      <w:keepLines/>
      <w:numPr>
        <w:ilvl w:val="5"/>
        <w:numId w:val="9"/>
      </w:numPr>
      <w:spacing w:after="240"/>
      <w:outlineLvl w:val="5"/>
    </w:pPr>
    <w:rPr>
      <w:rFonts w:eastAsia="Times New Roman"/>
      <w:b/>
      <w:iCs/>
      <w:color w:val="006283"/>
      <w:szCs w:val="20"/>
      <w:lang w:eastAsia="en-GB"/>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szCs w:val="20"/>
      <w:lang w:eastAsia="en-GB"/>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30EC"/>
    <w:rPr>
      <w:rFonts w:ascii="Verdana" w:eastAsia="Times New Roman" w:hAnsi="Verdana"/>
      <w:b/>
      <w:bCs/>
      <w:caps/>
      <w:color w:val="006283"/>
      <w:sz w:val="18"/>
      <w:szCs w:val="28"/>
    </w:rPr>
  </w:style>
  <w:style w:type="character" w:customStyle="1" w:styleId="Heading2Char">
    <w:name w:val="Heading 2 Char"/>
    <w:link w:val="Heading2"/>
    <w:uiPriority w:val="9"/>
    <w:rsid w:val="00B230EC"/>
    <w:rPr>
      <w:rFonts w:ascii="Verdana" w:eastAsia="Times New Roman" w:hAnsi="Verdana"/>
      <w:b/>
      <w:bCs/>
      <w:color w:val="006283"/>
      <w:sz w:val="18"/>
      <w:szCs w:val="26"/>
    </w:rPr>
  </w:style>
  <w:style w:type="character" w:customStyle="1" w:styleId="Heading3Char">
    <w:name w:val="Heading 3 Char"/>
    <w:link w:val="Heading3"/>
    <w:uiPriority w:val="9"/>
    <w:rsid w:val="00B230EC"/>
    <w:rPr>
      <w:rFonts w:ascii="Verdana" w:eastAsia="Times New Roman" w:hAnsi="Verdana"/>
      <w:b/>
      <w:bCs/>
      <w:color w:val="006283"/>
      <w:sz w:val="18"/>
    </w:rPr>
  </w:style>
  <w:style w:type="character" w:customStyle="1" w:styleId="Heading4Char">
    <w:name w:val="Heading 4 Char"/>
    <w:link w:val="Heading4"/>
    <w:uiPriority w:val="9"/>
    <w:rsid w:val="00B230EC"/>
    <w:rPr>
      <w:rFonts w:ascii="Verdana" w:eastAsia="Times New Roman" w:hAnsi="Verdana"/>
      <w:b/>
      <w:bCs/>
      <w:iCs/>
      <w:color w:val="006283"/>
      <w:sz w:val="18"/>
    </w:rPr>
  </w:style>
  <w:style w:type="character" w:customStyle="1" w:styleId="Heading5Char">
    <w:name w:val="Heading 5 Char"/>
    <w:link w:val="Heading5"/>
    <w:uiPriority w:val="9"/>
    <w:rsid w:val="00B230EC"/>
    <w:rPr>
      <w:rFonts w:ascii="Verdana" w:eastAsia="Times New Roman" w:hAnsi="Verdana"/>
      <w:b/>
      <w:color w:val="006283"/>
      <w:sz w:val="18"/>
    </w:rPr>
  </w:style>
  <w:style w:type="character" w:customStyle="1" w:styleId="Heading6Char">
    <w:name w:val="Heading 6 Char"/>
    <w:link w:val="Heading6"/>
    <w:uiPriority w:val="9"/>
    <w:rsid w:val="00B230EC"/>
    <w:rPr>
      <w:rFonts w:ascii="Verdana" w:eastAsia="Times New Roman" w:hAnsi="Verdana"/>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lang w:eastAsia="en-GB"/>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9"/>
      </w:numPr>
      <w:spacing w:after="240"/>
    </w:pPr>
    <w:rPr>
      <w:szCs w:val="20"/>
      <w:lang w:eastAsia="en-GB"/>
    </w:r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9"/>
      </w:numPr>
      <w:spacing w:after="240"/>
    </w:pPr>
    <w:rPr>
      <w:szCs w:val="20"/>
      <w:lang w:eastAsia="en-GB"/>
    </w:r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9"/>
      </w:numPr>
      <w:spacing w:after="240"/>
    </w:pPr>
    <w:rPr>
      <w:szCs w:val="16"/>
      <w:lang w:eastAsia="en-GB"/>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1"/>
      </w:numPr>
    </w:pPr>
  </w:style>
  <w:style w:type="paragraph" w:styleId="ListBullet">
    <w:name w:val="List Bullet"/>
    <w:basedOn w:val="Normal"/>
    <w:uiPriority w:val="1"/>
    <w:rsid w:val="00AE2AEE"/>
    <w:pPr>
      <w:numPr>
        <w:numId w:val="2"/>
      </w:numPr>
      <w:spacing w:after="240"/>
    </w:pPr>
  </w:style>
  <w:style w:type="paragraph" w:styleId="ListBullet2">
    <w:name w:val="List Bullet 2"/>
    <w:basedOn w:val="Normal"/>
    <w:uiPriority w:val="1"/>
    <w:rsid w:val="00AE2AEE"/>
    <w:pPr>
      <w:numPr>
        <w:ilvl w:val="1"/>
        <w:numId w:val="2"/>
      </w:numPr>
      <w:spacing w:after="240"/>
    </w:pPr>
  </w:style>
  <w:style w:type="paragraph" w:styleId="ListBullet3">
    <w:name w:val="List Bullet 3"/>
    <w:basedOn w:val="Normal"/>
    <w:uiPriority w:val="1"/>
    <w:rsid w:val="00AE2AEE"/>
    <w:pPr>
      <w:numPr>
        <w:ilvl w:val="2"/>
        <w:numId w:val="2"/>
      </w:numPr>
      <w:spacing w:after="240"/>
    </w:pPr>
  </w:style>
  <w:style w:type="paragraph" w:styleId="ListBullet4">
    <w:name w:val="List Bullet 4"/>
    <w:basedOn w:val="Normal"/>
    <w:uiPriority w:val="1"/>
    <w:rsid w:val="00AE2AEE"/>
    <w:pPr>
      <w:numPr>
        <w:ilvl w:val="3"/>
        <w:numId w:val="2"/>
      </w:numPr>
      <w:spacing w:after="240"/>
      <w:ind w:left="1587" w:hanging="340"/>
    </w:pPr>
  </w:style>
  <w:style w:type="paragraph" w:styleId="ListBullet5">
    <w:name w:val="List Bullet 5"/>
    <w:basedOn w:val="Normal"/>
    <w:uiPriority w:val="1"/>
    <w:rsid w:val="00AE2AEE"/>
    <w:pPr>
      <w:numPr>
        <w:ilvl w:val="4"/>
        <w:numId w:val="2"/>
      </w:numPr>
      <w:spacing w:after="240"/>
    </w:pPr>
  </w:style>
  <w:style w:type="numbering" w:customStyle="1" w:styleId="ListBullets">
    <w:name w:val="ListBullets"/>
    <w:uiPriority w:val="99"/>
    <w:rsid w:val="00760DB3"/>
    <w:pPr>
      <w:numPr>
        <w:numId w:val="2"/>
      </w:numPr>
    </w:pPr>
  </w:style>
  <w:style w:type="paragraph" w:customStyle="1" w:styleId="Answer">
    <w:name w:val="Answer"/>
    <w:basedOn w:val="Normal"/>
    <w:link w:val="AnswerChar"/>
    <w:uiPriority w:val="6"/>
    <w:qFormat/>
    <w:rsid w:val="0046754A"/>
    <w:pPr>
      <w:spacing w:after="240"/>
      <w:ind w:left="1077"/>
    </w:pPr>
    <w:rPr>
      <w:szCs w:val="20"/>
      <w:lang w:eastAsia="en-GB"/>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qFormat/>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9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szCs w:val="20"/>
      <w:lang w:eastAsia="en-GB"/>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5"/>
    <w:rsid w:val="0046754A"/>
    <w:pPr>
      <w:tabs>
        <w:tab w:val="center" w:pos="4513"/>
        <w:tab w:val="right" w:pos="9027"/>
      </w:tabs>
    </w:pPr>
    <w:rPr>
      <w:szCs w:val="18"/>
      <w:lang w:eastAsia="en-GB"/>
    </w:rPr>
  </w:style>
  <w:style w:type="character" w:customStyle="1" w:styleId="FooterChar">
    <w:name w:val="Footer Char"/>
    <w:link w:val="Footer"/>
    <w:uiPriority w:val="3"/>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qFormat/>
    <w:rsid w:val="0046754A"/>
    <w:rPr>
      <w:vertAlign w:val="superscript"/>
    </w:rPr>
  </w:style>
  <w:style w:type="paragraph" w:styleId="Header">
    <w:name w:val="header"/>
    <w:basedOn w:val="Normal"/>
    <w:link w:val="HeaderChar"/>
    <w:uiPriority w:val="5"/>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lang w:eastAsia="en-GB"/>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11"/>
    <w:qFormat/>
    <w:rsid w:val="00E46FD5"/>
    <w:pPr>
      <w:numPr>
        <w:ilvl w:val="1"/>
      </w:numPr>
    </w:pPr>
    <w:rPr>
      <w:rFonts w:eastAsia="Times New Roman"/>
      <w:b/>
      <w:iCs/>
      <w:szCs w:val="24"/>
      <w:lang w:eastAsia="en-GB"/>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3"/>
      </w:numPr>
      <w:spacing w:after="24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C6"/>
    <w:rPr>
      <w:color w:val="0000FF" w:themeColor="hyperlink"/>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0C73C1"/>
    <w:pPr>
      <w:numPr>
        <w:ilvl w:val="0"/>
        <w:numId w:val="0"/>
      </w:numPr>
      <w:spacing w:after="0"/>
      <w:ind w:firstLine="360"/>
    </w:pPr>
    <w:rPr>
      <w:szCs w:val="22"/>
      <w:lang w:eastAsia="en-US"/>
    </w:rPr>
  </w:style>
  <w:style w:type="character" w:customStyle="1" w:styleId="BodyTextFirstIndentChar">
    <w:name w:val="Body Text First Indent Char"/>
    <w:basedOn w:val="BodyTextChar"/>
    <w:link w:val="BodyTextFirstIndent"/>
    <w:uiPriority w:val="99"/>
    <w:semiHidden/>
    <w:rsid w:val="000C73C1"/>
    <w:rPr>
      <w:rFonts w:ascii="Verdana" w:hAnsi="Verdana"/>
      <w:sz w:val="18"/>
      <w:szCs w:val="22"/>
      <w:lang w:eastAsia="en-US"/>
    </w:rPr>
  </w:style>
  <w:style w:type="paragraph" w:styleId="BodyTextIndent">
    <w:name w:val="Body Text Indent"/>
    <w:basedOn w:val="Normal"/>
    <w:link w:val="BodyTextIndentChar"/>
    <w:uiPriority w:val="99"/>
    <w:semiHidden/>
    <w:unhideWhenUsed/>
    <w:rsid w:val="000C73C1"/>
    <w:pPr>
      <w:spacing w:after="120"/>
      <w:ind w:left="283"/>
    </w:pPr>
  </w:style>
  <w:style w:type="character" w:customStyle="1" w:styleId="BodyTextIndentChar">
    <w:name w:val="Body Text Indent Char"/>
    <w:basedOn w:val="DefaultParagraphFont"/>
    <w:link w:val="BodyTextIndent"/>
    <w:uiPriority w:val="99"/>
    <w:semiHidden/>
    <w:rsid w:val="000C73C1"/>
    <w:rPr>
      <w:rFonts w:ascii="Verdana" w:hAnsi="Verdana"/>
      <w:sz w:val="18"/>
      <w:szCs w:val="22"/>
      <w:lang w:eastAsia="en-US"/>
    </w:rPr>
  </w:style>
  <w:style w:type="paragraph" w:styleId="BodyTextFirstIndent2">
    <w:name w:val="Body Text First Indent 2"/>
    <w:basedOn w:val="BodyTextIndent"/>
    <w:link w:val="BodyTextFirstIndent2Char"/>
    <w:uiPriority w:val="99"/>
    <w:semiHidden/>
    <w:unhideWhenUsed/>
    <w:rsid w:val="000C73C1"/>
    <w:pPr>
      <w:spacing w:after="0"/>
      <w:ind w:left="360" w:firstLine="360"/>
    </w:pPr>
  </w:style>
  <w:style w:type="character" w:customStyle="1" w:styleId="BodyTextFirstIndent2Char">
    <w:name w:val="Body Text First Indent 2 Char"/>
    <w:basedOn w:val="BodyTextIndentChar"/>
    <w:link w:val="BodyTextFirstIndent2"/>
    <w:uiPriority w:val="99"/>
    <w:semiHidden/>
    <w:rsid w:val="000C73C1"/>
    <w:rPr>
      <w:rFonts w:ascii="Verdana" w:hAnsi="Verdana"/>
      <w:sz w:val="18"/>
      <w:szCs w:val="22"/>
      <w:lang w:eastAsia="en-US"/>
    </w:rPr>
  </w:style>
  <w:style w:type="paragraph" w:styleId="BodyTextIndent2">
    <w:name w:val="Body Text Indent 2"/>
    <w:basedOn w:val="Normal"/>
    <w:link w:val="BodyTextIndent2Char"/>
    <w:uiPriority w:val="99"/>
    <w:semiHidden/>
    <w:unhideWhenUsed/>
    <w:rsid w:val="000C73C1"/>
    <w:pPr>
      <w:spacing w:after="120" w:line="480" w:lineRule="auto"/>
      <w:ind w:left="283"/>
    </w:pPr>
  </w:style>
  <w:style w:type="character" w:customStyle="1" w:styleId="BodyTextIndent2Char">
    <w:name w:val="Body Text Indent 2 Char"/>
    <w:basedOn w:val="DefaultParagraphFont"/>
    <w:link w:val="BodyTextIndent2"/>
    <w:uiPriority w:val="99"/>
    <w:semiHidden/>
    <w:rsid w:val="000C73C1"/>
    <w:rPr>
      <w:rFonts w:ascii="Verdana" w:hAnsi="Verdana"/>
      <w:sz w:val="18"/>
      <w:szCs w:val="22"/>
      <w:lang w:eastAsia="en-US"/>
    </w:rPr>
  </w:style>
  <w:style w:type="paragraph" w:styleId="BodyTextIndent3">
    <w:name w:val="Body Text Indent 3"/>
    <w:basedOn w:val="Normal"/>
    <w:link w:val="BodyTextIndent3Char"/>
    <w:uiPriority w:val="99"/>
    <w:semiHidden/>
    <w:unhideWhenUsed/>
    <w:rsid w:val="000C73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73C1"/>
    <w:rPr>
      <w:rFonts w:ascii="Verdana" w:hAnsi="Verdana"/>
      <w:sz w:val="16"/>
      <w:szCs w:val="16"/>
      <w:lang w:eastAsia="en-US"/>
    </w:rPr>
  </w:style>
  <w:style w:type="character" w:styleId="BookTitle">
    <w:name w:val="Book Title"/>
    <w:basedOn w:val="DefaultParagraphFont"/>
    <w:uiPriority w:val="99"/>
    <w:semiHidden/>
    <w:qFormat/>
    <w:rsid w:val="000C73C1"/>
    <w:rPr>
      <w:b/>
      <w:bCs/>
      <w:smallCaps/>
      <w:spacing w:val="5"/>
    </w:rPr>
  </w:style>
  <w:style w:type="paragraph" w:styleId="Closing">
    <w:name w:val="Closing"/>
    <w:basedOn w:val="Normal"/>
    <w:link w:val="ClosingChar"/>
    <w:uiPriority w:val="99"/>
    <w:semiHidden/>
    <w:unhideWhenUsed/>
    <w:rsid w:val="000C73C1"/>
    <w:pPr>
      <w:ind w:left="4252"/>
    </w:pPr>
  </w:style>
  <w:style w:type="character" w:customStyle="1" w:styleId="ClosingChar">
    <w:name w:val="Closing Char"/>
    <w:basedOn w:val="DefaultParagraphFont"/>
    <w:link w:val="Closing"/>
    <w:uiPriority w:val="99"/>
    <w:semiHidden/>
    <w:rsid w:val="000C73C1"/>
    <w:rPr>
      <w:rFonts w:ascii="Verdana" w:hAnsi="Verdana"/>
      <w:sz w:val="18"/>
      <w:szCs w:val="22"/>
      <w:lang w:eastAsia="en-US"/>
    </w:rPr>
  </w:style>
  <w:style w:type="character" w:styleId="CommentReference">
    <w:name w:val="annotation reference"/>
    <w:basedOn w:val="DefaultParagraphFont"/>
    <w:uiPriority w:val="99"/>
    <w:semiHidden/>
    <w:unhideWhenUsed/>
    <w:rsid w:val="000C73C1"/>
    <w:rPr>
      <w:sz w:val="16"/>
      <w:szCs w:val="16"/>
    </w:rPr>
  </w:style>
  <w:style w:type="paragraph" w:styleId="CommentText">
    <w:name w:val="annotation text"/>
    <w:basedOn w:val="Normal"/>
    <w:link w:val="CommentTextChar"/>
    <w:uiPriority w:val="99"/>
    <w:unhideWhenUsed/>
    <w:rsid w:val="000C73C1"/>
    <w:rPr>
      <w:sz w:val="20"/>
      <w:szCs w:val="20"/>
    </w:rPr>
  </w:style>
  <w:style w:type="character" w:customStyle="1" w:styleId="CommentTextChar">
    <w:name w:val="Comment Text Char"/>
    <w:basedOn w:val="DefaultParagraphFont"/>
    <w:link w:val="CommentText"/>
    <w:uiPriority w:val="99"/>
    <w:semiHidden/>
    <w:rsid w:val="000C73C1"/>
    <w:rPr>
      <w:rFonts w:ascii="Verdana" w:hAnsi="Verdana"/>
      <w:lang w:eastAsia="en-US"/>
    </w:rPr>
  </w:style>
  <w:style w:type="paragraph" w:styleId="CommentSubject">
    <w:name w:val="annotation subject"/>
    <w:basedOn w:val="CommentText"/>
    <w:next w:val="CommentText"/>
    <w:link w:val="CommentSubjectChar"/>
    <w:uiPriority w:val="99"/>
    <w:unhideWhenUsed/>
    <w:rsid w:val="000C73C1"/>
    <w:rPr>
      <w:b/>
      <w:bCs/>
    </w:rPr>
  </w:style>
  <w:style w:type="character" w:customStyle="1" w:styleId="CommentSubjectChar">
    <w:name w:val="Comment Subject Char"/>
    <w:basedOn w:val="CommentTextChar"/>
    <w:link w:val="CommentSubject"/>
    <w:uiPriority w:val="99"/>
    <w:semiHidden/>
    <w:rsid w:val="000C73C1"/>
    <w:rPr>
      <w:rFonts w:ascii="Verdana" w:hAnsi="Verdana"/>
      <w:b/>
      <w:bCs/>
      <w:lang w:eastAsia="en-US"/>
    </w:rPr>
  </w:style>
  <w:style w:type="paragraph" w:styleId="Date">
    <w:name w:val="Date"/>
    <w:basedOn w:val="Normal"/>
    <w:next w:val="Normal"/>
    <w:link w:val="DateChar"/>
    <w:uiPriority w:val="99"/>
    <w:semiHidden/>
    <w:unhideWhenUsed/>
    <w:rsid w:val="000C73C1"/>
  </w:style>
  <w:style w:type="character" w:customStyle="1" w:styleId="DateChar">
    <w:name w:val="Date Char"/>
    <w:basedOn w:val="DefaultParagraphFont"/>
    <w:link w:val="Date"/>
    <w:uiPriority w:val="99"/>
    <w:semiHidden/>
    <w:rsid w:val="000C73C1"/>
    <w:rPr>
      <w:rFonts w:ascii="Verdana" w:hAnsi="Verdana"/>
      <w:sz w:val="18"/>
      <w:szCs w:val="22"/>
      <w:lang w:eastAsia="en-US"/>
    </w:rPr>
  </w:style>
  <w:style w:type="paragraph" w:styleId="DocumentMap">
    <w:name w:val="Document Map"/>
    <w:basedOn w:val="Normal"/>
    <w:link w:val="DocumentMapChar"/>
    <w:uiPriority w:val="99"/>
    <w:semiHidden/>
    <w:unhideWhenUsed/>
    <w:rsid w:val="000C73C1"/>
    <w:rPr>
      <w:rFonts w:ascii="Tahoma" w:hAnsi="Tahoma" w:cs="Tahoma"/>
      <w:sz w:val="16"/>
      <w:szCs w:val="16"/>
    </w:rPr>
  </w:style>
  <w:style w:type="character" w:customStyle="1" w:styleId="DocumentMapChar">
    <w:name w:val="Document Map Char"/>
    <w:basedOn w:val="DefaultParagraphFont"/>
    <w:link w:val="DocumentMap"/>
    <w:uiPriority w:val="99"/>
    <w:semiHidden/>
    <w:rsid w:val="000C73C1"/>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0C73C1"/>
  </w:style>
  <w:style w:type="character" w:customStyle="1" w:styleId="E-mailSignatureChar">
    <w:name w:val="E-mail Signature Char"/>
    <w:basedOn w:val="DefaultParagraphFont"/>
    <w:link w:val="E-mailSignature"/>
    <w:uiPriority w:val="99"/>
    <w:semiHidden/>
    <w:rsid w:val="000C73C1"/>
    <w:rPr>
      <w:rFonts w:ascii="Verdana" w:hAnsi="Verdana"/>
      <w:sz w:val="18"/>
      <w:szCs w:val="22"/>
      <w:lang w:eastAsia="en-US"/>
    </w:rPr>
  </w:style>
  <w:style w:type="character" w:styleId="Emphasis">
    <w:name w:val="Emphasis"/>
    <w:basedOn w:val="DefaultParagraphFont"/>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3C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73C1"/>
    <w:rPr>
      <w:color w:val="800080" w:themeColor="followedHyperlink"/>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link w:val="HTMLAddressChar"/>
    <w:uiPriority w:val="99"/>
    <w:semiHidden/>
    <w:unhideWhenUsed/>
    <w:rsid w:val="000C73C1"/>
    <w:rPr>
      <w:i/>
      <w:iCs/>
    </w:rPr>
  </w:style>
  <w:style w:type="character" w:customStyle="1" w:styleId="HTMLAddressChar">
    <w:name w:val="HTML Address Char"/>
    <w:basedOn w:val="DefaultParagraphFont"/>
    <w:link w:val="HTMLAddress"/>
    <w:uiPriority w:val="99"/>
    <w:semiHidden/>
    <w:rsid w:val="000C73C1"/>
    <w:rPr>
      <w:rFonts w:ascii="Verdana" w:hAnsi="Verdana"/>
      <w:i/>
      <w:iCs/>
      <w:sz w:val="18"/>
      <w:szCs w:val="22"/>
      <w:lang w:eastAsia="en-US"/>
    </w:rPr>
  </w:style>
  <w:style w:type="character" w:styleId="HTMLCite">
    <w:name w:val="HTML Cite"/>
    <w:basedOn w:val="DefaultParagraphFont"/>
    <w:uiPriority w:val="99"/>
    <w:semiHidden/>
    <w:unhideWhenUsed/>
    <w:rsid w:val="000C73C1"/>
    <w:rPr>
      <w:i/>
      <w:iCs/>
    </w:rPr>
  </w:style>
  <w:style w:type="character" w:styleId="HTMLCode">
    <w:name w:val="HTML Code"/>
    <w:basedOn w:val="DefaultParagraphFont"/>
    <w:uiPriority w:val="99"/>
    <w:semiHidden/>
    <w:unhideWhenUsed/>
    <w:rsid w:val="000C73C1"/>
    <w:rPr>
      <w:rFonts w:ascii="Consolas" w:hAnsi="Consolas" w:cs="Consolas"/>
      <w:sz w:val="20"/>
      <w:szCs w:val="20"/>
    </w:rPr>
  </w:style>
  <w:style w:type="character" w:styleId="HTMLDefinition">
    <w:name w:val="HTML Definition"/>
    <w:basedOn w:val="DefaultParagraphFont"/>
    <w:uiPriority w:val="99"/>
    <w:semiHidden/>
    <w:unhideWhenUsed/>
    <w:rsid w:val="000C73C1"/>
    <w:rPr>
      <w:i/>
      <w:iCs/>
    </w:rPr>
  </w:style>
  <w:style w:type="character" w:styleId="HTMLKeyboard">
    <w:name w:val="HTML Keyboard"/>
    <w:basedOn w:val="DefaultParagraphFont"/>
    <w:uiPriority w:val="99"/>
    <w:semiHidden/>
    <w:unhideWhenUsed/>
    <w:rsid w:val="000C73C1"/>
    <w:rPr>
      <w:rFonts w:ascii="Consolas" w:hAnsi="Consolas" w:cs="Consolas"/>
      <w:sz w:val="20"/>
      <w:szCs w:val="20"/>
    </w:rPr>
  </w:style>
  <w:style w:type="paragraph" w:styleId="HTMLPreformatted">
    <w:name w:val="HTML Preformatted"/>
    <w:basedOn w:val="Normal"/>
    <w:link w:val="HTMLPreformattedChar"/>
    <w:uiPriority w:val="99"/>
    <w:semiHidden/>
    <w:unhideWhenUsed/>
    <w:rsid w:val="000C73C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C73C1"/>
    <w:rPr>
      <w:rFonts w:ascii="Consolas" w:hAnsi="Consolas" w:cs="Consolas"/>
      <w:lang w:eastAsia="en-US"/>
    </w:rPr>
  </w:style>
  <w:style w:type="character" w:styleId="HTMLSample">
    <w:name w:val="HTML Sample"/>
    <w:basedOn w:val="DefaultParagraphFont"/>
    <w:uiPriority w:val="99"/>
    <w:semiHidden/>
    <w:unhideWhenUsed/>
    <w:rsid w:val="000C73C1"/>
    <w:rPr>
      <w:rFonts w:ascii="Consolas" w:hAnsi="Consolas" w:cs="Consolas"/>
      <w:sz w:val="24"/>
      <w:szCs w:val="24"/>
    </w:rPr>
  </w:style>
  <w:style w:type="character" w:styleId="HTMLTypewriter">
    <w:name w:val="HTML Typewriter"/>
    <w:basedOn w:val="DefaultParagraphFont"/>
    <w:uiPriority w:val="99"/>
    <w:semiHidden/>
    <w:unhideWhenUsed/>
    <w:rsid w:val="000C73C1"/>
    <w:rPr>
      <w:rFonts w:ascii="Consolas" w:hAnsi="Consolas" w:cs="Consolas"/>
      <w:sz w:val="20"/>
      <w:szCs w:val="20"/>
    </w:rPr>
  </w:style>
  <w:style w:type="character" w:styleId="HTMLVariable">
    <w:name w:val="HTML Variable"/>
    <w:basedOn w:val="DefaultParagraphFont"/>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73C1"/>
    <w:rPr>
      <w:b/>
      <w:bCs/>
      <w:i/>
      <w:iCs/>
      <w:color w:val="4F81BD" w:themeColor="accent1"/>
    </w:rPr>
  </w:style>
  <w:style w:type="paragraph" w:styleId="IntenseQuote">
    <w:name w:val="Intense Quote"/>
    <w:basedOn w:val="Normal"/>
    <w:next w:val="Normal"/>
    <w:link w:val="IntenseQuoteChar"/>
    <w:uiPriority w:val="99"/>
    <w:semiHidden/>
    <w:qFormat/>
    <w:rsid w:val="000C73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0C73C1"/>
    <w:rPr>
      <w:rFonts w:ascii="Verdana" w:hAnsi="Verdana"/>
      <w:b/>
      <w:bCs/>
      <w:i/>
      <w:iCs/>
      <w:color w:val="4F81BD" w:themeColor="accent1"/>
      <w:sz w:val="18"/>
      <w:szCs w:val="22"/>
      <w:lang w:eastAsia="en-US"/>
    </w:rPr>
  </w:style>
  <w:style w:type="character" w:styleId="IntenseReference">
    <w:name w:val="Intense Reference"/>
    <w:basedOn w:val="DefaultParagraphFont"/>
    <w:uiPriority w:val="99"/>
    <w:semiHidden/>
    <w:qFormat/>
    <w:rsid w:val="000C73C1"/>
    <w:rPr>
      <w:b/>
      <w:bCs/>
      <w:smallCaps/>
      <w:color w:val="C0504D" w:themeColor="accent2"/>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4"/>
      </w:numPr>
      <w:contextualSpacing/>
    </w:pPr>
  </w:style>
  <w:style w:type="paragraph" w:styleId="ListNumber2">
    <w:name w:val="List Number 2"/>
    <w:basedOn w:val="Normal"/>
    <w:uiPriority w:val="49"/>
    <w:semiHidden/>
    <w:unhideWhenUsed/>
    <w:rsid w:val="000C73C1"/>
    <w:pPr>
      <w:numPr>
        <w:numId w:val="5"/>
      </w:numPr>
      <w:contextualSpacing/>
    </w:pPr>
  </w:style>
  <w:style w:type="paragraph" w:styleId="ListNumber3">
    <w:name w:val="List Number 3"/>
    <w:basedOn w:val="Normal"/>
    <w:uiPriority w:val="49"/>
    <w:semiHidden/>
    <w:unhideWhenUsed/>
    <w:rsid w:val="000C73C1"/>
    <w:pPr>
      <w:numPr>
        <w:numId w:val="6"/>
      </w:numPr>
      <w:contextualSpacing/>
    </w:pPr>
  </w:style>
  <w:style w:type="paragraph" w:styleId="ListNumber4">
    <w:name w:val="List Number 4"/>
    <w:basedOn w:val="Normal"/>
    <w:uiPriority w:val="49"/>
    <w:semiHidden/>
    <w:unhideWhenUsed/>
    <w:rsid w:val="000C73C1"/>
    <w:pPr>
      <w:numPr>
        <w:numId w:val="7"/>
      </w:numPr>
      <w:contextualSpacing/>
    </w:pPr>
  </w:style>
  <w:style w:type="paragraph" w:styleId="ListNumber5">
    <w:name w:val="List Number 5"/>
    <w:basedOn w:val="Normal"/>
    <w:uiPriority w:val="49"/>
    <w:semiHidden/>
    <w:unhideWhenUsed/>
    <w:rsid w:val="000C73C1"/>
    <w:pPr>
      <w:numPr>
        <w:numId w:val="8"/>
      </w:numPr>
      <w:contextualSpacing/>
    </w:pPr>
  </w:style>
  <w:style w:type="paragraph" w:styleId="MacroText">
    <w:name w:val="macro"/>
    <w:link w:val="MacroTextChar"/>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semiHidden/>
    <w:rsid w:val="000C73C1"/>
    <w:rPr>
      <w:rFonts w:ascii="Consolas" w:hAnsi="Consolas" w:cs="Consolas"/>
      <w:lang w:eastAsia="en-US"/>
    </w:rPr>
  </w:style>
  <w:style w:type="paragraph" w:styleId="MessageHeader">
    <w:name w:val="Message Header"/>
    <w:basedOn w:val="Normal"/>
    <w:link w:val="MessageHeaderChar"/>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73C1"/>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link w:val="NoteHeadingChar"/>
    <w:uiPriority w:val="99"/>
    <w:semiHidden/>
    <w:unhideWhenUsed/>
    <w:rsid w:val="000C73C1"/>
  </w:style>
  <w:style w:type="character" w:customStyle="1" w:styleId="NoteHeadingChar">
    <w:name w:val="Note Heading Char"/>
    <w:basedOn w:val="DefaultParagraphFont"/>
    <w:link w:val="NoteHeading"/>
    <w:uiPriority w:val="99"/>
    <w:semiHidden/>
    <w:rsid w:val="000C73C1"/>
    <w:rPr>
      <w:rFonts w:ascii="Verdana" w:hAnsi="Verdana"/>
      <w:sz w:val="18"/>
      <w:szCs w:val="22"/>
      <w:lang w:eastAsia="en-US"/>
    </w:rPr>
  </w:style>
  <w:style w:type="character" w:styleId="PageNumber">
    <w:name w:val="page number"/>
    <w:basedOn w:val="DefaultParagraphFont"/>
    <w:uiPriority w:val="99"/>
    <w:semiHidden/>
    <w:unhideWhenUsed/>
    <w:rsid w:val="000C73C1"/>
  </w:style>
  <w:style w:type="character" w:styleId="PlaceholderText">
    <w:name w:val="Placeholder Text"/>
    <w:basedOn w:val="DefaultParagraphFont"/>
    <w:uiPriority w:val="99"/>
    <w:semiHidden/>
    <w:rsid w:val="000C73C1"/>
    <w:rPr>
      <w:color w:val="808080"/>
    </w:rPr>
  </w:style>
  <w:style w:type="paragraph" w:styleId="PlainText">
    <w:name w:val="Plain Text"/>
    <w:basedOn w:val="Normal"/>
    <w:link w:val="PlainTextChar"/>
    <w:uiPriority w:val="99"/>
    <w:unhideWhenUsed/>
    <w:rsid w:val="000C73C1"/>
    <w:rPr>
      <w:rFonts w:ascii="Consolas" w:hAnsi="Consolas" w:cs="Consolas"/>
      <w:sz w:val="21"/>
      <w:szCs w:val="21"/>
    </w:rPr>
  </w:style>
  <w:style w:type="character" w:customStyle="1" w:styleId="PlainTextChar">
    <w:name w:val="Plain Text Char"/>
    <w:basedOn w:val="DefaultParagraphFont"/>
    <w:link w:val="PlainText"/>
    <w:uiPriority w:val="99"/>
    <w:semiHidden/>
    <w:rsid w:val="000C73C1"/>
    <w:rPr>
      <w:rFonts w:ascii="Consolas" w:hAnsi="Consolas" w:cs="Consolas"/>
      <w:sz w:val="21"/>
      <w:szCs w:val="21"/>
      <w:lang w:eastAsia="en-US"/>
    </w:rPr>
  </w:style>
  <w:style w:type="paragraph" w:styleId="Quote">
    <w:name w:val="Quote"/>
    <w:basedOn w:val="Normal"/>
    <w:next w:val="Normal"/>
    <w:link w:val="QuoteChar"/>
    <w:uiPriority w:val="99"/>
    <w:qFormat/>
    <w:rsid w:val="000C73C1"/>
    <w:rPr>
      <w:i/>
      <w:iCs/>
      <w:color w:val="000000" w:themeColor="text1"/>
    </w:rPr>
  </w:style>
  <w:style w:type="character" w:customStyle="1" w:styleId="QuoteChar">
    <w:name w:val="Quote Char"/>
    <w:basedOn w:val="DefaultParagraphFont"/>
    <w:link w:val="Quote"/>
    <w:uiPriority w:val="99"/>
    <w:semiHidden/>
    <w:rsid w:val="000C73C1"/>
    <w:rPr>
      <w:rFonts w:ascii="Verdana" w:hAnsi="Verdana"/>
      <w:i/>
      <w:iCs/>
      <w:color w:val="000000" w:themeColor="text1"/>
      <w:sz w:val="18"/>
      <w:szCs w:val="22"/>
      <w:lang w:eastAsia="en-US"/>
    </w:rPr>
  </w:style>
  <w:style w:type="paragraph" w:styleId="Salutation">
    <w:name w:val="Salutation"/>
    <w:basedOn w:val="Normal"/>
    <w:next w:val="Normal"/>
    <w:link w:val="SalutationChar"/>
    <w:uiPriority w:val="99"/>
    <w:semiHidden/>
    <w:unhideWhenUsed/>
    <w:rsid w:val="000C73C1"/>
  </w:style>
  <w:style w:type="character" w:customStyle="1" w:styleId="SalutationChar">
    <w:name w:val="Salutation Char"/>
    <w:basedOn w:val="DefaultParagraphFont"/>
    <w:link w:val="Salutation"/>
    <w:uiPriority w:val="99"/>
    <w:semiHidden/>
    <w:rsid w:val="000C73C1"/>
    <w:rPr>
      <w:rFonts w:ascii="Verdana" w:hAnsi="Verdana"/>
      <w:sz w:val="18"/>
      <w:szCs w:val="22"/>
      <w:lang w:eastAsia="en-US"/>
    </w:rPr>
  </w:style>
  <w:style w:type="paragraph" w:styleId="Signature">
    <w:name w:val="Signature"/>
    <w:basedOn w:val="Normal"/>
    <w:link w:val="SignatureChar"/>
    <w:uiPriority w:val="99"/>
    <w:semiHidden/>
    <w:unhideWhenUsed/>
    <w:rsid w:val="000C73C1"/>
    <w:pPr>
      <w:ind w:left="4252"/>
    </w:pPr>
  </w:style>
  <w:style w:type="character" w:customStyle="1" w:styleId="SignatureChar">
    <w:name w:val="Signature Char"/>
    <w:basedOn w:val="DefaultParagraphFont"/>
    <w:link w:val="Signature"/>
    <w:uiPriority w:val="99"/>
    <w:semiHidden/>
    <w:rsid w:val="000C73C1"/>
    <w:rPr>
      <w:rFonts w:ascii="Verdana" w:hAnsi="Verdana"/>
      <w:sz w:val="18"/>
      <w:szCs w:val="22"/>
      <w:lang w:eastAsia="en-US"/>
    </w:rPr>
  </w:style>
  <w:style w:type="character" w:styleId="Strong">
    <w:name w:val="Strong"/>
    <w:basedOn w:val="DefaultParagraphFont"/>
    <w:uiPriority w:val="99"/>
    <w:semiHidden/>
    <w:qFormat/>
    <w:rsid w:val="000C73C1"/>
    <w:rPr>
      <w:b/>
      <w:bCs/>
    </w:rPr>
  </w:style>
  <w:style w:type="character" w:styleId="SubtleEmphasis">
    <w:name w:val="Subtle Emphasis"/>
    <w:basedOn w:val="DefaultParagraphFont"/>
    <w:uiPriority w:val="99"/>
    <w:semiHidden/>
    <w:qFormat/>
    <w:rsid w:val="000C73C1"/>
    <w:rPr>
      <w:i/>
      <w:iCs/>
      <w:color w:val="808080" w:themeColor="text1" w:themeTint="7F"/>
    </w:rPr>
  </w:style>
  <w:style w:type="character" w:styleId="SubtleReference">
    <w:name w:val="Subtle Reference"/>
    <w:basedOn w:val="DefaultParagraphFont"/>
    <w:uiPriority w:val="99"/>
    <w:semiHidden/>
    <w:qFormat/>
    <w:rsid w:val="000C73C1"/>
    <w:rPr>
      <w:smallCaps/>
      <w:color w:val="C0504D" w:themeColor="accent2"/>
      <w:u w:val="single"/>
    </w:rPr>
  </w:style>
  <w:style w:type="paragraph" w:styleId="TOAHeading">
    <w:name w:val="toa heading"/>
    <w:basedOn w:val="Normal"/>
    <w:next w:val="Normal"/>
    <w:uiPriority w:val="39"/>
    <w:unhideWhenUsed/>
    <w:rsid w:val="000C73C1"/>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DE3623"/>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ton\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1D3CE54-BC9F-41D2-B861-69058FFB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1</TotalTime>
  <Pages>60</Pages>
  <Words>59776</Words>
  <Characters>327573</Characters>
  <Application>Microsoft Office Word</Application>
  <DocSecurity>0</DocSecurity>
  <Lines>4679</Lines>
  <Paragraphs>1024</Paragraphs>
  <ScaleCrop>false</ScaleCrop>
  <HeadingPairs>
    <vt:vector size="2" baseType="variant">
      <vt:variant>
        <vt:lpstr>Title</vt:lpstr>
      </vt:variant>
      <vt:variant>
        <vt:i4>1</vt:i4>
      </vt:variant>
    </vt:vector>
  </HeadingPairs>
  <TitlesOfParts>
    <vt:vector size="1" baseType="lpstr">
      <vt:lpstr>U.S. - Tuna II (Mexico), Article 21.5 II</vt:lpstr>
    </vt:vector>
  </TitlesOfParts>
  <Manager/>
  <Company/>
  <LinksUpToDate>false</LinksUpToDate>
  <CharactersWithSpaces>386325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 Tuna II (Mexico), Article 21.5 II</dc:title>
  <dc:subject/>
  <dc:creator/>
  <cp:keywords/>
  <dc:description/>
  <cp:lastModifiedBy>Simon Lester</cp:lastModifiedBy>
  <cp:revision>2</cp:revision>
  <cp:lastPrinted>2018-12-13T18:10:00Z</cp:lastPrinted>
  <dcterms:created xsi:type="dcterms:W3CDTF">2018-12-14T21:31:00Z</dcterms:created>
  <dcterms:modified xsi:type="dcterms:W3CDTF">2018-12-14T21:35:00Z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WT/DS381/AB/RW/USA</vt:lpwstr>
  </property>
  <property fmtid="{D5CDD505-2E9C-101B-9397-08002B2CF9AE}" pid="3" name="Symbol2">
    <vt:lpwstr>WT/DS381/AB/RW2</vt:lpwstr>
  </property>
</Properties>
</file>