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F8C67" w14:textId="6689DC54" w:rsidR="00D8133D" w:rsidRPr="005E0F0F" w:rsidRDefault="00D8133D" w:rsidP="00F73DD3">
      <w:pPr>
        <w:pStyle w:val="Title"/>
      </w:pPr>
      <w:r w:rsidRPr="005E0F0F">
        <w:t>U</w:t>
      </w:r>
      <w:r w:rsidR="00E06518" w:rsidRPr="005E0F0F">
        <w:t>nited States</w:t>
      </w:r>
      <w:r w:rsidRPr="005E0F0F">
        <w:t xml:space="preserve"> – Countervailing Measures on </w:t>
      </w:r>
    </w:p>
    <w:p w14:paraId="235A07BD" w14:textId="77777777" w:rsidR="00EF273A" w:rsidRPr="005E0F0F" w:rsidRDefault="00D8133D" w:rsidP="00F73DD3">
      <w:pPr>
        <w:pStyle w:val="Title"/>
      </w:pPr>
      <w:r w:rsidRPr="005E0F0F">
        <w:t>Supercalendered Paper from Canada</w:t>
      </w:r>
    </w:p>
    <w:p w14:paraId="4FE7999A" w14:textId="7DD98FC3" w:rsidR="00EF273A" w:rsidRPr="005E0F0F" w:rsidRDefault="00CE371F" w:rsidP="00F73DD3">
      <w:pPr>
        <w:pStyle w:val="Title2"/>
      </w:pPr>
      <w:r w:rsidRPr="005E0F0F">
        <w:t>AB</w:t>
      </w:r>
      <w:r w:rsidR="007643D6" w:rsidRPr="005E0F0F">
        <w:noBreakHyphen/>
      </w:r>
      <w:r w:rsidR="00D8133D" w:rsidRPr="005E0F0F">
        <w:t>2018</w:t>
      </w:r>
      <w:r w:rsidR="007643D6" w:rsidRPr="005E0F0F">
        <w:noBreakHyphen/>
      </w:r>
      <w:r w:rsidR="00D8133D" w:rsidRPr="005E0F0F">
        <w:t>8</w:t>
      </w:r>
    </w:p>
    <w:p w14:paraId="02FC8EC7" w14:textId="3661FD1A" w:rsidR="00EF273A" w:rsidRDefault="00EF273A" w:rsidP="00F73DD3">
      <w:pPr>
        <w:pStyle w:val="Title3"/>
      </w:pPr>
      <w:r w:rsidRPr="005E0F0F">
        <w:t>Report of the Appellate</w:t>
      </w:r>
      <w:r w:rsidR="00362CFF" w:rsidRPr="005E0F0F">
        <w:t> </w:t>
      </w:r>
      <w:r w:rsidRPr="005E0F0F">
        <w:t>Body</w:t>
      </w:r>
    </w:p>
    <w:p w14:paraId="683798B2" w14:textId="77777777" w:rsidR="00F73DD3" w:rsidRPr="00F73DD3" w:rsidRDefault="00F73DD3" w:rsidP="00F73DD3">
      <w:pPr>
        <w:rPr>
          <w:lang w:eastAsia="en-GB"/>
        </w:rPr>
      </w:pPr>
    </w:p>
    <w:p w14:paraId="2DFE1600" w14:textId="597802D3" w:rsidR="00806E5D" w:rsidRPr="005E0F0F" w:rsidRDefault="00806E5D" w:rsidP="00F73DD3">
      <w:pPr>
        <w:jc w:val="center"/>
        <w:rPr>
          <w:lang w:eastAsia="en-GB"/>
        </w:rPr>
      </w:pPr>
    </w:p>
    <w:p w14:paraId="079ED034" w14:textId="77777777" w:rsidR="00EF273A" w:rsidRPr="005E0F0F" w:rsidRDefault="00EF273A" w:rsidP="00F73DD3">
      <w:pPr>
        <w:pStyle w:val="TOCHeading"/>
      </w:pPr>
      <w:r w:rsidRPr="005E0F0F">
        <w:br w:type="page"/>
      </w:r>
      <w:r w:rsidR="00E44285" w:rsidRPr="005E0F0F">
        <w:lastRenderedPageBreak/>
        <w:t xml:space="preserve">Table </w:t>
      </w:r>
      <w:r w:rsidR="00BB7DD3" w:rsidRPr="005E0F0F">
        <w:t>o</w:t>
      </w:r>
      <w:r w:rsidR="00E44285" w:rsidRPr="005E0F0F">
        <w:t>f Contents</w:t>
      </w:r>
    </w:p>
    <w:p w14:paraId="72A608F8" w14:textId="77777777" w:rsidR="00EF273A" w:rsidRPr="005E0F0F" w:rsidRDefault="00EF273A" w:rsidP="00F73DD3"/>
    <w:p w14:paraId="0750971C" w14:textId="126AED61" w:rsidR="00B21831" w:rsidRPr="005E0F0F" w:rsidRDefault="00EF273A" w:rsidP="00F73DD3">
      <w:pPr>
        <w:pStyle w:val="TOC1"/>
        <w:rPr>
          <w:rFonts w:asciiTheme="minorHAnsi" w:eastAsiaTheme="minorEastAsia" w:hAnsiTheme="minorHAnsi" w:cstheme="minorBidi"/>
          <w:noProof/>
          <w:sz w:val="22"/>
          <w:szCs w:val="22"/>
        </w:rPr>
      </w:pPr>
      <w:r w:rsidRPr="00F97844">
        <w:fldChar w:fldCharType="begin"/>
      </w:r>
      <w:r w:rsidRPr="005E0F0F">
        <w:instrText xml:space="preserve"> TOC \o "1-6" \h \z \u </w:instrText>
      </w:r>
      <w:r w:rsidRPr="00F97844">
        <w:fldChar w:fldCharType="separate"/>
      </w:r>
      <w:hyperlink w:anchor="_Toc30412724" w:history="1">
        <w:r w:rsidR="00B21831" w:rsidRPr="005E0F0F">
          <w:rPr>
            <w:rStyle w:val="Hyperlink"/>
            <w:noProof/>
          </w:rPr>
          <w:t>1   Introduction</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_Toc30412724 \h </w:instrText>
        </w:r>
        <w:r w:rsidR="00B21831" w:rsidRPr="005E0F0F">
          <w:rPr>
            <w:noProof/>
            <w:webHidden/>
          </w:rPr>
        </w:r>
        <w:r w:rsidR="00B21831" w:rsidRPr="005E0F0F">
          <w:rPr>
            <w:noProof/>
            <w:webHidden/>
          </w:rPr>
          <w:fldChar w:fldCharType="separate"/>
        </w:r>
        <w:r w:rsidR="00C41941">
          <w:rPr>
            <w:noProof/>
            <w:webHidden/>
          </w:rPr>
          <w:t>8</w:t>
        </w:r>
        <w:r w:rsidR="00B21831" w:rsidRPr="005E0F0F">
          <w:rPr>
            <w:noProof/>
            <w:webHidden/>
          </w:rPr>
          <w:fldChar w:fldCharType="end"/>
        </w:r>
      </w:hyperlink>
    </w:p>
    <w:p w14:paraId="39C1B03D" w14:textId="74B052DA" w:rsidR="00B21831" w:rsidRPr="005E0F0F" w:rsidRDefault="007D7CB3" w:rsidP="00F73DD3">
      <w:pPr>
        <w:pStyle w:val="TOC1"/>
        <w:rPr>
          <w:rFonts w:asciiTheme="minorHAnsi" w:eastAsiaTheme="minorEastAsia" w:hAnsiTheme="minorHAnsi" w:cstheme="minorBidi"/>
          <w:noProof/>
          <w:sz w:val="22"/>
          <w:szCs w:val="22"/>
        </w:rPr>
      </w:pPr>
      <w:hyperlink w:anchor="_Toc30412725" w:history="1">
        <w:r w:rsidR="00B21831" w:rsidRPr="005E0F0F">
          <w:rPr>
            <w:rStyle w:val="Hyperlink"/>
            <w:noProof/>
          </w:rPr>
          <w:t>2   Arguments of the Participants</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_Toc30412725 \h </w:instrText>
        </w:r>
        <w:r w:rsidR="00B21831" w:rsidRPr="005E0F0F">
          <w:rPr>
            <w:noProof/>
            <w:webHidden/>
          </w:rPr>
        </w:r>
        <w:r w:rsidR="00B21831" w:rsidRPr="005E0F0F">
          <w:rPr>
            <w:noProof/>
            <w:webHidden/>
          </w:rPr>
          <w:fldChar w:fldCharType="separate"/>
        </w:r>
        <w:r w:rsidR="00C41941">
          <w:rPr>
            <w:noProof/>
            <w:webHidden/>
          </w:rPr>
          <w:t>12</w:t>
        </w:r>
        <w:r w:rsidR="00B21831" w:rsidRPr="005E0F0F">
          <w:rPr>
            <w:noProof/>
            <w:webHidden/>
          </w:rPr>
          <w:fldChar w:fldCharType="end"/>
        </w:r>
      </w:hyperlink>
    </w:p>
    <w:p w14:paraId="5692EE4C" w14:textId="37FBFF3D" w:rsidR="00B21831" w:rsidRPr="005E0F0F" w:rsidRDefault="007D7CB3" w:rsidP="00F73DD3">
      <w:pPr>
        <w:pStyle w:val="TOC1"/>
        <w:rPr>
          <w:rFonts w:asciiTheme="minorHAnsi" w:eastAsiaTheme="minorEastAsia" w:hAnsiTheme="minorHAnsi" w:cstheme="minorBidi"/>
          <w:noProof/>
          <w:sz w:val="22"/>
          <w:szCs w:val="22"/>
        </w:rPr>
      </w:pPr>
      <w:hyperlink w:anchor="_Toc30412726" w:history="1">
        <w:r w:rsidR="00B21831" w:rsidRPr="005E0F0F">
          <w:rPr>
            <w:rStyle w:val="Hyperlink"/>
            <w:noProof/>
          </w:rPr>
          <w:t>3   Arguments of the Third Participants</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_Toc30412726 \h </w:instrText>
        </w:r>
        <w:r w:rsidR="00B21831" w:rsidRPr="005E0F0F">
          <w:rPr>
            <w:noProof/>
            <w:webHidden/>
          </w:rPr>
        </w:r>
        <w:r w:rsidR="00B21831" w:rsidRPr="005E0F0F">
          <w:rPr>
            <w:noProof/>
            <w:webHidden/>
          </w:rPr>
          <w:fldChar w:fldCharType="separate"/>
        </w:r>
        <w:r w:rsidR="00C41941">
          <w:rPr>
            <w:noProof/>
            <w:webHidden/>
          </w:rPr>
          <w:t>12</w:t>
        </w:r>
        <w:r w:rsidR="00B21831" w:rsidRPr="005E0F0F">
          <w:rPr>
            <w:noProof/>
            <w:webHidden/>
          </w:rPr>
          <w:fldChar w:fldCharType="end"/>
        </w:r>
      </w:hyperlink>
    </w:p>
    <w:p w14:paraId="5DCCC727" w14:textId="7494C8EC" w:rsidR="00B21831" w:rsidRPr="005E0F0F" w:rsidRDefault="007D7CB3" w:rsidP="00F73DD3">
      <w:pPr>
        <w:pStyle w:val="TOC1"/>
        <w:rPr>
          <w:rFonts w:asciiTheme="minorHAnsi" w:eastAsiaTheme="minorEastAsia" w:hAnsiTheme="minorHAnsi" w:cstheme="minorBidi"/>
          <w:noProof/>
          <w:sz w:val="22"/>
          <w:szCs w:val="22"/>
        </w:rPr>
      </w:pPr>
      <w:hyperlink w:anchor="_Toc30412727" w:history="1">
        <w:r w:rsidR="00B21831" w:rsidRPr="005E0F0F">
          <w:rPr>
            <w:rStyle w:val="Hyperlink"/>
            <w:noProof/>
          </w:rPr>
          <w:t>4   Issues raised in this appeal</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_Toc30412727 \h </w:instrText>
        </w:r>
        <w:r w:rsidR="00B21831" w:rsidRPr="005E0F0F">
          <w:rPr>
            <w:noProof/>
            <w:webHidden/>
          </w:rPr>
        </w:r>
        <w:r w:rsidR="00B21831" w:rsidRPr="005E0F0F">
          <w:rPr>
            <w:noProof/>
            <w:webHidden/>
          </w:rPr>
          <w:fldChar w:fldCharType="separate"/>
        </w:r>
        <w:r w:rsidR="00C41941">
          <w:rPr>
            <w:noProof/>
            <w:webHidden/>
          </w:rPr>
          <w:t>12</w:t>
        </w:r>
        <w:r w:rsidR="00B21831" w:rsidRPr="005E0F0F">
          <w:rPr>
            <w:noProof/>
            <w:webHidden/>
          </w:rPr>
          <w:fldChar w:fldCharType="end"/>
        </w:r>
      </w:hyperlink>
    </w:p>
    <w:p w14:paraId="14011271" w14:textId="40DBC797" w:rsidR="00B21831" w:rsidRPr="005E0F0F" w:rsidRDefault="007D7CB3" w:rsidP="00F73DD3">
      <w:pPr>
        <w:pStyle w:val="TOC1"/>
        <w:rPr>
          <w:rFonts w:asciiTheme="minorHAnsi" w:eastAsiaTheme="minorEastAsia" w:hAnsiTheme="minorHAnsi" w:cstheme="minorBidi"/>
          <w:noProof/>
          <w:sz w:val="22"/>
          <w:szCs w:val="22"/>
        </w:rPr>
      </w:pPr>
      <w:hyperlink w:anchor="_Toc30412728" w:history="1">
        <w:r w:rsidR="00B21831" w:rsidRPr="005E0F0F">
          <w:rPr>
            <w:rStyle w:val="Hyperlink"/>
            <w:noProof/>
          </w:rPr>
          <w:t>5   Analysis of the Appellate Body</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_Toc30412728 \h </w:instrText>
        </w:r>
        <w:r w:rsidR="00B21831" w:rsidRPr="005E0F0F">
          <w:rPr>
            <w:noProof/>
            <w:webHidden/>
          </w:rPr>
        </w:r>
        <w:r w:rsidR="00B21831" w:rsidRPr="005E0F0F">
          <w:rPr>
            <w:noProof/>
            <w:webHidden/>
          </w:rPr>
          <w:fldChar w:fldCharType="separate"/>
        </w:r>
        <w:r w:rsidR="00C41941">
          <w:rPr>
            <w:noProof/>
            <w:webHidden/>
          </w:rPr>
          <w:t>12</w:t>
        </w:r>
        <w:r w:rsidR="00B21831" w:rsidRPr="005E0F0F">
          <w:rPr>
            <w:noProof/>
            <w:webHidden/>
          </w:rPr>
          <w:fldChar w:fldCharType="end"/>
        </w:r>
      </w:hyperlink>
    </w:p>
    <w:p w14:paraId="082D226A" w14:textId="6081C7C7" w:rsidR="00B21831" w:rsidRPr="005E0F0F" w:rsidRDefault="007D7CB3" w:rsidP="00F73DD3">
      <w:pPr>
        <w:pStyle w:val="TOC2"/>
        <w:rPr>
          <w:rFonts w:asciiTheme="minorHAnsi" w:eastAsiaTheme="minorEastAsia" w:hAnsiTheme="minorHAnsi" w:cstheme="minorBidi"/>
          <w:noProof/>
          <w:sz w:val="22"/>
          <w:szCs w:val="22"/>
        </w:rPr>
      </w:pPr>
      <w:hyperlink w:anchor="_Toc30412729" w:history="1">
        <w:r w:rsidR="00B21831" w:rsidRPr="005E0F0F">
          <w:rPr>
            <w:rStyle w:val="Hyperlink"/>
            <w:noProof/>
          </w:rPr>
          <w:t>5.1   Alleged OFA</w:t>
        </w:r>
        <w:r w:rsidR="00B21831" w:rsidRPr="005E0F0F">
          <w:rPr>
            <w:rStyle w:val="Hyperlink"/>
            <w:noProof/>
          </w:rPr>
          <w:noBreakHyphen/>
          <w:t>AFA measure</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_Toc30412729 \h </w:instrText>
        </w:r>
        <w:r w:rsidR="00B21831" w:rsidRPr="005E0F0F">
          <w:rPr>
            <w:noProof/>
            <w:webHidden/>
          </w:rPr>
        </w:r>
        <w:r w:rsidR="00B21831" w:rsidRPr="005E0F0F">
          <w:rPr>
            <w:noProof/>
            <w:webHidden/>
          </w:rPr>
          <w:fldChar w:fldCharType="separate"/>
        </w:r>
        <w:r w:rsidR="00C41941">
          <w:rPr>
            <w:noProof/>
            <w:webHidden/>
          </w:rPr>
          <w:t>13</w:t>
        </w:r>
        <w:r w:rsidR="00B21831" w:rsidRPr="005E0F0F">
          <w:rPr>
            <w:noProof/>
            <w:webHidden/>
          </w:rPr>
          <w:fldChar w:fldCharType="end"/>
        </w:r>
      </w:hyperlink>
    </w:p>
    <w:p w14:paraId="468DFA2C" w14:textId="5F96F1C1" w:rsidR="00B21831" w:rsidRPr="005E0F0F" w:rsidRDefault="007D7CB3" w:rsidP="00F73DD3">
      <w:pPr>
        <w:pStyle w:val="TOC3"/>
        <w:rPr>
          <w:rFonts w:asciiTheme="minorHAnsi" w:eastAsiaTheme="minorEastAsia" w:hAnsiTheme="minorHAnsi" w:cstheme="minorBidi"/>
          <w:noProof/>
          <w:sz w:val="22"/>
          <w:szCs w:val="22"/>
        </w:rPr>
      </w:pPr>
      <w:hyperlink w:anchor="_Toc30412730" w:history="1">
        <w:r w:rsidR="00B21831" w:rsidRPr="005E0F0F">
          <w:rPr>
            <w:rStyle w:val="Hyperlink"/>
            <w:noProof/>
          </w:rPr>
          <w:t>5.1.1   Introduction</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_Toc30412730 \h </w:instrText>
        </w:r>
        <w:r w:rsidR="00B21831" w:rsidRPr="005E0F0F">
          <w:rPr>
            <w:noProof/>
            <w:webHidden/>
          </w:rPr>
        </w:r>
        <w:r w:rsidR="00B21831" w:rsidRPr="005E0F0F">
          <w:rPr>
            <w:noProof/>
            <w:webHidden/>
          </w:rPr>
          <w:fldChar w:fldCharType="separate"/>
        </w:r>
        <w:r w:rsidR="00C41941">
          <w:rPr>
            <w:noProof/>
            <w:webHidden/>
          </w:rPr>
          <w:t>13</w:t>
        </w:r>
        <w:r w:rsidR="00B21831" w:rsidRPr="005E0F0F">
          <w:rPr>
            <w:noProof/>
            <w:webHidden/>
          </w:rPr>
          <w:fldChar w:fldCharType="end"/>
        </w:r>
      </w:hyperlink>
    </w:p>
    <w:p w14:paraId="4FC356A1" w14:textId="78F52D58" w:rsidR="00B21831" w:rsidRPr="005E0F0F" w:rsidRDefault="007D7CB3" w:rsidP="00F73DD3">
      <w:pPr>
        <w:pStyle w:val="TOC3"/>
        <w:rPr>
          <w:rFonts w:asciiTheme="minorHAnsi" w:eastAsiaTheme="minorEastAsia" w:hAnsiTheme="minorHAnsi" w:cstheme="minorBidi"/>
          <w:noProof/>
          <w:sz w:val="22"/>
          <w:szCs w:val="22"/>
        </w:rPr>
      </w:pPr>
      <w:hyperlink w:anchor="_Toc30412731" w:history="1">
        <w:r w:rsidR="00B21831" w:rsidRPr="005E0F0F">
          <w:rPr>
            <w:rStyle w:val="Hyperlink"/>
            <w:noProof/>
          </w:rPr>
          <w:t>5.1.2   The Panel's findings</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_Toc30412731 \h </w:instrText>
        </w:r>
        <w:r w:rsidR="00B21831" w:rsidRPr="005E0F0F">
          <w:rPr>
            <w:noProof/>
            <w:webHidden/>
          </w:rPr>
        </w:r>
        <w:r w:rsidR="00B21831" w:rsidRPr="005E0F0F">
          <w:rPr>
            <w:noProof/>
            <w:webHidden/>
          </w:rPr>
          <w:fldChar w:fldCharType="separate"/>
        </w:r>
        <w:r w:rsidR="00C41941">
          <w:rPr>
            <w:noProof/>
            <w:webHidden/>
          </w:rPr>
          <w:t>13</w:t>
        </w:r>
        <w:r w:rsidR="00B21831" w:rsidRPr="005E0F0F">
          <w:rPr>
            <w:noProof/>
            <w:webHidden/>
          </w:rPr>
          <w:fldChar w:fldCharType="end"/>
        </w:r>
      </w:hyperlink>
    </w:p>
    <w:p w14:paraId="13DF46DE" w14:textId="638FF8D1" w:rsidR="00B21831" w:rsidRPr="005E0F0F" w:rsidRDefault="007D7CB3" w:rsidP="00F73DD3">
      <w:pPr>
        <w:pStyle w:val="TOC3"/>
        <w:rPr>
          <w:rFonts w:asciiTheme="minorHAnsi" w:eastAsiaTheme="minorEastAsia" w:hAnsiTheme="minorHAnsi" w:cstheme="minorBidi"/>
          <w:noProof/>
          <w:sz w:val="22"/>
          <w:szCs w:val="22"/>
        </w:rPr>
      </w:pPr>
      <w:hyperlink w:anchor="_Toc30412732" w:history="1">
        <w:r w:rsidR="00B21831" w:rsidRPr="005E0F0F">
          <w:rPr>
            <w:rStyle w:val="Hyperlink"/>
            <w:noProof/>
          </w:rPr>
          <w:t>5.1.3   Scope of appellate review under Article 17.6 of the DSU</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_Toc30412732 \h </w:instrText>
        </w:r>
        <w:r w:rsidR="00B21831" w:rsidRPr="005E0F0F">
          <w:rPr>
            <w:noProof/>
            <w:webHidden/>
          </w:rPr>
        </w:r>
        <w:r w:rsidR="00B21831" w:rsidRPr="005E0F0F">
          <w:rPr>
            <w:noProof/>
            <w:webHidden/>
          </w:rPr>
          <w:fldChar w:fldCharType="separate"/>
        </w:r>
        <w:r w:rsidR="00C41941">
          <w:rPr>
            <w:noProof/>
            <w:webHidden/>
          </w:rPr>
          <w:t>15</w:t>
        </w:r>
        <w:r w:rsidR="00B21831" w:rsidRPr="005E0F0F">
          <w:rPr>
            <w:noProof/>
            <w:webHidden/>
          </w:rPr>
          <w:fldChar w:fldCharType="end"/>
        </w:r>
      </w:hyperlink>
    </w:p>
    <w:p w14:paraId="77AE6718" w14:textId="09E42369" w:rsidR="00B21831" w:rsidRPr="005E0F0F" w:rsidRDefault="007D7CB3" w:rsidP="00F73DD3">
      <w:pPr>
        <w:pStyle w:val="TOC3"/>
        <w:rPr>
          <w:rFonts w:asciiTheme="minorHAnsi" w:eastAsiaTheme="minorEastAsia" w:hAnsiTheme="minorHAnsi" w:cstheme="minorBidi"/>
          <w:noProof/>
          <w:sz w:val="22"/>
          <w:szCs w:val="22"/>
        </w:rPr>
      </w:pPr>
      <w:hyperlink w:anchor="_Toc30412733" w:history="1">
        <w:r w:rsidR="00B21831" w:rsidRPr="005E0F0F">
          <w:rPr>
            <w:rStyle w:val="Hyperlink"/>
            <w:noProof/>
          </w:rPr>
          <w:t>5.1.4   Whether the Panel erred by finding that the alleged OFA</w:t>
        </w:r>
        <w:r w:rsidR="00B21831" w:rsidRPr="005E0F0F">
          <w:rPr>
            <w:rStyle w:val="Hyperlink"/>
            <w:noProof/>
          </w:rPr>
          <w:noBreakHyphen/>
          <w:t>AFA measure amounted to a "measure" that could be challenged under the DSU as "ongoing conduct"</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_Toc30412733 \h </w:instrText>
        </w:r>
        <w:r w:rsidR="00B21831" w:rsidRPr="005E0F0F">
          <w:rPr>
            <w:noProof/>
            <w:webHidden/>
          </w:rPr>
        </w:r>
        <w:r w:rsidR="00B21831" w:rsidRPr="005E0F0F">
          <w:rPr>
            <w:noProof/>
            <w:webHidden/>
          </w:rPr>
          <w:fldChar w:fldCharType="separate"/>
        </w:r>
        <w:r w:rsidR="00C41941">
          <w:rPr>
            <w:noProof/>
            <w:webHidden/>
          </w:rPr>
          <w:t>16</w:t>
        </w:r>
        <w:r w:rsidR="00B21831" w:rsidRPr="005E0F0F">
          <w:rPr>
            <w:noProof/>
            <w:webHidden/>
          </w:rPr>
          <w:fldChar w:fldCharType="end"/>
        </w:r>
      </w:hyperlink>
    </w:p>
    <w:p w14:paraId="78B6099D" w14:textId="7A29079B" w:rsidR="00B21831" w:rsidRPr="005E0F0F" w:rsidRDefault="007D7CB3" w:rsidP="00F73DD3">
      <w:pPr>
        <w:pStyle w:val="TOC4"/>
        <w:rPr>
          <w:rFonts w:asciiTheme="minorHAnsi" w:eastAsiaTheme="minorEastAsia" w:hAnsiTheme="minorHAnsi" w:cstheme="minorBidi"/>
          <w:noProof/>
          <w:sz w:val="22"/>
          <w:szCs w:val="22"/>
        </w:rPr>
      </w:pPr>
      <w:hyperlink w:anchor="_Toc30412734" w:history="1">
        <w:r w:rsidR="00B21831" w:rsidRPr="005E0F0F">
          <w:rPr>
            <w:rStyle w:val="Hyperlink"/>
            <w:noProof/>
          </w:rPr>
          <w:t>5.1.4.1   Precise content of the alleged OFA</w:t>
        </w:r>
        <w:r w:rsidR="00B21831" w:rsidRPr="005E0F0F">
          <w:rPr>
            <w:rStyle w:val="Hyperlink"/>
            <w:noProof/>
          </w:rPr>
          <w:noBreakHyphen/>
          <w:t>AFA measure</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_Toc30412734 \h </w:instrText>
        </w:r>
        <w:r w:rsidR="00B21831" w:rsidRPr="005E0F0F">
          <w:rPr>
            <w:noProof/>
            <w:webHidden/>
          </w:rPr>
        </w:r>
        <w:r w:rsidR="00B21831" w:rsidRPr="005E0F0F">
          <w:rPr>
            <w:noProof/>
            <w:webHidden/>
          </w:rPr>
          <w:fldChar w:fldCharType="separate"/>
        </w:r>
        <w:r w:rsidR="00C41941">
          <w:rPr>
            <w:noProof/>
            <w:webHidden/>
          </w:rPr>
          <w:t>17</w:t>
        </w:r>
        <w:r w:rsidR="00B21831" w:rsidRPr="005E0F0F">
          <w:rPr>
            <w:noProof/>
            <w:webHidden/>
          </w:rPr>
          <w:fldChar w:fldCharType="end"/>
        </w:r>
      </w:hyperlink>
    </w:p>
    <w:p w14:paraId="7A9BBCA6" w14:textId="43D15526" w:rsidR="00B21831" w:rsidRPr="005E0F0F" w:rsidRDefault="007D7CB3" w:rsidP="00F73DD3">
      <w:pPr>
        <w:pStyle w:val="TOC4"/>
        <w:rPr>
          <w:rFonts w:asciiTheme="minorHAnsi" w:eastAsiaTheme="minorEastAsia" w:hAnsiTheme="minorHAnsi" w:cstheme="minorBidi"/>
          <w:noProof/>
          <w:sz w:val="22"/>
          <w:szCs w:val="22"/>
        </w:rPr>
      </w:pPr>
      <w:hyperlink w:anchor="_Toc30412735" w:history="1">
        <w:r w:rsidR="00B21831" w:rsidRPr="005E0F0F">
          <w:rPr>
            <w:rStyle w:val="Hyperlink"/>
            <w:noProof/>
          </w:rPr>
          <w:t>5.1.4.2   Repeated application of the alleged OFA</w:t>
        </w:r>
        <w:r w:rsidR="00B21831" w:rsidRPr="005E0F0F">
          <w:rPr>
            <w:rStyle w:val="Hyperlink"/>
            <w:noProof/>
          </w:rPr>
          <w:noBreakHyphen/>
          <w:t>AFA measure</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_Toc30412735 \h </w:instrText>
        </w:r>
        <w:r w:rsidR="00B21831" w:rsidRPr="005E0F0F">
          <w:rPr>
            <w:noProof/>
            <w:webHidden/>
          </w:rPr>
        </w:r>
        <w:r w:rsidR="00B21831" w:rsidRPr="005E0F0F">
          <w:rPr>
            <w:noProof/>
            <w:webHidden/>
          </w:rPr>
          <w:fldChar w:fldCharType="separate"/>
        </w:r>
        <w:r w:rsidR="00C41941">
          <w:rPr>
            <w:noProof/>
            <w:webHidden/>
          </w:rPr>
          <w:t>19</w:t>
        </w:r>
        <w:r w:rsidR="00B21831" w:rsidRPr="005E0F0F">
          <w:rPr>
            <w:noProof/>
            <w:webHidden/>
          </w:rPr>
          <w:fldChar w:fldCharType="end"/>
        </w:r>
      </w:hyperlink>
    </w:p>
    <w:p w14:paraId="43A12CCF" w14:textId="68671EB0" w:rsidR="00B21831" w:rsidRPr="005E0F0F" w:rsidRDefault="007D7CB3" w:rsidP="00F73DD3">
      <w:pPr>
        <w:pStyle w:val="TOC4"/>
        <w:rPr>
          <w:rFonts w:asciiTheme="minorHAnsi" w:eastAsiaTheme="minorEastAsia" w:hAnsiTheme="minorHAnsi" w:cstheme="minorBidi"/>
          <w:noProof/>
          <w:sz w:val="22"/>
          <w:szCs w:val="22"/>
        </w:rPr>
      </w:pPr>
      <w:hyperlink w:anchor="_Toc30412736" w:history="1">
        <w:r w:rsidR="00B21831" w:rsidRPr="005E0F0F">
          <w:rPr>
            <w:rStyle w:val="Hyperlink"/>
            <w:noProof/>
          </w:rPr>
          <w:t>5.1.4.3   Likelihood of continued application of the alleged OFA</w:t>
        </w:r>
        <w:r w:rsidR="00B21831" w:rsidRPr="005E0F0F">
          <w:rPr>
            <w:rStyle w:val="Hyperlink"/>
            <w:noProof/>
          </w:rPr>
          <w:noBreakHyphen/>
          <w:t>AFA measure</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_Toc30412736 \h </w:instrText>
        </w:r>
        <w:r w:rsidR="00B21831" w:rsidRPr="005E0F0F">
          <w:rPr>
            <w:noProof/>
            <w:webHidden/>
          </w:rPr>
        </w:r>
        <w:r w:rsidR="00B21831" w:rsidRPr="005E0F0F">
          <w:rPr>
            <w:noProof/>
            <w:webHidden/>
          </w:rPr>
          <w:fldChar w:fldCharType="separate"/>
        </w:r>
        <w:r w:rsidR="00C41941">
          <w:rPr>
            <w:noProof/>
            <w:webHidden/>
          </w:rPr>
          <w:t>23</w:t>
        </w:r>
        <w:r w:rsidR="00B21831" w:rsidRPr="005E0F0F">
          <w:rPr>
            <w:noProof/>
            <w:webHidden/>
          </w:rPr>
          <w:fldChar w:fldCharType="end"/>
        </w:r>
      </w:hyperlink>
    </w:p>
    <w:p w14:paraId="1940C875" w14:textId="4A4CE0D0" w:rsidR="00B21831" w:rsidRPr="005E0F0F" w:rsidRDefault="007D7CB3" w:rsidP="00F73DD3">
      <w:pPr>
        <w:pStyle w:val="TOC3"/>
        <w:rPr>
          <w:rFonts w:asciiTheme="minorHAnsi" w:eastAsiaTheme="minorEastAsia" w:hAnsiTheme="minorHAnsi" w:cstheme="minorBidi"/>
          <w:noProof/>
          <w:sz w:val="22"/>
          <w:szCs w:val="22"/>
        </w:rPr>
      </w:pPr>
      <w:hyperlink w:anchor="_Toc30412737" w:history="1">
        <w:r w:rsidR="00B21831" w:rsidRPr="005E0F0F">
          <w:rPr>
            <w:rStyle w:val="Hyperlink"/>
            <w:noProof/>
          </w:rPr>
          <w:t>5.1.5   Conclusion</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_Toc30412737 \h </w:instrText>
        </w:r>
        <w:r w:rsidR="00B21831" w:rsidRPr="005E0F0F">
          <w:rPr>
            <w:noProof/>
            <w:webHidden/>
          </w:rPr>
        </w:r>
        <w:r w:rsidR="00B21831" w:rsidRPr="005E0F0F">
          <w:rPr>
            <w:noProof/>
            <w:webHidden/>
          </w:rPr>
          <w:fldChar w:fldCharType="separate"/>
        </w:r>
        <w:r w:rsidR="00C41941">
          <w:rPr>
            <w:noProof/>
            <w:webHidden/>
          </w:rPr>
          <w:t>25</w:t>
        </w:r>
        <w:r w:rsidR="00B21831" w:rsidRPr="005E0F0F">
          <w:rPr>
            <w:noProof/>
            <w:webHidden/>
          </w:rPr>
          <w:fldChar w:fldCharType="end"/>
        </w:r>
      </w:hyperlink>
    </w:p>
    <w:p w14:paraId="65570060" w14:textId="3C4BBE4E" w:rsidR="00B21831" w:rsidRPr="005E0F0F" w:rsidRDefault="007D7CB3" w:rsidP="00F73DD3">
      <w:pPr>
        <w:pStyle w:val="TOC2"/>
        <w:rPr>
          <w:rFonts w:asciiTheme="minorHAnsi" w:eastAsiaTheme="minorEastAsia" w:hAnsiTheme="minorHAnsi" w:cstheme="minorBidi"/>
          <w:noProof/>
          <w:sz w:val="22"/>
          <w:szCs w:val="22"/>
        </w:rPr>
      </w:pPr>
      <w:hyperlink w:anchor="_Toc30412738" w:history="1">
        <w:r w:rsidR="00B21831" w:rsidRPr="005E0F0F">
          <w:rPr>
            <w:rStyle w:val="Hyperlink"/>
            <w:noProof/>
          </w:rPr>
          <w:t>5.2   Article 12.7 of the SCM Agreement</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_Toc30412738 \h </w:instrText>
        </w:r>
        <w:r w:rsidR="00B21831" w:rsidRPr="005E0F0F">
          <w:rPr>
            <w:noProof/>
            <w:webHidden/>
          </w:rPr>
        </w:r>
        <w:r w:rsidR="00B21831" w:rsidRPr="005E0F0F">
          <w:rPr>
            <w:noProof/>
            <w:webHidden/>
          </w:rPr>
          <w:fldChar w:fldCharType="separate"/>
        </w:r>
        <w:r w:rsidR="00C41941">
          <w:rPr>
            <w:noProof/>
            <w:webHidden/>
          </w:rPr>
          <w:t>25</w:t>
        </w:r>
        <w:r w:rsidR="00B21831" w:rsidRPr="005E0F0F">
          <w:rPr>
            <w:noProof/>
            <w:webHidden/>
          </w:rPr>
          <w:fldChar w:fldCharType="end"/>
        </w:r>
      </w:hyperlink>
    </w:p>
    <w:p w14:paraId="55B654D7" w14:textId="19A5B4A4" w:rsidR="00B21831" w:rsidRPr="005E0F0F" w:rsidRDefault="007D7CB3" w:rsidP="00F73DD3">
      <w:pPr>
        <w:pStyle w:val="TOC3"/>
        <w:rPr>
          <w:rFonts w:asciiTheme="minorHAnsi" w:eastAsiaTheme="minorEastAsia" w:hAnsiTheme="minorHAnsi" w:cstheme="minorBidi"/>
          <w:noProof/>
          <w:sz w:val="22"/>
          <w:szCs w:val="22"/>
        </w:rPr>
      </w:pPr>
      <w:hyperlink w:anchor="_Toc30412739" w:history="1">
        <w:r w:rsidR="00B21831" w:rsidRPr="005E0F0F">
          <w:rPr>
            <w:rStyle w:val="Hyperlink"/>
            <w:noProof/>
          </w:rPr>
          <w:t>5.2.1   Introduction</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_Toc30412739 \h </w:instrText>
        </w:r>
        <w:r w:rsidR="00B21831" w:rsidRPr="005E0F0F">
          <w:rPr>
            <w:noProof/>
            <w:webHidden/>
          </w:rPr>
        </w:r>
        <w:r w:rsidR="00B21831" w:rsidRPr="005E0F0F">
          <w:rPr>
            <w:noProof/>
            <w:webHidden/>
          </w:rPr>
          <w:fldChar w:fldCharType="separate"/>
        </w:r>
        <w:r w:rsidR="00C41941">
          <w:rPr>
            <w:noProof/>
            <w:webHidden/>
          </w:rPr>
          <w:t>25</w:t>
        </w:r>
        <w:r w:rsidR="00B21831" w:rsidRPr="005E0F0F">
          <w:rPr>
            <w:noProof/>
            <w:webHidden/>
          </w:rPr>
          <w:fldChar w:fldCharType="end"/>
        </w:r>
      </w:hyperlink>
    </w:p>
    <w:p w14:paraId="4EE1A082" w14:textId="4727727B" w:rsidR="00B21831" w:rsidRPr="005E0F0F" w:rsidRDefault="007D7CB3" w:rsidP="00F73DD3">
      <w:pPr>
        <w:pStyle w:val="TOC3"/>
        <w:rPr>
          <w:rFonts w:asciiTheme="minorHAnsi" w:eastAsiaTheme="minorEastAsia" w:hAnsiTheme="minorHAnsi" w:cstheme="minorBidi"/>
          <w:noProof/>
          <w:sz w:val="22"/>
          <w:szCs w:val="22"/>
        </w:rPr>
      </w:pPr>
      <w:hyperlink w:anchor="_Toc30412740" w:history="1">
        <w:r w:rsidR="00B21831" w:rsidRPr="005E0F0F">
          <w:rPr>
            <w:rStyle w:val="Hyperlink"/>
            <w:noProof/>
          </w:rPr>
          <w:t>5.2.2   The Panel's findings</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_Toc30412740 \h </w:instrText>
        </w:r>
        <w:r w:rsidR="00B21831" w:rsidRPr="005E0F0F">
          <w:rPr>
            <w:noProof/>
            <w:webHidden/>
          </w:rPr>
        </w:r>
        <w:r w:rsidR="00B21831" w:rsidRPr="005E0F0F">
          <w:rPr>
            <w:noProof/>
            <w:webHidden/>
          </w:rPr>
          <w:fldChar w:fldCharType="separate"/>
        </w:r>
        <w:r w:rsidR="00C41941">
          <w:rPr>
            <w:noProof/>
            <w:webHidden/>
          </w:rPr>
          <w:t>25</w:t>
        </w:r>
        <w:r w:rsidR="00B21831" w:rsidRPr="005E0F0F">
          <w:rPr>
            <w:noProof/>
            <w:webHidden/>
          </w:rPr>
          <w:fldChar w:fldCharType="end"/>
        </w:r>
      </w:hyperlink>
    </w:p>
    <w:p w14:paraId="40D7845A" w14:textId="2350E760" w:rsidR="00B21831" w:rsidRPr="005E0F0F" w:rsidRDefault="007D7CB3" w:rsidP="00F73DD3">
      <w:pPr>
        <w:pStyle w:val="TOC3"/>
        <w:rPr>
          <w:rFonts w:asciiTheme="minorHAnsi" w:eastAsiaTheme="minorEastAsia" w:hAnsiTheme="minorHAnsi" w:cstheme="minorBidi"/>
          <w:noProof/>
          <w:sz w:val="22"/>
          <w:szCs w:val="22"/>
        </w:rPr>
      </w:pPr>
      <w:hyperlink w:anchor="_Toc30412741" w:history="1">
        <w:r w:rsidR="00B21831" w:rsidRPr="005E0F0F">
          <w:rPr>
            <w:rStyle w:val="Hyperlink"/>
            <w:noProof/>
          </w:rPr>
          <w:t>5.2.3   Whether the Panel erred under Article 12.7 of the DSU by failing to provide a "basic rationale"</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_Toc30412741 \h </w:instrText>
        </w:r>
        <w:r w:rsidR="00B21831" w:rsidRPr="005E0F0F">
          <w:rPr>
            <w:noProof/>
            <w:webHidden/>
          </w:rPr>
        </w:r>
        <w:r w:rsidR="00B21831" w:rsidRPr="005E0F0F">
          <w:rPr>
            <w:noProof/>
            <w:webHidden/>
          </w:rPr>
          <w:fldChar w:fldCharType="separate"/>
        </w:r>
        <w:r w:rsidR="00C41941">
          <w:rPr>
            <w:noProof/>
            <w:webHidden/>
          </w:rPr>
          <w:t>28</w:t>
        </w:r>
        <w:r w:rsidR="00B21831" w:rsidRPr="005E0F0F">
          <w:rPr>
            <w:noProof/>
            <w:webHidden/>
          </w:rPr>
          <w:fldChar w:fldCharType="end"/>
        </w:r>
      </w:hyperlink>
    </w:p>
    <w:p w14:paraId="26FD4478" w14:textId="47E6A420" w:rsidR="00B21831" w:rsidRPr="005E0F0F" w:rsidRDefault="007D7CB3" w:rsidP="00F73DD3">
      <w:pPr>
        <w:pStyle w:val="TOC3"/>
        <w:rPr>
          <w:rFonts w:asciiTheme="minorHAnsi" w:eastAsiaTheme="minorEastAsia" w:hAnsiTheme="minorHAnsi" w:cstheme="minorBidi"/>
          <w:noProof/>
          <w:sz w:val="22"/>
          <w:szCs w:val="22"/>
        </w:rPr>
      </w:pPr>
      <w:hyperlink w:anchor="_Toc30412742" w:history="1">
        <w:r w:rsidR="00B21831" w:rsidRPr="005E0F0F">
          <w:rPr>
            <w:rStyle w:val="Hyperlink"/>
            <w:noProof/>
          </w:rPr>
          <w:t>5.2.4   Whether the Panel erred under Article 12.7 of the SCM Agreement by finding that the OFA</w:t>
        </w:r>
        <w:r w:rsidR="00B21831" w:rsidRPr="005E0F0F">
          <w:rPr>
            <w:rStyle w:val="Hyperlink"/>
            <w:noProof/>
          </w:rPr>
          <w:noBreakHyphen/>
          <w:t>AFA measure is inconsistent with that provision</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_Toc30412742 \h </w:instrText>
        </w:r>
        <w:r w:rsidR="00B21831" w:rsidRPr="005E0F0F">
          <w:rPr>
            <w:noProof/>
            <w:webHidden/>
          </w:rPr>
        </w:r>
        <w:r w:rsidR="00B21831" w:rsidRPr="005E0F0F">
          <w:rPr>
            <w:noProof/>
            <w:webHidden/>
          </w:rPr>
          <w:fldChar w:fldCharType="separate"/>
        </w:r>
        <w:r w:rsidR="00C41941">
          <w:rPr>
            <w:noProof/>
            <w:webHidden/>
          </w:rPr>
          <w:t>30</w:t>
        </w:r>
        <w:r w:rsidR="00B21831" w:rsidRPr="005E0F0F">
          <w:rPr>
            <w:noProof/>
            <w:webHidden/>
          </w:rPr>
          <w:fldChar w:fldCharType="end"/>
        </w:r>
      </w:hyperlink>
    </w:p>
    <w:p w14:paraId="5D3865EA" w14:textId="260DDD75" w:rsidR="00B21831" w:rsidRPr="005E0F0F" w:rsidRDefault="007D7CB3" w:rsidP="00F73DD3">
      <w:pPr>
        <w:pStyle w:val="TOC3"/>
        <w:rPr>
          <w:rFonts w:asciiTheme="minorHAnsi" w:eastAsiaTheme="minorEastAsia" w:hAnsiTheme="minorHAnsi" w:cstheme="minorBidi"/>
          <w:noProof/>
          <w:sz w:val="22"/>
          <w:szCs w:val="22"/>
        </w:rPr>
      </w:pPr>
      <w:hyperlink w:anchor="_Toc30412743" w:history="1">
        <w:r w:rsidR="00B21831" w:rsidRPr="005E0F0F">
          <w:rPr>
            <w:rStyle w:val="Hyperlink"/>
            <w:noProof/>
          </w:rPr>
          <w:t>5.2.5   Conclusion</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_Toc30412743 \h </w:instrText>
        </w:r>
        <w:r w:rsidR="00B21831" w:rsidRPr="005E0F0F">
          <w:rPr>
            <w:noProof/>
            <w:webHidden/>
          </w:rPr>
        </w:r>
        <w:r w:rsidR="00B21831" w:rsidRPr="005E0F0F">
          <w:rPr>
            <w:noProof/>
            <w:webHidden/>
          </w:rPr>
          <w:fldChar w:fldCharType="separate"/>
        </w:r>
        <w:r w:rsidR="00C41941">
          <w:rPr>
            <w:noProof/>
            <w:webHidden/>
          </w:rPr>
          <w:t>34</w:t>
        </w:r>
        <w:r w:rsidR="00B21831" w:rsidRPr="005E0F0F">
          <w:rPr>
            <w:noProof/>
            <w:webHidden/>
          </w:rPr>
          <w:fldChar w:fldCharType="end"/>
        </w:r>
      </w:hyperlink>
    </w:p>
    <w:p w14:paraId="57AAB64C" w14:textId="7399503B" w:rsidR="00B21831" w:rsidRPr="005E0F0F" w:rsidRDefault="007D7CB3" w:rsidP="00F73DD3">
      <w:pPr>
        <w:pStyle w:val="TOC2"/>
        <w:rPr>
          <w:rFonts w:asciiTheme="minorHAnsi" w:eastAsiaTheme="minorEastAsia" w:hAnsiTheme="minorHAnsi" w:cstheme="minorBidi"/>
          <w:noProof/>
          <w:sz w:val="22"/>
          <w:szCs w:val="22"/>
        </w:rPr>
      </w:pPr>
      <w:hyperlink w:anchor="_Toc30412744" w:history="1">
        <w:r w:rsidR="00B21831" w:rsidRPr="005E0F0F">
          <w:rPr>
            <w:rStyle w:val="Hyperlink"/>
            <w:noProof/>
          </w:rPr>
          <w:t>5.3   Separate opinion of one Appellate Body Division Member</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_Toc30412744 \h </w:instrText>
        </w:r>
        <w:r w:rsidR="00B21831" w:rsidRPr="005E0F0F">
          <w:rPr>
            <w:noProof/>
            <w:webHidden/>
          </w:rPr>
        </w:r>
        <w:r w:rsidR="00B21831" w:rsidRPr="005E0F0F">
          <w:rPr>
            <w:noProof/>
            <w:webHidden/>
          </w:rPr>
          <w:fldChar w:fldCharType="separate"/>
        </w:r>
        <w:r w:rsidR="00C41941">
          <w:rPr>
            <w:noProof/>
            <w:webHidden/>
          </w:rPr>
          <w:t>35</w:t>
        </w:r>
        <w:r w:rsidR="00B21831" w:rsidRPr="005E0F0F">
          <w:rPr>
            <w:noProof/>
            <w:webHidden/>
          </w:rPr>
          <w:fldChar w:fldCharType="end"/>
        </w:r>
      </w:hyperlink>
    </w:p>
    <w:p w14:paraId="4B2057DA" w14:textId="50B0C984" w:rsidR="00B21831" w:rsidRPr="005E0F0F" w:rsidRDefault="007D7CB3" w:rsidP="00F73DD3">
      <w:pPr>
        <w:pStyle w:val="TOC3"/>
        <w:rPr>
          <w:rFonts w:asciiTheme="minorHAnsi" w:eastAsiaTheme="minorEastAsia" w:hAnsiTheme="minorHAnsi" w:cstheme="minorBidi"/>
          <w:noProof/>
          <w:sz w:val="22"/>
          <w:szCs w:val="22"/>
        </w:rPr>
      </w:pPr>
      <w:hyperlink w:anchor="_Toc30412745" w:history="1">
        <w:r w:rsidR="00B21831" w:rsidRPr="005E0F0F">
          <w:rPr>
            <w:rStyle w:val="Hyperlink"/>
            <w:noProof/>
          </w:rPr>
          <w:t>5.3.1   Introduction</w:t>
        </w:r>
        <w:r w:rsidR="00B21831" w:rsidRPr="005E0F0F">
          <w:rPr>
            <w:noProof/>
            <w:webHidden/>
          </w:rPr>
          <w:tab/>
        </w:r>
        <w:r w:rsidR="00B21831" w:rsidRPr="005E0F0F">
          <w:rPr>
            <w:noProof/>
            <w:webHidden/>
          </w:rPr>
          <w:fldChar w:fldCharType="begin"/>
        </w:r>
        <w:r w:rsidR="00B21831" w:rsidRPr="005E0F0F">
          <w:rPr>
            <w:noProof/>
            <w:webHidden/>
          </w:rPr>
          <w:instrText xml:space="preserve"> PAGEREF _Toc30412745 \h </w:instrText>
        </w:r>
        <w:r w:rsidR="00B21831" w:rsidRPr="005E0F0F">
          <w:rPr>
            <w:noProof/>
            <w:webHidden/>
          </w:rPr>
        </w:r>
        <w:r w:rsidR="00B21831" w:rsidRPr="005E0F0F">
          <w:rPr>
            <w:noProof/>
            <w:webHidden/>
          </w:rPr>
          <w:fldChar w:fldCharType="separate"/>
        </w:r>
        <w:r w:rsidR="00C41941">
          <w:rPr>
            <w:noProof/>
            <w:webHidden/>
          </w:rPr>
          <w:t>35</w:t>
        </w:r>
        <w:r w:rsidR="00B21831" w:rsidRPr="005E0F0F">
          <w:rPr>
            <w:noProof/>
            <w:webHidden/>
          </w:rPr>
          <w:fldChar w:fldCharType="end"/>
        </w:r>
      </w:hyperlink>
    </w:p>
    <w:p w14:paraId="32D722A8" w14:textId="264F1234" w:rsidR="00B21831" w:rsidRPr="00F97844" w:rsidRDefault="007D7CB3" w:rsidP="00F73DD3">
      <w:pPr>
        <w:pStyle w:val="TOC3"/>
        <w:rPr>
          <w:rFonts w:asciiTheme="minorHAnsi" w:eastAsiaTheme="minorEastAsia" w:hAnsiTheme="minorHAnsi" w:cstheme="minorBidi"/>
          <w:noProof/>
          <w:sz w:val="22"/>
          <w:szCs w:val="22"/>
        </w:rPr>
      </w:pPr>
      <w:hyperlink w:anchor="_Toc30412746" w:history="1">
        <w:r w:rsidR="00B21831" w:rsidRPr="005E0F0F">
          <w:rPr>
            <w:rStyle w:val="Hyperlink"/>
            <w:noProof/>
          </w:rPr>
          <w:t>5.3.2   Ongoing conduct</w:t>
        </w:r>
        <w:r w:rsidR="00B21831" w:rsidRPr="005E0F0F">
          <w:rPr>
            <w:noProof/>
            <w:webHidden/>
          </w:rPr>
          <w:tab/>
        </w:r>
        <w:r w:rsidR="00B21831" w:rsidRPr="00F97844">
          <w:rPr>
            <w:noProof/>
            <w:webHidden/>
          </w:rPr>
          <w:fldChar w:fldCharType="begin"/>
        </w:r>
        <w:r w:rsidR="00B21831" w:rsidRPr="005E0F0F">
          <w:rPr>
            <w:noProof/>
            <w:webHidden/>
          </w:rPr>
          <w:instrText xml:space="preserve"> PAGEREF _Toc30412746 \h </w:instrText>
        </w:r>
        <w:r w:rsidR="00B21831" w:rsidRPr="00F97844">
          <w:rPr>
            <w:noProof/>
            <w:webHidden/>
          </w:rPr>
        </w:r>
        <w:r w:rsidR="00B21831" w:rsidRPr="00F97844">
          <w:rPr>
            <w:noProof/>
            <w:webHidden/>
          </w:rPr>
          <w:fldChar w:fldCharType="separate"/>
        </w:r>
        <w:r w:rsidR="00C41941">
          <w:rPr>
            <w:noProof/>
            <w:webHidden/>
          </w:rPr>
          <w:t>35</w:t>
        </w:r>
        <w:r w:rsidR="00B21831" w:rsidRPr="00F97844">
          <w:rPr>
            <w:noProof/>
            <w:webHidden/>
          </w:rPr>
          <w:fldChar w:fldCharType="end"/>
        </w:r>
      </w:hyperlink>
    </w:p>
    <w:p w14:paraId="0259666B" w14:textId="5EDC2D1A" w:rsidR="00B21831" w:rsidRPr="00F97844" w:rsidRDefault="007D7CB3" w:rsidP="00F73DD3">
      <w:pPr>
        <w:pStyle w:val="TOC3"/>
        <w:rPr>
          <w:rFonts w:asciiTheme="minorHAnsi" w:eastAsiaTheme="minorEastAsia" w:hAnsiTheme="minorHAnsi" w:cstheme="minorBidi"/>
          <w:noProof/>
          <w:sz w:val="22"/>
          <w:szCs w:val="22"/>
        </w:rPr>
      </w:pPr>
      <w:hyperlink w:anchor="_Toc30412747" w:history="1">
        <w:r w:rsidR="00B21831" w:rsidRPr="00F97844">
          <w:rPr>
            <w:rStyle w:val="Hyperlink"/>
            <w:noProof/>
          </w:rPr>
          <w:t>5.3.3   Conclusion</w:t>
        </w:r>
        <w:r w:rsidR="00B21831" w:rsidRPr="00F97844">
          <w:rPr>
            <w:noProof/>
            <w:webHidden/>
          </w:rPr>
          <w:tab/>
        </w:r>
        <w:r w:rsidR="00B21831" w:rsidRPr="00F97844">
          <w:rPr>
            <w:noProof/>
            <w:webHidden/>
          </w:rPr>
          <w:fldChar w:fldCharType="begin"/>
        </w:r>
        <w:r w:rsidR="00B21831" w:rsidRPr="00244CCE">
          <w:rPr>
            <w:noProof/>
            <w:webHidden/>
          </w:rPr>
          <w:instrText xml:space="preserve"> PAGEREF _Toc30412747 \h </w:instrText>
        </w:r>
        <w:r w:rsidR="00B21831" w:rsidRPr="00F97844">
          <w:rPr>
            <w:noProof/>
            <w:webHidden/>
          </w:rPr>
        </w:r>
        <w:r w:rsidR="00B21831" w:rsidRPr="00F97844">
          <w:rPr>
            <w:noProof/>
            <w:webHidden/>
          </w:rPr>
          <w:fldChar w:fldCharType="separate"/>
        </w:r>
        <w:r w:rsidR="00C41941">
          <w:rPr>
            <w:noProof/>
            <w:webHidden/>
          </w:rPr>
          <w:t>36</w:t>
        </w:r>
        <w:r w:rsidR="00B21831" w:rsidRPr="00F97844">
          <w:rPr>
            <w:noProof/>
            <w:webHidden/>
          </w:rPr>
          <w:fldChar w:fldCharType="end"/>
        </w:r>
      </w:hyperlink>
    </w:p>
    <w:p w14:paraId="3ABAD31D" w14:textId="0BD569B3" w:rsidR="00B21831" w:rsidRPr="00F97844" w:rsidRDefault="007D7CB3" w:rsidP="00F73DD3">
      <w:pPr>
        <w:pStyle w:val="TOC1"/>
        <w:rPr>
          <w:rFonts w:asciiTheme="minorHAnsi" w:eastAsiaTheme="minorEastAsia" w:hAnsiTheme="minorHAnsi" w:cstheme="minorBidi"/>
          <w:noProof/>
          <w:sz w:val="22"/>
          <w:szCs w:val="22"/>
        </w:rPr>
      </w:pPr>
      <w:hyperlink w:anchor="_Toc30412748" w:history="1">
        <w:r w:rsidR="00B21831" w:rsidRPr="00F97844">
          <w:rPr>
            <w:rStyle w:val="Hyperlink"/>
            <w:noProof/>
          </w:rPr>
          <w:t>6   Findings and Conclusions</w:t>
        </w:r>
        <w:r w:rsidR="00B21831" w:rsidRPr="00F97844">
          <w:rPr>
            <w:noProof/>
            <w:webHidden/>
          </w:rPr>
          <w:tab/>
        </w:r>
        <w:r w:rsidR="00B21831" w:rsidRPr="00F97844">
          <w:rPr>
            <w:noProof/>
            <w:webHidden/>
          </w:rPr>
          <w:fldChar w:fldCharType="begin"/>
        </w:r>
        <w:r w:rsidR="00B21831" w:rsidRPr="00244CCE">
          <w:rPr>
            <w:noProof/>
            <w:webHidden/>
          </w:rPr>
          <w:instrText xml:space="preserve"> PAGEREF _Toc30412748 \h </w:instrText>
        </w:r>
        <w:r w:rsidR="00B21831" w:rsidRPr="00F97844">
          <w:rPr>
            <w:noProof/>
            <w:webHidden/>
          </w:rPr>
        </w:r>
        <w:r w:rsidR="00B21831" w:rsidRPr="00F97844">
          <w:rPr>
            <w:noProof/>
            <w:webHidden/>
          </w:rPr>
          <w:fldChar w:fldCharType="separate"/>
        </w:r>
        <w:r w:rsidR="00C41941">
          <w:rPr>
            <w:noProof/>
            <w:webHidden/>
          </w:rPr>
          <w:t>36</w:t>
        </w:r>
        <w:r w:rsidR="00B21831" w:rsidRPr="00F97844">
          <w:rPr>
            <w:noProof/>
            <w:webHidden/>
          </w:rPr>
          <w:fldChar w:fldCharType="end"/>
        </w:r>
      </w:hyperlink>
    </w:p>
    <w:p w14:paraId="2C41DAE0" w14:textId="04C23911" w:rsidR="00B21831" w:rsidRPr="00F97844" w:rsidRDefault="007D7CB3" w:rsidP="00F73DD3">
      <w:pPr>
        <w:pStyle w:val="TOC2"/>
        <w:rPr>
          <w:rFonts w:asciiTheme="minorHAnsi" w:eastAsiaTheme="minorEastAsia" w:hAnsiTheme="minorHAnsi" w:cstheme="minorBidi"/>
          <w:noProof/>
          <w:sz w:val="22"/>
          <w:szCs w:val="22"/>
        </w:rPr>
      </w:pPr>
      <w:hyperlink w:anchor="_Toc30412749" w:history="1">
        <w:r w:rsidR="00B21831" w:rsidRPr="00F97844">
          <w:rPr>
            <w:rStyle w:val="Hyperlink"/>
            <w:noProof/>
          </w:rPr>
          <w:t>6.1   OFA</w:t>
        </w:r>
        <w:r w:rsidR="00B21831" w:rsidRPr="00F97844">
          <w:rPr>
            <w:rStyle w:val="Hyperlink"/>
            <w:noProof/>
          </w:rPr>
          <w:noBreakHyphen/>
          <w:t>AFA measure</w:t>
        </w:r>
        <w:r w:rsidR="00B21831" w:rsidRPr="00F97844">
          <w:rPr>
            <w:noProof/>
            <w:webHidden/>
          </w:rPr>
          <w:tab/>
        </w:r>
        <w:r w:rsidR="00B21831" w:rsidRPr="00F97844">
          <w:rPr>
            <w:noProof/>
            <w:webHidden/>
          </w:rPr>
          <w:fldChar w:fldCharType="begin"/>
        </w:r>
        <w:r w:rsidR="00B21831" w:rsidRPr="00244CCE">
          <w:rPr>
            <w:noProof/>
            <w:webHidden/>
          </w:rPr>
          <w:instrText xml:space="preserve"> PAGEREF _Toc30412749 \h </w:instrText>
        </w:r>
        <w:r w:rsidR="00B21831" w:rsidRPr="00F97844">
          <w:rPr>
            <w:noProof/>
            <w:webHidden/>
          </w:rPr>
        </w:r>
        <w:r w:rsidR="00B21831" w:rsidRPr="00F97844">
          <w:rPr>
            <w:noProof/>
            <w:webHidden/>
          </w:rPr>
          <w:fldChar w:fldCharType="separate"/>
        </w:r>
        <w:r w:rsidR="00C41941">
          <w:rPr>
            <w:noProof/>
            <w:webHidden/>
          </w:rPr>
          <w:t>36</w:t>
        </w:r>
        <w:r w:rsidR="00B21831" w:rsidRPr="00F97844">
          <w:rPr>
            <w:noProof/>
            <w:webHidden/>
          </w:rPr>
          <w:fldChar w:fldCharType="end"/>
        </w:r>
      </w:hyperlink>
    </w:p>
    <w:p w14:paraId="75769DF6" w14:textId="5BD10E80" w:rsidR="00B21831" w:rsidRPr="00F97844" w:rsidRDefault="007D7CB3" w:rsidP="00F73DD3">
      <w:pPr>
        <w:pStyle w:val="TOC2"/>
        <w:rPr>
          <w:rFonts w:asciiTheme="minorHAnsi" w:eastAsiaTheme="minorEastAsia" w:hAnsiTheme="minorHAnsi" w:cstheme="minorBidi"/>
          <w:noProof/>
          <w:sz w:val="22"/>
          <w:szCs w:val="22"/>
        </w:rPr>
      </w:pPr>
      <w:hyperlink w:anchor="_Toc30412750" w:history="1">
        <w:r w:rsidR="00B21831" w:rsidRPr="00F97844">
          <w:rPr>
            <w:rStyle w:val="Hyperlink"/>
            <w:noProof/>
          </w:rPr>
          <w:t>6.2   Article 12.7 of the SCM Agreement</w:t>
        </w:r>
        <w:r w:rsidR="00B21831" w:rsidRPr="00F97844">
          <w:rPr>
            <w:noProof/>
            <w:webHidden/>
          </w:rPr>
          <w:tab/>
        </w:r>
        <w:r w:rsidR="00B21831" w:rsidRPr="00F97844">
          <w:rPr>
            <w:noProof/>
            <w:webHidden/>
          </w:rPr>
          <w:fldChar w:fldCharType="begin"/>
        </w:r>
        <w:r w:rsidR="00B21831" w:rsidRPr="00244CCE">
          <w:rPr>
            <w:noProof/>
            <w:webHidden/>
          </w:rPr>
          <w:instrText xml:space="preserve"> PAGEREF _Toc30412750 \h </w:instrText>
        </w:r>
        <w:r w:rsidR="00B21831" w:rsidRPr="00F97844">
          <w:rPr>
            <w:noProof/>
            <w:webHidden/>
          </w:rPr>
        </w:r>
        <w:r w:rsidR="00B21831" w:rsidRPr="00F97844">
          <w:rPr>
            <w:noProof/>
            <w:webHidden/>
          </w:rPr>
          <w:fldChar w:fldCharType="separate"/>
        </w:r>
        <w:r w:rsidR="00C41941">
          <w:rPr>
            <w:noProof/>
            <w:webHidden/>
          </w:rPr>
          <w:t>37</w:t>
        </w:r>
        <w:r w:rsidR="00B21831" w:rsidRPr="00F97844">
          <w:rPr>
            <w:noProof/>
            <w:webHidden/>
          </w:rPr>
          <w:fldChar w:fldCharType="end"/>
        </w:r>
      </w:hyperlink>
    </w:p>
    <w:p w14:paraId="6296D75B" w14:textId="1A3E008F" w:rsidR="00B21831" w:rsidRPr="00F97844" w:rsidRDefault="007D7CB3" w:rsidP="00F73DD3">
      <w:pPr>
        <w:pStyle w:val="TOC2"/>
        <w:rPr>
          <w:rFonts w:asciiTheme="minorHAnsi" w:eastAsiaTheme="minorEastAsia" w:hAnsiTheme="minorHAnsi" w:cstheme="minorBidi"/>
          <w:noProof/>
          <w:sz w:val="22"/>
          <w:szCs w:val="22"/>
        </w:rPr>
      </w:pPr>
      <w:hyperlink w:anchor="_Toc30412751" w:history="1">
        <w:r w:rsidR="00B21831" w:rsidRPr="00F97844">
          <w:rPr>
            <w:rStyle w:val="Hyperlink"/>
            <w:noProof/>
          </w:rPr>
          <w:t>6.3   Recommendation</w:t>
        </w:r>
        <w:r w:rsidR="00B21831" w:rsidRPr="00F97844">
          <w:rPr>
            <w:noProof/>
            <w:webHidden/>
          </w:rPr>
          <w:tab/>
        </w:r>
        <w:r w:rsidR="00B21831" w:rsidRPr="00F97844">
          <w:rPr>
            <w:noProof/>
            <w:webHidden/>
          </w:rPr>
          <w:fldChar w:fldCharType="begin"/>
        </w:r>
        <w:r w:rsidR="00B21831" w:rsidRPr="00244CCE">
          <w:rPr>
            <w:noProof/>
            <w:webHidden/>
          </w:rPr>
          <w:instrText xml:space="preserve"> PAGEREF _Toc30412751 \h </w:instrText>
        </w:r>
        <w:r w:rsidR="00B21831" w:rsidRPr="00F97844">
          <w:rPr>
            <w:noProof/>
            <w:webHidden/>
          </w:rPr>
        </w:r>
        <w:r w:rsidR="00B21831" w:rsidRPr="00F97844">
          <w:rPr>
            <w:noProof/>
            <w:webHidden/>
          </w:rPr>
          <w:fldChar w:fldCharType="separate"/>
        </w:r>
        <w:r w:rsidR="00C41941">
          <w:rPr>
            <w:noProof/>
            <w:webHidden/>
          </w:rPr>
          <w:t>38</w:t>
        </w:r>
        <w:r w:rsidR="00B21831" w:rsidRPr="00F97844">
          <w:rPr>
            <w:noProof/>
            <w:webHidden/>
          </w:rPr>
          <w:fldChar w:fldCharType="end"/>
        </w:r>
      </w:hyperlink>
    </w:p>
    <w:p w14:paraId="54968B8B" w14:textId="5FF64F64" w:rsidR="00EF273A" w:rsidRPr="00F97844" w:rsidRDefault="00EF273A" w:rsidP="00F73DD3">
      <w:r w:rsidRPr="00F97844">
        <w:fldChar w:fldCharType="end"/>
      </w:r>
    </w:p>
    <w:p w14:paraId="2E74234C" w14:textId="77777777" w:rsidR="00CE371F" w:rsidRPr="00F97844" w:rsidRDefault="00CE371F" w:rsidP="00F73DD3">
      <w:pPr>
        <w:jc w:val="left"/>
      </w:pPr>
      <w:r w:rsidRPr="00F97844">
        <w:br w:type="page"/>
      </w:r>
    </w:p>
    <w:p w14:paraId="387ADF3F" w14:textId="77777777" w:rsidR="00CE371F" w:rsidRPr="00F97844" w:rsidRDefault="00CE371F" w:rsidP="00F73DD3">
      <w:pPr>
        <w:pStyle w:val="Title"/>
      </w:pPr>
      <w:bookmarkStart w:id="0" w:name="Abbreviations"/>
      <w:r w:rsidRPr="00F97844">
        <w:lastRenderedPageBreak/>
        <w:t xml:space="preserve">ABBREVIATIONS </w:t>
      </w:r>
      <w:bookmarkEnd w:id="0"/>
      <w:r w:rsidRPr="00F97844">
        <w:t>USED IN THIS REPORT</w:t>
      </w:r>
    </w:p>
    <w:tbl>
      <w:tblPr>
        <w:tblStyle w:val="WTOTable1"/>
        <w:tblW w:w="9221" w:type="dxa"/>
        <w:tblLayout w:type="fixed"/>
        <w:tblLook w:val="0060" w:firstRow="1" w:lastRow="1" w:firstColumn="0" w:lastColumn="0" w:noHBand="0" w:noVBand="0"/>
      </w:tblPr>
      <w:tblGrid>
        <w:gridCol w:w="2403"/>
        <w:gridCol w:w="6818"/>
      </w:tblGrid>
      <w:tr w:rsidR="004C6271" w:rsidRPr="00244CCE" w14:paraId="2193F8E0" w14:textId="77777777" w:rsidTr="00F33D57">
        <w:trPr>
          <w:cnfStyle w:val="100000000000" w:firstRow="1" w:lastRow="0" w:firstColumn="0" w:lastColumn="0" w:oddVBand="0" w:evenVBand="0" w:oddHBand="0" w:evenHBand="0" w:firstRowFirstColumn="0" w:firstRowLastColumn="0" w:lastRowFirstColumn="0" w:lastRowLastColumn="0"/>
        </w:trPr>
        <w:tc>
          <w:tcPr>
            <w:tcW w:w="2403" w:type="dxa"/>
          </w:tcPr>
          <w:p w14:paraId="1C43CC10" w14:textId="77777777" w:rsidR="004C6271" w:rsidRPr="00244CCE" w:rsidRDefault="004C6271" w:rsidP="00F73DD3">
            <w:pPr>
              <w:keepLines/>
              <w:tabs>
                <w:tab w:val="left" w:pos="2268"/>
                <w:tab w:val="left" w:pos="4536"/>
              </w:tabs>
              <w:spacing w:before="60" w:after="60"/>
              <w:jc w:val="center"/>
              <w:rPr>
                <w:sz w:val="16"/>
                <w:szCs w:val="18"/>
              </w:rPr>
            </w:pPr>
            <w:r w:rsidRPr="00244CCE">
              <w:rPr>
                <w:sz w:val="16"/>
                <w:szCs w:val="18"/>
              </w:rPr>
              <w:t>Abbreviation</w:t>
            </w:r>
          </w:p>
        </w:tc>
        <w:tc>
          <w:tcPr>
            <w:tcW w:w="6818" w:type="dxa"/>
          </w:tcPr>
          <w:p w14:paraId="6FF83EF4" w14:textId="77777777" w:rsidR="004C6271" w:rsidRPr="00244CCE" w:rsidRDefault="004C6271" w:rsidP="00F73DD3">
            <w:pPr>
              <w:keepLines/>
              <w:tabs>
                <w:tab w:val="left" w:pos="2268"/>
                <w:tab w:val="left" w:pos="4536"/>
              </w:tabs>
              <w:spacing w:before="60" w:after="60"/>
              <w:jc w:val="center"/>
              <w:rPr>
                <w:sz w:val="16"/>
                <w:szCs w:val="18"/>
              </w:rPr>
            </w:pPr>
            <w:r w:rsidRPr="00244CCE">
              <w:rPr>
                <w:sz w:val="16"/>
                <w:szCs w:val="18"/>
              </w:rPr>
              <w:t>Description</w:t>
            </w:r>
          </w:p>
        </w:tc>
      </w:tr>
      <w:tr w:rsidR="004C6271" w:rsidRPr="00244CCE" w14:paraId="6AFB869A" w14:textId="77777777" w:rsidTr="00F33D57">
        <w:tc>
          <w:tcPr>
            <w:tcW w:w="2403" w:type="dxa"/>
          </w:tcPr>
          <w:p w14:paraId="44BF61F2" w14:textId="77777777" w:rsidR="004C6271" w:rsidRPr="00244CCE" w:rsidRDefault="004C6271" w:rsidP="00F73DD3">
            <w:pPr>
              <w:spacing w:before="60" w:after="60"/>
              <w:jc w:val="left"/>
              <w:rPr>
                <w:sz w:val="16"/>
                <w:szCs w:val="18"/>
              </w:rPr>
            </w:pPr>
            <w:r w:rsidRPr="00244CCE">
              <w:rPr>
                <w:sz w:val="16"/>
                <w:szCs w:val="18"/>
              </w:rPr>
              <w:t>AFA</w:t>
            </w:r>
          </w:p>
        </w:tc>
        <w:tc>
          <w:tcPr>
            <w:tcW w:w="6818" w:type="dxa"/>
          </w:tcPr>
          <w:p w14:paraId="7D1D6012"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adverse facts available</w:t>
            </w:r>
          </w:p>
        </w:tc>
      </w:tr>
      <w:tr w:rsidR="0037330F" w:rsidRPr="00244CCE" w14:paraId="279EF936"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31F302D1" w14:textId="1B091D70" w:rsidR="0037330F" w:rsidRPr="00244CCE" w:rsidRDefault="0037330F" w:rsidP="00F73DD3">
            <w:pPr>
              <w:spacing w:before="60" w:after="60"/>
              <w:jc w:val="left"/>
              <w:rPr>
                <w:sz w:val="16"/>
                <w:szCs w:val="18"/>
              </w:rPr>
            </w:pPr>
            <w:r w:rsidRPr="00244CCE">
              <w:rPr>
                <w:sz w:val="16"/>
                <w:szCs w:val="18"/>
              </w:rPr>
              <w:t>BCI</w:t>
            </w:r>
          </w:p>
        </w:tc>
        <w:tc>
          <w:tcPr>
            <w:tcW w:w="6818" w:type="dxa"/>
          </w:tcPr>
          <w:p w14:paraId="52BFEAC9" w14:textId="003AD9EE" w:rsidR="0037330F" w:rsidRPr="00244CCE" w:rsidRDefault="006F72C2" w:rsidP="00F73DD3">
            <w:pPr>
              <w:keepLines/>
              <w:tabs>
                <w:tab w:val="left" w:pos="2268"/>
                <w:tab w:val="left" w:pos="4536"/>
              </w:tabs>
              <w:spacing w:before="60" w:after="60"/>
              <w:jc w:val="left"/>
              <w:rPr>
                <w:sz w:val="16"/>
                <w:szCs w:val="18"/>
              </w:rPr>
            </w:pPr>
            <w:r w:rsidRPr="00244CCE">
              <w:rPr>
                <w:sz w:val="16"/>
                <w:szCs w:val="18"/>
              </w:rPr>
              <w:t>b</w:t>
            </w:r>
            <w:r w:rsidR="0037330F" w:rsidRPr="00244CCE">
              <w:rPr>
                <w:sz w:val="16"/>
                <w:szCs w:val="18"/>
              </w:rPr>
              <w:t>usiness confidential information</w:t>
            </w:r>
          </w:p>
        </w:tc>
      </w:tr>
      <w:tr w:rsidR="00E2537D" w:rsidRPr="00244CCE" w14:paraId="72C6F6D0" w14:textId="77777777" w:rsidTr="00F33D57">
        <w:tc>
          <w:tcPr>
            <w:tcW w:w="2403" w:type="dxa"/>
          </w:tcPr>
          <w:p w14:paraId="6FC67370" w14:textId="1EFE9543" w:rsidR="00E2537D" w:rsidRPr="00244CCE" w:rsidRDefault="00E2537D" w:rsidP="00F73DD3">
            <w:pPr>
              <w:spacing w:before="60" w:after="60"/>
              <w:jc w:val="left"/>
              <w:rPr>
                <w:sz w:val="16"/>
                <w:szCs w:val="18"/>
              </w:rPr>
            </w:pPr>
            <w:r w:rsidRPr="00244CCE">
              <w:rPr>
                <w:sz w:val="16"/>
                <w:szCs w:val="18"/>
              </w:rPr>
              <w:t>Canada's panel request</w:t>
            </w:r>
          </w:p>
        </w:tc>
        <w:tc>
          <w:tcPr>
            <w:tcW w:w="6818" w:type="dxa"/>
          </w:tcPr>
          <w:p w14:paraId="2B478BB2" w14:textId="447C994B" w:rsidR="00E2537D" w:rsidRPr="00244CCE" w:rsidRDefault="00E2537D" w:rsidP="00F73DD3">
            <w:pPr>
              <w:keepLines/>
              <w:tabs>
                <w:tab w:val="left" w:pos="2268"/>
                <w:tab w:val="left" w:pos="4536"/>
              </w:tabs>
              <w:spacing w:before="60" w:after="60"/>
              <w:jc w:val="left"/>
              <w:rPr>
                <w:sz w:val="16"/>
                <w:szCs w:val="18"/>
              </w:rPr>
            </w:pPr>
            <w:r w:rsidRPr="00244CCE">
              <w:rPr>
                <w:sz w:val="16"/>
                <w:szCs w:val="18"/>
              </w:rPr>
              <w:t>Request for the Establishment of a Panel by Canada, WT/DS505/2</w:t>
            </w:r>
          </w:p>
        </w:tc>
      </w:tr>
      <w:tr w:rsidR="004C6271" w:rsidRPr="00244CCE" w14:paraId="2A54123A"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4E67A9B8" w14:textId="77777777" w:rsidR="004C6271" w:rsidRPr="00244CCE" w:rsidRDefault="004C6271" w:rsidP="00F73DD3">
            <w:pPr>
              <w:spacing w:before="60" w:after="60"/>
              <w:jc w:val="left"/>
              <w:rPr>
                <w:sz w:val="16"/>
                <w:szCs w:val="18"/>
              </w:rPr>
            </w:pPr>
            <w:r w:rsidRPr="00244CCE">
              <w:rPr>
                <w:sz w:val="16"/>
                <w:szCs w:val="18"/>
              </w:rPr>
              <w:t>Catalyst</w:t>
            </w:r>
          </w:p>
        </w:tc>
        <w:tc>
          <w:tcPr>
            <w:tcW w:w="6818" w:type="dxa"/>
          </w:tcPr>
          <w:p w14:paraId="79E6E7B5"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Catalyst Paper Corporation</w:t>
            </w:r>
          </w:p>
        </w:tc>
      </w:tr>
      <w:tr w:rsidR="004C6271" w:rsidRPr="00244CCE" w14:paraId="163A3E35" w14:textId="77777777" w:rsidTr="00F33D57">
        <w:tc>
          <w:tcPr>
            <w:tcW w:w="2403" w:type="dxa"/>
          </w:tcPr>
          <w:p w14:paraId="764BFE21" w14:textId="77777777" w:rsidR="004C6271" w:rsidRPr="00244CCE" w:rsidRDefault="004C6271" w:rsidP="00F73DD3">
            <w:pPr>
              <w:spacing w:before="60" w:after="60"/>
              <w:jc w:val="left"/>
              <w:rPr>
                <w:sz w:val="16"/>
                <w:szCs w:val="18"/>
              </w:rPr>
            </w:pPr>
            <w:r w:rsidRPr="00244CCE">
              <w:rPr>
                <w:sz w:val="16"/>
                <w:szCs w:val="18"/>
              </w:rPr>
              <w:t>CVD</w:t>
            </w:r>
          </w:p>
        </w:tc>
        <w:tc>
          <w:tcPr>
            <w:tcW w:w="6818" w:type="dxa"/>
          </w:tcPr>
          <w:p w14:paraId="5C6127A1" w14:textId="6B357E62" w:rsidR="004C6271" w:rsidRPr="00244CCE" w:rsidRDefault="00ED21F1" w:rsidP="00F73DD3">
            <w:pPr>
              <w:keepLines/>
              <w:tabs>
                <w:tab w:val="left" w:pos="2268"/>
                <w:tab w:val="left" w:pos="4536"/>
              </w:tabs>
              <w:spacing w:before="60" w:after="60"/>
              <w:jc w:val="left"/>
              <w:rPr>
                <w:sz w:val="16"/>
                <w:szCs w:val="18"/>
              </w:rPr>
            </w:pPr>
            <w:r w:rsidRPr="00244CCE">
              <w:rPr>
                <w:sz w:val="16"/>
                <w:szCs w:val="18"/>
              </w:rPr>
              <w:t>c</w:t>
            </w:r>
            <w:r w:rsidR="004C6271" w:rsidRPr="00244CCE">
              <w:rPr>
                <w:sz w:val="16"/>
                <w:szCs w:val="18"/>
              </w:rPr>
              <w:t xml:space="preserve">ountervailing duty </w:t>
            </w:r>
          </w:p>
        </w:tc>
      </w:tr>
      <w:tr w:rsidR="004C6271" w:rsidRPr="00244CCE" w14:paraId="2DAD9990"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53712E40" w14:textId="77777777" w:rsidR="004C6271" w:rsidRPr="00244CCE" w:rsidRDefault="004C6271" w:rsidP="00F73DD3">
            <w:pPr>
              <w:spacing w:before="60" w:after="60"/>
              <w:jc w:val="left"/>
              <w:rPr>
                <w:sz w:val="16"/>
                <w:szCs w:val="18"/>
              </w:rPr>
            </w:pPr>
            <w:r w:rsidRPr="00244CCE">
              <w:rPr>
                <w:sz w:val="16"/>
                <w:szCs w:val="18"/>
              </w:rPr>
              <w:t>DSB</w:t>
            </w:r>
          </w:p>
        </w:tc>
        <w:tc>
          <w:tcPr>
            <w:tcW w:w="6818" w:type="dxa"/>
          </w:tcPr>
          <w:p w14:paraId="38083387"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Dispute Settlement Body</w:t>
            </w:r>
          </w:p>
        </w:tc>
      </w:tr>
      <w:tr w:rsidR="004C6271" w:rsidRPr="00244CCE" w14:paraId="096220E2" w14:textId="77777777" w:rsidTr="00F33D57">
        <w:tc>
          <w:tcPr>
            <w:tcW w:w="2403" w:type="dxa"/>
          </w:tcPr>
          <w:p w14:paraId="77E8E2C8" w14:textId="77777777" w:rsidR="004C6271" w:rsidRPr="00244CCE" w:rsidRDefault="004C6271" w:rsidP="00F73DD3">
            <w:pPr>
              <w:spacing w:before="60" w:after="60"/>
              <w:jc w:val="left"/>
              <w:rPr>
                <w:sz w:val="16"/>
                <w:szCs w:val="18"/>
              </w:rPr>
            </w:pPr>
            <w:r w:rsidRPr="00244CCE">
              <w:rPr>
                <w:sz w:val="16"/>
                <w:szCs w:val="18"/>
              </w:rPr>
              <w:t>DSU</w:t>
            </w:r>
          </w:p>
        </w:tc>
        <w:tc>
          <w:tcPr>
            <w:tcW w:w="6818" w:type="dxa"/>
          </w:tcPr>
          <w:p w14:paraId="3C50F8B6"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Understanding on Rules and Procedures Governing the Settlement of Disputes</w:t>
            </w:r>
          </w:p>
        </w:tc>
      </w:tr>
      <w:tr w:rsidR="004C6271" w:rsidRPr="00244CCE" w14:paraId="63EE3CEE"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14942B83" w14:textId="77777777" w:rsidR="004C6271" w:rsidRPr="00244CCE" w:rsidRDefault="004C6271" w:rsidP="00F73DD3">
            <w:pPr>
              <w:spacing w:before="60" w:after="60"/>
              <w:jc w:val="left"/>
              <w:rPr>
                <w:sz w:val="16"/>
                <w:szCs w:val="18"/>
              </w:rPr>
            </w:pPr>
            <w:proofErr w:type="spellStart"/>
            <w:r w:rsidRPr="00244CCE">
              <w:rPr>
                <w:sz w:val="16"/>
                <w:szCs w:val="18"/>
              </w:rPr>
              <w:t>Fibrek</w:t>
            </w:r>
            <w:proofErr w:type="spellEnd"/>
          </w:p>
        </w:tc>
        <w:tc>
          <w:tcPr>
            <w:tcW w:w="6818" w:type="dxa"/>
          </w:tcPr>
          <w:p w14:paraId="1355F6EA" w14:textId="77777777" w:rsidR="004C6271" w:rsidRPr="00244CCE" w:rsidRDefault="004C6271" w:rsidP="00F73DD3">
            <w:pPr>
              <w:keepLines/>
              <w:tabs>
                <w:tab w:val="left" w:pos="2268"/>
                <w:tab w:val="left" w:pos="4536"/>
              </w:tabs>
              <w:spacing w:before="60" w:after="60"/>
              <w:jc w:val="left"/>
              <w:rPr>
                <w:sz w:val="16"/>
                <w:szCs w:val="18"/>
              </w:rPr>
            </w:pPr>
            <w:proofErr w:type="spellStart"/>
            <w:r w:rsidRPr="00244CCE">
              <w:rPr>
                <w:sz w:val="16"/>
                <w:szCs w:val="18"/>
              </w:rPr>
              <w:t>Fibrek</w:t>
            </w:r>
            <w:proofErr w:type="spellEnd"/>
            <w:r w:rsidRPr="00244CCE">
              <w:rPr>
                <w:sz w:val="16"/>
                <w:szCs w:val="18"/>
              </w:rPr>
              <w:t xml:space="preserve"> General Partnership</w:t>
            </w:r>
          </w:p>
        </w:tc>
      </w:tr>
      <w:tr w:rsidR="00496351" w:rsidRPr="00244CCE" w14:paraId="6754704D" w14:textId="77777777" w:rsidTr="00F33D57">
        <w:tc>
          <w:tcPr>
            <w:tcW w:w="2403" w:type="dxa"/>
          </w:tcPr>
          <w:p w14:paraId="0E9D89E3" w14:textId="001B9DDC" w:rsidR="00496351" w:rsidRPr="00244CCE" w:rsidRDefault="00496351" w:rsidP="00F73DD3">
            <w:pPr>
              <w:spacing w:before="60" w:after="60"/>
              <w:jc w:val="left"/>
              <w:rPr>
                <w:sz w:val="16"/>
                <w:szCs w:val="18"/>
              </w:rPr>
            </w:pPr>
            <w:r w:rsidRPr="00244CCE">
              <w:rPr>
                <w:sz w:val="16"/>
                <w:szCs w:val="18"/>
              </w:rPr>
              <w:t>GATT</w:t>
            </w:r>
            <w:r w:rsidR="00CF40A8" w:rsidRPr="00244CCE">
              <w:rPr>
                <w:sz w:val="16"/>
                <w:szCs w:val="18"/>
              </w:rPr>
              <w:t> 1994</w:t>
            </w:r>
          </w:p>
        </w:tc>
        <w:tc>
          <w:tcPr>
            <w:tcW w:w="6818" w:type="dxa"/>
          </w:tcPr>
          <w:p w14:paraId="4CBF70BA" w14:textId="7E1D1B78" w:rsidR="00496351" w:rsidRPr="00244CCE" w:rsidRDefault="00496351" w:rsidP="00F73DD3">
            <w:pPr>
              <w:keepLines/>
              <w:tabs>
                <w:tab w:val="left" w:pos="2268"/>
                <w:tab w:val="left" w:pos="4536"/>
              </w:tabs>
              <w:spacing w:before="60" w:after="60"/>
              <w:jc w:val="left"/>
              <w:rPr>
                <w:sz w:val="16"/>
                <w:szCs w:val="18"/>
              </w:rPr>
            </w:pPr>
            <w:r w:rsidRPr="00244CCE">
              <w:rPr>
                <w:sz w:val="16"/>
                <w:szCs w:val="18"/>
              </w:rPr>
              <w:t>General Agreement on Tariffs and Trade 1994</w:t>
            </w:r>
          </w:p>
        </w:tc>
      </w:tr>
      <w:tr w:rsidR="004C6271" w:rsidRPr="00244CCE" w14:paraId="4447BF0B"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23BAB76F" w14:textId="77777777" w:rsidR="004C6271" w:rsidRPr="00244CCE" w:rsidRDefault="004C6271" w:rsidP="00F73DD3">
            <w:pPr>
              <w:spacing w:before="60" w:after="60"/>
              <w:jc w:val="left"/>
              <w:rPr>
                <w:sz w:val="16"/>
                <w:szCs w:val="18"/>
              </w:rPr>
            </w:pPr>
            <w:r w:rsidRPr="00244CCE">
              <w:rPr>
                <w:sz w:val="16"/>
                <w:szCs w:val="18"/>
              </w:rPr>
              <w:t>Irving</w:t>
            </w:r>
          </w:p>
        </w:tc>
        <w:tc>
          <w:tcPr>
            <w:tcW w:w="6818" w:type="dxa"/>
          </w:tcPr>
          <w:p w14:paraId="4D1BF30B" w14:textId="1C1C8E52"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Irving Paper Ltd</w:t>
            </w:r>
            <w:r w:rsidR="00414FF9" w:rsidRPr="00244CCE">
              <w:rPr>
                <w:sz w:val="16"/>
                <w:szCs w:val="18"/>
              </w:rPr>
              <w:t>.</w:t>
            </w:r>
          </w:p>
        </w:tc>
      </w:tr>
      <w:tr w:rsidR="004C6271" w:rsidRPr="00244CCE" w14:paraId="7D234314" w14:textId="77777777" w:rsidTr="00F33D57">
        <w:tc>
          <w:tcPr>
            <w:tcW w:w="2403" w:type="dxa"/>
          </w:tcPr>
          <w:p w14:paraId="64563F08" w14:textId="77777777" w:rsidR="004C6271" w:rsidRPr="00244CCE" w:rsidRDefault="004C6271" w:rsidP="00F73DD3">
            <w:pPr>
              <w:spacing w:before="60" w:after="60"/>
              <w:jc w:val="left"/>
              <w:rPr>
                <w:sz w:val="16"/>
                <w:szCs w:val="18"/>
              </w:rPr>
            </w:pPr>
            <w:r w:rsidRPr="00244CCE">
              <w:rPr>
                <w:sz w:val="16"/>
                <w:szCs w:val="18"/>
              </w:rPr>
              <w:t>NAFTA</w:t>
            </w:r>
          </w:p>
        </w:tc>
        <w:tc>
          <w:tcPr>
            <w:tcW w:w="6818" w:type="dxa"/>
          </w:tcPr>
          <w:p w14:paraId="5BBD02DA"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North American Free Trade Agreement</w:t>
            </w:r>
          </w:p>
        </w:tc>
      </w:tr>
      <w:tr w:rsidR="004C6271" w:rsidRPr="00244CCE" w14:paraId="69890877"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1C04D1F9" w14:textId="77777777" w:rsidR="004C6271" w:rsidRPr="00244CCE" w:rsidRDefault="004C6271" w:rsidP="00F73DD3">
            <w:pPr>
              <w:spacing w:before="60" w:after="60"/>
              <w:jc w:val="left"/>
              <w:rPr>
                <w:sz w:val="16"/>
                <w:szCs w:val="18"/>
              </w:rPr>
            </w:pPr>
            <w:r w:rsidRPr="00244CCE">
              <w:rPr>
                <w:sz w:val="16"/>
                <w:szCs w:val="18"/>
              </w:rPr>
              <w:t>NSPI</w:t>
            </w:r>
          </w:p>
        </w:tc>
        <w:tc>
          <w:tcPr>
            <w:tcW w:w="6818" w:type="dxa"/>
          </w:tcPr>
          <w:p w14:paraId="7FF80948"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Nova Scotia Power Incorporated</w:t>
            </w:r>
          </w:p>
        </w:tc>
      </w:tr>
      <w:tr w:rsidR="004C6271" w:rsidRPr="00244CCE" w14:paraId="3187FFA2" w14:textId="77777777" w:rsidTr="00F33D57">
        <w:tc>
          <w:tcPr>
            <w:tcW w:w="2403" w:type="dxa"/>
          </w:tcPr>
          <w:p w14:paraId="49169A11" w14:textId="77777777" w:rsidR="004C6271" w:rsidRPr="00244CCE" w:rsidRDefault="004C6271" w:rsidP="00F73DD3">
            <w:pPr>
              <w:spacing w:before="60" w:after="60"/>
              <w:jc w:val="left"/>
              <w:rPr>
                <w:sz w:val="16"/>
                <w:szCs w:val="18"/>
              </w:rPr>
            </w:pPr>
            <w:r w:rsidRPr="00244CCE">
              <w:rPr>
                <w:sz w:val="16"/>
                <w:szCs w:val="18"/>
              </w:rPr>
              <w:t>OFA</w:t>
            </w:r>
          </w:p>
        </w:tc>
        <w:tc>
          <w:tcPr>
            <w:tcW w:w="6818" w:type="dxa"/>
          </w:tcPr>
          <w:p w14:paraId="03215A0B"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other forms of assistance</w:t>
            </w:r>
          </w:p>
        </w:tc>
      </w:tr>
      <w:tr w:rsidR="009A29B1" w:rsidRPr="00244CCE" w14:paraId="4464F74F"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64984A66" w14:textId="162C96ED" w:rsidR="009A29B1" w:rsidRPr="00244CCE" w:rsidRDefault="009A29B1" w:rsidP="00F73DD3">
            <w:pPr>
              <w:spacing w:before="60" w:after="60"/>
              <w:jc w:val="left"/>
              <w:rPr>
                <w:sz w:val="16"/>
                <w:szCs w:val="18"/>
              </w:rPr>
            </w:pPr>
            <w:bookmarkStart w:id="1" w:name="_Hlk30420034"/>
            <w:r w:rsidRPr="00244CCE">
              <w:rPr>
                <w:sz w:val="16"/>
                <w:szCs w:val="18"/>
              </w:rPr>
              <w:t>Panel</w:t>
            </w:r>
            <w:r w:rsidR="00062DDD" w:rsidRPr="00244CCE">
              <w:rPr>
                <w:sz w:val="16"/>
                <w:szCs w:val="18"/>
              </w:rPr>
              <w:t> Report</w:t>
            </w:r>
          </w:p>
        </w:tc>
        <w:tc>
          <w:tcPr>
            <w:tcW w:w="6818" w:type="dxa"/>
          </w:tcPr>
          <w:p w14:paraId="416B172D" w14:textId="589C023A" w:rsidR="009A29B1" w:rsidRPr="00244CCE" w:rsidRDefault="004A0A23" w:rsidP="00F73DD3">
            <w:pPr>
              <w:keepLines/>
              <w:tabs>
                <w:tab w:val="left" w:pos="2268"/>
                <w:tab w:val="left" w:pos="4536"/>
              </w:tabs>
              <w:spacing w:before="60" w:after="60"/>
              <w:jc w:val="left"/>
              <w:rPr>
                <w:sz w:val="16"/>
                <w:szCs w:val="18"/>
              </w:rPr>
            </w:pPr>
            <w:r w:rsidRPr="00244CCE">
              <w:rPr>
                <w:sz w:val="16"/>
                <w:szCs w:val="18"/>
              </w:rPr>
              <w:t xml:space="preserve">Panel Report, </w:t>
            </w:r>
            <w:r w:rsidR="009A29B1" w:rsidRPr="00244CCE">
              <w:rPr>
                <w:i/>
                <w:sz w:val="16"/>
                <w:szCs w:val="18"/>
              </w:rPr>
              <w:t xml:space="preserve">United States – Countervailing Measures on </w:t>
            </w:r>
            <w:proofErr w:type="spellStart"/>
            <w:r w:rsidR="009A29B1" w:rsidRPr="00244CCE">
              <w:rPr>
                <w:i/>
                <w:sz w:val="16"/>
                <w:szCs w:val="18"/>
              </w:rPr>
              <w:t>Supercalendered</w:t>
            </w:r>
            <w:proofErr w:type="spellEnd"/>
            <w:r w:rsidR="009A29B1" w:rsidRPr="00244CCE">
              <w:rPr>
                <w:i/>
                <w:sz w:val="16"/>
                <w:szCs w:val="18"/>
              </w:rPr>
              <w:t xml:space="preserve"> Paper from Canada</w:t>
            </w:r>
          </w:p>
        </w:tc>
      </w:tr>
      <w:bookmarkEnd w:id="1"/>
      <w:tr w:rsidR="004C6271" w:rsidRPr="00244CCE" w14:paraId="31DFF539" w14:textId="77777777" w:rsidTr="00F33D57">
        <w:tc>
          <w:tcPr>
            <w:tcW w:w="2403" w:type="dxa"/>
          </w:tcPr>
          <w:p w14:paraId="4966C710" w14:textId="77777777" w:rsidR="004C6271" w:rsidRPr="00244CCE" w:rsidRDefault="004C6271" w:rsidP="00F73DD3">
            <w:pPr>
              <w:spacing w:before="60" w:after="60"/>
              <w:jc w:val="left"/>
              <w:rPr>
                <w:sz w:val="16"/>
                <w:szCs w:val="18"/>
              </w:rPr>
            </w:pPr>
            <w:r w:rsidRPr="00244CCE">
              <w:rPr>
                <w:sz w:val="16"/>
                <w:szCs w:val="18"/>
              </w:rPr>
              <w:t>PHP</w:t>
            </w:r>
          </w:p>
        </w:tc>
        <w:tc>
          <w:tcPr>
            <w:tcW w:w="6818" w:type="dxa"/>
          </w:tcPr>
          <w:p w14:paraId="06EFA029"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Port Hawkesbury Paper LP</w:t>
            </w:r>
          </w:p>
        </w:tc>
      </w:tr>
      <w:tr w:rsidR="004C6271" w:rsidRPr="00244CCE" w14:paraId="695F2503"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77CF6B9D" w14:textId="77777777" w:rsidR="004C6271" w:rsidRPr="00244CCE" w:rsidRDefault="004C6271" w:rsidP="00F73DD3">
            <w:pPr>
              <w:spacing w:before="60" w:after="60"/>
              <w:jc w:val="left"/>
              <w:rPr>
                <w:sz w:val="16"/>
                <w:szCs w:val="18"/>
              </w:rPr>
            </w:pPr>
            <w:r w:rsidRPr="00244CCE">
              <w:rPr>
                <w:sz w:val="16"/>
                <w:szCs w:val="18"/>
              </w:rPr>
              <w:t>PPGTP</w:t>
            </w:r>
          </w:p>
        </w:tc>
        <w:tc>
          <w:tcPr>
            <w:tcW w:w="6818" w:type="dxa"/>
          </w:tcPr>
          <w:p w14:paraId="6B60530E" w14:textId="53D2081E" w:rsidR="004C6271" w:rsidRPr="00244CCE" w:rsidRDefault="00802861" w:rsidP="00F73DD3">
            <w:pPr>
              <w:keepLines/>
              <w:tabs>
                <w:tab w:val="left" w:pos="2268"/>
                <w:tab w:val="left" w:pos="4536"/>
              </w:tabs>
              <w:spacing w:before="60" w:after="60"/>
              <w:jc w:val="left"/>
              <w:rPr>
                <w:sz w:val="16"/>
                <w:szCs w:val="18"/>
              </w:rPr>
            </w:pPr>
            <w:r w:rsidRPr="00244CCE">
              <w:rPr>
                <w:sz w:val="16"/>
                <w:szCs w:val="18"/>
              </w:rPr>
              <w:t xml:space="preserve">Federal </w:t>
            </w:r>
            <w:r w:rsidR="004C6271" w:rsidRPr="00244CCE">
              <w:rPr>
                <w:sz w:val="16"/>
                <w:szCs w:val="18"/>
              </w:rPr>
              <w:t>Pulp and Paper Green Transformation Programme</w:t>
            </w:r>
          </w:p>
        </w:tc>
      </w:tr>
      <w:tr w:rsidR="004C6271" w:rsidRPr="00244CCE" w14:paraId="0205AD23" w14:textId="77777777" w:rsidTr="00F33D57">
        <w:tc>
          <w:tcPr>
            <w:tcW w:w="2403" w:type="dxa"/>
          </w:tcPr>
          <w:p w14:paraId="021BD7B5" w14:textId="77777777" w:rsidR="004C6271" w:rsidRPr="00244CCE" w:rsidRDefault="004C6271" w:rsidP="00F73DD3">
            <w:pPr>
              <w:spacing w:before="60" w:after="60"/>
              <w:jc w:val="left"/>
              <w:rPr>
                <w:sz w:val="16"/>
                <w:szCs w:val="18"/>
              </w:rPr>
            </w:pPr>
            <w:r w:rsidRPr="00244CCE">
              <w:rPr>
                <w:sz w:val="16"/>
                <w:szCs w:val="18"/>
              </w:rPr>
              <w:t>PWCC</w:t>
            </w:r>
          </w:p>
        </w:tc>
        <w:tc>
          <w:tcPr>
            <w:tcW w:w="6818" w:type="dxa"/>
          </w:tcPr>
          <w:p w14:paraId="012EF8A6"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Pacific West Commercial Corporation</w:t>
            </w:r>
          </w:p>
        </w:tc>
      </w:tr>
      <w:tr w:rsidR="004C6271" w:rsidRPr="00244CCE" w14:paraId="358718CD"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2ECFBE00" w14:textId="77777777" w:rsidR="004C6271" w:rsidRPr="00244CCE" w:rsidRDefault="004C6271" w:rsidP="00F73DD3">
            <w:pPr>
              <w:spacing w:before="60" w:after="60"/>
              <w:jc w:val="left"/>
              <w:rPr>
                <w:sz w:val="16"/>
                <w:szCs w:val="18"/>
              </w:rPr>
            </w:pPr>
            <w:r w:rsidRPr="00244CCE">
              <w:rPr>
                <w:sz w:val="16"/>
                <w:szCs w:val="18"/>
              </w:rPr>
              <w:t>Resolute</w:t>
            </w:r>
          </w:p>
        </w:tc>
        <w:tc>
          <w:tcPr>
            <w:tcW w:w="6818" w:type="dxa"/>
          </w:tcPr>
          <w:p w14:paraId="72B8C5BF"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Resolute FP Canada Inc.</w:t>
            </w:r>
          </w:p>
        </w:tc>
      </w:tr>
      <w:tr w:rsidR="004C6271" w:rsidRPr="00244CCE" w14:paraId="0039E31F" w14:textId="77777777" w:rsidTr="00F33D57">
        <w:tc>
          <w:tcPr>
            <w:tcW w:w="2403" w:type="dxa"/>
          </w:tcPr>
          <w:p w14:paraId="1ACF3BA1" w14:textId="1D13B396" w:rsidR="004C6271" w:rsidRPr="00244CCE" w:rsidRDefault="004C6271" w:rsidP="00F73DD3">
            <w:pPr>
              <w:spacing w:before="60" w:after="60"/>
              <w:jc w:val="left"/>
              <w:rPr>
                <w:sz w:val="16"/>
                <w:szCs w:val="18"/>
              </w:rPr>
            </w:pPr>
            <w:r w:rsidRPr="00244CCE">
              <w:rPr>
                <w:sz w:val="16"/>
                <w:szCs w:val="18"/>
              </w:rPr>
              <w:t>SCM</w:t>
            </w:r>
            <w:r w:rsidR="00945567" w:rsidRPr="00244CCE">
              <w:rPr>
                <w:sz w:val="16"/>
                <w:szCs w:val="18"/>
              </w:rPr>
              <w:t> Agreement</w:t>
            </w:r>
          </w:p>
        </w:tc>
        <w:tc>
          <w:tcPr>
            <w:tcW w:w="6818" w:type="dxa"/>
          </w:tcPr>
          <w:p w14:paraId="1B2F4A16"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Agreement on Subsidies and Countervailing Measures</w:t>
            </w:r>
          </w:p>
        </w:tc>
      </w:tr>
      <w:tr w:rsidR="004C6271" w:rsidRPr="00244CCE" w14:paraId="4DEB55CA"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47CAC76C" w14:textId="77777777" w:rsidR="004C6271" w:rsidRPr="00244CCE" w:rsidRDefault="004C6271" w:rsidP="00F73DD3">
            <w:pPr>
              <w:spacing w:before="60" w:after="60"/>
              <w:jc w:val="left"/>
              <w:rPr>
                <w:sz w:val="16"/>
                <w:szCs w:val="18"/>
              </w:rPr>
            </w:pPr>
            <w:r w:rsidRPr="00244CCE">
              <w:rPr>
                <w:sz w:val="16"/>
                <w:szCs w:val="18"/>
              </w:rPr>
              <w:t>USDOC</w:t>
            </w:r>
          </w:p>
        </w:tc>
        <w:tc>
          <w:tcPr>
            <w:tcW w:w="6818" w:type="dxa"/>
          </w:tcPr>
          <w:p w14:paraId="495145B0" w14:textId="56FB5CAD"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United</w:t>
            </w:r>
            <w:r w:rsidR="00945567" w:rsidRPr="00244CCE">
              <w:rPr>
                <w:sz w:val="16"/>
                <w:szCs w:val="18"/>
              </w:rPr>
              <w:t> States</w:t>
            </w:r>
            <w:r w:rsidRPr="00244CCE">
              <w:rPr>
                <w:sz w:val="16"/>
                <w:szCs w:val="18"/>
              </w:rPr>
              <w:t xml:space="preserve"> Department of Commerce</w:t>
            </w:r>
          </w:p>
        </w:tc>
      </w:tr>
      <w:tr w:rsidR="004C6271" w:rsidRPr="00244CCE" w14:paraId="0908374C" w14:textId="77777777" w:rsidTr="00F33D57">
        <w:tc>
          <w:tcPr>
            <w:tcW w:w="2403" w:type="dxa"/>
          </w:tcPr>
          <w:p w14:paraId="584712F4" w14:textId="77777777" w:rsidR="004C6271" w:rsidRPr="00244CCE" w:rsidRDefault="004C6271" w:rsidP="00F73DD3">
            <w:pPr>
              <w:spacing w:before="60" w:after="60"/>
              <w:jc w:val="left"/>
              <w:rPr>
                <w:sz w:val="16"/>
                <w:szCs w:val="18"/>
              </w:rPr>
            </w:pPr>
            <w:r w:rsidRPr="00244CCE">
              <w:rPr>
                <w:sz w:val="16"/>
                <w:szCs w:val="18"/>
              </w:rPr>
              <w:t>Working Procedures</w:t>
            </w:r>
          </w:p>
        </w:tc>
        <w:tc>
          <w:tcPr>
            <w:tcW w:w="6818" w:type="dxa"/>
          </w:tcPr>
          <w:p w14:paraId="39AEFC0C"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Working Procedures for Appellate Review</w:t>
            </w:r>
          </w:p>
        </w:tc>
      </w:tr>
      <w:tr w:rsidR="004C6271" w:rsidRPr="00244CCE" w14:paraId="0EDC5C63" w14:textId="77777777" w:rsidTr="00F33D57">
        <w:trPr>
          <w:cnfStyle w:val="000000010000" w:firstRow="0" w:lastRow="0" w:firstColumn="0" w:lastColumn="0" w:oddVBand="0" w:evenVBand="0" w:oddHBand="0" w:evenHBand="1" w:firstRowFirstColumn="0" w:firstRowLastColumn="0" w:lastRowFirstColumn="0" w:lastRowLastColumn="0"/>
        </w:trPr>
        <w:tc>
          <w:tcPr>
            <w:tcW w:w="2403" w:type="dxa"/>
          </w:tcPr>
          <w:p w14:paraId="1B3E1768" w14:textId="77777777" w:rsidR="004C6271" w:rsidRPr="00244CCE" w:rsidRDefault="004C6271" w:rsidP="00F73DD3">
            <w:pPr>
              <w:spacing w:before="60" w:after="60"/>
              <w:jc w:val="left"/>
              <w:rPr>
                <w:sz w:val="16"/>
                <w:szCs w:val="18"/>
              </w:rPr>
            </w:pPr>
            <w:r w:rsidRPr="00244CCE">
              <w:rPr>
                <w:sz w:val="16"/>
                <w:szCs w:val="18"/>
              </w:rPr>
              <w:t>WTO</w:t>
            </w:r>
          </w:p>
        </w:tc>
        <w:tc>
          <w:tcPr>
            <w:tcW w:w="6818" w:type="dxa"/>
          </w:tcPr>
          <w:p w14:paraId="3814BE7C" w14:textId="77777777" w:rsidR="004C6271" w:rsidRPr="00244CCE" w:rsidRDefault="004C6271" w:rsidP="00F73DD3">
            <w:pPr>
              <w:keepLines/>
              <w:tabs>
                <w:tab w:val="left" w:pos="2268"/>
                <w:tab w:val="left" w:pos="4536"/>
              </w:tabs>
              <w:spacing w:before="60" w:after="60"/>
              <w:jc w:val="left"/>
              <w:rPr>
                <w:sz w:val="16"/>
                <w:szCs w:val="18"/>
              </w:rPr>
            </w:pPr>
            <w:r w:rsidRPr="00244CCE">
              <w:rPr>
                <w:sz w:val="16"/>
                <w:szCs w:val="18"/>
              </w:rPr>
              <w:t>World Trade Organization</w:t>
            </w:r>
          </w:p>
        </w:tc>
      </w:tr>
    </w:tbl>
    <w:p w14:paraId="2CBF9E41" w14:textId="77777777" w:rsidR="00937C08" w:rsidRPr="00244CCE" w:rsidRDefault="00937C08" w:rsidP="00F73DD3">
      <w:pPr>
        <w:pStyle w:val="Title"/>
      </w:pPr>
      <w:bookmarkStart w:id="2" w:name="_Hlk25919520"/>
    </w:p>
    <w:p w14:paraId="47E1C7CE" w14:textId="77777777" w:rsidR="00937C08" w:rsidRPr="00244CCE" w:rsidRDefault="00937C08" w:rsidP="00F73DD3">
      <w:pPr>
        <w:jc w:val="left"/>
        <w:rPr>
          <w:rFonts w:eastAsia="Times New Roman"/>
          <w:b/>
          <w:caps/>
          <w:color w:val="006283"/>
          <w:kern w:val="28"/>
          <w:szCs w:val="52"/>
          <w:lang w:eastAsia="en-GB"/>
        </w:rPr>
      </w:pPr>
      <w:r w:rsidRPr="00244CCE">
        <w:br w:type="page"/>
      </w:r>
    </w:p>
    <w:p w14:paraId="75EFC71B" w14:textId="4E26F715" w:rsidR="00BB7DD3" w:rsidRPr="00244CCE" w:rsidRDefault="00BB7DD3" w:rsidP="00F73DD3">
      <w:pPr>
        <w:pStyle w:val="Title"/>
      </w:pPr>
      <w:r w:rsidRPr="00244CCE">
        <w:lastRenderedPageBreak/>
        <w:t>PANEL EXHIBITS CITED IN THIS REPORT</w:t>
      </w:r>
    </w:p>
    <w:tbl>
      <w:tblPr>
        <w:tblStyle w:val="WTOTable1"/>
        <w:tblW w:w="9209" w:type="dxa"/>
        <w:tblLayout w:type="fixed"/>
        <w:tblLook w:val="0060" w:firstRow="1" w:lastRow="1" w:firstColumn="0" w:lastColumn="0" w:noHBand="0" w:noVBand="0"/>
      </w:tblPr>
      <w:tblGrid>
        <w:gridCol w:w="2405"/>
        <w:gridCol w:w="1843"/>
        <w:gridCol w:w="4961"/>
      </w:tblGrid>
      <w:tr w:rsidR="00BB5B4A" w:rsidRPr="00244CCE" w14:paraId="30BB6536" w14:textId="77777777" w:rsidTr="00084FC0">
        <w:trPr>
          <w:cnfStyle w:val="100000000000" w:firstRow="1" w:lastRow="0" w:firstColumn="0" w:lastColumn="0" w:oddVBand="0" w:evenVBand="0" w:oddHBand="0" w:evenHBand="0" w:firstRowFirstColumn="0" w:firstRowLastColumn="0" w:lastRowFirstColumn="0" w:lastRowLastColumn="0"/>
          <w:tblHeader/>
        </w:trPr>
        <w:tc>
          <w:tcPr>
            <w:tcW w:w="2405" w:type="dxa"/>
          </w:tcPr>
          <w:p w14:paraId="45BC5E79" w14:textId="77777777" w:rsidR="00BB5B4A" w:rsidRPr="00244CCE" w:rsidRDefault="00BB5B4A" w:rsidP="00F73DD3">
            <w:pPr>
              <w:keepLines/>
              <w:tabs>
                <w:tab w:val="left" w:pos="2268"/>
                <w:tab w:val="left" w:pos="4536"/>
              </w:tabs>
              <w:spacing w:before="60" w:after="60"/>
              <w:jc w:val="center"/>
              <w:rPr>
                <w:sz w:val="16"/>
                <w:szCs w:val="16"/>
                <w:lang w:eastAsia="en-GB"/>
              </w:rPr>
            </w:pPr>
            <w:bookmarkStart w:id="3" w:name="_Hlk26790834"/>
            <w:bookmarkEnd w:id="2"/>
            <w:r w:rsidRPr="00244CCE">
              <w:rPr>
                <w:sz w:val="16"/>
                <w:szCs w:val="16"/>
                <w:lang w:eastAsia="en-GB"/>
              </w:rPr>
              <w:t>Exhibit Number</w:t>
            </w:r>
          </w:p>
        </w:tc>
        <w:tc>
          <w:tcPr>
            <w:tcW w:w="1843" w:type="dxa"/>
          </w:tcPr>
          <w:p w14:paraId="66812D55" w14:textId="77777777" w:rsidR="00BB5B4A" w:rsidRPr="00244CCE" w:rsidRDefault="00BB5B4A" w:rsidP="00F73DD3">
            <w:pPr>
              <w:keepLines/>
              <w:tabs>
                <w:tab w:val="left" w:pos="2268"/>
                <w:tab w:val="left" w:pos="4536"/>
              </w:tabs>
              <w:spacing w:before="60" w:after="60"/>
              <w:jc w:val="center"/>
              <w:rPr>
                <w:sz w:val="16"/>
                <w:szCs w:val="16"/>
                <w:lang w:eastAsia="en-GB"/>
              </w:rPr>
            </w:pPr>
            <w:r w:rsidRPr="00244CCE">
              <w:rPr>
                <w:sz w:val="16"/>
                <w:szCs w:val="16"/>
                <w:lang w:eastAsia="en-GB"/>
              </w:rPr>
              <w:t xml:space="preserve">Short Title </w:t>
            </w:r>
            <w:r w:rsidRPr="00244CCE">
              <w:rPr>
                <w:sz w:val="16"/>
                <w:szCs w:val="16"/>
                <w:lang w:eastAsia="en-GB"/>
              </w:rPr>
              <w:br/>
              <w:t>(if applicable)</w:t>
            </w:r>
          </w:p>
        </w:tc>
        <w:tc>
          <w:tcPr>
            <w:tcW w:w="4961" w:type="dxa"/>
          </w:tcPr>
          <w:p w14:paraId="04B50CDE" w14:textId="77777777" w:rsidR="00BB5B4A" w:rsidRPr="00244CCE" w:rsidRDefault="00BB5B4A" w:rsidP="00F73DD3">
            <w:pPr>
              <w:keepLines/>
              <w:tabs>
                <w:tab w:val="left" w:pos="2268"/>
                <w:tab w:val="left" w:pos="4536"/>
              </w:tabs>
              <w:spacing w:before="60" w:after="60"/>
              <w:jc w:val="center"/>
              <w:rPr>
                <w:sz w:val="16"/>
                <w:szCs w:val="16"/>
                <w:lang w:eastAsia="en-GB"/>
              </w:rPr>
            </w:pPr>
            <w:r w:rsidRPr="00244CCE">
              <w:rPr>
                <w:sz w:val="16"/>
                <w:szCs w:val="16"/>
                <w:lang w:eastAsia="en-GB"/>
              </w:rPr>
              <w:t>Description</w:t>
            </w:r>
          </w:p>
        </w:tc>
      </w:tr>
      <w:tr w:rsidR="00BB5B4A" w:rsidRPr="00244CCE" w14:paraId="5563F8C3" w14:textId="77777777" w:rsidTr="00084FC0">
        <w:tc>
          <w:tcPr>
            <w:tcW w:w="2405" w:type="dxa"/>
          </w:tcPr>
          <w:p w14:paraId="202683D0" w14:textId="60F52D8B" w:rsidR="00BB5B4A" w:rsidRPr="00244CCE" w:rsidRDefault="00BB5B4A" w:rsidP="00F73DD3">
            <w:pPr>
              <w:spacing w:before="60" w:after="60"/>
              <w:jc w:val="left"/>
              <w:rPr>
                <w:i/>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37</w:t>
            </w:r>
          </w:p>
        </w:tc>
        <w:tc>
          <w:tcPr>
            <w:tcW w:w="1843" w:type="dxa"/>
          </w:tcPr>
          <w:p w14:paraId="69E64E74" w14:textId="4C6829AF" w:rsidR="00B82553" w:rsidRPr="00244CCE" w:rsidRDefault="00BB5B4A" w:rsidP="00F73DD3">
            <w:pPr>
              <w:spacing w:before="60" w:after="60"/>
              <w:jc w:val="left"/>
              <w:rPr>
                <w:sz w:val="16"/>
                <w:szCs w:val="16"/>
                <w:lang w:eastAsia="en-GB"/>
              </w:rPr>
            </w:pPr>
            <w:proofErr w:type="spellStart"/>
            <w:r w:rsidRPr="00244CCE">
              <w:rPr>
                <w:sz w:val="16"/>
                <w:szCs w:val="16"/>
                <w:lang w:eastAsia="en-GB"/>
              </w:rPr>
              <w:t>Supercalendered</w:t>
            </w:r>
            <w:proofErr w:type="spellEnd"/>
            <w:r w:rsidRPr="00244CCE">
              <w:rPr>
                <w:sz w:val="16"/>
                <w:szCs w:val="16"/>
                <w:lang w:eastAsia="en-GB"/>
              </w:rPr>
              <w:t xml:space="preserve"> Paper from Canada 2015, I</w:t>
            </w:r>
            <w:r w:rsidR="00765EEC" w:rsidRPr="00244CCE">
              <w:rPr>
                <w:sz w:val="16"/>
                <w:szCs w:val="16"/>
                <w:lang w:eastAsia="en-GB"/>
              </w:rPr>
              <w:t>&amp;</w:t>
            </w:r>
            <w:r w:rsidRPr="00244CCE">
              <w:rPr>
                <w:sz w:val="16"/>
                <w:szCs w:val="16"/>
                <w:lang w:eastAsia="en-GB"/>
              </w:rPr>
              <w:t>D Memo</w:t>
            </w:r>
          </w:p>
        </w:tc>
        <w:tc>
          <w:tcPr>
            <w:tcW w:w="4961" w:type="dxa"/>
          </w:tcPr>
          <w:p w14:paraId="435CACF5" w14:textId="5D3700FF" w:rsidR="00BB5B4A" w:rsidRPr="00244CCE" w:rsidRDefault="00BB5B4A" w:rsidP="00F73DD3">
            <w:pPr>
              <w:spacing w:before="60" w:after="60"/>
              <w:jc w:val="left"/>
              <w:rPr>
                <w:sz w:val="16"/>
                <w:szCs w:val="16"/>
                <w:lang w:eastAsia="en-GB"/>
              </w:rPr>
            </w:pPr>
            <w:r w:rsidRPr="00244CCE">
              <w:rPr>
                <w:sz w:val="16"/>
                <w:szCs w:val="16"/>
                <w:lang w:eastAsia="en-GB"/>
              </w:rPr>
              <w:t xml:space="preserve">USDOC, Issues and Decision Memorandum for the Final Determination in the Countervailing Duty Investigation of </w:t>
            </w:r>
            <w:proofErr w:type="spellStart"/>
            <w:r w:rsidRPr="00244CCE">
              <w:rPr>
                <w:sz w:val="16"/>
                <w:szCs w:val="16"/>
                <w:lang w:eastAsia="en-GB"/>
              </w:rPr>
              <w:t>Supercalendered</w:t>
            </w:r>
            <w:proofErr w:type="spellEnd"/>
            <w:r w:rsidRPr="00244CCE">
              <w:rPr>
                <w:sz w:val="16"/>
                <w:szCs w:val="16"/>
                <w:lang w:eastAsia="en-GB"/>
              </w:rPr>
              <w:t xml:space="preserve"> Paper from Canada (13 October 2015)</w:t>
            </w:r>
            <w:r w:rsidR="00CF2FE2" w:rsidRPr="00244CCE">
              <w:rPr>
                <w:sz w:val="16"/>
                <w:szCs w:val="16"/>
                <w:lang w:eastAsia="en-GB"/>
              </w:rPr>
              <w:t xml:space="preserve"> </w:t>
            </w:r>
          </w:p>
        </w:tc>
      </w:tr>
      <w:tr w:rsidR="00BB5B4A" w:rsidRPr="00244CCE" w14:paraId="6ECF1C05" w14:textId="77777777" w:rsidTr="00084FC0">
        <w:trPr>
          <w:cnfStyle w:val="000000010000" w:firstRow="0" w:lastRow="0" w:firstColumn="0" w:lastColumn="0" w:oddVBand="0" w:evenVBand="0" w:oddHBand="0" w:evenHBand="1" w:firstRowFirstColumn="0" w:firstRowLastColumn="0" w:lastRowFirstColumn="0" w:lastRowLastColumn="0"/>
        </w:trPr>
        <w:tc>
          <w:tcPr>
            <w:tcW w:w="2405" w:type="dxa"/>
          </w:tcPr>
          <w:p w14:paraId="774B2ECC" w14:textId="1510F7B4"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47 (BCI)</w:t>
            </w:r>
          </w:p>
        </w:tc>
        <w:tc>
          <w:tcPr>
            <w:tcW w:w="1843" w:type="dxa"/>
          </w:tcPr>
          <w:p w14:paraId="1A4F3FC6" w14:textId="311C8B79" w:rsidR="00BB5B4A" w:rsidRPr="00244CCE" w:rsidRDefault="00BB5B4A" w:rsidP="00F73DD3">
            <w:pPr>
              <w:spacing w:before="60" w:after="60"/>
              <w:jc w:val="left"/>
              <w:rPr>
                <w:sz w:val="16"/>
                <w:szCs w:val="16"/>
                <w:lang w:eastAsia="en-GB"/>
              </w:rPr>
            </w:pPr>
            <w:proofErr w:type="spellStart"/>
            <w:r w:rsidRPr="00244CCE">
              <w:rPr>
                <w:sz w:val="16"/>
                <w:szCs w:val="16"/>
                <w:lang w:eastAsia="en-GB"/>
              </w:rPr>
              <w:t>Supercalendered</w:t>
            </w:r>
            <w:proofErr w:type="spellEnd"/>
            <w:r w:rsidRPr="00244CCE">
              <w:rPr>
                <w:sz w:val="16"/>
                <w:szCs w:val="16"/>
                <w:lang w:eastAsia="en-GB"/>
              </w:rPr>
              <w:t xml:space="preserve"> Paper from Canada 2015, </w:t>
            </w:r>
            <w:r w:rsidR="007B6E51" w:rsidRPr="00244CCE">
              <w:rPr>
                <w:sz w:val="16"/>
                <w:szCs w:val="16"/>
                <w:lang w:eastAsia="en-GB"/>
              </w:rPr>
              <w:t xml:space="preserve">Verification Report </w:t>
            </w:r>
            <w:r w:rsidRPr="00244CCE">
              <w:rPr>
                <w:sz w:val="16"/>
                <w:szCs w:val="16"/>
                <w:lang w:eastAsia="en-GB"/>
              </w:rPr>
              <w:t>(Resolute)</w:t>
            </w:r>
          </w:p>
        </w:tc>
        <w:tc>
          <w:tcPr>
            <w:tcW w:w="4961" w:type="dxa"/>
          </w:tcPr>
          <w:p w14:paraId="6D4E458D" w14:textId="77777777" w:rsidR="00BB5B4A" w:rsidRPr="00244CCE" w:rsidRDefault="00BB5B4A" w:rsidP="00F73DD3">
            <w:pPr>
              <w:spacing w:before="60" w:after="60"/>
              <w:jc w:val="left"/>
              <w:rPr>
                <w:sz w:val="16"/>
                <w:szCs w:val="16"/>
                <w:lang w:eastAsia="en-GB"/>
              </w:rPr>
            </w:pPr>
            <w:r w:rsidRPr="00244CCE">
              <w:rPr>
                <w:sz w:val="16"/>
                <w:szCs w:val="16"/>
                <w:lang w:eastAsia="en-GB"/>
              </w:rPr>
              <w:t xml:space="preserve">USDOC, Memorandum dated 27 August 2015 for the Verification of the Questionnaire Responses of Resolute FP Canada Inc. in the Countervailing Duty Investigation of </w:t>
            </w:r>
            <w:proofErr w:type="spellStart"/>
            <w:r w:rsidRPr="00244CCE">
              <w:rPr>
                <w:sz w:val="16"/>
                <w:szCs w:val="16"/>
                <w:lang w:eastAsia="en-GB"/>
              </w:rPr>
              <w:t>Supercalendered</w:t>
            </w:r>
            <w:proofErr w:type="spellEnd"/>
            <w:r w:rsidRPr="00244CCE">
              <w:rPr>
                <w:sz w:val="16"/>
                <w:szCs w:val="16"/>
                <w:lang w:eastAsia="en-GB"/>
              </w:rPr>
              <w:t xml:space="preserve"> Paper from Canada</w:t>
            </w:r>
          </w:p>
        </w:tc>
      </w:tr>
      <w:tr w:rsidR="00BB5B4A" w:rsidRPr="00244CCE" w14:paraId="6151333F" w14:textId="77777777" w:rsidTr="00084FC0">
        <w:tc>
          <w:tcPr>
            <w:tcW w:w="2405" w:type="dxa"/>
          </w:tcPr>
          <w:p w14:paraId="1A72D7F1" w14:textId="39C053CC"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76</w:t>
            </w:r>
          </w:p>
        </w:tc>
        <w:tc>
          <w:tcPr>
            <w:tcW w:w="1843" w:type="dxa"/>
          </w:tcPr>
          <w:p w14:paraId="42D2F039" w14:textId="77777777" w:rsidR="00BB5B4A" w:rsidRPr="00244CCE" w:rsidRDefault="00BB5B4A" w:rsidP="00F73DD3">
            <w:pPr>
              <w:spacing w:before="60" w:after="60"/>
              <w:jc w:val="left"/>
              <w:rPr>
                <w:sz w:val="16"/>
                <w:szCs w:val="16"/>
                <w:lang w:eastAsia="en-GB"/>
              </w:rPr>
            </w:pPr>
            <w:r w:rsidRPr="00244CCE">
              <w:rPr>
                <w:sz w:val="16"/>
                <w:szCs w:val="16"/>
                <w:lang w:eastAsia="en-GB"/>
              </w:rPr>
              <w:t>USDOC NAFTA Brief</w:t>
            </w:r>
          </w:p>
        </w:tc>
        <w:tc>
          <w:tcPr>
            <w:tcW w:w="4961" w:type="dxa"/>
          </w:tcPr>
          <w:p w14:paraId="315692F9" w14:textId="4ADA9947" w:rsidR="00BB5B4A" w:rsidRPr="00244CCE" w:rsidRDefault="00BB5B4A" w:rsidP="00F73DD3">
            <w:pPr>
              <w:spacing w:before="60" w:after="60"/>
              <w:jc w:val="left"/>
              <w:rPr>
                <w:sz w:val="16"/>
                <w:szCs w:val="16"/>
                <w:lang w:eastAsia="en-GB"/>
              </w:rPr>
            </w:pPr>
            <w:r w:rsidRPr="00244CCE">
              <w:rPr>
                <w:sz w:val="16"/>
                <w:szCs w:val="16"/>
                <w:lang w:eastAsia="en-GB"/>
              </w:rPr>
              <w:t xml:space="preserve">USDOC, Rule 57(2) Brief (NAFTA) in </w:t>
            </w:r>
            <w:proofErr w:type="spellStart"/>
            <w:r w:rsidRPr="00244CCE">
              <w:rPr>
                <w:sz w:val="16"/>
                <w:szCs w:val="16"/>
                <w:lang w:eastAsia="en-GB"/>
              </w:rPr>
              <w:t>Supercalendered</w:t>
            </w:r>
            <w:proofErr w:type="spellEnd"/>
            <w:r w:rsidRPr="00244CCE">
              <w:rPr>
                <w:sz w:val="16"/>
                <w:szCs w:val="16"/>
                <w:lang w:eastAsia="en-GB"/>
              </w:rPr>
              <w:t xml:space="preserve"> Paper from Canada: Final Affirmative Countervailing Duty Determination (5</w:t>
            </w:r>
            <w:r w:rsidR="000C55B1" w:rsidRPr="00244CCE">
              <w:rPr>
                <w:sz w:val="16"/>
                <w:szCs w:val="16"/>
                <w:lang w:eastAsia="en-GB"/>
              </w:rPr>
              <w:t> </w:t>
            </w:r>
            <w:r w:rsidRPr="00244CCE">
              <w:rPr>
                <w:sz w:val="16"/>
                <w:szCs w:val="16"/>
                <w:lang w:eastAsia="en-GB"/>
              </w:rPr>
              <w:t>July 2016)</w:t>
            </w:r>
          </w:p>
        </w:tc>
      </w:tr>
      <w:tr w:rsidR="00BB5B4A" w:rsidRPr="00244CCE" w14:paraId="7D73FEF8" w14:textId="77777777" w:rsidTr="00084FC0">
        <w:trPr>
          <w:cnfStyle w:val="000000010000" w:firstRow="0" w:lastRow="0" w:firstColumn="0" w:lastColumn="0" w:oddVBand="0" w:evenVBand="0" w:oddHBand="0" w:evenHBand="1" w:firstRowFirstColumn="0" w:firstRowLastColumn="0" w:lastRowFirstColumn="0" w:lastRowLastColumn="0"/>
        </w:trPr>
        <w:tc>
          <w:tcPr>
            <w:tcW w:w="2405" w:type="dxa"/>
          </w:tcPr>
          <w:p w14:paraId="0327DB19" w14:textId="2F23FA50"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116</w:t>
            </w:r>
          </w:p>
        </w:tc>
        <w:tc>
          <w:tcPr>
            <w:tcW w:w="1843" w:type="dxa"/>
          </w:tcPr>
          <w:p w14:paraId="2A163E40" w14:textId="441050A6" w:rsidR="00BB5B4A" w:rsidRPr="00244CCE" w:rsidRDefault="00BB5B4A" w:rsidP="00F73DD3">
            <w:pPr>
              <w:spacing w:before="60" w:after="60"/>
              <w:jc w:val="left"/>
              <w:rPr>
                <w:sz w:val="16"/>
                <w:szCs w:val="16"/>
                <w:lang w:eastAsia="en-GB"/>
              </w:rPr>
            </w:pPr>
          </w:p>
        </w:tc>
        <w:tc>
          <w:tcPr>
            <w:tcW w:w="4961" w:type="dxa"/>
          </w:tcPr>
          <w:p w14:paraId="325EE495" w14:textId="40F2C905" w:rsidR="00BB5B4A" w:rsidRPr="00244CCE" w:rsidRDefault="00BB5B4A" w:rsidP="00F73DD3">
            <w:pPr>
              <w:spacing w:before="60" w:after="60"/>
              <w:jc w:val="left"/>
              <w:rPr>
                <w:sz w:val="16"/>
                <w:szCs w:val="16"/>
                <w:lang w:eastAsia="en-GB"/>
              </w:rPr>
            </w:pPr>
            <w:r w:rsidRPr="00244CCE">
              <w:rPr>
                <w:sz w:val="16"/>
                <w:szCs w:val="16"/>
                <w:lang w:eastAsia="en-GB"/>
              </w:rPr>
              <w:t xml:space="preserve">USDOC, Issues and Decision Memorandum for the Final Determination in the Countervailing Duty Investigation of Crystalline Silicon Photovoltaic Cells, </w:t>
            </w:r>
            <w:proofErr w:type="gramStart"/>
            <w:r w:rsidRPr="00244CCE">
              <w:rPr>
                <w:sz w:val="16"/>
                <w:szCs w:val="16"/>
                <w:lang w:eastAsia="en-GB"/>
              </w:rPr>
              <w:t>Whether or Not</w:t>
            </w:r>
            <w:proofErr w:type="gramEnd"/>
            <w:r w:rsidRPr="00244CCE">
              <w:rPr>
                <w:sz w:val="16"/>
                <w:szCs w:val="16"/>
                <w:lang w:eastAsia="en-GB"/>
              </w:rPr>
              <w:t xml:space="preserve"> Assembled </w:t>
            </w:r>
            <w:r w:rsidR="008E4CB1" w:rsidRPr="00244CCE">
              <w:rPr>
                <w:sz w:val="16"/>
                <w:szCs w:val="16"/>
                <w:lang w:eastAsia="en-GB"/>
              </w:rPr>
              <w:t>i</w:t>
            </w:r>
            <w:r w:rsidRPr="00244CCE">
              <w:rPr>
                <w:sz w:val="16"/>
                <w:szCs w:val="16"/>
                <w:lang w:eastAsia="en-GB"/>
              </w:rPr>
              <w:t xml:space="preserve">nto Modules, from the People's Republic of China (9 October 2012) </w:t>
            </w:r>
          </w:p>
        </w:tc>
      </w:tr>
      <w:tr w:rsidR="00BB5B4A" w:rsidRPr="00244CCE" w14:paraId="386213BF" w14:textId="77777777" w:rsidTr="00084FC0">
        <w:tc>
          <w:tcPr>
            <w:tcW w:w="2405" w:type="dxa"/>
          </w:tcPr>
          <w:p w14:paraId="66095DF0" w14:textId="37E22499"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118</w:t>
            </w:r>
          </w:p>
        </w:tc>
        <w:tc>
          <w:tcPr>
            <w:tcW w:w="1843" w:type="dxa"/>
          </w:tcPr>
          <w:p w14:paraId="267C3D14" w14:textId="3D16A10E" w:rsidR="00BB5B4A" w:rsidRPr="00244CCE" w:rsidRDefault="00BB5B4A" w:rsidP="00F73DD3">
            <w:pPr>
              <w:spacing w:before="60" w:after="60"/>
              <w:jc w:val="left"/>
              <w:rPr>
                <w:sz w:val="16"/>
                <w:szCs w:val="16"/>
                <w:lang w:eastAsia="en-GB"/>
              </w:rPr>
            </w:pPr>
            <w:r w:rsidRPr="00244CCE">
              <w:rPr>
                <w:sz w:val="16"/>
                <w:szCs w:val="16"/>
                <w:lang w:eastAsia="en-GB"/>
              </w:rPr>
              <w:t xml:space="preserve">Shrimp from China 2013, </w:t>
            </w:r>
            <w:r w:rsidR="00765EEC" w:rsidRPr="00244CCE">
              <w:rPr>
                <w:sz w:val="16"/>
                <w:szCs w:val="16"/>
                <w:lang w:eastAsia="en-GB"/>
              </w:rPr>
              <w:t>I&amp;D Memo</w:t>
            </w:r>
          </w:p>
        </w:tc>
        <w:tc>
          <w:tcPr>
            <w:tcW w:w="4961" w:type="dxa"/>
          </w:tcPr>
          <w:p w14:paraId="073FDF31" w14:textId="77777777" w:rsidR="00BB5B4A" w:rsidRPr="00244CCE" w:rsidRDefault="00BB5B4A" w:rsidP="00F73DD3">
            <w:pPr>
              <w:spacing w:before="60" w:after="60"/>
              <w:jc w:val="left"/>
              <w:rPr>
                <w:sz w:val="16"/>
                <w:szCs w:val="16"/>
                <w:lang w:eastAsia="en-GB"/>
              </w:rPr>
            </w:pPr>
            <w:r w:rsidRPr="00244CCE">
              <w:rPr>
                <w:sz w:val="16"/>
                <w:szCs w:val="16"/>
                <w:lang w:eastAsia="en-GB"/>
              </w:rPr>
              <w:t>USDOC, Issues and Decision Memorandum for the Final Determination in the Countervailing Duty Investigation of Certain Frozen Warmwater Shrimp from the People's Republic of China (12 August 2013)</w:t>
            </w:r>
          </w:p>
        </w:tc>
      </w:tr>
      <w:tr w:rsidR="00BB5B4A" w:rsidRPr="00244CCE" w14:paraId="730D44C6" w14:textId="77777777" w:rsidTr="00084FC0">
        <w:trPr>
          <w:cnfStyle w:val="000000010000" w:firstRow="0" w:lastRow="0" w:firstColumn="0" w:lastColumn="0" w:oddVBand="0" w:evenVBand="0" w:oddHBand="0" w:evenHBand="1" w:firstRowFirstColumn="0" w:firstRowLastColumn="0" w:lastRowFirstColumn="0" w:lastRowLastColumn="0"/>
        </w:trPr>
        <w:tc>
          <w:tcPr>
            <w:tcW w:w="2405" w:type="dxa"/>
          </w:tcPr>
          <w:p w14:paraId="259C6207" w14:textId="742AF98C"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121</w:t>
            </w:r>
          </w:p>
        </w:tc>
        <w:tc>
          <w:tcPr>
            <w:tcW w:w="1843" w:type="dxa"/>
          </w:tcPr>
          <w:p w14:paraId="1486D9CB" w14:textId="41939B5F" w:rsidR="00BB5B4A" w:rsidRPr="00244CCE" w:rsidRDefault="00BB5B4A" w:rsidP="00F73DD3">
            <w:pPr>
              <w:spacing w:before="60" w:after="60"/>
              <w:jc w:val="left"/>
              <w:rPr>
                <w:sz w:val="16"/>
                <w:szCs w:val="16"/>
                <w:lang w:eastAsia="en-GB"/>
              </w:rPr>
            </w:pPr>
            <w:r w:rsidRPr="00244CCE">
              <w:rPr>
                <w:sz w:val="16"/>
                <w:szCs w:val="16"/>
                <w:lang w:eastAsia="en-GB"/>
              </w:rPr>
              <w:t xml:space="preserve">Solar Cells from China 2014, </w:t>
            </w:r>
            <w:r w:rsidR="00765EEC" w:rsidRPr="00244CCE">
              <w:rPr>
                <w:sz w:val="16"/>
                <w:szCs w:val="16"/>
                <w:lang w:eastAsia="en-GB"/>
              </w:rPr>
              <w:t>I&amp;D Memo</w:t>
            </w:r>
            <w:r w:rsidRPr="00244CCE">
              <w:rPr>
                <w:sz w:val="16"/>
                <w:szCs w:val="16"/>
                <w:lang w:eastAsia="en-GB"/>
              </w:rPr>
              <w:t xml:space="preserve"> </w:t>
            </w:r>
          </w:p>
        </w:tc>
        <w:tc>
          <w:tcPr>
            <w:tcW w:w="4961" w:type="dxa"/>
          </w:tcPr>
          <w:p w14:paraId="145DF1AD" w14:textId="77777777" w:rsidR="00BB5B4A" w:rsidRPr="00244CCE" w:rsidRDefault="00BB5B4A" w:rsidP="00F73DD3">
            <w:pPr>
              <w:spacing w:before="60" w:after="60"/>
              <w:jc w:val="left"/>
              <w:rPr>
                <w:sz w:val="16"/>
                <w:szCs w:val="16"/>
                <w:lang w:eastAsia="en-GB"/>
              </w:rPr>
            </w:pPr>
            <w:r w:rsidRPr="00244CCE">
              <w:rPr>
                <w:sz w:val="16"/>
                <w:szCs w:val="16"/>
                <w:lang w:eastAsia="en-GB"/>
              </w:rPr>
              <w:t xml:space="preserve">USDOC, Issues and Decision Memorandum for the Final Determination in the Countervailing Duty Investigation of Certain Crystalline Silicon Photovoltaic Products from the People's Republic of China (15 December 2014) </w:t>
            </w:r>
          </w:p>
        </w:tc>
      </w:tr>
      <w:tr w:rsidR="00BB5B4A" w:rsidRPr="00244CCE" w14:paraId="7795FCC3" w14:textId="77777777" w:rsidTr="00084FC0">
        <w:tc>
          <w:tcPr>
            <w:tcW w:w="2405" w:type="dxa"/>
          </w:tcPr>
          <w:p w14:paraId="5F145258" w14:textId="35CF037F"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125</w:t>
            </w:r>
          </w:p>
        </w:tc>
        <w:tc>
          <w:tcPr>
            <w:tcW w:w="1843" w:type="dxa"/>
          </w:tcPr>
          <w:p w14:paraId="2891E58F" w14:textId="56BC59A9" w:rsidR="00BB5B4A" w:rsidRPr="00244CCE" w:rsidRDefault="00BB5B4A" w:rsidP="00F73DD3">
            <w:pPr>
              <w:spacing w:before="60" w:after="60"/>
              <w:jc w:val="left"/>
              <w:rPr>
                <w:sz w:val="16"/>
                <w:szCs w:val="16"/>
                <w:lang w:eastAsia="en-GB"/>
              </w:rPr>
            </w:pPr>
            <w:r w:rsidRPr="00244CCE">
              <w:rPr>
                <w:sz w:val="16"/>
                <w:szCs w:val="16"/>
                <w:lang w:eastAsia="en-GB"/>
              </w:rPr>
              <w:t xml:space="preserve">PET Resin from China 2016, </w:t>
            </w:r>
            <w:r w:rsidR="00765EEC" w:rsidRPr="00244CCE">
              <w:rPr>
                <w:sz w:val="16"/>
                <w:szCs w:val="16"/>
                <w:lang w:eastAsia="en-GB"/>
              </w:rPr>
              <w:t>I&amp;D Memo</w:t>
            </w:r>
          </w:p>
        </w:tc>
        <w:tc>
          <w:tcPr>
            <w:tcW w:w="4961" w:type="dxa"/>
          </w:tcPr>
          <w:p w14:paraId="002070DA" w14:textId="2868EC3B" w:rsidR="00BB5B4A" w:rsidRPr="00244CCE" w:rsidRDefault="00BB5B4A" w:rsidP="00F73DD3">
            <w:pPr>
              <w:autoSpaceDE w:val="0"/>
              <w:autoSpaceDN w:val="0"/>
              <w:adjustRightInd w:val="0"/>
              <w:spacing w:before="60" w:after="60"/>
              <w:jc w:val="left"/>
              <w:rPr>
                <w:sz w:val="16"/>
                <w:szCs w:val="16"/>
                <w:lang w:eastAsia="en-GB"/>
              </w:rPr>
            </w:pPr>
            <w:r w:rsidRPr="00244CCE">
              <w:rPr>
                <w:sz w:val="16"/>
                <w:szCs w:val="16"/>
                <w:lang w:eastAsia="en-GB"/>
              </w:rPr>
              <w:t xml:space="preserve">USDOC, Issues and Decision Memorandum for the Final Determination in the </w:t>
            </w:r>
            <w:r w:rsidRPr="00244CCE">
              <w:rPr>
                <w:rFonts w:cstheme="minorBidi"/>
                <w:sz w:val="16"/>
                <w:szCs w:val="16"/>
                <w:lang w:eastAsia="en-GB"/>
              </w:rPr>
              <w:t xml:space="preserve">Countervailing Duty Investigation of Certain Polyethylene </w:t>
            </w:r>
            <w:r w:rsidRPr="00244CCE">
              <w:rPr>
                <w:rFonts w:eastAsiaTheme="minorHAnsi" w:cstheme="minorBidi"/>
                <w:sz w:val="16"/>
                <w:szCs w:val="16"/>
              </w:rPr>
              <w:t>Terephthalate Resin from the People</w:t>
            </w:r>
            <w:r w:rsidR="00CF2FE2" w:rsidRPr="00244CCE">
              <w:rPr>
                <w:rFonts w:eastAsiaTheme="minorHAnsi" w:cstheme="minorBidi"/>
                <w:sz w:val="16"/>
                <w:szCs w:val="16"/>
              </w:rPr>
              <w:t>'</w:t>
            </w:r>
            <w:r w:rsidRPr="00244CCE">
              <w:rPr>
                <w:rFonts w:eastAsiaTheme="minorHAnsi" w:cstheme="minorBidi"/>
                <w:sz w:val="16"/>
                <w:szCs w:val="16"/>
              </w:rPr>
              <w:t>s Republic of China (4 March 2016)</w:t>
            </w:r>
          </w:p>
        </w:tc>
      </w:tr>
      <w:tr w:rsidR="00BB5B4A" w:rsidRPr="00244CCE" w14:paraId="3CBBEE91" w14:textId="77777777" w:rsidTr="00084FC0">
        <w:trPr>
          <w:cnfStyle w:val="000000010000" w:firstRow="0" w:lastRow="0" w:firstColumn="0" w:lastColumn="0" w:oddVBand="0" w:evenVBand="0" w:oddHBand="0" w:evenHBand="1" w:firstRowFirstColumn="0" w:firstRowLastColumn="0" w:lastRowFirstColumn="0" w:lastRowLastColumn="0"/>
        </w:trPr>
        <w:tc>
          <w:tcPr>
            <w:tcW w:w="2405" w:type="dxa"/>
          </w:tcPr>
          <w:p w14:paraId="0BA81038" w14:textId="34EBD765"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148</w:t>
            </w:r>
          </w:p>
        </w:tc>
        <w:tc>
          <w:tcPr>
            <w:tcW w:w="1843" w:type="dxa"/>
          </w:tcPr>
          <w:p w14:paraId="4982DFBA" w14:textId="12C8938C" w:rsidR="00BB5B4A" w:rsidRPr="00244CCE" w:rsidRDefault="00BB5B4A" w:rsidP="00F73DD3">
            <w:pPr>
              <w:spacing w:before="60" w:after="60"/>
              <w:jc w:val="left"/>
              <w:rPr>
                <w:sz w:val="16"/>
                <w:szCs w:val="16"/>
                <w:lang w:eastAsia="en-GB"/>
              </w:rPr>
            </w:pPr>
            <w:r w:rsidRPr="00244CCE">
              <w:rPr>
                <w:sz w:val="16"/>
                <w:szCs w:val="16"/>
                <w:lang w:eastAsia="en-GB"/>
              </w:rPr>
              <w:t>Stainless Pressure Pipe from India</w:t>
            </w:r>
            <w:r w:rsidR="000C40AA" w:rsidRPr="00244CCE">
              <w:rPr>
                <w:sz w:val="16"/>
                <w:szCs w:val="16"/>
                <w:lang w:eastAsia="en-GB"/>
              </w:rPr>
              <w:t xml:space="preserve"> 2016</w:t>
            </w:r>
            <w:r w:rsidRPr="00244CCE">
              <w:rPr>
                <w:sz w:val="16"/>
                <w:szCs w:val="16"/>
                <w:lang w:eastAsia="en-GB"/>
              </w:rPr>
              <w:t>, Final Calculation Memo</w:t>
            </w:r>
          </w:p>
        </w:tc>
        <w:tc>
          <w:tcPr>
            <w:tcW w:w="4961" w:type="dxa"/>
          </w:tcPr>
          <w:p w14:paraId="3CCDC2EE" w14:textId="44518D99" w:rsidR="00BB5B4A" w:rsidRPr="00244CCE" w:rsidRDefault="00BB5B4A" w:rsidP="00F73DD3">
            <w:pPr>
              <w:autoSpaceDE w:val="0"/>
              <w:autoSpaceDN w:val="0"/>
              <w:adjustRightInd w:val="0"/>
              <w:spacing w:before="60" w:after="60"/>
              <w:jc w:val="left"/>
              <w:rPr>
                <w:sz w:val="16"/>
                <w:szCs w:val="16"/>
                <w:lang w:eastAsia="en-GB"/>
              </w:rPr>
            </w:pPr>
            <w:bookmarkStart w:id="4" w:name="_Hlk25748392"/>
            <w:r w:rsidRPr="00244CCE">
              <w:rPr>
                <w:sz w:val="16"/>
                <w:szCs w:val="16"/>
                <w:lang w:eastAsia="en-GB"/>
              </w:rPr>
              <w:t xml:space="preserve">USDOC, </w:t>
            </w:r>
            <w:bookmarkEnd w:id="4"/>
            <w:r w:rsidRPr="00244CCE">
              <w:rPr>
                <w:sz w:val="16"/>
                <w:szCs w:val="16"/>
                <w:lang w:eastAsia="en-GB"/>
              </w:rPr>
              <w:t xml:space="preserve">Countervailing Duty Investigation of Welded Stainless Pressure Pipe from India: Final Calculation Memorandum for </w:t>
            </w:r>
            <w:proofErr w:type="spellStart"/>
            <w:r w:rsidRPr="00244CCE">
              <w:rPr>
                <w:sz w:val="16"/>
                <w:szCs w:val="16"/>
                <w:lang w:eastAsia="en-GB"/>
              </w:rPr>
              <w:t>Steamline</w:t>
            </w:r>
            <w:proofErr w:type="spellEnd"/>
            <w:r w:rsidRPr="00244CCE">
              <w:rPr>
                <w:sz w:val="16"/>
                <w:szCs w:val="16"/>
                <w:lang w:eastAsia="en-GB"/>
              </w:rPr>
              <w:t xml:space="preserve"> Industries Limited (22 September</w:t>
            </w:r>
            <w:r w:rsidR="00A73E96" w:rsidRPr="00244CCE">
              <w:rPr>
                <w:sz w:val="16"/>
                <w:szCs w:val="16"/>
                <w:lang w:eastAsia="en-GB"/>
              </w:rPr>
              <w:t> </w:t>
            </w:r>
            <w:r w:rsidRPr="00244CCE">
              <w:rPr>
                <w:sz w:val="16"/>
                <w:szCs w:val="16"/>
                <w:lang w:eastAsia="en-GB"/>
              </w:rPr>
              <w:t>2016)</w:t>
            </w:r>
          </w:p>
        </w:tc>
      </w:tr>
      <w:tr w:rsidR="00BB5B4A" w:rsidRPr="00244CCE" w14:paraId="114F3B13" w14:textId="77777777" w:rsidTr="00084FC0">
        <w:tc>
          <w:tcPr>
            <w:tcW w:w="2405" w:type="dxa"/>
          </w:tcPr>
          <w:p w14:paraId="10BBFCCE" w14:textId="302D277C"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152</w:t>
            </w:r>
          </w:p>
        </w:tc>
        <w:tc>
          <w:tcPr>
            <w:tcW w:w="1843" w:type="dxa"/>
          </w:tcPr>
          <w:p w14:paraId="16DE334B" w14:textId="7B27059C" w:rsidR="00BB5B4A" w:rsidRPr="00244CCE" w:rsidRDefault="00BB5B4A" w:rsidP="00F73DD3">
            <w:pPr>
              <w:spacing w:before="60" w:after="60"/>
              <w:jc w:val="left"/>
              <w:rPr>
                <w:sz w:val="16"/>
                <w:szCs w:val="16"/>
                <w:lang w:eastAsia="en-GB"/>
              </w:rPr>
            </w:pPr>
          </w:p>
        </w:tc>
        <w:tc>
          <w:tcPr>
            <w:tcW w:w="4961" w:type="dxa"/>
          </w:tcPr>
          <w:p w14:paraId="65629085" w14:textId="53457B37" w:rsidR="00BB5B4A" w:rsidRPr="00244CCE" w:rsidRDefault="00BB5B4A" w:rsidP="00F73DD3">
            <w:pPr>
              <w:autoSpaceDE w:val="0"/>
              <w:autoSpaceDN w:val="0"/>
              <w:adjustRightInd w:val="0"/>
              <w:spacing w:before="60" w:after="60"/>
              <w:jc w:val="left"/>
              <w:rPr>
                <w:sz w:val="16"/>
                <w:szCs w:val="16"/>
                <w:lang w:eastAsia="en-GB"/>
              </w:rPr>
            </w:pPr>
            <w:r w:rsidRPr="00244CCE">
              <w:rPr>
                <w:sz w:val="16"/>
                <w:szCs w:val="16"/>
                <w:lang w:eastAsia="en-GB"/>
              </w:rPr>
              <w:t>USDOC, Issues and Decision Memorandum for the Final Affirmative Determination in the Countervailing Duty Investigation of Welded Stainless Pressure Pipe from India (22 September</w:t>
            </w:r>
            <w:r w:rsidR="00A73E96" w:rsidRPr="00244CCE">
              <w:rPr>
                <w:sz w:val="16"/>
                <w:szCs w:val="16"/>
                <w:lang w:eastAsia="en-GB"/>
              </w:rPr>
              <w:t> </w:t>
            </w:r>
            <w:r w:rsidRPr="00244CCE">
              <w:rPr>
                <w:sz w:val="16"/>
                <w:szCs w:val="16"/>
                <w:lang w:eastAsia="en-GB"/>
              </w:rPr>
              <w:t>2016)</w:t>
            </w:r>
          </w:p>
        </w:tc>
      </w:tr>
      <w:tr w:rsidR="00BB5B4A" w:rsidRPr="00244CCE" w14:paraId="56A87C70" w14:textId="77777777" w:rsidTr="00084FC0">
        <w:trPr>
          <w:cnfStyle w:val="000000010000" w:firstRow="0" w:lastRow="0" w:firstColumn="0" w:lastColumn="0" w:oddVBand="0" w:evenVBand="0" w:oddHBand="0" w:evenHBand="1" w:firstRowFirstColumn="0" w:firstRowLastColumn="0" w:lastRowFirstColumn="0" w:lastRowLastColumn="0"/>
        </w:trPr>
        <w:tc>
          <w:tcPr>
            <w:tcW w:w="2405" w:type="dxa"/>
          </w:tcPr>
          <w:p w14:paraId="279A0BF0" w14:textId="5F5AEB99" w:rsidR="00BB5B4A" w:rsidRPr="00244CCE" w:rsidRDefault="00BB5B4A" w:rsidP="00F73DD3">
            <w:pPr>
              <w:spacing w:before="60" w:after="60"/>
              <w:jc w:val="left"/>
              <w:rPr>
                <w:i/>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163</w:t>
            </w:r>
          </w:p>
        </w:tc>
        <w:tc>
          <w:tcPr>
            <w:tcW w:w="1843" w:type="dxa"/>
          </w:tcPr>
          <w:p w14:paraId="4179F2DF" w14:textId="230F1BFF" w:rsidR="00BB5B4A" w:rsidRPr="00244CCE" w:rsidRDefault="00BB5B4A" w:rsidP="00F73DD3">
            <w:pPr>
              <w:spacing w:before="60" w:after="60"/>
              <w:jc w:val="left"/>
              <w:rPr>
                <w:sz w:val="16"/>
                <w:szCs w:val="16"/>
                <w:lang w:eastAsia="en-GB"/>
              </w:rPr>
            </w:pPr>
            <w:r w:rsidRPr="00244CCE">
              <w:rPr>
                <w:sz w:val="16"/>
                <w:szCs w:val="16"/>
                <w:lang w:eastAsia="en-GB"/>
              </w:rPr>
              <w:t xml:space="preserve">Truck and Bus Tires from China 2016, </w:t>
            </w:r>
            <w:r w:rsidR="00765EEC" w:rsidRPr="00244CCE">
              <w:rPr>
                <w:sz w:val="16"/>
                <w:szCs w:val="16"/>
                <w:lang w:eastAsia="en-GB"/>
              </w:rPr>
              <w:t>I&amp;D Memo</w:t>
            </w:r>
          </w:p>
        </w:tc>
        <w:tc>
          <w:tcPr>
            <w:tcW w:w="4961" w:type="dxa"/>
          </w:tcPr>
          <w:p w14:paraId="7E67294D" w14:textId="6E1B50C4" w:rsidR="00BB5B4A" w:rsidRPr="00244CCE" w:rsidRDefault="00BB5B4A" w:rsidP="00F73DD3">
            <w:pPr>
              <w:autoSpaceDE w:val="0"/>
              <w:autoSpaceDN w:val="0"/>
              <w:adjustRightInd w:val="0"/>
              <w:spacing w:before="60" w:after="60"/>
              <w:jc w:val="left"/>
              <w:rPr>
                <w:sz w:val="16"/>
                <w:szCs w:val="16"/>
                <w:lang w:eastAsia="en-GB"/>
              </w:rPr>
            </w:pPr>
            <w:r w:rsidRPr="00244CCE">
              <w:rPr>
                <w:sz w:val="16"/>
                <w:szCs w:val="16"/>
                <w:lang w:eastAsia="en-GB"/>
              </w:rPr>
              <w:t>USDOC, Issues and Decision Memorandum for the Final Determination in the Countervailing Duty Investigation of Truck and Bus Tires from the People</w:t>
            </w:r>
            <w:r w:rsidR="00CF2FE2" w:rsidRPr="00244CCE">
              <w:rPr>
                <w:sz w:val="16"/>
                <w:szCs w:val="16"/>
                <w:lang w:eastAsia="en-GB"/>
              </w:rPr>
              <w:t>'</w:t>
            </w:r>
            <w:r w:rsidRPr="00244CCE">
              <w:rPr>
                <w:sz w:val="16"/>
                <w:szCs w:val="16"/>
                <w:lang w:eastAsia="en-GB"/>
              </w:rPr>
              <w:t>s Republic of China; and Final Affirmative Determination of Critical Circumstances, in Part (19 January 2016)</w:t>
            </w:r>
          </w:p>
        </w:tc>
      </w:tr>
      <w:tr w:rsidR="00BB5B4A" w:rsidRPr="00244CCE" w14:paraId="7C5305FF" w14:textId="77777777" w:rsidTr="00084FC0">
        <w:tc>
          <w:tcPr>
            <w:tcW w:w="2405" w:type="dxa"/>
          </w:tcPr>
          <w:p w14:paraId="34544F0E" w14:textId="3B0386A4"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210</w:t>
            </w:r>
          </w:p>
        </w:tc>
        <w:tc>
          <w:tcPr>
            <w:tcW w:w="1843" w:type="dxa"/>
          </w:tcPr>
          <w:p w14:paraId="21699E5C" w14:textId="15B1D5E3" w:rsidR="00BB5B4A" w:rsidRPr="00244CCE" w:rsidRDefault="00BB5B4A" w:rsidP="00F73DD3">
            <w:pPr>
              <w:spacing w:before="60" w:after="60"/>
              <w:jc w:val="left"/>
              <w:rPr>
                <w:sz w:val="16"/>
                <w:szCs w:val="16"/>
                <w:lang w:eastAsia="en-GB"/>
              </w:rPr>
            </w:pPr>
            <w:r w:rsidRPr="00244CCE">
              <w:rPr>
                <w:sz w:val="16"/>
                <w:szCs w:val="16"/>
                <w:lang w:eastAsia="en-GB"/>
              </w:rPr>
              <w:t>PET Resin from China 2016, Verification Report (Dragon)</w:t>
            </w:r>
          </w:p>
        </w:tc>
        <w:tc>
          <w:tcPr>
            <w:tcW w:w="4961" w:type="dxa"/>
          </w:tcPr>
          <w:p w14:paraId="6BECF3D4" w14:textId="05DC6B70" w:rsidR="00BB5B4A" w:rsidRPr="00244CCE" w:rsidRDefault="00BB5B4A" w:rsidP="00F73DD3">
            <w:pPr>
              <w:autoSpaceDE w:val="0"/>
              <w:autoSpaceDN w:val="0"/>
              <w:adjustRightInd w:val="0"/>
              <w:spacing w:before="60" w:after="60"/>
              <w:jc w:val="left"/>
              <w:rPr>
                <w:sz w:val="16"/>
                <w:szCs w:val="16"/>
                <w:lang w:eastAsia="en-GB"/>
              </w:rPr>
            </w:pPr>
            <w:r w:rsidRPr="00244CCE">
              <w:rPr>
                <w:sz w:val="16"/>
                <w:szCs w:val="16"/>
                <w:lang w:eastAsia="en-GB"/>
              </w:rPr>
              <w:t>USDOC, Countervailing Duty Investigation of Polyethylene Terephthalate Resin from the People</w:t>
            </w:r>
            <w:r w:rsidR="00CF2FE2" w:rsidRPr="00244CCE">
              <w:rPr>
                <w:sz w:val="16"/>
                <w:szCs w:val="16"/>
                <w:lang w:eastAsia="en-GB"/>
              </w:rPr>
              <w:t>'</w:t>
            </w:r>
            <w:r w:rsidRPr="00244CCE">
              <w:rPr>
                <w:sz w:val="16"/>
                <w:szCs w:val="16"/>
                <w:lang w:eastAsia="en-GB"/>
              </w:rPr>
              <w:t>s Republic of China: Verification Report of Dragon Special Resin Co., Ltd.</w:t>
            </w:r>
            <w:r w:rsidR="007D4525" w:rsidRPr="00244CCE">
              <w:rPr>
                <w:sz w:val="16"/>
                <w:szCs w:val="16"/>
                <w:lang w:eastAsia="en-GB"/>
              </w:rPr>
              <w:t>,</w:t>
            </w:r>
            <w:r w:rsidRPr="00244CCE">
              <w:rPr>
                <w:sz w:val="16"/>
                <w:szCs w:val="16"/>
                <w:lang w:eastAsia="en-GB"/>
              </w:rPr>
              <w:t xml:space="preserve"> Xiang Lu Petrochemicals Co., Ltd.</w:t>
            </w:r>
            <w:r w:rsidR="007D4525" w:rsidRPr="00244CCE">
              <w:rPr>
                <w:sz w:val="16"/>
                <w:szCs w:val="16"/>
                <w:lang w:eastAsia="en-GB"/>
              </w:rPr>
              <w:t>,</w:t>
            </w:r>
            <w:r w:rsidRPr="00244CCE">
              <w:rPr>
                <w:sz w:val="16"/>
                <w:szCs w:val="16"/>
                <w:lang w:eastAsia="en-GB"/>
              </w:rPr>
              <w:t xml:space="preserve"> </w:t>
            </w:r>
            <w:proofErr w:type="spellStart"/>
            <w:r w:rsidRPr="00244CCE">
              <w:rPr>
                <w:sz w:val="16"/>
                <w:szCs w:val="16"/>
                <w:lang w:eastAsia="en-GB"/>
              </w:rPr>
              <w:t>Xianglu</w:t>
            </w:r>
            <w:proofErr w:type="spellEnd"/>
            <w:r w:rsidRPr="00244CCE">
              <w:rPr>
                <w:sz w:val="16"/>
                <w:szCs w:val="16"/>
                <w:lang w:eastAsia="en-GB"/>
              </w:rPr>
              <w:t xml:space="preserve"> Petrochemicals Co., Ltd.</w:t>
            </w:r>
            <w:r w:rsidR="007D4525" w:rsidRPr="00244CCE">
              <w:rPr>
                <w:sz w:val="16"/>
                <w:szCs w:val="16"/>
                <w:lang w:eastAsia="en-GB"/>
              </w:rPr>
              <w:t>,</w:t>
            </w:r>
            <w:r w:rsidRPr="00244CCE">
              <w:rPr>
                <w:sz w:val="16"/>
                <w:szCs w:val="16"/>
                <w:lang w:eastAsia="en-GB"/>
              </w:rPr>
              <w:t xml:space="preserve"> and Xiamen </w:t>
            </w:r>
            <w:proofErr w:type="spellStart"/>
            <w:r w:rsidRPr="00244CCE">
              <w:rPr>
                <w:sz w:val="16"/>
                <w:szCs w:val="16"/>
                <w:lang w:eastAsia="en-GB"/>
              </w:rPr>
              <w:t>Xianglu</w:t>
            </w:r>
            <w:proofErr w:type="spellEnd"/>
            <w:r w:rsidRPr="00244CCE">
              <w:rPr>
                <w:sz w:val="16"/>
                <w:szCs w:val="16"/>
                <w:lang w:eastAsia="en-GB"/>
              </w:rPr>
              <w:t xml:space="preserve"> Chemical </w:t>
            </w:r>
            <w:proofErr w:type="spellStart"/>
            <w:r w:rsidRPr="00244CCE">
              <w:rPr>
                <w:sz w:val="16"/>
                <w:szCs w:val="16"/>
                <w:lang w:eastAsia="en-GB"/>
              </w:rPr>
              <w:t>Fiber</w:t>
            </w:r>
            <w:proofErr w:type="spellEnd"/>
            <w:r w:rsidRPr="00244CCE">
              <w:rPr>
                <w:sz w:val="16"/>
                <w:szCs w:val="16"/>
                <w:lang w:eastAsia="en-GB"/>
              </w:rPr>
              <w:t xml:space="preserve"> Company Limited (19 January</w:t>
            </w:r>
            <w:r w:rsidR="00A73E96" w:rsidRPr="00244CCE">
              <w:rPr>
                <w:sz w:val="16"/>
                <w:szCs w:val="16"/>
                <w:lang w:eastAsia="en-GB"/>
              </w:rPr>
              <w:t> </w:t>
            </w:r>
            <w:r w:rsidRPr="00244CCE">
              <w:rPr>
                <w:sz w:val="16"/>
                <w:szCs w:val="16"/>
                <w:lang w:eastAsia="en-GB"/>
              </w:rPr>
              <w:t>2016)</w:t>
            </w:r>
          </w:p>
        </w:tc>
      </w:tr>
      <w:tr w:rsidR="00BB5B4A" w:rsidRPr="00244CCE" w14:paraId="352C66AE" w14:textId="5F208BB6" w:rsidTr="00084FC0">
        <w:trPr>
          <w:cnfStyle w:val="000000010000" w:firstRow="0" w:lastRow="0" w:firstColumn="0" w:lastColumn="0" w:oddVBand="0" w:evenVBand="0" w:oddHBand="0" w:evenHBand="1" w:firstRowFirstColumn="0" w:firstRowLastColumn="0" w:lastRowFirstColumn="0" w:lastRowLastColumn="0"/>
        </w:trPr>
        <w:tc>
          <w:tcPr>
            <w:tcW w:w="2405" w:type="dxa"/>
          </w:tcPr>
          <w:p w14:paraId="1819FCC1" w14:textId="5AF0BAD5"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CAN</w:t>
            </w:r>
            <w:r w:rsidR="007643D6" w:rsidRPr="00244CCE">
              <w:rPr>
                <w:sz w:val="16"/>
                <w:szCs w:val="16"/>
                <w:lang w:eastAsia="en-GB"/>
              </w:rPr>
              <w:noBreakHyphen/>
            </w:r>
            <w:r w:rsidRPr="00244CCE">
              <w:rPr>
                <w:sz w:val="16"/>
                <w:szCs w:val="16"/>
                <w:lang w:eastAsia="en-GB"/>
              </w:rPr>
              <w:t>215</w:t>
            </w:r>
          </w:p>
        </w:tc>
        <w:tc>
          <w:tcPr>
            <w:tcW w:w="1843" w:type="dxa"/>
          </w:tcPr>
          <w:p w14:paraId="380227FE" w14:textId="2EE28412" w:rsidR="00BB5B4A" w:rsidRPr="00244CCE" w:rsidRDefault="00BB5B4A" w:rsidP="00F73DD3">
            <w:pPr>
              <w:spacing w:before="60" w:after="60"/>
              <w:jc w:val="left"/>
              <w:rPr>
                <w:sz w:val="16"/>
                <w:szCs w:val="16"/>
                <w:lang w:eastAsia="en-GB"/>
              </w:rPr>
            </w:pPr>
          </w:p>
        </w:tc>
        <w:tc>
          <w:tcPr>
            <w:tcW w:w="4961" w:type="dxa"/>
          </w:tcPr>
          <w:p w14:paraId="45C517BC" w14:textId="0A1C8315" w:rsidR="00BB5B4A" w:rsidRPr="00244CCE" w:rsidRDefault="00BB5B4A" w:rsidP="00F73DD3">
            <w:pPr>
              <w:autoSpaceDE w:val="0"/>
              <w:autoSpaceDN w:val="0"/>
              <w:adjustRightInd w:val="0"/>
              <w:spacing w:before="60" w:after="60"/>
              <w:jc w:val="left"/>
              <w:rPr>
                <w:sz w:val="16"/>
                <w:szCs w:val="16"/>
                <w:lang w:eastAsia="en-GB"/>
              </w:rPr>
            </w:pPr>
            <w:r w:rsidRPr="00244CCE">
              <w:rPr>
                <w:sz w:val="16"/>
                <w:szCs w:val="16"/>
                <w:lang w:eastAsia="en-GB"/>
              </w:rPr>
              <w:t xml:space="preserve">USDOC, Verification of Zhanjiang </w:t>
            </w:r>
            <w:proofErr w:type="spellStart"/>
            <w:r w:rsidRPr="00244CCE">
              <w:rPr>
                <w:sz w:val="16"/>
                <w:szCs w:val="16"/>
                <w:lang w:eastAsia="en-GB"/>
              </w:rPr>
              <w:t>Guolian</w:t>
            </w:r>
            <w:proofErr w:type="spellEnd"/>
            <w:r w:rsidRPr="00244CCE">
              <w:rPr>
                <w:sz w:val="16"/>
                <w:szCs w:val="16"/>
                <w:lang w:eastAsia="en-GB"/>
              </w:rPr>
              <w:t xml:space="preserve"> Aquatic Products Co., Ltd., Zhanjiang </w:t>
            </w:r>
            <w:proofErr w:type="spellStart"/>
            <w:r w:rsidRPr="00244CCE">
              <w:rPr>
                <w:sz w:val="16"/>
                <w:szCs w:val="16"/>
                <w:lang w:eastAsia="en-GB"/>
              </w:rPr>
              <w:t>Guolian</w:t>
            </w:r>
            <w:proofErr w:type="spellEnd"/>
            <w:r w:rsidRPr="00244CCE">
              <w:rPr>
                <w:sz w:val="16"/>
                <w:szCs w:val="16"/>
                <w:lang w:eastAsia="en-GB"/>
              </w:rPr>
              <w:t xml:space="preserve"> Feed Co., Ltd., Zhanjiang </w:t>
            </w:r>
            <w:proofErr w:type="spellStart"/>
            <w:r w:rsidRPr="00244CCE">
              <w:rPr>
                <w:sz w:val="16"/>
                <w:szCs w:val="16"/>
                <w:lang w:eastAsia="en-GB"/>
              </w:rPr>
              <w:t>Guolian</w:t>
            </w:r>
            <w:proofErr w:type="spellEnd"/>
            <w:r w:rsidRPr="00244CCE">
              <w:rPr>
                <w:sz w:val="16"/>
                <w:szCs w:val="16"/>
                <w:lang w:eastAsia="en-GB"/>
              </w:rPr>
              <w:t xml:space="preserve"> Aquatic Fry Technology Co., Ltd., and Zhanjiang </w:t>
            </w:r>
            <w:proofErr w:type="spellStart"/>
            <w:r w:rsidRPr="00244CCE">
              <w:rPr>
                <w:sz w:val="16"/>
                <w:szCs w:val="16"/>
                <w:lang w:eastAsia="en-GB"/>
              </w:rPr>
              <w:t>Guotong</w:t>
            </w:r>
            <w:proofErr w:type="spellEnd"/>
            <w:r w:rsidRPr="00244CCE">
              <w:rPr>
                <w:sz w:val="16"/>
                <w:szCs w:val="16"/>
                <w:lang w:eastAsia="en-GB"/>
              </w:rPr>
              <w:t xml:space="preserve"> Aquatic Co., Ltd. in Countervailing Duty Investigation: Certain Warmwater Shrimp from the P</w:t>
            </w:r>
            <w:r w:rsidR="00AC785E" w:rsidRPr="00244CCE">
              <w:rPr>
                <w:sz w:val="16"/>
                <w:szCs w:val="16"/>
                <w:lang w:eastAsia="en-GB"/>
              </w:rPr>
              <w:t>eople's Republic of China</w:t>
            </w:r>
            <w:r w:rsidRPr="00244CCE">
              <w:rPr>
                <w:sz w:val="16"/>
                <w:szCs w:val="16"/>
                <w:lang w:eastAsia="en-GB"/>
              </w:rPr>
              <w:t xml:space="preserve"> (1 July</w:t>
            </w:r>
            <w:r w:rsidR="00A73E96" w:rsidRPr="00244CCE">
              <w:rPr>
                <w:sz w:val="16"/>
                <w:szCs w:val="16"/>
                <w:lang w:eastAsia="en-GB"/>
              </w:rPr>
              <w:t> </w:t>
            </w:r>
            <w:r w:rsidRPr="00244CCE">
              <w:rPr>
                <w:sz w:val="16"/>
                <w:szCs w:val="16"/>
                <w:lang w:eastAsia="en-GB"/>
              </w:rPr>
              <w:t>2013)</w:t>
            </w:r>
          </w:p>
        </w:tc>
      </w:tr>
      <w:tr w:rsidR="00BB5B4A" w:rsidRPr="00244CCE" w14:paraId="0520ED7D" w14:textId="77777777" w:rsidTr="00084FC0">
        <w:tc>
          <w:tcPr>
            <w:tcW w:w="2405" w:type="dxa"/>
          </w:tcPr>
          <w:p w14:paraId="036C03D2" w14:textId="2D57C530" w:rsidR="00BB5B4A" w:rsidRPr="00244CCE" w:rsidRDefault="00BB5B4A" w:rsidP="00F73DD3">
            <w:pPr>
              <w:spacing w:before="60" w:after="60"/>
              <w:jc w:val="left"/>
              <w:rPr>
                <w:sz w:val="16"/>
                <w:szCs w:val="16"/>
                <w:lang w:eastAsia="en-GB"/>
              </w:rPr>
            </w:pPr>
            <w:r w:rsidRPr="00244CCE">
              <w:rPr>
                <w:sz w:val="16"/>
                <w:szCs w:val="16"/>
                <w:lang w:eastAsia="en-GB"/>
              </w:rPr>
              <w:t xml:space="preserve">Panel Exhibit </w:t>
            </w:r>
            <w:r w:rsidR="00ED21F1" w:rsidRPr="00244CCE">
              <w:rPr>
                <w:sz w:val="16"/>
                <w:szCs w:val="16"/>
                <w:lang w:eastAsia="en-GB"/>
              </w:rPr>
              <w:t>USA</w:t>
            </w:r>
            <w:r w:rsidR="007643D6" w:rsidRPr="00244CCE">
              <w:rPr>
                <w:sz w:val="16"/>
                <w:szCs w:val="16"/>
                <w:lang w:eastAsia="en-GB"/>
              </w:rPr>
              <w:noBreakHyphen/>
            </w:r>
            <w:r w:rsidRPr="00244CCE">
              <w:rPr>
                <w:sz w:val="16"/>
                <w:szCs w:val="16"/>
                <w:lang w:eastAsia="en-GB"/>
              </w:rPr>
              <w:t>8</w:t>
            </w:r>
          </w:p>
        </w:tc>
        <w:tc>
          <w:tcPr>
            <w:tcW w:w="1843" w:type="dxa"/>
          </w:tcPr>
          <w:p w14:paraId="33D6A84A" w14:textId="02DD829E" w:rsidR="00BB5B4A" w:rsidRPr="00244CCE" w:rsidRDefault="00BB5B4A" w:rsidP="00F73DD3">
            <w:pPr>
              <w:spacing w:before="60" w:after="60"/>
              <w:jc w:val="left"/>
              <w:rPr>
                <w:sz w:val="16"/>
                <w:szCs w:val="16"/>
                <w:lang w:eastAsia="en-GB"/>
              </w:rPr>
            </w:pPr>
            <w:r w:rsidRPr="00244CCE">
              <w:rPr>
                <w:sz w:val="16"/>
                <w:szCs w:val="16"/>
                <w:lang w:eastAsia="en-GB"/>
              </w:rPr>
              <w:t xml:space="preserve">Solar Cells from China 2015, </w:t>
            </w:r>
            <w:r w:rsidR="00765EEC" w:rsidRPr="00244CCE">
              <w:rPr>
                <w:sz w:val="16"/>
                <w:szCs w:val="16"/>
                <w:lang w:eastAsia="en-GB"/>
              </w:rPr>
              <w:t>I&amp;D Memo</w:t>
            </w:r>
          </w:p>
        </w:tc>
        <w:tc>
          <w:tcPr>
            <w:tcW w:w="4961" w:type="dxa"/>
          </w:tcPr>
          <w:p w14:paraId="4D02F294" w14:textId="06E88D8A" w:rsidR="00BB5B4A" w:rsidRPr="00244CCE" w:rsidRDefault="00BB5B4A" w:rsidP="00F73DD3">
            <w:pPr>
              <w:keepLines/>
              <w:tabs>
                <w:tab w:val="left" w:pos="2268"/>
                <w:tab w:val="left" w:pos="4536"/>
              </w:tabs>
              <w:spacing w:before="60" w:after="60"/>
              <w:jc w:val="left"/>
              <w:rPr>
                <w:sz w:val="16"/>
                <w:szCs w:val="16"/>
                <w:lang w:eastAsia="en-GB"/>
              </w:rPr>
            </w:pPr>
            <w:r w:rsidRPr="00244CCE">
              <w:rPr>
                <w:sz w:val="16"/>
                <w:szCs w:val="16"/>
                <w:lang w:eastAsia="en-GB"/>
              </w:rPr>
              <w:t xml:space="preserve">USDOC, Issues and Decision Memorandum for the Final Results of the Countervailing Duty Administrative Review: Crystalline Silicon Photovoltaic Cells, </w:t>
            </w:r>
            <w:proofErr w:type="gramStart"/>
            <w:r w:rsidRPr="00244CCE">
              <w:rPr>
                <w:sz w:val="16"/>
                <w:szCs w:val="16"/>
                <w:lang w:eastAsia="en-GB"/>
              </w:rPr>
              <w:t>Whether or Not</w:t>
            </w:r>
            <w:proofErr w:type="gramEnd"/>
            <w:r w:rsidRPr="00244CCE">
              <w:rPr>
                <w:sz w:val="16"/>
                <w:szCs w:val="16"/>
                <w:lang w:eastAsia="en-GB"/>
              </w:rPr>
              <w:t xml:space="preserve"> Assembled </w:t>
            </w:r>
            <w:r w:rsidR="0018726A" w:rsidRPr="00244CCE">
              <w:rPr>
                <w:sz w:val="16"/>
                <w:szCs w:val="16"/>
                <w:lang w:eastAsia="en-GB"/>
              </w:rPr>
              <w:t>i</w:t>
            </w:r>
            <w:r w:rsidRPr="00244CCE">
              <w:rPr>
                <w:sz w:val="16"/>
                <w:szCs w:val="16"/>
                <w:lang w:eastAsia="en-GB"/>
              </w:rPr>
              <w:t xml:space="preserve">nto Modules, from China (7 July 2015) </w:t>
            </w:r>
          </w:p>
        </w:tc>
      </w:tr>
      <w:tr w:rsidR="00BB5B4A" w:rsidRPr="00244CCE" w14:paraId="52AB15A5" w14:textId="77777777" w:rsidTr="00084FC0">
        <w:trPr>
          <w:cnfStyle w:val="000000010000" w:firstRow="0" w:lastRow="0" w:firstColumn="0" w:lastColumn="0" w:oddVBand="0" w:evenVBand="0" w:oddHBand="0" w:evenHBand="1" w:firstRowFirstColumn="0" w:firstRowLastColumn="0" w:lastRowFirstColumn="0" w:lastRowLastColumn="0"/>
        </w:trPr>
        <w:tc>
          <w:tcPr>
            <w:tcW w:w="2405" w:type="dxa"/>
          </w:tcPr>
          <w:p w14:paraId="5B438018" w14:textId="4C8A1F65" w:rsidR="00BB5B4A" w:rsidRPr="00244CCE" w:rsidRDefault="00BB5B4A" w:rsidP="00F73DD3">
            <w:pPr>
              <w:spacing w:before="60" w:after="60"/>
              <w:jc w:val="left"/>
              <w:rPr>
                <w:i/>
                <w:sz w:val="16"/>
                <w:szCs w:val="16"/>
                <w:lang w:eastAsia="en-GB"/>
              </w:rPr>
            </w:pPr>
            <w:r w:rsidRPr="00244CCE">
              <w:rPr>
                <w:sz w:val="16"/>
                <w:szCs w:val="16"/>
                <w:lang w:eastAsia="en-GB"/>
              </w:rPr>
              <w:lastRenderedPageBreak/>
              <w:t xml:space="preserve">Panel Exhibit </w:t>
            </w:r>
            <w:r w:rsidR="00ED21F1" w:rsidRPr="00244CCE">
              <w:rPr>
                <w:sz w:val="16"/>
                <w:szCs w:val="16"/>
                <w:lang w:eastAsia="en-GB"/>
              </w:rPr>
              <w:t>USA</w:t>
            </w:r>
            <w:r w:rsidR="007643D6" w:rsidRPr="00244CCE">
              <w:rPr>
                <w:sz w:val="16"/>
                <w:szCs w:val="16"/>
                <w:lang w:eastAsia="en-GB"/>
              </w:rPr>
              <w:noBreakHyphen/>
            </w:r>
            <w:r w:rsidRPr="00244CCE">
              <w:rPr>
                <w:sz w:val="16"/>
                <w:szCs w:val="16"/>
                <w:lang w:eastAsia="en-GB"/>
              </w:rPr>
              <w:t>19</w:t>
            </w:r>
          </w:p>
        </w:tc>
        <w:tc>
          <w:tcPr>
            <w:tcW w:w="1843" w:type="dxa"/>
          </w:tcPr>
          <w:p w14:paraId="5DEED079" w14:textId="10B99A35" w:rsidR="00BB5B4A" w:rsidRPr="00244CCE" w:rsidRDefault="00BB5B4A" w:rsidP="00F73DD3">
            <w:pPr>
              <w:spacing w:before="60" w:after="60"/>
              <w:jc w:val="left"/>
              <w:rPr>
                <w:sz w:val="16"/>
                <w:szCs w:val="16"/>
                <w:lang w:eastAsia="en-GB"/>
              </w:rPr>
            </w:pPr>
          </w:p>
        </w:tc>
        <w:tc>
          <w:tcPr>
            <w:tcW w:w="4961" w:type="dxa"/>
          </w:tcPr>
          <w:p w14:paraId="2DC0A5F3" w14:textId="77777777" w:rsidR="00BB5B4A" w:rsidRPr="00244CCE" w:rsidRDefault="00BB5B4A" w:rsidP="00F73DD3">
            <w:pPr>
              <w:spacing w:before="60" w:after="60"/>
              <w:jc w:val="left"/>
              <w:rPr>
                <w:sz w:val="16"/>
                <w:szCs w:val="16"/>
                <w:lang w:eastAsia="en-GB"/>
              </w:rPr>
            </w:pPr>
            <w:r w:rsidRPr="00244CCE">
              <w:rPr>
                <w:sz w:val="16"/>
                <w:szCs w:val="16"/>
                <w:lang w:eastAsia="en-GB"/>
              </w:rPr>
              <w:t>USDOC, Issues and Decision Memorandum for the Final Determination in the Countervailing Duty Investigation of Large Residential Washers from the Republic of Korea (18 December 2012)</w:t>
            </w:r>
          </w:p>
        </w:tc>
      </w:tr>
    </w:tbl>
    <w:bookmarkEnd w:id="3"/>
    <w:p w14:paraId="3315D11C" w14:textId="60395968" w:rsidR="00BB5B4A" w:rsidRPr="00244CCE" w:rsidRDefault="00BB5B4A" w:rsidP="00F73DD3">
      <w:pPr>
        <w:pStyle w:val="Title"/>
        <w:keepNext/>
        <w:keepLines/>
      </w:pPr>
      <w:r w:rsidRPr="00244CCE">
        <w:rPr>
          <w:rFonts w:eastAsiaTheme="majorEastAsia" w:cstheme="majorBidi"/>
        </w:rPr>
        <w:t>USDOC CVD proceedings cited in this report</w:t>
      </w:r>
    </w:p>
    <w:tbl>
      <w:tblPr>
        <w:tblStyle w:val="WTOTable12"/>
        <w:tblW w:w="9209" w:type="dxa"/>
        <w:tblLook w:val="04A0" w:firstRow="1" w:lastRow="0" w:firstColumn="1" w:lastColumn="0" w:noHBand="0" w:noVBand="1"/>
      </w:tblPr>
      <w:tblGrid>
        <w:gridCol w:w="3005"/>
        <w:gridCol w:w="6204"/>
      </w:tblGrid>
      <w:tr w:rsidR="00BB5B4A" w:rsidRPr="00244CCE" w14:paraId="345326AA" w14:textId="77777777" w:rsidTr="00084FC0">
        <w:trPr>
          <w:cnfStyle w:val="100000000000" w:firstRow="1" w:lastRow="0" w:firstColumn="0" w:lastColumn="0" w:oddVBand="0" w:evenVBand="0" w:oddHBand="0" w:evenHBand="0" w:firstRowFirstColumn="0" w:firstRowLastColumn="0" w:lastRowFirstColumn="0" w:lastRowLastColumn="0"/>
          <w:tblHeader/>
        </w:trPr>
        <w:tc>
          <w:tcPr>
            <w:tcW w:w="3005" w:type="dxa"/>
          </w:tcPr>
          <w:p w14:paraId="6703F3EA" w14:textId="77777777" w:rsidR="00BB5B4A" w:rsidRPr="00244CCE" w:rsidRDefault="00BB5B4A" w:rsidP="00F73DD3">
            <w:pPr>
              <w:keepNext/>
              <w:keepLines/>
              <w:spacing w:before="60" w:after="60"/>
              <w:jc w:val="center"/>
              <w:rPr>
                <w:sz w:val="16"/>
                <w:szCs w:val="16"/>
                <w:lang w:eastAsia="en-GB"/>
              </w:rPr>
            </w:pPr>
            <w:r w:rsidRPr="00244CCE">
              <w:rPr>
                <w:sz w:val="16"/>
                <w:szCs w:val="16"/>
                <w:lang w:eastAsia="en-GB"/>
              </w:rPr>
              <w:t>Short Title</w:t>
            </w:r>
          </w:p>
        </w:tc>
        <w:tc>
          <w:tcPr>
            <w:tcW w:w="6204" w:type="dxa"/>
          </w:tcPr>
          <w:p w14:paraId="1DB1428F" w14:textId="77777777" w:rsidR="00BB5B4A" w:rsidRPr="00244CCE" w:rsidRDefault="00BB5B4A" w:rsidP="00F73DD3">
            <w:pPr>
              <w:keepNext/>
              <w:keepLines/>
              <w:spacing w:before="60" w:after="60"/>
              <w:jc w:val="center"/>
              <w:rPr>
                <w:sz w:val="16"/>
                <w:szCs w:val="16"/>
                <w:lang w:eastAsia="en-GB"/>
              </w:rPr>
            </w:pPr>
            <w:r w:rsidRPr="00244CCE">
              <w:rPr>
                <w:sz w:val="16"/>
                <w:szCs w:val="16"/>
                <w:lang w:eastAsia="en-GB"/>
              </w:rPr>
              <w:t>Relevant CVD Proceeding</w:t>
            </w:r>
          </w:p>
        </w:tc>
      </w:tr>
      <w:tr w:rsidR="00BB5B4A" w:rsidRPr="00244CCE" w14:paraId="6EC7EB37" w14:textId="77777777" w:rsidTr="00084FC0">
        <w:trPr>
          <w:cnfStyle w:val="000000100000" w:firstRow="0" w:lastRow="0" w:firstColumn="0" w:lastColumn="0" w:oddVBand="0" w:evenVBand="0" w:oddHBand="1" w:evenHBand="0" w:firstRowFirstColumn="0" w:firstRowLastColumn="0" w:lastRowFirstColumn="0" w:lastRowLastColumn="0"/>
        </w:trPr>
        <w:tc>
          <w:tcPr>
            <w:tcW w:w="3005" w:type="dxa"/>
          </w:tcPr>
          <w:p w14:paraId="74FF22DE" w14:textId="77777777" w:rsidR="00BB5B4A" w:rsidRPr="00244CCE" w:rsidRDefault="00BB5B4A" w:rsidP="00F73DD3">
            <w:pPr>
              <w:keepNext/>
              <w:keepLines/>
              <w:spacing w:before="60" w:after="60"/>
              <w:jc w:val="left"/>
              <w:rPr>
                <w:sz w:val="16"/>
                <w:szCs w:val="16"/>
                <w:lang w:eastAsia="en-GB"/>
              </w:rPr>
            </w:pPr>
            <w:r w:rsidRPr="00244CCE">
              <w:rPr>
                <w:sz w:val="16"/>
                <w:szCs w:val="16"/>
                <w:lang w:eastAsia="en-GB"/>
              </w:rPr>
              <w:t>Solar Cells from China 2012</w:t>
            </w:r>
          </w:p>
        </w:tc>
        <w:tc>
          <w:tcPr>
            <w:tcW w:w="6204" w:type="dxa"/>
          </w:tcPr>
          <w:p w14:paraId="7AE99A0D" w14:textId="0085975E" w:rsidR="00BB5B4A" w:rsidRPr="00244CCE" w:rsidRDefault="00BB5B4A" w:rsidP="00F73DD3">
            <w:pPr>
              <w:keepNext/>
              <w:keepLines/>
              <w:spacing w:before="60" w:after="60"/>
              <w:jc w:val="left"/>
              <w:rPr>
                <w:sz w:val="16"/>
                <w:szCs w:val="16"/>
                <w:lang w:eastAsia="en-GB"/>
              </w:rPr>
            </w:pPr>
            <w:r w:rsidRPr="00244CCE">
              <w:rPr>
                <w:sz w:val="16"/>
                <w:szCs w:val="16"/>
                <w:lang w:eastAsia="en-GB"/>
              </w:rPr>
              <w:t xml:space="preserve">Crystalline Silicon Photovoltaic Cells, </w:t>
            </w:r>
            <w:proofErr w:type="gramStart"/>
            <w:r w:rsidRPr="00244CCE">
              <w:rPr>
                <w:sz w:val="16"/>
                <w:szCs w:val="16"/>
                <w:lang w:eastAsia="en-GB"/>
              </w:rPr>
              <w:t>Whether or Not</w:t>
            </w:r>
            <w:proofErr w:type="gramEnd"/>
            <w:r w:rsidRPr="00244CCE">
              <w:rPr>
                <w:sz w:val="16"/>
                <w:szCs w:val="16"/>
                <w:lang w:eastAsia="en-GB"/>
              </w:rPr>
              <w:t xml:space="preserve"> Assembled </w:t>
            </w:r>
            <w:r w:rsidR="00861187" w:rsidRPr="00244CCE">
              <w:rPr>
                <w:sz w:val="16"/>
                <w:szCs w:val="16"/>
                <w:lang w:eastAsia="en-GB"/>
              </w:rPr>
              <w:t>i</w:t>
            </w:r>
            <w:r w:rsidRPr="00244CCE">
              <w:rPr>
                <w:sz w:val="16"/>
                <w:szCs w:val="16"/>
                <w:lang w:eastAsia="en-GB"/>
              </w:rPr>
              <w:t xml:space="preserve">nto Modules, </w:t>
            </w:r>
            <w:r w:rsidR="00861187" w:rsidRPr="00244CCE">
              <w:rPr>
                <w:sz w:val="16"/>
                <w:szCs w:val="16"/>
                <w:lang w:eastAsia="en-GB"/>
              </w:rPr>
              <w:t>f</w:t>
            </w:r>
            <w:r w:rsidRPr="00244CCE">
              <w:rPr>
                <w:sz w:val="16"/>
                <w:szCs w:val="16"/>
                <w:lang w:eastAsia="en-GB"/>
              </w:rPr>
              <w:t>rom the P</w:t>
            </w:r>
            <w:r w:rsidR="00AC785E" w:rsidRPr="00244CCE">
              <w:rPr>
                <w:sz w:val="16"/>
                <w:szCs w:val="16"/>
                <w:lang w:eastAsia="en-GB"/>
              </w:rPr>
              <w:t>eople's Republic of China</w:t>
            </w:r>
            <w:r w:rsidRPr="00244CCE">
              <w:rPr>
                <w:sz w:val="16"/>
                <w:szCs w:val="16"/>
                <w:lang w:eastAsia="en-GB"/>
              </w:rPr>
              <w:t xml:space="preserve"> (C</w:t>
            </w:r>
            <w:r w:rsidR="007643D6" w:rsidRPr="00244CCE">
              <w:rPr>
                <w:sz w:val="16"/>
                <w:szCs w:val="16"/>
                <w:lang w:eastAsia="en-GB"/>
              </w:rPr>
              <w:noBreakHyphen/>
            </w:r>
            <w:r w:rsidRPr="00244CCE">
              <w:rPr>
                <w:sz w:val="16"/>
                <w:szCs w:val="16"/>
                <w:lang w:eastAsia="en-GB"/>
              </w:rPr>
              <w:t>570</w:t>
            </w:r>
            <w:r w:rsidR="007643D6" w:rsidRPr="00244CCE">
              <w:rPr>
                <w:sz w:val="16"/>
                <w:szCs w:val="16"/>
                <w:lang w:eastAsia="en-GB"/>
              </w:rPr>
              <w:noBreakHyphen/>
            </w:r>
            <w:r w:rsidRPr="00244CCE">
              <w:rPr>
                <w:sz w:val="16"/>
                <w:szCs w:val="16"/>
                <w:lang w:eastAsia="en-GB"/>
              </w:rPr>
              <w:t>980)</w:t>
            </w:r>
          </w:p>
        </w:tc>
      </w:tr>
      <w:tr w:rsidR="00BB5B4A" w:rsidRPr="00244CCE" w14:paraId="79987705" w14:textId="77777777" w:rsidTr="00084FC0">
        <w:trPr>
          <w:cnfStyle w:val="000000010000" w:firstRow="0" w:lastRow="0" w:firstColumn="0" w:lastColumn="0" w:oddVBand="0" w:evenVBand="0" w:oddHBand="0" w:evenHBand="1" w:firstRowFirstColumn="0" w:firstRowLastColumn="0" w:lastRowFirstColumn="0" w:lastRowLastColumn="0"/>
        </w:trPr>
        <w:tc>
          <w:tcPr>
            <w:tcW w:w="3005" w:type="dxa"/>
          </w:tcPr>
          <w:p w14:paraId="06979EFC" w14:textId="77777777" w:rsidR="00BB5B4A" w:rsidRPr="00244CCE" w:rsidRDefault="00BB5B4A" w:rsidP="00F73DD3">
            <w:pPr>
              <w:spacing w:before="60" w:after="60"/>
              <w:jc w:val="left"/>
              <w:rPr>
                <w:sz w:val="16"/>
                <w:szCs w:val="16"/>
                <w:lang w:eastAsia="en-GB"/>
              </w:rPr>
            </w:pPr>
            <w:r w:rsidRPr="00244CCE">
              <w:rPr>
                <w:sz w:val="16"/>
                <w:szCs w:val="16"/>
                <w:lang w:eastAsia="en-GB"/>
              </w:rPr>
              <w:t>Shrimp from China 2013</w:t>
            </w:r>
          </w:p>
        </w:tc>
        <w:tc>
          <w:tcPr>
            <w:tcW w:w="6204" w:type="dxa"/>
          </w:tcPr>
          <w:p w14:paraId="01BAE2B9" w14:textId="200CA7C6" w:rsidR="00BB5B4A" w:rsidRPr="00244CCE" w:rsidRDefault="00BB5B4A" w:rsidP="00F73DD3">
            <w:pPr>
              <w:spacing w:before="60" w:after="60"/>
              <w:jc w:val="left"/>
              <w:rPr>
                <w:sz w:val="16"/>
                <w:szCs w:val="16"/>
                <w:lang w:eastAsia="en-GB"/>
              </w:rPr>
            </w:pPr>
            <w:r w:rsidRPr="00244CCE">
              <w:rPr>
                <w:sz w:val="16"/>
                <w:szCs w:val="16"/>
                <w:lang w:eastAsia="en-GB"/>
              </w:rPr>
              <w:t xml:space="preserve">Certain Frozen Warmwater Shrimp </w:t>
            </w:r>
            <w:r w:rsidR="00861187" w:rsidRPr="00244CCE">
              <w:rPr>
                <w:sz w:val="16"/>
                <w:szCs w:val="16"/>
                <w:lang w:eastAsia="en-GB"/>
              </w:rPr>
              <w:t>f</w:t>
            </w:r>
            <w:r w:rsidRPr="00244CCE">
              <w:rPr>
                <w:sz w:val="16"/>
                <w:szCs w:val="16"/>
                <w:lang w:eastAsia="en-GB"/>
              </w:rPr>
              <w:t>rom the People's Republic of China (C</w:t>
            </w:r>
            <w:r w:rsidR="007643D6" w:rsidRPr="00244CCE">
              <w:rPr>
                <w:sz w:val="16"/>
                <w:szCs w:val="16"/>
                <w:lang w:eastAsia="en-GB"/>
              </w:rPr>
              <w:noBreakHyphen/>
            </w:r>
            <w:r w:rsidRPr="00244CCE">
              <w:rPr>
                <w:sz w:val="16"/>
                <w:szCs w:val="16"/>
                <w:lang w:eastAsia="en-GB"/>
              </w:rPr>
              <w:t>570</w:t>
            </w:r>
            <w:r w:rsidR="007643D6" w:rsidRPr="00244CCE">
              <w:rPr>
                <w:sz w:val="16"/>
                <w:szCs w:val="16"/>
                <w:lang w:eastAsia="en-GB"/>
              </w:rPr>
              <w:noBreakHyphen/>
            </w:r>
            <w:r w:rsidRPr="00244CCE">
              <w:rPr>
                <w:sz w:val="16"/>
                <w:szCs w:val="16"/>
                <w:lang w:eastAsia="en-GB"/>
              </w:rPr>
              <w:t>989)</w:t>
            </w:r>
          </w:p>
        </w:tc>
      </w:tr>
      <w:tr w:rsidR="00BB5B4A" w:rsidRPr="00244CCE" w14:paraId="67C292EF" w14:textId="77777777" w:rsidTr="00084FC0">
        <w:trPr>
          <w:cnfStyle w:val="000000100000" w:firstRow="0" w:lastRow="0" w:firstColumn="0" w:lastColumn="0" w:oddVBand="0" w:evenVBand="0" w:oddHBand="1" w:evenHBand="0" w:firstRowFirstColumn="0" w:firstRowLastColumn="0" w:lastRowFirstColumn="0" w:lastRowLastColumn="0"/>
        </w:trPr>
        <w:tc>
          <w:tcPr>
            <w:tcW w:w="3005" w:type="dxa"/>
          </w:tcPr>
          <w:p w14:paraId="691AF446" w14:textId="77777777" w:rsidR="00BB5B4A" w:rsidRPr="00244CCE" w:rsidRDefault="00BB5B4A" w:rsidP="00F73DD3">
            <w:pPr>
              <w:spacing w:before="60" w:after="60"/>
              <w:jc w:val="left"/>
              <w:rPr>
                <w:sz w:val="16"/>
                <w:szCs w:val="16"/>
                <w:lang w:eastAsia="en-GB"/>
              </w:rPr>
            </w:pPr>
            <w:r w:rsidRPr="00244CCE">
              <w:rPr>
                <w:sz w:val="16"/>
                <w:szCs w:val="16"/>
                <w:lang w:eastAsia="en-GB"/>
              </w:rPr>
              <w:t>Solar Cells from China 2014</w:t>
            </w:r>
          </w:p>
        </w:tc>
        <w:tc>
          <w:tcPr>
            <w:tcW w:w="6204" w:type="dxa"/>
          </w:tcPr>
          <w:p w14:paraId="4A1A2321" w14:textId="208D1A5E" w:rsidR="00BB5B4A" w:rsidRPr="00244CCE" w:rsidRDefault="00BB5B4A" w:rsidP="00F73DD3">
            <w:pPr>
              <w:spacing w:before="60" w:after="60"/>
              <w:jc w:val="left"/>
              <w:rPr>
                <w:sz w:val="16"/>
                <w:szCs w:val="16"/>
                <w:lang w:eastAsia="en-GB"/>
              </w:rPr>
            </w:pPr>
            <w:r w:rsidRPr="00244CCE">
              <w:rPr>
                <w:sz w:val="16"/>
                <w:szCs w:val="16"/>
                <w:lang w:eastAsia="en-GB"/>
              </w:rPr>
              <w:t xml:space="preserve">Crystalline Silicon Photovoltaic Products </w:t>
            </w:r>
            <w:r w:rsidR="00861187" w:rsidRPr="00244CCE">
              <w:rPr>
                <w:sz w:val="16"/>
                <w:szCs w:val="16"/>
                <w:lang w:eastAsia="en-GB"/>
              </w:rPr>
              <w:t>f</w:t>
            </w:r>
            <w:r w:rsidRPr="00244CCE">
              <w:rPr>
                <w:sz w:val="16"/>
                <w:szCs w:val="16"/>
                <w:lang w:eastAsia="en-GB"/>
              </w:rPr>
              <w:t>rom the People's Republic of China (C</w:t>
            </w:r>
            <w:r w:rsidR="007643D6" w:rsidRPr="00244CCE">
              <w:rPr>
                <w:sz w:val="16"/>
                <w:szCs w:val="16"/>
                <w:lang w:eastAsia="en-GB"/>
              </w:rPr>
              <w:noBreakHyphen/>
            </w:r>
            <w:r w:rsidRPr="00244CCE">
              <w:rPr>
                <w:sz w:val="16"/>
                <w:szCs w:val="16"/>
                <w:lang w:eastAsia="en-GB"/>
              </w:rPr>
              <w:t>570</w:t>
            </w:r>
            <w:r w:rsidR="007643D6" w:rsidRPr="00244CCE">
              <w:rPr>
                <w:sz w:val="16"/>
                <w:szCs w:val="16"/>
                <w:lang w:eastAsia="en-GB"/>
              </w:rPr>
              <w:noBreakHyphen/>
            </w:r>
            <w:r w:rsidRPr="00244CCE">
              <w:rPr>
                <w:sz w:val="16"/>
                <w:szCs w:val="16"/>
                <w:lang w:eastAsia="en-GB"/>
              </w:rPr>
              <w:t>011)</w:t>
            </w:r>
          </w:p>
        </w:tc>
      </w:tr>
      <w:tr w:rsidR="00BB5B4A" w:rsidRPr="00244CCE" w14:paraId="5D02C556" w14:textId="77777777" w:rsidTr="00084FC0">
        <w:trPr>
          <w:cnfStyle w:val="000000010000" w:firstRow="0" w:lastRow="0" w:firstColumn="0" w:lastColumn="0" w:oddVBand="0" w:evenVBand="0" w:oddHBand="0" w:evenHBand="1" w:firstRowFirstColumn="0" w:firstRowLastColumn="0" w:lastRowFirstColumn="0" w:lastRowLastColumn="0"/>
        </w:trPr>
        <w:tc>
          <w:tcPr>
            <w:tcW w:w="3005" w:type="dxa"/>
          </w:tcPr>
          <w:p w14:paraId="2E8BD4E2" w14:textId="77777777" w:rsidR="00BB5B4A" w:rsidRPr="00244CCE" w:rsidRDefault="00BB5B4A" w:rsidP="00F73DD3">
            <w:pPr>
              <w:spacing w:before="60" w:after="60"/>
              <w:jc w:val="left"/>
              <w:rPr>
                <w:sz w:val="16"/>
                <w:szCs w:val="16"/>
                <w:lang w:eastAsia="en-GB"/>
              </w:rPr>
            </w:pPr>
            <w:r w:rsidRPr="00244CCE">
              <w:rPr>
                <w:sz w:val="16"/>
                <w:szCs w:val="16"/>
                <w:lang w:eastAsia="en-GB"/>
              </w:rPr>
              <w:t>Solar Cells from China 2015</w:t>
            </w:r>
          </w:p>
        </w:tc>
        <w:tc>
          <w:tcPr>
            <w:tcW w:w="6204" w:type="dxa"/>
          </w:tcPr>
          <w:p w14:paraId="4572B7D2" w14:textId="7A7EE8FF" w:rsidR="00BB5B4A" w:rsidRPr="00244CCE" w:rsidRDefault="00BB5B4A" w:rsidP="00F73DD3">
            <w:pPr>
              <w:spacing w:before="60" w:after="60"/>
              <w:jc w:val="left"/>
              <w:rPr>
                <w:sz w:val="16"/>
                <w:szCs w:val="16"/>
                <w:lang w:eastAsia="en-GB"/>
              </w:rPr>
            </w:pPr>
            <w:r w:rsidRPr="00244CCE">
              <w:rPr>
                <w:sz w:val="16"/>
                <w:szCs w:val="16"/>
                <w:lang w:eastAsia="en-GB"/>
              </w:rPr>
              <w:t xml:space="preserve">Crystalline Silicon Photovoltaic Cells, </w:t>
            </w:r>
            <w:proofErr w:type="gramStart"/>
            <w:r w:rsidRPr="00244CCE">
              <w:rPr>
                <w:sz w:val="16"/>
                <w:szCs w:val="16"/>
                <w:lang w:eastAsia="en-GB"/>
              </w:rPr>
              <w:t>Whether or Not</w:t>
            </w:r>
            <w:proofErr w:type="gramEnd"/>
            <w:r w:rsidRPr="00244CCE">
              <w:rPr>
                <w:sz w:val="16"/>
                <w:szCs w:val="16"/>
                <w:lang w:eastAsia="en-GB"/>
              </w:rPr>
              <w:t xml:space="preserve"> Assembled </w:t>
            </w:r>
            <w:r w:rsidR="00861187" w:rsidRPr="00244CCE">
              <w:rPr>
                <w:sz w:val="16"/>
                <w:szCs w:val="16"/>
                <w:lang w:eastAsia="en-GB"/>
              </w:rPr>
              <w:t>i</w:t>
            </w:r>
            <w:r w:rsidRPr="00244CCE">
              <w:rPr>
                <w:sz w:val="16"/>
                <w:szCs w:val="16"/>
                <w:lang w:eastAsia="en-GB"/>
              </w:rPr>
              <w:t xml:space="preserve">nto Modules, </w:t>
            </w:r>
            <w:r w:rsidR="00861187" w:rsidRPr="00244CCE">
              <w:rPr>
                <w:sz w:val="16"/>
                <w:szCs w:val="16"/>
                <w:lang w:eastAsia="en-GB"/>
              </w:rPr>
              <w:t>f</w:t>
            </w:r>
            <w:r w:rsidRPr="00244CCE">
              <w:rPr>
                <w:sz w:val="16"/>
                <w:szCs w:val="16"/>
                <w:lang w:eastAsia="en-GB"/>
              </w:rPr>
              <w:t>rom the People's Republic of China (C</w:t>
            </w:r>
            <w:r w:rsidR="007643D6" w:rsidRPr="00244CCE">
              <w:rPr>
                <w:sz w:val="16"/>
                <w:szCs w:val="16"/>
                <w:lang w:eastAsia="en-GB"/>
              </w:rPr>
              <w:noBreakHyphen/>
            </w:r>
            <w:r w:rsidRPr="00244CCE">
              <w:rPr>
                <w:sz w:val="16"/>
                <w:szCs w:val="16"/>
                <w:lang w:eastAsia="en-GB"/>
              </w:rPr>
              <w:t>570</w:t>
            </w:r>
            <w:r w:rsidR="007643D6" w:rsidRPr="00244CCE">
              <w:rPr>
                <w:sz w:val="16"/>
                <w:szCs w:val="16"/>
                <w:lang w:eastAsia="en-GB"/>
              </w:rPr>
              <w:noBreakHyphen/>
            </w:r>
            <w:r w:rsidRPr="00244CCE">
              <w:rPr>
                <w:sz w:val="16"/>
                <w:szCs w:val="16"/>
                <w:lang w:eastAsia="en-GB"/>
              </w:rPr>
              <w:t>980)</w:t>
            </w:r>
          </w:p>
        </w:tc>
      </w:tr>
      <w:tr w:rsidR="00BB5B4A" w:rsidRPr="00244CCE" w14:paraId="1EAF7029" w14:textId="77777777" w:rsidTr="00084FC0">
        <w:trPr>
          <w:cnfStyle w:val="000000100000" w:firstRow="0" w:lastRow="0" w:firstColumn="0" w:lastColumn="0" w:oddVBand="0" w:evenVBand="0" w:oddHBand="1" w:evenHBand="0" w:firstRowFirstColumn="0" w:firstRowLastColumn="0" w:lastRowFirstColumn="0" w:lastRowLastColumn="0"/>
        </w:trPr>
        <w:tc>
          <w:tcPr>
            <w:tcW w:w="3005" w:type="dxa"/>
          </w:tcPr>
          <w:p w14:paraId="4E594A1C" w14:textId="77777777" w:rsidR="00BB5B4A" w:rsidRPr="00244CCE" w:rsidRDefault="00BB5B4A" w:rsidP="00F73DD3">
            <w:pPr>
              <w:spacing w:before="60" w:after="60"/>
              <w:jc w:val="left"/>
              <w:rPr>
                <w:sz w:val="16"/>
                <w:szCs w:val="16"/>
                <w:lang w:eastAsia="en-GB"/>
              </w:rPr>
            </w:pPr>
            <w:proofErr w:type="spellStart"/>
            <w:r w:rsidRPr="00244CCE">
              <w:rPr>
                <w:sz w:val="16"/>
                <w:szCs w:val="16"/>
                <w:lang w:eastAsia="en-GB"/>
              </w:rPr>
              <w:t>Supercalendered</w:t>
            </w:r>
            <w:proofErr w:type="spellEnd"/>
            <w:r w:rsidRPr="00244CCE">
              <w:rPr>
                <w:sz w:val="16"/>
                <w:szCs w:val="16"/>
                <w:lang w:eastAsia="en-GB"/>
              </w:rPr>
              <w:t xml:space="preserve"> Paper from Canada 2015</w:t>
            </w:r>
          </w:p>
        </w:tc>
        <w:tc>
          <w:tcPr>
            <w:tcW w:w="6204" w:type="dxa"/>
          </w:tcPr>
          <w:p w14:paraId="527CF427" w14:textId="1E208687" w:rsidR="00BB5B4A" w:rsidRPr="00244CCE" w:rsidRDefault="00BB5B4A" w:rsidP="00F73DD3">
            <w:pPr>
              <w:spacing w:before="60" w:after="60"/>
              <w:jc w:val="left"/>
              <w:rPr>
                <w:sz w:val="16"/>
                <w:szCs w:val="16"/>
                <w:lang w:eastAsia="en-GB"/>
              </w:rPr>
            </w:pPr>
            <w:proofErr w:type="spellStart"/>
            <w:r w:rsidRPr="00244CCE">
              <w:rPr>
                <w:sz w:val="16"/>
                <w:szCs w:val="16"/>
                <w:lang w:eastAsia="en-GB"/>
              </w:rPr>
              <w:t>Supercalendered</w:t>
            </w:r>
            <w:proofErr w:type="spellEnd"/>
            <w:r w:rsidRPr="00244CCE">
              <w:rPr>
                <w:sz w:val="16"/>
                <w:szCs w:val="16"/>
                <w:lang w:eastAsia="en-GB"/>
              </w:rPr>
              <w:t xml:space="preserve"> Paper from Canada (C</w:t>
            </w:r>
            <w:r w:rsidR="007643D6" w:rsidRPr="00244CCE">
              <w:rPr>
                <w:sz w:val="16"/>
                <w:szCs w:val="16"/>
                <w:lang w:eastAsia="en-GB"/>
              </w:rPr>
              <w:noBreakHyphen/>
            </w:r>
            <w:r w:rsidRPr="00244CCE">
              <w:rPr>
                <w:sz w:val="16"/>
                <w:szCs w:val="16"/>
                <w:lang w:eastAsia="en-GB"/>
              </w:rPr>
              <w:t>122</w:t>
            </w:r>
            <w:r w:rsidR="007643D6" w:rsidRPr="00244CCE">
              <w:rPr>
                <w:sz w:val="16"/>
                <w:szCs w:val="16"/>
                <w:lang w:eastAsia="en-GB"/>
              </w:rPr>
              <w:noBreakHyphen/>
            </w:r>
            <w:r w:rsidRPr="00244CCE">
              <w:rPr>
                <w:sz w:val="16"/>
                <w:szCs w:val="16"/>
                <w:lang w:eastAsia="en-GB"/>
              </w:rPr>
              <w:t>854)</w:t>
            </w:r>
          </w:p>
        </w:tc>
      </w:tr>
      <w:tr w:rsidR="00BB5B4A" w:rsidRPr="00244CCE" w14:paraId="657AD067" w14:textId="77777777" w:rsidTr="00084FC0">
        <w:trPr>
          <w:cnfStyle w:val="000000010000" w:firstRow="0" w:lastRow="0" w:firstColumn="0" w:lastColumn="0" w:oddVBand="0" w:evenVBand="0" w:oddHBand="0" w:evenHBand="1" w:firstRowFirstColumn="0" w:firstRowLastColumn="0" w:lastRowFirstColumn="0" w:lastRowLastColumn="0"/>
        </w:trPr>
        <w:tc>
          <w:tcPr>
            <w:tcW w:w="3005" w:type="dxa"/>
          </w:tcPr>
          <w:p w14:paraId="4B6E8F43" w14:textId="77777777" w:rsidR="00BB5B4A" w:rsidRPr="00244CCE" w:rsidRDefault="00BB5B4A" w:rsidP="00F73DD3">
            <w:pPr>
              <w:spacing w:before="60" w:after="60"/>
              <w:jc w:val="left"/>
              <w:rPr>
                <w:sz w:val="16"/>
                <w:szCs w:val="16"/>
                <w:lang w:eastAsia="en-GB"/>
              </w:rPr>
            </w:pPr>
            <w:r w:rsidRPr="00244CCE">
              <w:rPr>
                <w:sz w:val="16"/>
                <w:szCs w:val="16"/>
                <w:lang w:eastAsia="en-GB"/>
              </w:rPr>
              <w:t>PET Resin from China 2016</w:t>
            </w:r>
          </w:p>
        </w:tc>
        <w:tc>
          <w:tcPr>
            <w:tcW w:w="6204" w:type="dxa"/>
          </w:tcPr>
          <w:p w14:paraId="6B7AEA49" w14:textId="35588823" w:rsidR="00BB5B4A" w:rsidRPr="00244CCE" w:rsidRDefault="00BB5B4A" w:rsidP="00F73DD3">
            <w:pPr>
              <w:spacing w:before="60" w:after="60"/>
              <w:jc w:val="left"/>
              <w:rPr>
                <w:sz w:val="16"/>
                <w:szCs w:val="16"/>
                <w:lang w:eastAsia="en-GB"/>
              </w:rPr>
            </w:pPr>
            <w:r w:rsidRPr="00244CCE">
              <w:rPr>
                <w:sz w:val="16"/>
                <w:szCs w:val="16"/>
                <w:lang w:eastAsia="en-GB"/>
              </w:rPr>
              <w:t xml:space="preserve">Certain Polyethylene </w:t>
            </w:r>
            <w:r w:rsidR="00B0566C" w:rsidRPr="00244CCE">
              <w:rPr>
                <w:sz w:val="16"/>
                <w:szCs w:val="16"/>
                <w:lang w:eastAsia="en-GB"/>
              </w:rPr>
              <w:t>Terephthalate</w:t>
            </w:r>
            <w:r w:rsidRPr="00244CCE">
              <w:rPr>
                <w:sz w:val="16"/>
                <w:szCs w:val="16"/>
                <w:lang w:eastAsia="en-GB"/>
              </w:rPr>
              <w:t xml:space="preserve"> Resin from the People's Republic of China (C</w:t>
            </w:r>
            <w:r w:rsidR="007643D6" w:rsidRPr="00244CCE">
              <w:rPr>
                <w:sz w:val="16"/>
                <w:szCs w:val="16"/>
                <w:lang w:eastAsia="en-GB"/>
              </w:rPr>
              <w:noBreakHyphen/>
            </w:r>
            <w:r w:rsidRPr="00244CCE">
              <w:rPr>
                <w:sz w:val="16"/>
                <w:szCs w:val="16"/>
                <w:lang w:eastAsia="en-GB"/>
              </w:rPr>
              <w:t>570</w:t>
            </w:r>
            <w:r w:rsidR="007643D6" w:rsidRPr="00244CCE">
              <w:rPr>
                <w:sz w:val="16"/>
                <w:szCs w:val="16"/>
                <w:lang w:eastAsia="en-GB"/>
              </w:rPr>
              <w:noBreakHyphen/>
            </w:r>
            <w:r w:rsidRPr="00244CCE">
              <w:rPr>
                <w:sz w:val="16"/>
                <w:szCs w:val="16"/>
                <w:lang w:eastAsia="en-GB"/>
              </w:rPr>
              <w:t>025)</w:t>
            </w:r>
          </w:p>
        </w:tc>
      </w:tr>
      <w:tr w:rsidR="00BB5B4A" w:rsidRPr="00244CCE" w14:paraId="216E6E3D" w14:textId="77777777" w:rsidTr="00084FC0">
        <w:trPr>
          <w:cnfStyle w:val="000000100000" w:firstRow="0" w:lastRow="0" w:firstColumn="0" w:lastColumn="0" w:oddVBand="0" w:evenVBand="0" w:oddHBand="1" w:evenHBand="0" w:firstRowFirstColumn="0" w:firstRowLastColumn="0" w:lastRowFirstColumn="0" w:lastRowLastColumn="0"/>
        </w:trPr>
        <w:tc>
          <w:tcPr>
            <w:tcW w:w="3005" w:type="dxa"/>
          </w:tcPr>
          <w:p w14:paraId="3399F030" w14:textId="77777777" w:rsidR="00BB5B4A" w:rsidRPr="00244CCE" w:rsidRDefault="00BB5B4A" w:rsidP="00F73DD3">
            <w:pPr>
              <w:spacing w:before="60" w:after="60"/>
              <w:jc w:val="left"/>
              <w:rPr>
                <w:sz w:val="16"/>
                <w:szCs w:val="16"/>
                <w:lang w:eastAsia="en-GB"/>
              </w:rPr>
            </w:pPr>
            <w:r w:rsidRPr="00244CCE">
              <w:rPr>
                <w:sz w:val="16"/>
                <w:szCs w:val="16"/>
                <w:lang w:eastAsia="en-GB"/>
              </w:rPr>
              <w:t>Stainless Pressure Pipe from India 2016</w:t>
            </w:r>
          </w:p>
        </w:tc>
        <w:tc>
          <w:tcPr>
            <w:tcW w:w="6204" w:type="dxa"/>
          </w:tcPr>
          <w:p w14:paraId="33A02313" w14:textId="23D42088" w:rsidR="00BB5B4A" w:rsidRPr="00244CCE" w:rsidRDefault="00BB5B4A" w:rsidP="00F73DD3">
            <w:pPr>
              <w:spacing w:before="60" w:after="60"/>
              <w:jc w:val="left"/>
              <w:rPr>
                <w:sz w:val="16"/>
                <w:szCs w:val="16"/>
                <w:lang w:eastAsia="en-GB"/>
              </w:rPr>
            </w:pPr>
            <w:r w:rsidRPr="00244CCE">
              <w:rPr>
                <w:sz w:val="16"/>
                <w:szCs w:val="16"/>
                <w:lang w:eastAsia="en-GB"/>
              </w:rPr>
              <w:t>Welded Stainless Pressure Pipe from India (C</w:t>
            </w:r>
            <w:r w:rsidR="007643D6" w:rsidRPr="00244CCE">
              <w:rPr>
                <w:sz w:val="16"/>
                <w:szCs w:val="16"/>
                <w:lang w:eastAsia="en-GB"/>
              </w:rPr>
              <w:noBreakHyphen/>
            </w:r>
            <w:r w:rsidRPr="00244CCE">
              <w:rPr>
                <w:sz w:val="16"/>
                <w:szCs w:val="16"/>
                <w:lang w:eastAsia="en-GB"/>
              </w:rPr>
              <w:t>533</w:t>
            </w:r>
            <w:r w:rsidR="007643D6" w:rsidRPr="00244CCE">
              <w:rPr>
                <w:sz w:val="16"/>
                <w:szCs w:val="16"/>
                <w:lang w:eastAsia="en-GB"/>
              </w:rPr>
              <w:noBreakHyphen/>
            </w:r>
            <w:r w:rsidRPr="00244CCE">
              <w:rPr>
                <w:sz w:val="16"/>
                <w:szCs w:val="16"/>
                <w:lang w:eastAsia="en-GB"/>
              </w:rPr>
              <w:t>868)</w:t>
            </w:r>
          </w:p>
        </w:tc>
      </w:tr>
      <w:tr w:rsidR="00BB5B4A" w:rsidRPr="00244CCE" w14:paraId="156E887B" w14:textId="77777777" w:rsidTr="00084FC0">
        <w:trPr>
          <w:cnfStyle w:val="000000010000" w:firstRow="0" w:lastRow="0" w:firstColumn="0" w:lastColumn="0" w:oddVBand="0" w:evenVBand="0" w:oddHBand="0" w:evenHBand="1" w:firstRowFirstColumn="0" w:firstRowLastColumn="0" w:lastRowFirstColumn="0" w:lastRowLastColumn="0"/>
        </w:trPr>
        <w:tc>
          <w:tcPr>
            <w:tcW w:w="3005" w:type="dxa"/>
          </w:tcPr>
          <w:p w14:paraId="2487E7F0" w14:textId="77777777" w:rsidR="00BB5B4A" w:rsidRPr="00244CCE" w:rsidRDefault="00BB5B4A" w:rsidP="00F73DD3">
            <w:pPr>
              <w:spacing w:before="60" w:after="60"/>
              <w:jc w:val="left"/>
              <w:rPr>
                <w:sz w:val="16"/>
                <w:szCs w:val="16"/>
                <w:lang w:eastAsia="en-GB"/>
              </w:rPr>
            </w:pPr>
            <w:r w:rsidRPr="00244CCE">
              <w:rPr>
                <w:sz w:val="16"/>
                <w:szCs w:val="16"/>
                <w:lang w:eastAsia="en-GB"/>
              </w:rPr>
              <w:t>Truck and Bus Tires from China 2016</w:t>
            </w:r>
          </w:p>
        </w:tc>
        <w:tc>
          <w:tcPr>
            <w:tcW w:w="6204" w:type="dxa"/>
          </w:tcPr>
          <w:p w14:paraId="0CD9AA7F" w14:textId="4A0CD5C9" w:rsidR="00BB5B4A" w:rsidRPr="00244CCE" w:rsidRDefault="00BB5B4A" w:rsidP="00F73DD3">
            <w:pPr>
              <w:spacing w:before="60" w:after="60"/>
              <w:jc w:val="left"/>
              <w:rPr>
                <w:sz w:val="16"/>
                <w:szCs w:val="16"/>
                <w:lang w:eastAsia="en-GB"/>
              </w:rPr>
            </w:pPr>
            <w:r w:rsidRPr="00244CCE">
              <w:rPr>
                <w:sz w:val="16"/>
                <w:szCs w:val="16"/>
                <w:lang w:eastAsia="en-GB"/>
              </w:rPr>
              <w:t>Truck and Bus Tires from the People's Republic of China (C</w:t>
            </w:r>
            <w:r w:rsidR="007643D6" w:rsidRPr="00244CCE">
              <w:rPr>
                <w:sz w:val="16"/>
                <w:szCs w:val="16"/>
                <w:lang w:eastAsia="en-GB"/>
              </w:rPr>
              <w:noBreakHyphen/>
            </w:r>
            <w:r w:rsidRPr="00244CCE">
              <w:rPr>
                <w:sz w:val="16"/>
                <w:szCs w:val="16"/>
                <w:lang w:eastAsia="en-GB"/>
              </w:rPr>
              <w:t>570</w:t>
            </w:r>
            <w:r w:rsidR="007643D6" w:rsidRPr="00244CCE">
              <w:rPr>
                <w:sz w:val="16"/>
                <w:szCs w:val="16"/>
                <w:lang w:eastAsia="en-GB"/>
              </w:rPr>
              <w:noBreakHyphen/>
            </w:r>
            <w:r w:rsidRPr="00244CCE">
              <w:rPr>
                <w:sz w:val="16"/>
                <w:szCs w:val="16"/>
                <w:lang w:eastAsia="en-GB"/>
              </w:rPr>
              <w:t>041)</w:t>
            </w:r>
          </w:p>
        </w:tc>
      </w:tr>
      <w:tr w:rsidR="00BB5B4A" w:rsidRPr="00244CCE" w14:paraId="5618C511" w14:textId="77777777" w:rsidTr="00084FC0">
        <w:trPr>
          <w:cnfStyle w:val="000000100000" w:firstRow="0" w:lastRow="0" w:firstColumn="0" w:lastColumn="0" w:oddVBand="0" w:evenVBand="0" w:oddHBand="1" w:evenHBand="0" w:firstRowFirstColumn="0" w:firstRowLastColumn="0" w:lastRowFirstColumn="0" w:lastRowLastColumn="0"/>
        </w:trPr>
        <w:tc>
          <w:tcPr>
            <w:tcW w:w="3005" w:type="dxa"/>
          </w:tcPr>
          <w:p w14:paraId="4C768EF4" w14:textId="77777777" w:rsidR="00BB5B4A" w:rsidRPr="00244CCE" w:rsidRDefault="00BB5B4A" w:rsidP="00F73DD3">
            <w:pPr>
              <w:spacing w:before="60" w:after="60"/>
              <w:jc w:val="left"/>
              <w:rPr>
                <w:sz w:val="16"/>
                <w:szCs w:val="16"/>
                <w:lang w:eastAsia="en-GB"/>
              </w:rPr>
            </w:pPr>
            <w:r w:rsidRPr="00244CCE">
              <w:rPr>
                <w:sz w:val="16"/>
                <w:szCs w:val="16"/>
                <w:lang w:eastAsia="en-GB"/>
              </w:rPr>
              <w:t>Stainless Steel Sheet and Strip from China 2017</w:t>
            </w:r>
          </w:p>
        </w:tc>
        <w:tc>
          <w:tcPr>
            <w:tcW w:w="6204" w:type="dxa"/>
          </w:tcPr>
          <w:p w14:paraId="7B571049" w14:textId="71BD7E63" w:rsidR="00BB5B4A" w:rsidRPr="00244CCE" w:rsidRDefault="00BB5B4A" w:rsidP="00F73DD3">
            <w:pPr>
              <w:spacing w:before="60" w:after="60"/>
              <w:jc w:val="left"/>
              <w:rPr>
                <w:sz w:val="16"/>
                <w:szCs w:val="16"/>
                <w:lang w:eastAsia="en-GB"/>
              </w:rPr>
            </w:pPr>
            <w:r w:rsidRPr="00244CCE">
              <w:rPr>
                <w:sz w:val="16"/>
                <w:szCs w:val="16"/>
                <w:lang w:eastAsia="en-GB"/>
              </w:rPr>
              <w:t>Stainless Steel Sheet and Strip from the People's Republic of China (C</w:t>
            </w:r>
            <w:r w:rsidR="007643D6" w:rsidRPr="00244CCE">
              <w:rPr>
                <w:sz w:val="16"/>
                <w:szCs w:val="16"/>
                <w:lang w:eastAsia="en-GB"/>
              </w:rPr>
              <w:noBreakHyphen/>
            </w:r>
            <w:r w:rsidRPr="00244CCE">
              <w:rPr>
                <w:sz w:val="16"/>
                <w:szCs w:val="16"/>
                <w:lang w:eastAsia="en-GB"/>
              </w:rPr>
              <w:t>570</w:t>
            </w:r>
            <w:r w:rsidR="007643D6" w:rsidRPr="00244CCE">
              <w:rPr>
                <w:sz w:val="16"/>
                <w:szCs w:val="16"/>
                <w:lang w:eastAsia="en-GB"/>
              </w:rPr>
              <w:noBreakHyphen/>
            </w:r>
            <w:r w:rsidRPr="00244CCE">
              <w:rPr>
                <w:sz w:val="16"/>
                <w:szCs w:val="16"/>
                <w:lang w:eastAsia="en-GB"/>
              </w:rPr>
              <w:t>043)</w:t>
            </w:r>
          </w:p>
        </w:tc>
      </w:tr>
    </w:tbl>
    <w:p w14:paraId="473DF429" w14:textId="77777777" w:rsidR="007E5E0F" w:rsidRPr="00244CCE" w:rsidRDefault="007E5E0F" w:rsidP="00F73DD3">
      <w:pPr>
        <w:rPr>
          <w:lang w:eastAsia="en-GB"/>
        </w:rPr>
      </w:pPr>
    </w:p>
    <w:p w14:paraId="0D451CDE" w14:textId="680AF62D" w:rsidR="00BB5B4A" w:rsidRPr="00244CCE" w:rsidRDefault="00BB5B4A" w:rsidP="00F73DD3">
      <w:pPr>
        <w:jc w:val="left"/>
        <w:rPr>
          <w:lang w:eastAsia="en-GB"/>
        </w:rPr>
      </w:pPr>
      <w:r w:rsidRPr="00244CCE">
        <w:rPr>
          <w:lang w:eastAsia="en-GB"/>
        </w:rPr>
        <w:br w:type="page"/>
      </w:r>
    </w:p>
    <w:p w14:paraId="6C123663" w14:textId="1D442D59" w:rsidR="00BB7DD3" w:rsidRPr="00244CCE" w:rsidRDefault="00BB7DD3" w:rsidP="00F73DD3">
      <w:pPr>
        <w:pStyle w:val="Title"/>
      </w:pPr>
      <w:r w:rsidRPr="00244CCE">
        <w:lastRenderedPageBreak/>
        <w:t>CASES CITED IN THIS REPORT</w:t>
      </w:r>
    </w:p>
    <w:tbl>
      <w:tblPr>
        <w:tblStyle w:val="WTOTable1"/>
        <w:tblW w:w="9221" w:type="dxa"/>
        <w:tblLayout w:type="fixed"/>
        <w:tblLook w:val="0060" w:firstRow="1" w:lastRow="1" w:firstColumn="0" w:lastColumn="0" w:noHBand="0" w:noVBand="0"/>
      </w:tblPr>
      <w:tblGrid>
        <w:gridCol w:w="2600"/>
        <w:gridCol w:w="6621"/>
      </w:tblGrid>
      <w:tr w:rsidR="005021D0" w:rsidRPr="00244CCE" w14:paraId="316C198F" w14:textId="77777777" w:rsidTr="009B3154">
        <w:trPr>
          <w:cnfStyle w:val="100000000000" w:firstRow="1" w:lastRow="0" w:firstColumn="0" w:lastColumn="0" w:oddVBand="0" w:evenVBand="0" w:oddHBand="0" w:evenHBand="0" w:firstRowFirstColumn="0" w:firstRowLastColumn="0" w:lastRowFirstColumn="0" w:lastRowLastColumn="0"/>
          <w:tblHeader/>
        </w:trPr>
        <w:tc>
          <w:tcPr>
            <w:tcW w:w="2600" w:type="dxa"/>
          </w:tcPr>
          <w:p w14:paraId="5E0B1133" w14:textId="77777777" w:rsidR="005021D0" w:rsidRPr="00244CCE" w:rsidRDefault="005021D0" w:rsidP="00F73DD3">
            <w:pPr>
              <w:keepLines/>
              <w:tabs>
                <w:tab w:val="left" w:pos="2268"/>
                <w:tab w:val="left" w:pos="4536"/>
              </w:tabs>
              <w:spacing w:before="60" w:after="60"/>
              <w:jc w:val="center"/>
              <w:rPr>
                <w:sz w:val="16"/>
                <w:szCs w:val="18"/>
              </w:rPr>
            </w:pPr>
            <w:r w:rsidRPr="00244CCE">
              <w:rPr>
                <w:sz w:val="16"/>
                <w:szCs w:val="18"/>
              </w:rPr>
              <w:t>Short Title</w:t>
            </w:r>
          </w:p>
        </w:tc>
        <w:tc>
          <w:tcPr>
            <w:tcW w:w="6621" w:type="dxa"/>
          </w:tcPr>
          <w:p w14:paraId="699FC597" w14:textId="77777777" w:rsidR="005021D0" w:rsidRPr="00244CCE" w:rsidRDefault="005021D0" w:rsidP="00F73DD3">
            <w:pPr>
              <w:keepLines/>
              <w:tabs>
                <w:tab w:val="left" w:pos="2268"/>
                <w:tab w:val="left" w:pos="4536"/>
              </w:tabs>
              <w:spacing w:before="60" w:after="60"/>
              <w:jc w:val="center"/>
              <w:rPr>
                <w:sz w:val="16"/>
                <w:szCs w:val="18"/>
              </w:rPr>
            </w:pPr>
            <w:r w:rsidRPr="00244CCE">
              <w:rPr>
                <w:sz w:val="16"/>
                <w:szCs w:val="18"/>
              </w:rPr>
              <w:t>Full Case Title and Citation</w:t>
            </w:r>
          </w:p>
        </w:tc>
      </w:tr>
      <w:tr w:rsidR="005021D0" w:rsidRPr="00244CCE" w14:paraId="14487B97" w14:textId="77777777" w:rsidTr="00227B6D">
        <w:tc>
          <w:tcPr>
            <w:tcW w:w="2600" w:type="dxa"/>
          </w:tcPr>
          <w:p w14:paraId="1B1D456A" w14:textId="77777777" w:rsidR="005021D0" w:rsidRPr="00244CCE" w:rsidRDefault="005021D0" w:rsidP="00F73DD3">
            <w:pPr>
              <w:spacing w:before="60" w:after="60"/>
              <w:jc w:val="left"/>
              <w:rPr>
                <w:i/>
                <w:sz w:val="16"/>
                <w:szCs w:val="18"/>
              </w:rPr>
            </w:pPr>
            <w:r w:rsidRPr="00244CCE">
              <w:rPr>
                <w:i/>
                <w:sz w:val="16"/>
                <w:szCs w:val="18"/>
              </w:rPr>
              <w:t>Argentina – Import Measures</w:t>
            </w:r>
          </w:p>
        </w:tc>
        <w:tc>
          <w:tcPr>
            <w:tcW w:w="6621" w:type="dxa"/>
          </w:tcPr>
          <w:p w14:paraId="4CFCAB67" w14:textId="774BF27F"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Reports, </w:t>
            </w:r>
            <w:r w:rsidRPr="00244CCE">
              <w:rPr>
                <w:i/>
                <w:sz w:val="16"/>
                <w:szCs w:val="16"/>
              </w:rPr>
              <w:t>Argentina – Measures Affecting the Importation of Goods</w:t>
            </w:r>
            <w:r w:rsidRPr="00244CCE">
              <w:rPr>
                <w:sz w:val="16"/>
                <w:szCs w:val="16"/>
              </w:rPr>
              <w:t xml:space="preserve">, </w:t>
            </w:r>
            <w:r w:rsidR="002834B4" w:rsidRPr="00244CCE">
              <w:rPr>
                <w:sz w:val="16"/>
                <w:szCs w:val="16"/>
              </w:rPr>
              <w:t>WT/DS438/AB/R</w:t>
            </w:r>
            <w:r w:rsidRPr="00244CCE">
              <w:rPr>
                <w:sz w:val="16"/>
                <w:szCs w:val="16"/>
              </w:rPr>
              <w:t xml:space="preserve"> / </w:t>
            </w:r>
            <w:r w:rsidR="002834B4" w:rsidRPr="00244CCE">
              <w:rPr>
                <w:sz w:val="16"/>
                <w:szCs w:val="16"/>
              </w:rPr>
              <w:t>WT/DS444/AB/R</w:t>
            </w:r>
            <w:r w:rsidRPr="00244CCE">
              <w:rPr>
                <w:sz w:val="16"/>
                <w:szCs w:val="16"/>
              </w:rPr>
              <w:t xml:space="preserve"> / </w:t>
            </w:r>
            <w:r w:rsidR="002834B4" w:rsidRPr="00244CCE">
              <w:rPr>
                <w:sz w:val="16"/>
                <w:szCs w:val="16"/>
              </w:rPr>
              <w:t>WT/DS445/AB/R</w:t>
            </w:r>
            <w:r w:rsidRPr="00244CCE">
              <w:rPr>
                <w:sz w:val="16"/>
                <w:szCs w:val="16"/>
              </w:rPr>
              <w:t xml:space="preserve">, adopted 26 January 2015, DSR </w:t>
            </w:r>
            <w:proofErr w:type="gramStart"/>
            <w:r w:rsidRPr="00244CCE">
              <w:rPr>
                <w:sz w:val="16"/>
                <w:szCs w:val="16"/>
              </w:rPr>
              <w:t>2015:II</w:t>
            </w:r>
            <w:proofErr w:type="gramEnd"/>
            <w:r w:rsidRPr="00244CCE">
              <w:rPr>
                <w:sz w:val="16"/>
                <w:szCs w:val="16"/>
              </w:rPr>
              <w:t>, p. 579</w:t>
            </w:r>
          </w:p>
        </w:tc>
      </w:tr>
      <w:tr w:rsidR="00BB1AEA" w:rsidRPr="00244CCE" w14:paraId="4C911CD1"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1AE85555" w14:textId="56BB24B6" w:rsidR="00BB1AEA" w:rsidRPr="00244CCE" w:rsidRDefault="00BB1AEA" w:rsidP="00F73DD3">
            <w:pPr>
              <w:spacing w:before="60" w:after="60"/>
              <w:jc w:val="left"/>
              <w:rPr>
                <w:i/>
                <w:sz w:val="16"/>
                <w:szCs w:val="18"/>
              </w:rPr>
            </w:pPr>
            <w:r w:rsidRPr="00244CCE">
              <w:rPr>
                <w:i/>
                <w:sz w:val="16"/>
                <w:szCs w:val="18"/>
              </w:rPr>
              <w:t>Canada – Wheat Exports and Grain Imports</w:t>
            </w:r>
          </w:p>
        </w:tc>
        <w:tc>
          <w:tcPr>
            <w:tcW w:w="6621" w:type="dxa"/>
          </w:tcPr>
          <w:p w14:paraId="5E1E5433" w14:textId="24AAC9A1" w:rsidR="00BB1AEA" w:rsidRPr="00244CCE" w:rsidRDefault="002834B4" w:rsidP="00F73DD3">
            <w:pPr>
              <w:keepLines/>
              <w:tabs>
                <w:tab w:val="left" w:pos="2268"/>
                <w:tab w:val="left" w:pos="4536"/>
              </w:tabs>
              <w:spacing w:before="60" w:after="60"/>
              <w:jc w:val="left"/>
              <w:rPr>
                <w:sz w:val="16"/>
                <w:szCs w:val="16"/>
              </w:rPr>
            </w:pPr>
            <w:r w:rsidRPr="00244CCE">
              <w:rPr>
                <w:sz w:val="16"/>
                <w:szCs w:val="16"/>
              </w:rPr>
              <w:t>Appellate</w:t>
            </w:r>
            <w:r w:rsidR="00062DDD" w:rsidRPr="00244CCE">
              <w:rPr>
                <w:sz w:val="16"/>
                <w:szCs w:val="16"/>
              </w:rPr>
              <w:t> Body</w:t>
            </w:r>
            <w:r w:rsidRPr="00244CCE">
              <w:rPr>
                <w:sz w:val="16"/>
                <w:szCs w:val="16"/>
              </w:rPr>
              <w:t xml:space="preserve"> Report, </w:t>
            </w:r>
            <w:r w:rsidRPr="00244CCE">
              <w:rPr>
                <w:i/>
                <w:sz w:val="16"/>
                <w:szCs w:val="16"/>
              </w:rPr>
              <w:t>Canada – Measures Relating to Exports of Wheat and Treatment of Imported Grain</w:t>
            </w:r>
            <w:r w:rsidRPr="00244CCE">
              <w:rPr>
                <w:sz w:val="16"/>
                <w:szCs w:val="16"/>
              </w:rPr>
              <w:t>, WT/DS276/AB/R, adopted 27</w:t>
            </w:r>
            <w:r w:rsidR="00062DDD" w:rsidRPr="00244CCE">
              <w:rPr>
                <w:sz w:val="16"/>
                <w:szCs w:val="16"/>
              </w:rPr>
              <w:t> September 2004</w:t>
            </w:r>
            <w:r w:rsidRPr="00244CCE">
              <w:rPr>
                <w:sz w:val="16"/>
                <w:szCs w:val="16"/>
              </w:rPr>
              <w:t>, DSR 2004:VI, p.</w:t>
            </w:r>
            <w:r w:rsidR="00062DDD" w:rsidRPr="00244CCE">
              <w:rPr>
                <w:sz w:val="16"/>
                <w:szCs w:val="16"/>
              </w:rPr>
              <w:t> </w:t>
            </w:r>
            <w:r w:rsidRPr="00244CCE">
              <w:rPr>
                <w:sz w:val="16"/>
                <w:szCs w:val="16"/>
              </w:rPr>
              <w:t>2739</w:t>
            </w:r>
          </w:p>
        </w:tc>
      </w:tr>
      <w:tr w:rsidR="005021D0" w:rsidRPr="00244CCE" w14:paraId="2659A934" w14:textId="77777777" w:rsidTr="00227B6D">
        <w:tc>
          <w:tcPr>
            <w:tcW w:w="2600" w:type="dxa"/>
          </w:tcPr>
          <w:p w14:paraId="3BBA1C48" w14:textId="77777777" w:rsidR="005021D0" w:rsidRPr="00244CCE" w:rsidRDefault="005021D0" w:rsidP="00F73DD3">
            <w:pPr>
              <w:spacing w:before="60" w:after="60"/>
              <w:jc w:val="left"/>
              <w:rPr>
                <w:i/>
                <w:sz w:val="16"/>
                <w:szCs w:val="18"/>
              </w:rPr>
            </w:pPr>
            <w:r w:rsidRPr="00244CCE">
              <w:rPr>
                <w:i/>
                <w:sz w:val="16"/>
                <w:szCs w:val="18"/>
              </w:rPr>
              <w:t>EC – Bed Linen (Article 21.5 – India)</w:t>
            </w:r>
          </w:p>
        </w:tc>
        <w:tc>
          <w:tcPr>
            <w:tcW w:w="6621" w:type="dxa"/>
          </w:tcPr>
          <w:p w14:paraId="6DDBDA7C" w14:textId="5ED38CA9"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European</w:t>
            </w:r>
            <w:r w:rsidR="00062DDD" w:rsidRPr="00244CCE">
              <w:rPr>
                <w:i/>
                <w:sz w:val="16"/>
                <w:szCs w:val="16"/>
              </w:rPr>
              <w:t> Communities</w:t>
            </w:r>
            <w:r w:rsidRPr="00244CCE">
              <w:rPr>
                <w:i/>
                <w:sz w:val="16"/>
                <w:szCs w:val="16"/>
              </w:rPr>
              <w:t xml:space="preserve"> – Anti</w:t>
            </w:r>
            <w:r w:rsidR="007643D6" w:rsidRPr="00244CCE">
              <w:rPr>
                <w:i/>
                <w:sz w:val="16"/>
                <w:szCs w:val="16"/>
              </w:rPr>
              <w:noBreakHyphen/>
            </w:r>
            <w:r w:rsidRPr="00244CCE">
              <w:rPr>
                <w:i/>
                <w:sz w:val="16"/>
                <w:szCs w:val="16"/>
              </w:rPr>
              <w:t>Dumping Duties on Imports of Cotton</w:t>
            </w:r>
            <w:r w:rsidR="007643D6" w:rsidRPr="00244CCE">
              <w:rPr>
                <w:i/>
                <w:sz w:val="16"/>
                <w:szCs w:val="16"/>
              </w:rPr>
              <w:noBreakHyphen/>
            </w:r>
            <w:r w:rsidRPr="00244CCE">
              <w:rPr>
                <w:i/>
                <w:sz w:val="16"/>
                <w:szCs w:val="16"/>
              </w:rPr>
              <w:t>Type Bed Linen from India – Recourse to Article 21.5 of the DSU</w:t>
            </w:r>
            <w:r w:rsidRPr="00244CCE">
              <w:rPr>
                <w:sz w:val="16"/>
                <w:szCs w:val="16"/>
              </w:rPr>
              <w:t xml:space="preserve"> </w:t>
            </w:r>
            <w:r w:rsidRPr="00244CCE">
              <w:rPr>
                <w:i/>
                <w:sz w:val="16"/>
                <w:szCs w:val="16"/>
              </w:rPr>
              <w:t>by India</w:t>
            </w:r>
            <w:r w:rsidRPr="00244CCE">
              <w:rPr>
                <w:sz w:val="16"/>
                <w:szCs w:val="16"/>
              </w:rPr>
              <w:t xml:space="preserve">, </w:t>
            </w:r>
            <w:r w:rsidR="002834B4" w:rsidRPr="00244CCE">
              <w:rPr>
                <w:sz w:val="16"/>
                <w:szCs w:val="16"/>
              </w:rPr>
              <w:t>WT/DS141/AB/RW</w:t>
            </w:r>
            <w:r w:rsidRPr="00244CCE">
              <w:rPr>
                <w:sz w:val="16"/>
                <w:szCs w:val="16"/>
              </w:rPr>
              <w:t xml:space="preserve">, adopted 24 April 2003, DSR </w:t>
            </w:r>
            <w:proofErr w:type="gramStart"/>
            <w:r w:rsidRPr="00244CCE">
              <w:rPr>
                <w:sz w:val="16"/>
                <w:szCs w:val="16"/>
              </w:rPr>
              <w:t>2003:III</w:t>
            </w:r>
            <w:proofErr w:type="gramEnd"/>
            <w:r w:rsidRPr="00244CCE">
              <w:rPr>
                <w:sz w:val="16"/>
                <w:szCs w:val="16"/>
              </w:rPr>
              <w:t>, p. 965</w:t>
            </w:r>
          </w:p>
        </w:tc>
      </w:tr>
      <w:tr w:rsidR="005021D0" w:rsidRPr="00244CCE" w14:paraId="26070560"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3B71FF63" w14:textId="77777777" w:rsidR="005021D0" w:rsidRPr="00244CCE" w:rsidRDefault="005021D0" w:rsidP="00F73DD3">
            <w:pPr>
              <w:spacing w:before="60" w:after="60"/>
              <w:jc w:val="left"/>
              <w:rPr>
                <w:i/>
                <w:sz w:val="16"/>
                <w:szCs w:val="18"/>
              </w:rPr>
            </w:pPr>
            <w:r w:rsidRPr="00244CCE">
              <w:rPr>
                <w:i/>
                <w:sz w:val="16"/>
                <w:szCs w:val="18"/>
              </w:rPr>
              <w:t>EC – Countervailing Measures on DRAM Chips</w:t>
            </w:r>
          </w:p>
        </w:tc>
        <w:tc>
          <w:tcPr>
            <w:tcW w:w="6621" w:type="dxa"/>
          </w:tcPr>
          <w:p w14:paraId="1F5F4C83" w14:textId="6B4AB359"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Panel</w:t>
            </w:r>
            <w:r w:rsidR="00062DDD" w:rsidRPr="00244CCE">
              <w:rPr>
                <w:sz w:val="16"/>
                <w:szCs w:val="16"/>
              </w:rPr>
              <w:t> Report</w:t>
            </w:r>
            <w:r w:rsidRPr="00244CCE">
              <w:rPr>
                <w:sz w:val="16"/>
                <w:szCs w:val="16"/>
              </w:rPr>
              <w:t xml:space="preserve">, </w:t>
            </w:r>
            <w:r w:rsidRPr="00244CCE">
              <w:rPr>
                <w:i/>
                <w:sz w:val="16"/>
                <w:szCs w:val="16"/>
              </w:rPr>
              <w:t>European</w:t>
            </w:r>
            <w:r w:rsidR="00062DDD" w:rsidRPr="00244CCE">
              <w:rPr>
                <w:i/>
                <w:sz w:val="16"/>
                <w:szCs w:val="16"/>
              </w:rPr>
              <w:t> Communities</w:t>
            </w:r>
            <w:r w:rsidRPr="00244CCE">
              <w:rPr>
                <w:i/>
                <w:sz w:val="16"/>
                <w:szCs w:val="16"/>
              </w:rPr>
              <w:t xml:space="preserve"> – Countervailing Measures on Dynamic Random Access Memory Chips from Korea</w:t>
            </w:r>
            <w:r w:rsidRPr="00244CCE">
              <w:rPr>
                <w:sz w:val="16"/>
                <w:szCs w:val="16"/>
              </w:rPr>
              <w:t xml:space="preserve">, </w:t>
            </w:r>
            <w:r w:rsidR="002834B4" w:rsidRPr="00244CCE">
              <w:rPr>
                <w:sz w:val="16"/>
                <w:szCs w:val="16"/>
              </w:rPr>
              <w:t>WT/DS299/R</w:t>
            </w:r>
            <w:r w:rsidRPr="00244CCE">
              <w:rPr>
                <w:sz w:val="16"/>
                <w:szCs w:val="16"/>
              </w:rPr>
              <w:t xml:space="preserve">, adopted 3 August 2005, DSR </w:t>
            </w:r>
            <w:proofErr w:type="gramStart"/>
            <w:r w:rsidRPr="00244CCE">
              <w:rPr>
                <w:sz w:val="16"/>
                <w:szCs w:val="16"/>
              </w:rPr>
              <w:t>2005:XVIII</w:t>
            </w:r>
            <w:proofErr w:type="gramEnd"/>
            <w:r w:rsidRPr="00244CCE">
              <w:rPr>
                <w:sz w:val="16"/>
                <w:szCs w:val="16"/>
              </w:rPr>
              <w:t>, p. 8671</w:t>
            </w:r>
          </w:p>
        </w:tc>
      </w:tr>
      <w:tr w:rsidR="005021D0" w:rsidRPr="00244CCE" w14:paraId="7B711FE1" w14:textId="77777777" w:rsidTr="00227B6D">
        <w:tc>
          <w:tcPr>
            <w:tcW w:w="2600" w:type="dxa"/>
          </w:tcPr>
          <w:p w14:paraId="7665E7CC" w14:textId="77777777" w:rsidR="005021D0" w:rsidRPr="00244CCE" w:rsidRDefault="005021D0" w:rsidP="00F73DD3">
            <w:pPr>
              <w:spacing w:before="60" w:after="60"/>
              <w:jc w:val="left"/>
              <w:rPr>
                <w:i/>
                <w:sz w:val="16"/>
                <w:szCs w:val="18"/>
              </w:rPr>
            </w:pPr>
            <w:r w:rsidRPr="00244CCE">
              <w:rPr>
                <w:i/>
                <w:sz w:val="16"/>
                <w:szCs w:val="18"/>
              </w:rPr>
              <w:t>EC – Hormones</w:t>
            </w:r>
          </w:p>
        </w:tc>
        <w:tc>
          <w:tcPr>
            <w:tcW w:w="6621" w:type="dxa"/>
          </w:tcPr>
          <w:p w14:paraId="3E7A7897" w14:textId="1C3282F3" w:rsidR="005021D0" w:rsidRPr="00244CCE" w:rsidRDefault="005021D0" w:rsidP="00F73DD3">
            <w:pPr>
              <w:keepLines/>
              <w:tabs>
                <w:tab w:val="left" w:pos="2268"/>
                <w:tab w:val="left" w:pos="4536"/>
              </w:tabs>
              <w:spacing w:before="60" w:after="60"/>
              <w:jc w:val="left"/>
              <w:rPr>
                <w:sz w:val="16"/>
                <w:szCs w:val="16"/>
              </w:rPr>
            </w:pPr>
            <w:bookmarkStart w:id="5" w:name="_Hlk536785626"/>
            <w:r w:rsidRPr="00244CCE">
              <w:rPr>
                <w:sz w:val="16"/>
                <w:szCs w:val="16"/>
              </w:rPr>
              <w:t xml:space="preserve">Appellate Body Report, </w:t>
            </w:r>
            <w:r w:rsidRPr="00244CCE">
              <w:rPr>
                <w:i/>
                <w:sz w:val="16"/>
                <w:szCs w:val="16"/>
              </w:rPr>
              <w:t>European</w:t>
            </w:r>
            <w:r w:rsidR="00062DDD" w:rsidRPr="00244CCE">
              <w:rPr>
                <w:i/>
                <w:sz w:val="16"/>
                <w:szCs w:val="16"/>
              </w:rPr>
              <w:t> Communities</w:t>
            </w:r>
            <w:r w:rsidRPr="00244CCE">
              <w:rPr>
                <w:i/>
                <w:sz w:val="16"/>
                <w:szCs w:val="16"/>
              </w:rPr>
              <w:t xml:space="preserve"> – Measures Concerning Meat and Meat Products (Hormones)</w:t>
            </w:r>
            <w:r w:rsidRPr="00244CCE">
              <w:rPr>
                <w:sz w:val="16"/>
                <w:szCs w:val="16"/>
              </w:rPr>
              <w:t xml:space="preserve">, </w:t>
            </w:r>
            <w:r w:rsidR="002834B4" w:rsidRPr="00244CCE">
              <w:rPr>
                <w:sz w:val="16"/>
                <w:szCs w:val="16"/>
              </w:rPr>
              <w:t>WT/DS26/AB/R</w:t>
            </w:r>
            <w:r w:rsidRPr="00244CCE">
              <w:rPr>
                <w:sz w:val="16"/>
                <w:szCs w:val="16"/>
              </w:rPr>
              <w:t xml:space="preserve">, </w:t>
            </w:r>
            <w:r w:rsidR="002834B4" w:rsidRPr="00244CCE">
              <w:rPr>
                <w:sz w:val="16"/>
                <w:szCs w:val="16"/>
              </w:rPr>
              <w:t>WT/DS48/AB/R</w:t>
            </w:r>
            <w:r w:rsidRPr="00244CCE">
              <w:rPr>
                <w:sz w:val="16"/>
                <w:szCs w:val="16"/>
              </w:rPr>
              <w:t xml:space="preserve">, adopted 13 February 1998, DSR </w:t>
            </w:r>
            <w:proofErr w:type="gramStart"/>
            <w:r w:rsidRPr="00244CCE">
              <w:rPr>
                <w:sz w:val="16"/>
                <w:szCs w:val="16"/>
              </w:rPr>
              <w:t>1998:I</w:t>
            </w:r>
            <w:proofErr w:type="gramEnd"/>
            <w:r w:rsidRPr="00244CCE">
              <w:rPr>
                <w:sz w:val="16"/>
                <w:szCs w:val="16"/>
              </w:rPr>
              <w:t>, p. 135</w:t>
            </w:r>
            <w:bookmarkEnd w:id="5"/>
          </w:p>
        </w:tc>
      </w:tr>
      <w:tr w:rsidR="005021D0" w:rsidRPr="00244CCE" w14:paraId="1B308C82"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3DE0F193" w14:textId="77777777" w:rsidR="005021D0" w:rsidRPr="00244CCE" w:rsidRDefault="005021D0" w:rsidP="00F73DD3">
            <w:pPr>
              <w:spacing w:before="60" w:after="60"/>
              <w:jc w:val="left"/>
              <w:rPr>
                <w:i/>
                <w:iCs/>
                <w:sz w:val="16"/>
                <w:szCs w:val="18"/>
              </w:rPr>
            </w:pPr>
            <w:r w:rsidRPr="00244CCE">
              <w:rPr>
                <w:i/>
                <w:iCs/>
                <w:sz w:val="16"/>
                <w:szCs w:val="18"/>
              </w:rPr>
              <w:t>EC – Tube or Pipe Fittings</w:t>
            </w:r>
          </w:p>
        </w:tc>
        <w:tc>
          <w:tcPr>
            <w:tcW w:w="6621" w:type="dxa"/>
          </w:tcPr>
          <w:p w14:paraId="79A07189" w14:textId="73428C51"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European</w:t>
            </w:r>
            <w:r w:rsidR="00062DDD" w:rsidRPr="00244CCE">
              <w:rPr>
                <w:i/>
                <w:sz w:val="16"/>
                <w:szCs w:val="16"/>
              </w:rPr>
              <w:t> Communities</w:t>
            </w:r>
            <w:r w:rsidRPr="00244CCE">
              <w:rPr>
                <w:i/>
                <w:sz w:val="16"/>
                <w:szCs w:val="16"/>
              </w:rPr>
              <w:t xml:space="preserve"> – Anti</w:t>
            </w:r>
            <w:r w:rsidR="007643D6" w:rsidRPr="00244CCE">
              <w:rPr>
                <w:i/>
                <w:sz w:val="16"/>
                <w:szCs w:val="16"/>
              </w:rPr>
              <w:noBreakHyphen/>
            </w:r>
            <w:r w:rsidRPr="00244CCE">
              <w:rPr>
                <w:i/>
                <w:sz w:val="16"/>
                <w:szCs w:val="16"/>
              </w:rPr>
              <w:t>Dumping Duties on Malleable Cast Iron Tube or Pipe Fittings from Brazil</w:t>
            </w:r>
            <w:r w:rsidRPr="00244CCE">
              <w:rPr>
                <w:sz w:val="16"/>
                <w:szCs w:val="16"/>
              </w:rPr>
              <w:t xml:space="preserve">, </w:t>
            </w:r>
            <w:r w:rsidR="002834B4" w:rsidRPr="00244CCE">
              <w:rPr>
                <w:sz w:val="16"/>
                <w:szCs w:val="16"/>
              </w:rPr>
              <w:t>WT/DS219/AB/R</w:t>
            </w:r>
            <w:r w:rsidRPr="00244CCE">
              <w:rPr>
                <w:sz w:val="16"/>
                <w:szCs w:val="16"/>
              </w:rPr>
              <w:t>, adopted 18 August 2003, DSR 2003:VI, p. 2613</w:t>
            </w:r>
          </w:p>
        </w:tc>
      </w:tr>
      <w:tr w:rsidR="00F13F60" w:rsidRPr="00244CCE" w14:paraId="36D484D0" w14:textId="77777777" w:rsidTr="00227B6D">
        <w:tc>
          <w:tcPr>
            <w:tcW w:w="2600" w:type="dxa"/>
          </w:tcPr>
          <w:p w14:paraId="69C35E9A" w14:textId="77777777" w:rsidR="00F13F60" w:rsidRPr="00244CCE" w:rsidRDefault="00F13F60" w:rsidP="00F73DD3">
            <w:pPr>
              <w:spacing w:before="60" w:after="60"/>
              <w:jc w:val="left"/>
              <w:rPr>
                <w:i/>
                <w:sz w:val="16"/>
                <w:szCs w:val="18"/>
              </w:rPr>
            </w:pPr>
            <w:r w:rsidRPr="00244CCE">
              <w:rPr>
                <w:i/>
                <w:sz w:val="16"/>
                <w:szCs w:val="18"/>
              </w:rPr>
              <w:t>EC and certain member States – Large Civil Aircraft</w:t>
            </w:r>
          </w:p>
        </w:tc>
        <w:tc>
          <w:tcPr>
            <w:tcW w:w="6621" w:type="dxa"/>
          </w:tcPr>
          <w:p w14:paraId="07111EBA" w14:textId="18000580" w:rsidR="00F13F60" w:rsidRPr="00244CCE" w:rsidRDefault="00F13F6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iCs/>
                <w:sz w:val="16"/>
                <w:szCs w:val="16"/>
              </w:rPr>
              <w:t>European</w:t>
            </w:r>
            <w:r w:rsidR="00062DDD" w:rsidRPr="00244CCE">
              <w:rPr>
                <w:i/>
                <w:iCs/>
                <w:sz w:val="16"/>
                <w:szCs w:val="16"/>
              </w:rPr>
              <w:t> Communities</w:t>
            </w:r>
            <w:r w:rsidRPr="00244CCE">
              <w:rPr>
                <w:i/>
                <w:iCs/>
                <w:sz w:val="16"/>
                <w:szCs w:val="16"/>
              </w:rPr>
              <w:t xml:space="preserve"> and Certain Member States – Measures Affecting Trade in Large Civil Aircraft</w:t>
            </w:r>
            <w:r w:rsidRPr="00244CCE">
              <w:rPr>
                <w:sz w:val="16"/>
                <w:szCs w:val="16"/>
              </w:rPr>
              <w:t xml:space="preserve">, </w:t>
            </w:r>
            <w:r w:rsidR="002834B4" w:rsidRPr="00244CCE">
              <w:rPr>
                <w:sz w:val="16"/>
                <w:szCs w:val="16"/>
              </w:rPr>
              <w:t>WT/DS316/AB/R</w:t>
            </w:r>
            <w:r w:rsidRPr="00244CCE">
              <w:rPr>
                <w:sz w:val="16"/>
                <w:szCs w:val="16"/>
              </w:rPr>
              <w:t xml:space="preserve">, adopted 1 June 2011, DSR </w:t>
            </w:r>
            <w:proofErr w:type="gramStart"/>
            <w:r w:rsidRPr="00244CCE">
              <w:rPr>
                <w:sz w:val="16"/>
                <w:szCs w:val="16"/>
              </w:rPr>
              <w:t>2011:I</w:t>
            </w:r>
            <w:proofErr w:type="gramEnd"/>
            <w:r w:rsidRPr="00244CCE">
              <w:rPr>
                <w:sz w:val="16"/>
                <w:szCs w:val="16"/>
              </w:rPr>
              <w:t>, p. 7</w:t>
            </w:r>
          </w:p>
        </w:tc>
      </w:tr>
      <w:tr w:rsidR="005021D0" w:rsidRPr="00244CCE" w14:paraId="2F9B1955"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308B14E5" w14:textId="77777777" w:rsidR="005021D0" w:rsidRPr="00244CCE" w:rsidRDefault="005021D0" w:rsidP="00F73DD3">
            <w:pPr>
              <w:spacing w:before="60" w:after="60"/>
              <w:jc w:val="left"/>
              <w:rPr>
                <w:i/>
                <w:sz w:val="16"/>
                <w:szCs w:val="18"/>
              </w:rPr>
            </w:pPr>
            <w:r w:rsidRPr="00244CCE">
              <w:rPr>
                <w:i/>
                <w:iCs/>
                <w:sz w:val="16"/>
                <w:szCs w:val="18"/>
              </w:rPr>
              <w:t>Egypt – Steel Rebar</w:t>
            </w:r>
          </w:p>
        </w:tc>
        <w:tc>
          <w:tcPr>
            <w:tcW w:w="6621" w:type="dxa"/>
          </w:tcPr>
          <w:p w14:paraId="62AD5B79" w14:textId="6602D87C"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Panel</w:t>
            </w:r>
            <w:r w:rsidR="00062DDD" w:rsidRPr="00244CCE">
              <w:rPr>
                <w:sz w:val="16"/>
                <w:szCs w:val="16"/>
              </w:rPr>
              <w:t> Report</w:t>
            </w:r>
            <w:r w:rsidRPr="00244CCE">
              <w:rPr>
                <w:sz w:val="16"/>
                <w:szCs w:val="16"/>
              </w:rPr>
              <w:t xml:space="preserve">, </w:t>
            </w:r>
            <w:r w:rsidRPr="00244CCE">
              <w:rPr>
                <w:i/>
                <w:sz w:val="16"/>
                <w:szCs w:val="16"/>
              </w:rPr>
              <w:t>Egypt – Definitive Anti</w:t>
            </w:r>
            <w:r w:rsidR="007643D6" w:rsidRPr="00244CCE">
              <w:rPr>
                <w:i/>
                <w:sz w:val="16"/>
                <w:szCs w:val="16"/>
              </w:rPr>
              <w:noBreakHyphen/>
            </w:r>
            <w:r w:rsidRPr="00244CCE">
              <w:rPr>
                <w:i/>
                <w:sz w:val="16"/>
                <w:szCs w:val="16"/>
              </w:rPr>
              <w:t>Dumping Measures on Steel Rebar from Turkey</w:t>
            </w:r>
            <w:r w:rsidRPr="00244CCE">
              <w:rPr>
                <w:sz w:val="16"/>
                <w:szCs w:val="16"/>
              </w:rPr>
              <w:t xml:space="preserve">, </w:t>
            </w:r>
            <w:r w:rsidR="002834B4" w:rsidRPr="00244CCE">
              <w:rPr>
                <w:sz w:val="16"/>
                <w:szCs w:val="16"/>
              </w:rPr>
              <w:t>WT/DS211/R</w:t>
            </w:r>
            <w:r w:rsidRPr="00244CCE">
              <w:rPr>
                <w:sz w:val="16"/>
                <w:szCs w:val="16"/>
              </w:rPr>
              <w:t xml:space="preserve">, adopted 1 October 2002, DSR </w:t>
            </w:r>
            <w:proofErr w:type="gramStart"/>
            <w:r w:rsidRPr="00244CCE">
              <w:rPr>
                <w:sz w:val="16"/>
                <w:szCs w:val="16"/>
              </w:rPr>
              <w:t>2002:VII</w:t>
            </w:r>
            <w:proofErr w:type="gramEnd"/>
            <w:r w:rsidRPr="00244CCE">
              <w:rPr>
                <w:sz w:val="16"/>
                <w:szCs w:val="16"/>
              </w:rPr>
              <w:t>, p. 2667</w:t>
            </w:r>
          </w:p>
        </w:tc>
      </w:tr>
      <w:tr w:rsidR="005021D0" w:rsidRPr="00244CCE" w14:paraId="5A9C98FF" w14:textId="77777777" w:rsidTr="00227B6D">
        <w:tc>
          <w:tcPr>
            <w:tcW w:w="2600" w:type="dxa"/>
          </w:tcPr>
          <w:p w14:paraId="6C27ACB1" w14:textId="77777777" w:rsidR="005021D0" w:rsidRPr="00244CCE" w:rsidRDefault="005021D0" w:rsidP="00F73DD3">
            <w:pPr>
              <w:spacing w:before="60" w:after="60"/>
              <w:jc w:val="left"/>
              <w:rPr>
                <w:i/>
                <w:sz w:val="16"/>
                <w:szCs w:val="18"/>
              </w:rPr>
            </w:pPr>
            <w:r w:rsidRPr="00244CCE">
              <w:rPr>
                <w:i/>
                <w:sz w:val="16"/>
                <w:szCs w:val="18"/>
              </w:rPr>
              <w:t>Guatemala – Cement I</w:t>
            </w:r>
          </w:p>
        </w:tc>
        <w:tc>
          <w:tcPr>
            <w:tcW w:w="6621" w:type="dxa"/>
          </w:tcPr>
          <w:p w14:paraId="4918E1D6" w14:textId="74054713"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Guatemala – Anti</w:t>
            </w:r>
            <w:r w:rsidR="007643D6" w:rsidRPr="00244CCE">
              <w:rPr>
                <w:i/>
                <w:sz w:val="16"/>
                <w:szCs w:val="16"/>
              </w:rPr>
              <w:noBreakHyphen/>
            </w:r>
            <w:r w:rsidRPr="00244CCE">
              <w:rPr>
                <w:i/>
                <w:sz w:val="16"/>
                <w:szCs w:val="16"/>
              </w:rPr>
              <w:t>Dumping Investigation Regarding Portland Cement from Mexico</w:t>
            </w:r>
            <w:r w:rsidRPr="00244CCE">
              <w:rPr>
                <w:sz w:val="16"/>
                <w:szCs w:val="16"/>
              </w:rPr>
              <w:t xml:space="preserve">, </w:t>
            </w:r>
            <w:r w:rsidR="002834B4" w:rsidRPr="00244CCE">
              <w:rPr>
                <w:sz w:val="16"/>
                <w:szCs w:val="16"/>
              </w:rPr>
              <w:t>WT/DS60/AB/R</w:t>
            </w:r>
            <w:r w:rsidRPr="00244CCE">
              <w:rPr>
                <w:sz w:val="16"/>
                <w:szCs w:val="16"/>
              </w:rPr>
              <w:t xml:space="preserve">, adopted 25 November 1998, DSR </w:t>
            </w:r>
            <w:proofErr w:type="gramStart"/>
            <w:r w:rsidRPr="00244CCE">
              <w:rPr>
                <w:sz w:val="16"/>
                <w:szCs w:val="16"/>
              </w:rPr>
              <w:t>1998:IX</w:t>
            </w:r>
            <w:proofErr w:type="gramEnd"/>
            <w:r w:rsidRPr="00244CCE">
              <w:rPr>
                <w:sz w:val="16"/>
                <w:szCs w:val="16"/>
              </w:rPr>
              <w:t>, p. 3767</w:t>
            </w:r>
          </w:p>
        </w:tc>
      </w:tr>
      <w:tr w:rsidR="005021D0" w:rsidRPr="00244CCE" w14:paraId="3FBEC456"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44A648B3" w14:textId="3CEF5BB7" w:rsidR="005021D0" w:rsidRPr="00244CCE" w:rsidRDefault="005021D0" w:rsidP="00F73DD3">
            <w:pPr>
              <w:spacing w:before="60" w:after="60"/>
              <w:jc w:val="left"/>
              <w:rPr>
                <w:i/>
                <w:sz w:val="16"/>
                <w:szCs w:val="18"/>
              </w:rPr>
            </w:pPr>
            <w:r w:rsidRPr="00244CCE">
              <w:rPr>
                <w:i/>
                <w:sz w:val="16"/>
                <w:szCs w:val="18"/>
              </w:rPr>
              <w:t>Mexico – Anti</w:t>
            </w:r>
            <w:r w:rsidR="007643D6" w:rsidRPr="00244CCE">
              <w:rPr>
                <w:i/>
                <w:sz w:val="16"/>
                <w:szCs w:val="18"/>
              </w:rPr>
              <w:noBreakHyphen/>
            </w:r>
            <w:r w:rsidRPr="00244CCE">
              <w:rPr>
                <w:i/>
                <w:sz w:val="16"/>
                <w:szCs w:val="18"/>
              </w:rPr>
              <w:t>Dumping Measures on Rice</w:t>
            </w:r>
          </w:p>
        </w:tc>
        <w:tc>
          <w:tcPr>
            <w:tcW w:w="6621" w:type="dxa"/>
          </w:tcPr>
          <w:p w14:paraId="3A3FE19B" w14:textId="6752CFEA"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Mexico – Definitive Anti</w:t>
            </w:r>
            <w:r w:rsidR="007643D6" w:rsidRPr="00244CCE">
              <w:rPr>
                <w:i/>
                <w:sz w:val="16"/>
                <w:szCs w:val="16"/>
              </w:rPr>
              <w:noBreakHyphen/>
            </w:r>
            <w:r w:rsidRPr="00244CCE">
              <w:rPr>
                <w:i/>
                <w:sz w:val="16"/>
                <w:szCs w:val="16"/>
              </w:rPr>
              <w:t>Dumping Measures on Beef and Rice, Complaint with Respect to Rice</w:t>
            </w:r>
            <w:r w:rsidRPr="00244CCE">
              <w:rPr>
                <w:sz w:val="16"/>
                <w:szCs w:val="16"/>
              </w:rPr>
              <w:t xml:space="preserve">, </w:t>
            </w:r>
            <w:r w:rsidR="002834B4" w:rsidRPr="00244CCE">
              <w:rPr>
                <w:sz w:val="16"/>
                <w:szCs w:val="16"/>
              </w:rPr>
              <w:t>WT/DS295/AB/R</w:t>
            </w:r>
            <w:r w:rsidRPr="00244CCE">
              <w:rPr>
                <w:sz w:val="16"/>
                <w:szCs w:val="16"/>
              </w:rPr>
              <w:t xml:space="preserve">, adopted 20 December 2005, DSR </w:t>
            </w:r>
            <w:proofErr w:type="gramStart"/>
            <w:r w:rsidRPr="00244CCE">
              <w:rPr>
                <w:sz w:val="16"/>
                <w:szCs w:val="16"/>
              </w:rPr>
              <w:t>2005:XXII</w:t>
            </w:r>
            <w:proofErr w:type="gramEnd"/>
            <w:r w:rsidRPr="00244CCE">
              <w:rPr>
                <w:sz w:val="16"/>
                <w:szCs w:val="16"/>
              </w:rPr>
              <w:t>, p. 10853</w:t>
            </w:r>
          </w:p>
        </w:tc>
      </w:tr>
      <w:tr w:rsidR="005021D0" w:rsidRPr="00244CCE" w14:paraId="1EA56EAC" w14:textId="77777777" w:rsidTr="00227B6D">
        <w:tc>
          <w:tcPr>
            <w:tcW w:w="2600" w:type="dxa"/>
          </w:tcPr>
          <w:p w14:paraId="147EE698" w14:textId="77777777" w:rsidR="005021D0" w:rsidRPr="00244CCE" w:rsidRDefault="005021D0" w:rsidP="00F73DD3">
            <w:pPr>
              <w:spacing w:before="60" w:after="60"/>
              <w:jc w:val="left"/>
              <w:rPr>
                <w:i/>
                <w:sz w:val="16"/>
                <w:szCs w:val="18"/>
              </w:rPr>
            </w:pPr>
            <w:r w:rsidRPr="00244CCE">
              <w:rPr>
                <w:i/>
                <w:sz w:val="16"/>
                <w:szCs w:val="18"/>
              </w:rPr>
              <w:t>Mexico – Corn Syrup (Article 21.5 – US)</w:t>
            </w:r>
          </w:p>
        </w:tc>
        <w:tc>
          <w:tcPr>
            <w:tcW w:w="6621" w:type="dxa"/>
          </w:tcPr>
          <w:p w14:paraId="63611668" w14:textId="4F6D59DF"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Mexico – Anti</w:t>
            </w:r>
            <w:r w:rsidR="007643D6" w:rsidRPr="00244CCE">
              <w:rPr>
                <w:i/>
                <w:sz w:val="16"/>
                <w:szCs w:val="16"/>
              </w:rPr>
              <w:noBreakHyphen/>
            </w:r>
            <w:r w:rsidRPr="00244CCE">
              <w:rPr>
                <w:i/>
                <w:sz w:val="16"/>
                <w:szCs w:val="16"/>
              </w:rPr>
              <w:t>Dumping Investigation of High Fructose Corn Syrup (HFCS) from the United States – Recourse to Article 21.5 of the DSU</w:t>
            </w:r>
            <w:r w:rsidRPr="00244CCE">
              <w:rPr>
                <w:sz w:val="16"/>
                <w:szCs w:val="16"/>
              </w:rPr>
              <w:t xml:space="preserve"> </w:t>
            </w:r>
            <w:r w:rsidRPr="00244CCE">
              <w:rPr>
                <w:i/>
                <w:sz w:val="16"/>
                <w:szCs w:val="16"/>
              </w:rPr>
              <w:t>by the United States</w:t>
            </w:r>
            <w:r w:rsidRPr="00244CCE">
              <w:rPr>
                <w:sz w:val="16"/>
                <w:szCs w:val="16"/>
              </w:rPr>
              <w:t xml:space="preserve">, </w:t>
            </w:r>
            <w:r w:rsidR="002834B4" w:rsidRPr="00244CCE">
              <w:rPr>
                <w:sz w:val="16"/>
                <w:szCs w:val="16"/>
              </w:rPr>
              <w:t>WT/DS132/AB/RW</w:t>
            </w:r>
            <w:r w:rsidRPr="00244CCE">
              <w:rPr>
                <w:sz w:val="16"/>
                <w:szCs w:val="16"/>
              </w:rPr>
              <w:t xml:space="preserve">, adopted 21 November 2001, DSR </w:t>
            </w:r>
            <w:proofErr w:type="gramStart"/>
            <w:r w:rsidRPr="00244CCE">
              <w:rPr>
                <w:sz w:val="16"/>
                <w:szCs w:val="16"/>
              </w:rPr>
              <w:t>2001:XIII</w:t>
            </w:r>
            <w:proofErr w:type="gramEnd"/>
            <w:r w:rsidRPr="00244CCE">
              <w:rPr>
                <w:sz w:val="16"/>
                <w:szCs w:val="16"/>
              </w:rPr>
              <w:t>, p. 6675</w:t>
            </w:r>
          </w:p>
        </w:tc>
      </w:tr>
      <w:tr w:rsidR="005021D0" w:rsidRPr="00244CCE" w14:paraId="2945FA8C"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4B937C9F" w14:textId="561763B7" w:rsidR="005021D0" w:rsidRPr="00244CCE" w:rsidRDefault="005021D0" w:rsidP="00F73DD3">
            <w:pPr>
              <w:spacing w:before="60" w:after="60"/>
              <w:jc w:val="left"/>
              <w:rPr>
                <w:i/>
                <w:sz w:val="16"/>
                <w:szCs w:val="18"/>
              </w:rPr>
            </w:pPr>
            <w:r w:rsidRPr="00244CCE">
              <w:rPr>
                <w:i/>
                <w:sz w:val="16"/>
                <w:szCs w:val="18"/>
              </w:rPr>
              <w:t>US – Anti</w:t>
            </w:r>
            <w:r w:rsidR="007643D6" w:rsidRPr="00244CCE">
              <w:rPr>
                <w:i/>
                <w:sz w:val="16"/>
                <w:szCs w:val="18"/>
              </w:rPr>
              <w:noBreakHyphen/>
            </w:r>
            <w:r w:rsidRPr="00244CCE">
              <w:rPr>
                <w:i/>
                <w:sz w:val="16"/>
                <w:szCs w:val="18"/>
              </w:rPr>
              <w:t>Dumping Methodologies (China)</w:t>
            </w:r>
          </w:p>
        </w:tc>
        <w:tc>
          <w:tcPr>
            <w:tcW w:w="6621" w:type="dxa"/>
          </w:tcPr>
          <w:p w14:paraId="7420CC2E" w14:textId="2B7E50E1"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United States – Certain Methodologies and Their Application to Anti</w:t>
            </w:r>
            <w:r w:rsidR="007643D6" w:rsidRPr="00244CCE">
              <w:rPr>
                <w:i/>
                <w:sz w:val="16"/>
                <w:szCs w:val="16"/>
              </w:rPr>
              <w:noBreakHyphen/>
            </w:r>
            <w:r w:rsidRPr="00244CCE">
              <w:rPr>
                <w:i/>
                <w:sz w:val="16"/>
                <w:szCs w:val="16"/>
              </w:rPr>
              <w:t>Dumping Proceedings Involving China</w:t>
            </w:r>
            <w:r w:rsidRPr="00244CCE">
              <w:rPr>
                <w:sz w:val="16"/>
                <w:szCs w:val="16"/>
              </w:rPr>
              <w:t xml:space="preserve">, </w:t>
            </w:r>
            <w:r w:rsidR="002834B4" w:rsidRPr="00244CCE">
              <w:rPr>
                <w:sz w:val="16"/>
                <w:szCs w:val="16"/>
              </w:rPr>
              <w:t>WT/DS471/AB/R</w:t>
            </w:r>
            <w:r w:rsidRPr="00244CCE">
              <w:rPr>
                <w:sz w:val="16"/>
                <w:szCs w:val="16"/>
              </w:rPr>
              <w:t xml:space="preserve"> and Add.1, adopted 22 May 2017, DSR </w:t>
            </w:r>
            <w:proofErr w:type="gramStart"/>
            <w:r w:rsidRPr="00244CCE">
              <w:rPr>
                <w:sz w:val="16"/>
                <w:szCs w:val="16"/>
              </w:rPr>
              <w:t>2017:III</w:t>
            </w:r>
            <w:proofErr w:type="gramEnd"/>
            <w:r w:rsidRPr="00244CCE">
              <w:rPr>
                <w:sz w:val="16"/>
                <w:szCs w:val="16"/>
              </w:rPr>
              <w:t>, p. 1423</w:t>
            </w:r>
          </w:p>
        </w:tc>
      </w:tr>
      <w:tr w:rsidR="005021D0" w:rsidRPr="00244CCE" w14:paraId="525642DE" w14:textId="77777777" w:rsidTr="00227B6D">
        <w:tc>
          <w:tcPr>
            <w:tcW w:w="2600" w:type="dxa"/>
          </w:tcPr>
          <w:p w14:paraId="7CA98DD2" w14:textId="77777777" w:rsidR="005021D0" w:rsidRPr="00244CCE" w:rsidRDefault="005021D0" w:rsidP="00F73DD3">
            <w:pPr>
              <w:spacing w:before="60" w:after="60"/>
              <w:jc w:val="left"/>
              <w:rPr>
                <w:i/>
                <w:sz w:val="16"/>
                <w:szCs w:val="18"/>
              </w:rPr>
            </w:pPr>
            <w:r w:rsidRPr="00244CCE">
              <w:rPr>
                <w:i/>
                <w:sz w:val="16"/>
                <w:szCs w:val="18"/>
              </w:rPr>
              <w:t>US – Carbon Steel</w:t>
            </w:r>
          </w:p>
        </w:tc>
        <w:tc>
          <w:tcPr>
            <w:tcW w:w="6621" w:type="dxa"/>
          </w:tcPr>
          <w:p w14:paraId="0FB29DA3" w14:textId="77CB6ABC"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United States – Countervailing Duties on Certain Corrosion</w:t>
            </w:r>
            <w:r w:rsidR="007643D6" w:rsidRPr="00244CCE">
              <w:rPr>
                <w:i/>
                <w:sz w:val="16"/>
                <w:szCs w:val="16"/>
              </w:rPr>
              <w:noBreakHyphen/>
            </w:r>
            <w:r w:rsidRPr="00244CCE">
              <w:rPr>
                <w:i/>
                <w:sz w:val="16"/>
                <w:szCs w:val="16"/>
              </w:rPr>
              <w:t>Resistant Carbon Steel Flat Products from Germany</w:t>
            </w:r>
            <w:r w:rsidRPr="00244CCE">
              <w:rPr>
                <w:sz w:val="16"/>
                <w:szCs w:val="16"/>
              </w:rPr>
              <w:t xml:space="preserve">, </w:t>
            </w:r>
            <w:r w:rsidR="002834B4" w:rsidRPr="00244CCE">
              <w:rPr>
                <w:sz w:val="16"/>
                <w:szCs w:val="16"/>
              </w:rPr>
              <w:t>WT/DS213/AB/R</w:t>
            </w:r>
            <w:r w:rsidRPr="00244CCE">
              <w:rPr>
                <w:sz w:val="16"/>
                <w:szCs w:val="16"/>
              </w:rPr>
              <w:t xml:space="preserve"> and Corr.1, adopted 19 December 2002, DSR </w:t>
            </w:r>
            <w:proofErr w:type="gramStart"/>
            <w:r w:rsidRPr="00244CCE">
              <w:rPr>
                <w:sz w:val="16"/>
                <w:szCs w:val="16"/>
              </w:rPr>
              <w:t>2002:IX</w:t>
            </w:r>
            <w:proofErr w:type="gramEnd"/>
            <w:r w:rsidRPr="00244CCE">
              <w:rPr>
                <w:sz w:val="16"/>
                <w:szCs w:val="16"/>
              </w:rPr>
              <w:t>, p. 3779</w:t>
            </w:r>
          </w:p>
        </w:tc>
      </w:tr>
      <w:tr w:rsidR="005021D0" w:rsidRPr="00244CCE" w14:paraId="3F7A9830"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52501185" w14:textId="77777777" w:rsidR="005021D0" w:rsidRPr="00244CCE" w:rsidRDefault="005021D0" w:rsidP="00F73DD3">
            <w:pPr>
              <w:spacing w:before="60" w:after="60"/>
              <w:jc w:val="left"/>
              <w:rPr>
                <w:i/>
                <w:sz w:val="16"/>
                <w:szCs w:val="18"/>
              </w:rPr>
            </w:pPr>
            <w:r w:rsidRPr="00244CCE">
              <w:rPr>
                <w:i/>
                <w:sz w:val="16"/>
                <w:szCs w:val="18"/>
              </w:rPr>
              <w:t>US – Carbon Steel (India)</w:t>
            </w:r>
          </w:p>
        </w:tc>
        <w:tc>
          <w:tcPr>
            <w:tcW w:w="6621" w:type="dxa"/>
          </w:tcPr>
          <w:p w14:paraId="64BCF11B" w14:textId="6464DAF9"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United States – Countervailing Measures on Certain Hot</w:t>
            </w:r>
            <w:r w:rsidR="007643D6" w:rsidRPr="00244CCE">
              <w:rPr>
                <w:i/>
                <w:sz w:val="16"/>
                <w:szCs w:val="16"/>
              </w:rPr>
              <w:noBreakHyphen/>
            </w:r>
            <w:r w:rsidRPr="00244CCE">
              <w:rPr>
                <w:i/>
                <w:sz w:val="16"/>
                <w:szCs w:val="16"/>
              </w:rPr>
              <w:t>Rolled Carbon Steel Flat Products from India</w:t>
            </w:r>
            <w:r w:rsidRPr="00244CCE">
              <w:rPr>
                <w:sz w:val="16"/>
                <w:szCs w:val="16"/>
              </w:rPr>
              <w:t xml:space="preserve">, </w:t>
            </w:r>
            <w:r w:rsidR="002834B4" w:rsidRPr="00244CCE">
              <w:rPr>
                <w:sz w:val="16"/>
                <w:szCs w:val="16"/>
              </w:rPr>
              <w:t>WT/DS436/AB/R</w:t>
            </w:r>
            <w:r w:rsidRPr="00244CCE">
              <w:rPr>
                <w:sz w:val="16"/>
                <w:szCs w:val="16"/>
              </w:rPr>
              <w:t xml:space="preserve">, adopted 19 December 2014, DSR </w:t>
            </w:r>
            <w:proofErr w:type="gramStart"/>
            <w:r w:rsidRPr="00244CCE">
              <w:rPr>
                <w:sz w:val="16"/>
                <w:szCs w:val="16"/>
              </w:rPr>
              <w:t>2014:V</w:t>
            </w:r>
            <w:proofErr w:type="gramEnd"/>
            <w:r w:rsidRPr="00244CCE">
              <w:rPr>
                <w:sz w:val="16"/>
                <w:szCs w:val="16"/>
              </w:rPr>
              <w:t>, p. 1727</w:t>
            </w:r>
          </w:p>
        </w:tc>
      </w:tr>
      <w:tr w:rsidR="005021D0" w:rsidRPr="00244CCE" w14:paraId="784E1E6D" w14:textId="77777777" w:rsidTr="00227B6D">
        <w:tc>
          <w:tcPr>
            <w:tcW w:w="2600" w:type="dxa"/>
          </w:tcPr>
          <w:p w14:paraId="5D2D3B2F" w14:textId="77777777" w:rsidR="005021D0" w:rsidRPr="00244CCE" w:rsidRDefault="005021D0" w:rsidP="00F73DD3">
            <w:pPr>
              <w:spacing w:before="60" w:after="60"/>
              <w:jc w:val="left"/>
              <w:rPr>
                <w:i/>
                <w:sz w:val="16"/>
                <w:szCs w:val="18"/>
              </w:rPr>
            </w:pPr>
            <w:r w:rsidRPr="00244CCE">
              <w:rPr>
                <w:i/>
                <w:sz w:val="16"/>
                <w:szCs w:val="18"/>
              </w:rPr>
              <w:t>US – Continued Zeroing</w:t>
            </w:r>
          </w:p>
        </w:tc>
        <w:tc>
          <w:tcPr>
            <w:tcW w:w="6621" w:type="dxa"/>
          </w:tcPr>
          <w:p w14:paraId="2B445A6F" w14:textId="1E909814"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United States – Continued Existence and Application of Zeroing Methodology</w:t>
            </w:r>
            <w:r w:rsidRPr="00244CCE">
              <w:rPr>
                <w:sz w:val="16"/>
                <w:szCs w:val="16"/>
              </w:rPr>
              <w:t xml:space="preserve">, </w:t>
            </w:r>
            <w:r w:rsidR="002834B4" w:rsidRPr="00244CCE">
              <w:rPr>
                <w:sz w:val="16"/>
                <w:szCs w:val="16"/>
              </w:rPr>
              <w:t>WT/DS350/AB/R</w:t>
            </w:r>
            <w:r w:rsidRPr="00244CCE">
              <w:rPr>
                <w:sz w:val="16"/>
                <w:szCs w:val="16"/>
              </w:rPr>
              <w:t>, adopted 19 February 2009, DSR </w:t>
            </w:r>
            <w:proofErr w:type="gramStart"/>
            <w:r w:rsidRPr="00244CCE">
              <w:rPr>
                <w:sz w:val="16"/>
                <w:szCs w:val="16"/>
              </w:rPr>
              <w:t>2009:III</w:t>
            </w:r>
            <w:proofErr w:type="gramEnd"/>
            <w:r w:rsidRPr="00244CCE">
              <w:rPr>
                <w:sz w:val="16"/>
                <w:szCs w:val="16"/>
              </w:rPr>
              <w:t>, p. 1291</w:t>
            </w:r>
          </w:p>
        </w:tc>
      </w:tr>
      <w:tr w:rsidR="005021D0" w:rsidRPr="00244CCE" w14:paraId="13C927D8"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67F22E16" w14:textId="60941467" w:rsidR="005021D0" w:rsidRPr="00244CCE" w:rsidRDefault="005021D0" w:rsidP="00F73DD3">
            <w:pPr>
              <w:spacing w:before="60" w:after="60"/>
              <w:jc w:val="left"/>
              <w:rPr>
                <w:i/>
                <w:sz w:val="16"/>
                <w:szCs w:val="18"/>
              </w:rPr>
            </w:pPr>
            <w:r w:rsidRPr="00244CCE">
              <w:rPr>
                <w:i/>
                <w:sz w:val="16"/>
                <w:szCs w:val="18"/>
              </w:rPr>
              <w:t>US – Corrosion</w:t>
            </w:r>
            <w:r w:rsidR="007643D6" w:rsidRPr="00244CCE">
              <w:rPr>
                <w:i/>
                <w:sz w:val="16"/>
                <w:szCs w:val="18"/>
              </w:rPr>
              <w:noBreakHyphen/>
            </w:r>
            <w:r w:rsidRPr="00244CCE">
              <w:rPr>
                <w:i/>
                <w:sz w:val="16"/>
                <w:szCs w:val="18"/>
              </w:rPr>
              <w:t>Resistant Steel Sunset Review</w:t>
            </w:r>
          </w:p>
        </w:tc>
        <w:tc>
          <w:tcPr>
            <w:tcW w:w="6621" w:type="dxa"/>
          </w:tcPr>
          <w:p w14:paraId="50DEF0CF" w14:textId="111AE7E7"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United States – Sunset Review of Anti</w:t>
            </w:r>
            <w:r w:rsidR="007643D6" w:rsidRPr="00244CCE">
              <w:rPr>
                <w:i/>
                <w:sz w:val="16"/>
                <w:szCs w:val="16"/>
              </w:rPr>
              <w:noBreakHyphen/>
            </w:r>
            <w:r w:rsidRPr="00244CCE">
              <w:rPr>
                <w:i/>
                <w:sz w:val="16"/>
                <w:szCs w:val="16"/>
              </w:rPr>
              <w:t>Dumping Duties on Corrosion</w:t>
            </w:r>
            <w:r w:rsidR="007643D6" w:rsidRPr="00244CCE">
              <w:rPr>
                <w:i/>
                <w:sz w:val="16"/>
                <w:szCs w:val="16"/>
              </w:rPr>
              <w:noBreakHyphen/>
            </w:r>
            <w:r w:rsidRPr="00244CCE">
              <w:rPr>
                <w:i/>
                <w:sz w:val="16"/>
                <w:szCs w:val="16"/>
              </w:rPr>
              <w:t>Resistant Carbon Steel Flat Products from Japan</w:t>
            </w:r>
            <w:r w:rsidRPr="00244CCE">
              <w:rPr>
                <w:sz w:val="16"/>
                <w:szCs w:val="16"/>
              </w:rPr>
              <w:t xml:space="preserve">, </w:t>
            </w:r>
            <w:r w:rsidR="002834B4" w:rsidRPr="00244CCE">
              <w:rPr>
                <w:sz w:val="16"/>
                <w:szCs w:val="16"/>
              </w:rPr>
              <w:t>WT/DS244/AB/R</w:t>
            </w:r>
            <w:r w:rsidRPr="00244CCE">
              <w:rPr>
                <w:sz w:val="16"/>
                <w:szCs w:val="16"/>
              </w:rPr>
              <w:t xml:space="preserve">, adopted 9 January 2004, DSR </w:t>
            </w:r>
            <w:proofErr w:type="gramStart"/>
            <w:r w:rsidRPr="00244CCE">
              <w:rPr>
                <w:sz w:val="16"/>
                <w:szCs w:val="16"/>
              </w:rPr>
              <w:t>2004:I</w:t>
            </w:r>
            <w:proofErr w:type="gramEnd"/>
            <w:r w:rsidRPr="00244CCE">
              <w:rPr>
                <w:sz w:val="16"/>
                <w:szCs w:val="16"/>
              </w:rPr>
              <w:t>, p. 3</w:t>
            </w:r>
          </w:p>
        </w:tc>
      </w:tr>
      <w:tr w:rsidR="005021D0" w:rsidRPr="00244CCE" w14:paraId="6DC409E9" w14:textId="77777777" w:rsidTr="00227B6D">
        <w:tc>
          <w:tcPr>
            <w:tcW w:w="2600" w:type="dxa"/>
          </w:tcPr>
          <w:p w14:paraId="270A3980" w14:textId="77777777" w:rsidR="005021D0" w:rsidRPr="00244CCE" w:rsidRDefault="005021D0" w:rsidP="00F73DD3">
            <w:pPr>
              <w:spacing w:before="60" w:after="60"/>
              <w:jc w:val="left"/>
              <w:rPr>
                <w:i/>
                <w:iCs/>
                <w:sz w:val="16"/>
                <w:szCs w:val="18"/>
              </w:rPr>
            </w:pPr>
            <w:r w:rsidRPr="00244CCE">
              <w:rPr>
                <w:i/>
                <w:iCs/>
                <w:sz w:val="16"/>
                <w:szCs w:val="18"/>
              </w:rPr>
              <w:t>US – Countervailing Measures (China)</w:t>
            </w:r>
          </w:p>
        </w:tc>
        <w:tc>
          <w:tcPr>
            <w:tcW w:w="6621" w:type="dxa"/>
          </w:tcPr>
          <w:p w14:paraId="4E4CA789" w14:textId="6EC2CD44"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United States – Countervailing Duty Measures on Certain Products from China</w:t>
            </w:r>
            <w:r w:rsidRPr="00244CCE">
              <w:rPr>
                <w:sz w:val="16"/>
                <w:szCs w:val="16"/>
              </w:rPr>
              <w:t xml:space="preserve">, </w:t>
            </w:r>
            <w:r w:rsidR="002834B4" w:rsidRPr="00244CCE">
              <w:rPr>
                <w:sz w:val="16"/>
                <w:szCs w:val="16"/>
              </w:rPr>
              <w:t>WT/DS437/AB/R</w:t>
            </w:r>
            <w:r w:rsidRPr="00244CCE">
              <w:rPr>
                <w:sz w:val="16"/>
                <w:szCs w:val="16"/>
              </w:rPr>
              <w:t xml:space="preserve">, adopted 16 January 2015, DSR </w:t>
            </w:r>
            <w:proofErr w:type="gramStart"/>
            <w:r w:rsidRPr="00244CCE">
              <w:rPr>
                <w:sz w:val="16"/>
                <w:szCs w:val="16"/>
              </w:rPr>
              <w:t>2015:I</w:t>
            </w:r>
            <w:proofErr w:type="gramEnd"/>
            <w:r w:rsidRPr="00244CCE">
              <w:rPr>
                <w:sz w:val="16"/>
                <w:szCs w:val="16"/>
              </w:rPr>
              <w:t>, p. 7</w:t>
            </w:r>
          </w:p>
        </w:tc>
      </w:tr>
      <w:tr w:rsidR="005021D0" w:rsidRPr="00244CCE" w14:paraId="62B9D316"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14BD1301" w14:textId="6BDD5BB5" w:rsidR="005021D0" w:rsidRPr="00244CCE" w:rsidRDefault="005021D0" w:rsidP="00F73DD3">
            <w:pPr>
              <w:spacing w:before="60" w:after="60"/>
              <w:jc w:val="left"/>
              <w:rPr>
                <w:i/>
                <w:sz w:val="16"/>
                <w:szCs w:val="18"/>
              </w:rPr>
            </w:pPr>
            <w:r w:rsidRPr="00244CCE">
              <w:rPr>
                <w:i/>
                <w:iCs/>
                <w:sz w:val="16"/>
                <w:szCs w:val="18"/>
              </w:rPr>
              <w:lastRenderedPageBreak/>
              <w:t>US – Orange Juice</w:t>
            </w:r>
            <w:r w:rsidR="00E61B7D" w:rsidRPr="00244CCE">
              <w:rPr>
                <w:i/>
                <w:iCs/>
                <w:sz w:val="16"/>
                <w:szCs w:val="18"/>
              </w:rPr>
              <w:t xml:space="preserve"> (Brazil)</w:t>
            </w:r>
          </w:p>
        </w:tc>
        <w:tc>
          <w:tcPr>
            <w:tcW w:w="6621" w:type="dxa"/>
          </w:tcPr>
          <w:p w14:paraId="348EBB72" w14:textId="0984DE08"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Panel</w:t>
            </w:r>
            <w:r w:rsidR="00062DDD" w:rsidRPr="00244CCE">
              <w:rPr>
                <w:sz w:val="16"/>
                <w:szCs w:val="16"/>
              </w:rPr>
              <w:t> Report</w:t>
            </w:r>
            <w:r w:rsidRPr="00244CCE">
              <w:rPr>
                <w:sz w:val="16"/>
                <w:szCs w:val="16"/>
              </w:rPr>
              <w:t xml:space="preserve">, </w:t>
            </w:r>
            <w:r w:rsidRPr="00244CCE">
              <w:rPr>
                <w:i/>
                <w:sz w:val="16"/>
                <w:szCs w:val="16"/>
              </w:rPr>
              <w:t>United States – Anti</w:t>
            </w:r>
            <w:r w:rsidR="007643D6" w:rsidRPr="00244CCE">
              <w:rPr>
                <w:i/>
                <w:sz w:val="16"/>
                <w:szCs w:val="16"/>
              </w:rPr>
              <w:noBreakHyphen/>
            </w:r>
            <w:r w:rsidRPr="00244CCE">
              <w:rPr>
                <w:i/>
                <w:sz w:val="16"/>
                <w:szCs w:val="16"/>
              </w:rPr>
              <w:t>Dumping Administrative Reviews and Other Measures Related to Imports of Certain Orange Juice from Brazil</w:t>
            </w:r>
            <w:r w:rsidRPr="00244CCE">
              <w:rPr>
                <w:sz w:val="16"/>
                <w:szCs w:val="16"/>
              </w:rPr>
              <w:t xml:space="preserve">, </w:t>
            </w:r>
            <w:r w:rsidR="002834B4" w:rsidRPr="00244CCE">
              <w:rPr>
                <w:sz w:val="16"/>
                <w:szCs w:val="16"/>
              </w:rPr>
              <w:t>WT/DS382/R</w:t>
            </w:r>
            <w:r w:rsidRPr="00244CCE">
              <w:rPr>
                <w:sz w:val="16"/>
                <w:szCs w:val="16"/>
              </w:rPr>
              <w:t xml:space="preserve">, adopted 17 June 2011, DSR </w:t>
            </w:r>
            <w:proofErr w:type="gramStart"/>
            <w:r w:rsidRPr="00244CCE">
              <w:rPr>
                <w:sz w:val="16"/>
                <w:szCs w:val="16"/>
              </w:rPr>
              <w:t>2011:VII</w:t>
            </w:r>
            <w:proofErr w:type="gramEnd"/>
            <w:r w:rsidRPr="00244CCE">
              <w:rPr>
                <w:sz w:val="16"/>
                <w:szCs w:val="16"/>
              </w:rPr>
              <w:t>, p. 3753</w:t>
            </w:r>
          </w:p>
        </w:tc>
      </w:tr>
      <w:tr w:rsidR="00F13F60" w:rsidRPr="00244CCE" w14:paraId="61D6BD4B" w14:textId="77777777" w:rsidTr="00227B6D">
        <w:tc>
          <w:tcPr>
            <w:tcW w:w="2600" w:type="dxa"/>
          </w:tcPr>
          <w:p w14:paraId="419628AB" w14:textId="15145CCE" w:rsidR="00F13F60" w:rsidRPr="00244CCE" w:rsidRDefault="00F13F60" w:rsidP="00F73DD3">
            <w:pPr>
              <w:spacing w:before="60" w:after="60"/>
              <w:jc w:val="left"/>
              <w:rPr>
                <w:i/>
                <w:iCs/>
                <w:sz w:val="16"/>
                <w:szCs w:val="18"/>
              </w:rPr>
            </w:pPr>
            <w:r w:rsidRPr="00244CCE">
              <w:rPr>
                <w:i/>
                <w:iCs/>
                <w:sz w:val="16"/>
                <w:szCs w:val="18"/>
              </w:rPr>
              <w:t>US – Shrimp (Article</w:t>
            </w:r>
            <w:r w:rsidR="00062DDD" w:rsidRPr="00244CCE">
              <w:rPr>
                <w:i/>
                <w:iCs/>
                <w:sz w:val="16"/>
                <w:szCs w:val="18"/>
              </w:rPr>
              <w:t> </w:t>
            </w:r>
            <w:r w:rsidRPr="00244CCE">
              <w:rPr>
                <w:i/>
                <w:iCs/>
                <w:sz w:val="16"/>
                <w:szCs w:val="18"/>
              </w:rPr>
              <w:t>21.5 – Malaysia)</w:t>
            </w:r>
          </w:p>
        </w:tc>
        <w:tc>
          <w:tcPr>
            <w:tcW w:w="6621" w:type="dxa"/>
          </w:tcPr>
          <w:p w14:paraId="38A30A81" w14:textId="7C37DC8B" w:rsidR="00F13F60" w:rsidRPr="00244CCE" w:rsidRDefault="002834B4" w:rsidP="00F73DD3">
            <w:pPr>
              <w:keepLines/>
              <w:tabs>
                <w:tab w:val="left" w:pos="2268"/>
                <w:tab w:val="left" w:pos="4536"/>
              </w:tabs>
              <w:spacing w:before="60" w:after="60"/>
              <w:jc w:val="left"/>
              <w:rPr>
                <w:sz w:val="16"/>
                <w:szCs w:val="16"/>
              </w:rPr>
            </w:pPr>
            <w:r w:rsidRPr="00244CCE">
              <w:rPr>
                <w:sz w:val="16"/>
                <w:szCs w:val="16"/>
              </w:rPr>
              <w:t>Appellate</w:t>
            </w:r>
            <w:r w:rsidR="00062DDD" w:rsidRPr="00244CCE">
              <w:rPr>
                <w:sz w:val="16"/>
                <w:szCs w:val="16"/>
              </w:rPr>
              <w:t> Body</w:t>
            </w:r>
            <w:r w:rsidRPr="00244CCE">
              <w:rPr>
                <w:sz w:val="16"/>
                <w:szCs w:val="16"/>
              </w:rPr>
              <w:t xml:space="preserve"> Report, </w:t>
            </w:r>
            <w:r w:rsidRPr="00244CCE">
              <w:rPr>
                <w:i/>
                <w:sz w:val="16"/>
                <w:szCs w:val="16"/>
              </w:rPr>
              <w:t>United</w:t>
            </w:r>
            <w:r w:rsidR="00062DDD" w:rsidRPr="00244CCE">
              <w:rPr>
                <w:i/>
                <w:sz w:val="16"/>
                <w:szCs w:val="16"/>
              </w:rPr>
              <w:t> States</w:t>
            </w:r>
            <w:r w:rsidRPr="00244CCE">
              <w:rPr>
                <w:i/>
                <w:sz w:val="16"/>
                <w:szCs w:val="16"/>
              </w:rPr>
              <w:t xml:space="preserve"> – Import Prohibition of Certain Shrimp and Shrimp Products – Recourse to Article</w:t>
            </w:r>
            <w:r w:rsidR="00062DDD" w:rsidRPr="00244CCE">
              <w:rPr>
                <w:i/>
                <w:sz w:val="16"/>
                <w:szCs w:val="16"/>
              </w:rPr>
              <w:t> </w:t>
            </w:r>
            <w:r w:rsidRPr="00244CCE">
              <w:rPr>
                <w:i/>
                <w:sz w:val="16"/>
                <w:szCs w:val="16"/>
              </w:rPr>
              <w:t>21.5 of the DSU by Malaysia</w:t>
            </w:r>
            <w:r w:rsidRPr="00244CCE">
              <w:rPr>
                <w:sz w:val="16"/>
                <w:szCs w:val="16"/>
              </w:rPr>
              <w:t xml:space="preserve">, </w:t>
            </w:r>
            <w:r w:rsidR="007818F3" w:rsidRPr="00244CCE">
              <w:rPr>
                <w:sz w:val="16"/>
                <w:szCs w:val="16"/>
              </w:rPr>
              <w:t>WT/DS58/AB/RW</w:t>
            </w:r>
            <w:r w:rsidRPr="00244CCE">
              <w:rPr>
                <w:sz w:val="16"/>
                <w:szCs w:val="16"/>
              </w:rPr>
              <w:t>, adopted 21</w:t>
            </w:r>
            <w:r w:rsidR="00062DDD" w:rsidRPr="00244CCE">
              <w:rPr>
                <w:sz w:val="16"/>
                <w:szCs w:val="16"/>
              </w:rPr>
              <w:t> November 2001</w:t>
            </w:r>
            <w:r w:rsidRPr="00244CCE">
              <w:rPr>
                <w:sz w:val="16"/>
                <w:szCs w:val="16"/>
              </w:rPr>
              <w:t xml:space="preserve">, DSR </w:t>
            </w:r>
            <w:proofErr w:type="gramStart"/>
            <w:r w:rsidRPr="00244CCE">
              <w:rPr>
                <w:sz w:val="16"/>
                <w:szCs w:val="16"/>
              </w:rPr>
              <w:t>2001:XIII</w:t>
            </w:r>
            <w:proofErr w:type="gramEnd"/>
            <w:r w:rsidRPr="00244CCE">
              <w:rPr>
                <w:sz w:val="16"/>
                <w:szCs w:val="16"/>
              </w:rPr>
              <w:t>, p.</w:t>
            </w:r>
            <w:r w:rsidR="00062DDD" w:rsidRPr="00244CCE">
              <w:rPr>
                <w:sz w:val="16"/>
                <w:szCs w:val="16"/>
              </w:rPr>
              <w:t> </w:t>
            </w:r>
            <w:r w:rsidRPr="00244CCE">
              <w:rPr>
                <w:sz w:val="16"/>
                <w:szCs w:val="16"/>
              </w:rPr>
              <w:t>6481</w:t>
            </w:r>
          </w:p>
        </w:tc>
      </w:tr>
      <w:tr w:rsidR="005021D0" w:rsidRPr="00244CCE" w14:paraId="4999ACA8"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0DE3E88F" w14:textId="77777777" w:rsidR="005021D0" w:rsidRPr="00244CCE" w:rsidRDefault="005021D0" w:rsidP="00F73DD3">
            <w:pPr>
              <w:spacing w:before="60" w:after="60"/>
              <w:jc w:val="left"/>
              <w:rPr>
                <w:i/>
                <w:sz w:val="16"/>
                <w:szCs w:val="18"/>
              </w:rPr>
            </w:pPr>
            <w:r w:rsidRPr="00244CCE">
              <w:rPr>
                <w:i/>
                <w:sz w:val="16"/>
                <w:szCs w:val="18"/>
              </w:rPr>
              <w:t>US – Softwood Lumber IV (Article 21.5 – Canada)</w:t>
            </w:r>
          </w:p>
        </w:tc>
        <w:tc>
          <w:tcPr>
            <w:tcW w:w="6621" w:type="dxa"/>
          </w:tcPr>
          <w:p w14:paraId="7B5D6932" w14:textId="61864155" w:rsidR="005021D0" w:rsidRPr="00244CCE" w:rsidRDefault="005021D0" w:rsidP="00F73DD3">
            <w:pPr>
              <w:keepLines/>
              <w:tabs>
                <w:tab w:val="left" w:pos="2268"/>
                <w:tab w:val="left" w:pos="4536"/>
              </w:tabs>
              <w:spacing w:before="60" w:after="60"/>
              <w:jc w:val="left"/>
              <w:rPr>
                <w:sz w:val="16"/>
                <w:szCs w:val="16"/>
              </w:rPr>
            </w:pPr>
            <w:r w:rsidRPr="00244CCE">
              <w:rPr>
                <w:sz w:val="16"/>
                <w:szCs w:val="16"/>
              </w:rPr>
              <w:t xml:space="preserve">Appellate Body Report, </w:t>
            </w:r>
            <w:r w:rsidRPr="00244CCE">
              <w:rPr>
                <w:i/>
                <w:sz w:val="16"/>
                <w:szCs w:val="16"/>
              </w:rPr>
              <w:t>United States – Final Countervailing Duty Determination with Respect to Certain Softwood Lumber from Canada – Recourse by Canada to Article 21.5 of the DSU</w:t>
            </w:r>
            <w:r w:rsidRPr="00244CCE">
              <w:rPr>
                <w:sz w:val="16"/>
                <w:szCs w:val="16"/>
              </w:rPr>
              <w:t xml:space="preserve">, </w:t>
            </w:r>
            <w:r w:rsidR="002834B4" w:rsidRPr="00244CCE">
              <w:rPr>
                <w:sz w:val="16"/>
                <w:szCs w:val="16"/>
              </w:rPr>
              <w:t>WT/DS257/AB/RW</w:t>
            </w:r>
            <w:r w:rsidRPr="00244CCE">
              <w:rPr>
                <w:sz w:val="16"/>
                <w:szCs w:val="16"/>
              </w:rPr>
              <w:t xml:space="preserve">, adopted 20 December 2005, DSR </w:t>
            </w:r>
            <w:proofErr w:type="gramStart"/>
            <w:r w:rsidRPr="00244CCE">
              <w:rPr>
                <w:sz w:val="16"/>
                <w:szCs w:val="16"/>
              </w:rPr>
              <w:t>2005:XXIII</w:t>
            </w:r>
            <w:proofErr w:type="gramEnd"/>
            <w:r w:rsidRPr="00244CCE">
              <w:rPr>
                <w:sz w:val="16"/>
                <w:szCs w:val="16"/>
              </w:rPr>
              <w:t>, p. 11357</w:t>
            </w:r>
          </w:p>
        </w:tc>
      </w:tr>
      <w:tr w:rsidR="005021D0" w:rsidRPr="00244CCE" w14:paraId="63861F78" w14:textId="77777777" w:rsidTr="00227B6D">
        <w:tc>
          <w:tcPr>
            <w:tcW w:w="2600" w:type="dxa"/>
          </w:tcPr>
          <w:p w14:paraId="27818EDC" w14:textId="77777777" w:rsidR="005021D0" w:rsidRPr="00244CCE" w:rsidRDefault="005021D0" w:rsidP="00F73DD3">
            <w:pPr>
              <w:spacing w:before="60" w:after="60"/>
              <w:jc w:val="left"/>
              <w:rPr>
                <w:i/>
                <w:sz w:val="16"/>
                <w:szCs w:val="18"/>
              </w:rPr>
            </w:pPr>
            <w:r w:rsidRPr="00244CCE">
              <w:rPr>
                <w:i/>
                <w:sz w:val="16"/>
                <w:szCs w:val="18"/>
              </w:rPr>
              <w:t xml:space="preserve">US – </w:t>
            </w:r>
            <w:proofErr w:type="spellStart"/>
            <w:r w:rsidRPr="00244CCE">
              <w:rPr>
                <w:i/>
                <w:sz w:val="16"/>
                <w:szCs w:val="18"/>
              </w:rPr>
              <w:t>Supercalendered</w:t>
            </w:r>
            <w:proofErr w:type="spellEnd"/>
            <w:r w:rsidRPr="00244CCE">
              <w:rPr>
                <w:i/>
                <w:sz w:val="16"/>
                <w:szCs w:val="18"/>
              </w:rPr>
              <w:t xml:space="preserve"> Paper</w:t>
            </w:r>
          </w:p>
        </w:tc>
        <w:tc>
          <w:tcPr>
            <w:tcW w:w="6621" w:type="dxa"/>
          </w:tcPr>
          <w:p w14:paraId="305261FE" w14:textId="032F8634" w:rsidR="005021D0" w:rsidRPr="00244CCE" w:rsidRDefault="005021D0" w:rsidP="00F73DD3">
            <w:pPr>
              <w:keepLines/>
              <w:tabs>
                <w:tab w:val="left" w:pos="2268"/>
                <w:tab w:val="left" w:pos="4536"/>
              </w:tabs>
              <w:spacing w:before="60" w:after="60"/>
              <w:jc w:val="left"/>
              <w:rPr>
                <w:sz w:val="16"/>
                <w:szCs w:val="18"/>
              </w:rPr>
            </w:pPr>
            <w:r w:rsidRPr="00244CCE">
              <w:rPr>
                <w:sz w:val="16"/>
                <w:szCs w:val="16"/>
              </w:rPr>
              <w:t>Panel</w:t>
            </w:r>
            <w:r w:rsidR="00062DDD" w:rsidRPr="00244CCE">
              <w:rPr>
                <w:sz w:val="16"/>
                <w:szCs w:val="16"/>
              </w:rPr>
              <w:t> Report</w:t>
            </w:r>
            <w:r w:rsidRPr="00244CCE">
              <w:rPr>
                <w:sz w:val="16"/>
                <w:szCs w:val="16"/>
              </w:rPr>
              <w:t xml:space="preserve">, </w:t>
            </w:r>
            <w:r w:rsidRPr="00244CCE">
              <w:rPr>
                <w:i/>
                <w:sz w:val="16"/>
                <w:szCs w:val="16"/>
              </w:rPr>
              <w:t xml:space="preserve">United States – Countervailing Measures on </w:t>
            </w:r>
            <w:proofErr w:type="spellStart"/>
            <w:r w:rsidRPr="00244CCE">
              <w:rPr>
                <w:i/>
                <w:sz w:val="16"/>
                <w:szCs w:val="16"/>
              </w:rPr>
              <w:t>Supercalendered</w:t>
            </w:r>
            <w:proofErr w:type="spellEnd"/>
            <w:r w:rsidRPr="00244CCE">
              <w:rPr>
                <w:i/>
                <w:sz w:val="16"/>
                <w:szCs w:val="16"/>
              </w:rPr>
              <w:t xml:space="preserve"> Paper from Canada</w:t>
            </w:r>
            <w:r w:rsidRPr="00244CCE">
              <w:rPr>
                <w:sz w:val="16"/>
                <w:szCs w:val="16"/>
              </w:rPr>
              <w:t xml:space="preserve">, </w:t>
            </w:r>
            <w:r w:rsidR="002834B4" w:rsidRPr="00244CCE">
              <w:rPr>
                <w:sz w:val="16"/>
                <w:szCs w:val="16"/>
              </w:rPr>
              <w:t>WT/DS505/R</w:t>
            </w:r>
            <w:r w:rsidRPr="00244CCE">
              <w:rPr>
                <w:sz w:val="16"/>
                <w:szCs w:val="16"/>
              </w:rPr>
              <w:t xml:space="preserve"> and Add.1, circulated to WTO Members 5 July 2018</w:t>
            </w:r>
          </w:p>
        </w:tc>
      </w:tr>
      <w:tr w:rsidR="003C6021" w:rsidRPr="00244CCE" w14:paraId="5A309240"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35B2B16A" w14:textId="089282DD" w:rsidR="003C6021" w:rsidRPr="00244CCE" w:rsidRDefault="003C6021" w:rsidP="00F73DD3">
            <w:pPr>
              <w:spacing w:before="60" w:after="60"/>
              <w:jc w:val="left"/>
              <w:rPr>
                <w:i/>
                <w:sz w:val="16"/>
                <w:szCs w:val="18"/>
              </w:rPr>
            </w:pPr>
            <w:r w:rsidRPr="00244CCE">
              <w:rPr>
                <w:i/>
                <w:sz w:val="16"/>
                <w:szCs w:val="18"/>
              </w:rPr>
              <w:t>US – Upland Cotton</w:t>
            </w:r>
          </w:p>
        </w:tc>
        <w:tc>
          <w:tcPr>
            <w:tcW w:w="6621" w:type="dxa"/>
          </w:tcPr>
          <w:p w14:paraId="234CF3C5" w14:textId="03C39C4E" w:rsidR="003C6021" w:rsidRPr="00244CCE" w:rsidRDefault="003C6021" w:rsidP="00F73DD3">
            <w:pPr>
              <w:keepLines/>
              <w:tabs>
                <w:tab w:val="left" w:pos="2268"/>
                <w:tab w:val="left" w:pos="4536"/>
              </w:tabs>
              <w:spacing w:before="60" w:after="60"/>
              <w:jc w:val="left"/>
              <w:rPr>
                <w:sz w:val="16"/>
                <w:szCs w:val="16"/>
              </w:rPr>
            </w:pPr>
            <w:r w:rsidRPr="00244CCE">
              <w:rPr>
                <w:color w:val="000000"/>
                <w:sz w:val="16"/>
                <w:szCs w:val="16"/>
              </w:rPr>
              <w:t>Appellate</w:t>
            </w:r>
            <w:r w:rsidR="00B33337">
              <w:rPr>
                <w:color w:val="000000"/>
                <w:sz w:val="16"/>
                <w:szCs w:val="16"/>
              </w:rPr>
              <w:t> </w:t>
            </w:r>
            <w:r w:rsidRPr="00244CCE">
              <w:rPr>
                <w:color w:val="000000"/>
                <w:sz w:val="16"/>
                <w:szCs w:val="16"/>
              </w:rPr>
              <w:t xml:space="preserve">Body Report, </w:t>
            </w:r>
            <w:r w:rsidRPr="00244CCE">
              <w:rPr>
                <w:i/>
                <w:color w:val="000000"/>
                <w:sz w:val="16"/>
                <w:szCs w:val="16"/>
              </w:rPr>
              <w:t>United States – Subsidies on Upland Cotton</w:t>
            </w:r>
            <w:r w:rsidRPr="00244CCE">
              <w:rPr>
                <w:color w:val="000000"/>
                <w:sz w:val="16"/>
                <w:szCs w:val="16"/>
              </w:rPr>
              <w:t xml:space="preserve">, </w:t>
            </w:r>
            <w:r w:rsidRPr="00244CCE">
              <w:rPr>
                <w:sz w:val="16"/>
                <w:szCs w:val="16"/>
              </w:rPr>
              <w:t>WT/DS267/AB/R</w:t>
            </w:r>
            <w:r w:rsidRPr="00244CCE">
              <w:rPr>
                <w:color w:val="000000"/>
                <w:sz w:val="16"/>
                <w:szCs w:val="16"/>
              </w:rPr>
              <w:t xml:space="preserve">, adopted 21 March 2005, DSR </w:t>
            </w:r>
            <w:proofErr w:type="gramStart"/>
            <w:r w:rsidRPr="00244CCE">
              <w:rPr>
                <w:color w:val="000000"/>
                <w:sz w:val="16"/>
                <w:szCs w:val="16"/>
              </w:rPr>
              <w:t>2005:I</w:t>
            </w:r>
            <w:proofErr w:type="gramEnd"/>
            <w:r w:rsidRPr="00244CCE">
              <w:rPr>
                <w:color w:val="000000"/>
                <w:sz w:val="16"/>
                <w:szCs w:val="16"/>
              </w:rPr>
              <w:t>, p. 3</w:t>
            </w:r>
          </w:p>
        </w:tc>
      </w:tr>
      <w:tr w:rsidR="003C6021" w:rsidRPr="00244CCE" w14:paraId="24DDBF20" w14:textId="77777777" w:rsidTr="00227B6D">
        <w:tc>
          <w:tcPr>
            <w:tcW w:w="2600" w:type="dxa"/>
          </w:tcPr>
          <w:p w14:paraId="2A481E42" w14:textId="34316863" w:rsidR="003C6021" w:rsidRPr="00244CCE" w:rsidRDefault="003C6021" w:rsidP="00F73DD3">
            <w:pPr>
              <w:spacing w:before="60" w:after="60"/>
              <w:jc w:val="left"/>
              <w:rPr>
                <w:i/>
                <w:sz w:val="16"/>
                <w:szCs w:val="18"/>
              </w:rPr>
            </w:pPr>
            <w:r w:rsidRPr="00244CCE">
              <w:rPr>
                <w:i/>
                <w:sz w:val="16"/>
                <w:szCs w:val="18"/>
              </w:rPr>
              <w:t>US – Wool Shirt and Blouses</w:t>
            </w:r>
          </w:p>
        </w:tc>
        <w:tc>
          <w:tcPr>
            <w:tcW w:w="6621" w:type="dxa"/>
          </w:tcPr>
          <w:p w14:paraId="2BBDA132" w14:textId="552228BC" w:rsidR="003C6021" w:rsidRPr="00244CCE" w:rsidRDefault="003C6021" w:rsidP="00F73DD3">
            <w:pPr>
              <w:keepLines/>
              <w:tabs>
                <w:tab w:val="left" w:pos="2268"/>
                <w:tab w:val="left" w:pos="4536"/>
              </w:tabs>
              <w:spacing w:before="60" w:after="60"/>
              <w:jc w:val="left"/>
              <w:rPr>
                <w:sz w:val="16"/>
                <w:szCs w:val="16"/>
              </w:rPr>
            </w:pPr>
            <w:r w:rsidRPr="00244CCE">
              <w:rPr>
                <w:color w:val="000000"/>
                <w:sz w:val="16"/>
                <w:szCs w:val="16"/>
              </w:rPr>
              <w:t>Appellate</w:t>
            </w:r>
            <w:r w:rsidR="00B33337">
              <w:rPr>
                <w:color w:val="000000"/>
                <w:sz w:val="16"/>
                <w:szCs w:val="16"/>
              </w:rPr>
              <w:t> </w:t>
            </w:r>
            <w:r w:rsidRPr="00244CCE">
              <w:rPr>
                <w:color w:val="000000"/>
                <w:sz w:val="16"/>
                <w:szCs w:val="16"/>
              </w:rPr>
              <w:t xml:space="preserve">Body Report, </w:t>
            </w:r>
            <w:r w:rsidRPr="00244CCE">
              <w:rPr>
                <w:i/>
                <w:color w:val="000000"/>
                <w:sz w:val="16"/>
                <w:szCs w:val="16"/>
              </w:rPr>
              <w:t>United States – Measure Affecting Imports of Woven Wool Shirts and Blouses from India</w:t>
            </w:r>
            <w:r w:rsidRPr="00244CCE">
              <w:rPr>
                <w:color w:val="000000"/>
                <w:sz w:val="16"/>
                <w:szCs w:val="16"/>
              </w:rPr>
              <w:t xml:space="preserve">, </w:t>
            </w:r>
            <w:r w:rsidRPr="00244CCE">
              <w:rPr>
                <w:sz w:val="16"/>
                <w:szCs w:val="16"/>
              </w:rPr>
              <w:t>WT/DS33/AB/R</w:t>
            </w:r>
            <w:r w:rsidRPr="00244CCE">
              <w:rPr>
                <w:color w:val="000000"/>
                <w:sz w:val="16"/>
                <w:szCs w:val="16"/>
              </w:rPr>
              <w:t xml:space="preserve">, adopted 23 May 1997, and Corr.1, DSR </w:t>
            </w:r>
            <w:proofErr w:type="gramStart"/>
            <w:r w:rsidRPr="00244CCE">
              <w:rPr>
                <w:color w:val="000000"/>
                <w:sz w:val="16"/>
                <w:szCs w:val="16"/>
              </w:rPr>
              <w:t>1997:I</w:t>
            </w:r>
            <w:proofErr w:type="gramEnd"/>
            <w:r w:rsidRPr="00244CCE">
              <w:rPr>
                <w:color w:val="000000"/>
                <w:sz w:val="16"/>
                <w:szCs w:val="16"/>
              </w:rPr>
              <w:t>, p. 323</w:t>
            </w:r>
          </w:p>
        </w:tc>
      </w:tr>
      <w:tr w:rsidR="005021D0" w:rsidRPr="00244CCE" w14:paraId="5ED9B27C" w14:textId="77777777" w:rsidTr="00227B6D">
        <w:trPr>
          <w:cnfStyle w:val="000000010000" w:firstRow="0" w:lastRow="0" w:firstColumn="0" w:lastColumn="0" w:oddVBand="0" w:evenVBand="0" w:oddHBand="0" w:evenHBand="1" w:firstRowFirstColumn="0" w:firstRowLastColumn="0" w:lastRowFirstColumn="0" w:lastRowLastColumn="0"/>
        </w:trPr>
        <w:tc>
          <w:tcPr>
            <w:tcW w:w="2600" w:type="dxa"/>
          </w:tcPr>
          <w:p w14:paraId="2B722266" w14:textId="77777777" w:rsidR="005021D0" w:rsidRPr="00244CCE" w:rsidRDefault="005021D0" w:rsidP="00F73DD3">
            <w:pPr>
              <w:spacing w:before="60" w:after="60"/>
              <w:jc w:val="left"/>
              <w:rPr>
                <w:i/>
                <w:sz w:val="16"/>
                <w:szCs w:val="18"/>
              </w:rPr>
            </w:pPr>
            <w:r w:rsidRPr="00244CCE">
              <w:rPr>
                <w:i/>
                <w:iCs/>
                <w:sz w:val="16"/>
                <w:szCs w:val="18"/>
              </w:rPr>
              <w:t>US – Zeroing (EC)</w:t>
            </w:r>
          </w:p>
        </w:tc>
        <w:tc>
          <w:tcPr>
            <w:tcW w:w="6621" w:type="dxa"/>
          </w:tcPr>
          <w:p w14:paraId="549E7ACB" w14:textId="75F04561" w:rsidR="005021D0" w:rsidRPr="00244CCE" w:rsidRDefault="005021D0" w:rsidP="00F73DD3">
            <w:pPr>
              <w:keepLines/>
              <w:tabs>
                <w:tab w:val="left" w:pos="2268"/>
                <w:tab w:val="left" w:pos="4536"/>
              </w:tabs>
              <w:spacing w:before="60" w:after="60"/>
              <w:jc w:val="left"/>
              <w:rPr>
                <w:sz w:val="16"/>
                <w:szCs w:val="18"/>
              </w:rPr>
            </w:pPr>
            <w:r w:rsidRPr="00244CCE">
              <w:rPr>
                <w:sz w:val="16"/>
                <w:szCs w:val="16"/>
              </w:rPr>
              <w:t xml:space="preserve">Appellate Body Report, </w:t>
            </w:r>
            <w:r w:rsidRPr="00244CCE">
              <w:rPr>
                <w:i/>
                <w:sz w:val="16"/>
                <w:szCs w:val="16"/>
              </w:rPr>
              <w:t>United States – Laws, Regulations and Methodology for Calculating Dumping Margins ("Zeroing")</w:t>
            </w:r>
            <w:r w:rsidRPr="00244CCE">
              <w:rPr>
                <w:sz w:val="16"/>
                <w:szCs w:val="16"/>
              </w:rPr>
              <w:t xml:space="preserve">, </w:t>
            </w:r>
            <w:r w:rsidR="002834B4" w:rsidRPr="00244CCE">
              <w:rPr>
                <w:sz w:val="16"/>
                <w:szCs w:val="16"/>
              </w:rPr>
              <w:t>WT/DS294/AB/R</w:t>
            </w:r>
            <w:r w:rsidRPr="00244CCE">
              <w:rPr>
                <w:sz w:val="16"/>
                <w:szCs w:val="16"/>
              </w:rPr>
              <w:t xml:space="preserve">, adopted 9 May 2006, and Corr.1, DSR </w:t>
            </w:r>
            <w:proofErr w:type="gramStart"/>
            <w:r w:rsidRPr="00244CCE">
              <w:rPr>
                <w:sz w:val="16"/>
                <w:szCs w:val="16"/>
              </w:rPr>
              <w:t>2006:II</w:t>
            </w:r>
            <w:proofErr w:type="gramEnd"/>
            <w:r w:rsidRPr="00244CCE">
              <w:rPr>
                <w:sz w:val="16"/>
                <w:szCs w:val="16"/>
              </w:rPr>
              <w:t>, p. 417</w:t>
            </w:r>
          </w:p>
        </w:tc>
      </w:tr>
      <w:tr w:rsidR="005021D0" w:rsidRPr="00244CCE" w14:paraId="4780DA53" w14:textId="77777777" w:rsidTr="00227B6D">
        <w:tc>
          <w:tcPr>
            <w:tcW w:w="2600" w:type="dxa"/>
          </w:tcPr>
          <w:p w14:paraId="60A118BC" w14:textId="2837AEC1" w:rsidR="005021D0" w:rsidRPr="00244CCE" w:rsidRDefault="005021D0" w:rsidP="00F73DD3">
            <w:pPr>
              <w:spacing w:before="60" w:after="60"/>
              <w:jc w:val="left"/>
              <w:rPr>
                <w:i/>
                <w:sz w:val="16"/>
                <w:szCs w:val="18"/>
              </w:rPr>
            </w:pPr>
            <w:r w:rsidRPr="00244CCE">
              <w:rPr>
                <w:i/>
                <w:sz w:val="16"/>
                <w:szCs w:val="18"/>
              </w:rPr>
              <w:t xml:space="preserve">US </w:t>
            </w:r>
            <w:r w:rsidR="007643D6" w:rsidRPr="00244CCE">
              <w:rPr>
                <w:i/>
                <w:sz w:val="16"/>
                <w:szCs w:val="18"/>
              </w:rPr>
              <w:noBreakHyphen/>
            </w:r>
            <w:r w:rsidRPr="00244CCE">
              <w:rPr>
                <w:i/>
                <w:sz w:val="16"/>
                <w:szCs w:val="18"/>
              </w:rPr>
              <w:t xml:space="preserve"> Zeroing (Japan)</w:t>
            </w:r>
          </w:p>
        </w:tc>
        <w:tc>
          <w:tcPr>
            <w:tcW w:w="6621" w:type="dxa"/>
          </w:tcPr>
          <w:p w14:paraId="1F3ECE66" w14:textId="1DA29BA4" w:rsidR="005021D0" w:rsidRPr="00244CCE" w:rsidRDefault="005021D0" w:rsidP="00F73DD3">
            <w:pPr>
              <w:keepLines/>
              <w:tabs>
                <w:tab w:val="left" w:pos="2268"/>
                <w:tab w:val="left" w:pos="4536"/>
              </w:tabs>
              <w:spacing w:before="60" w:after="60"/>
              <w:jc w:val="left"/>
              <w:rPr>
                <w:sz w:val="16"/>
                <w:szCs w:val="18"/>
              </w:rPr>
            </w:pPr>
            <w:r w:rsidRPr="00244CCE">
              <w:rPr>
                <w:sz w:val="16"/>
                <w:szCs w:val="16"/>
              </w:rPr>
              <w:t xml:space="preserve">Appellate Body Report, </w:t>
            </w:r>
            <w:r w:rsidRPr="00244CCE">
              <w:rPr>
                <w:i/>
                <w:sz w:val="16"/>
                <w:szCs w:val="16"/>
              </w:rPr>
              <w:t>United States – Measures Relating to Zeroing and Sunset Reviews</w:t>
            </w:r>
            <w:r w:rsidRPr="00244CCE">
              <w:rPr>
                <w:sz w:val="16"/>
                <w:szCs w:val="16"/>
              </w:rPr>
              <w:t xml:space="preserve">, </w:t>
            </w:r>
            <w:r w:rsidR="002834B4" w:rsidRPr="00244CCE">
              <w:rPr>
                <w:sz w:val="16"/>
                <w:szCs w:val="16"/>
              </w:rPr>
              <w:t>WT/DS322/AB/R</w:t>
            </w:r>
            <w:r w:rsidRPr="00244CCE">
              <w:rPr>
                <w:sz w:val="16"/>
                <w:szCs w:val="16"/>
              </w:rPr>
              <w:t xml:space="preserve">, adopted 23 January 2007, DSR </w:t>
            </w:r>
            <w:proofErr w:type="gramStart"/>
            <w:r w:rsidRPr="00244CCE">
              <w:rPr>
                <w:sz w:val="16"/>
                <w:szCs w:val="16"/>
              </w:rPr>
              <w:t>2007:I</w:t>
            </w:r>
            <w:proofErr w:type="gramEnd"/>
            <w:r w:rsidRPr="00244CCE">
              <w:rPr>
                <w:sz w:val="16"/>
                <w:szCs w:val="16"/>
              </w:rPr>
              <w:t>, p. 3</w:t>
            </w:r>
          </w:p>
        </w:tc>
      </w:tr>
    </w:tbl>
    <w:p w14:paraId="04892A6F" w14:textId="77777777" w:rsidR="005021D0" w:rsidRPr="00244CCE" w:rsidRDefault="005021D0" w:rsidP="00F73DD3"/>
    <w:p w14:paraId="11BD5453" w14:textId="77777777" w:rsidR="00806E5D" w:rsidRPr="00244CCE" w:rsidRDefault="00EF273A" w:rsidP="00F73DD3">
      <w:r w:rsidRPr="00244CCE">
        <w:br w:type="page"/>
      </w:r>
    </w:p>
    <w:p w14:paraId="2758BE68" w14:textId="77777777" w:rsidR="00806E5D" w:rsidRPr="00244CCE" w:rsidRDefault="00806E5D" w:rsidP="00F73DD3">
      <w:pPr>
        <w:jc w:val="left"/>
      </w:pPr>
      <w:bookmarkStart w:id="6" w:name="_Toc318903512"/>
    </w:p>
    <w:p w14:paraId="128D75D9" w14:textId="77777777" w:rsidR="00806E5D" w:rsidRPr="00244CCE" w:rsidRDefault="00806E5D" w:rsidP="00F73DD3">
      <w:pPr>
        <w:jc w:val="center"/>
        <w:rPr>
          <w:smallCaps/>
        </w:rPr>
      </w:pPr>
      <w:r w:rsidRPr="00244CCE">
        <w:rPr>
          <w:smallCaps/>
        </w:rPr>
        <w:t>World Trade Organization</w:t>
      </w:r>
    </w:p>
    <w:p w14:paraId="57EEC60B" w14:textId="77777777" w:rsidR="00806E5D" w:rsidRPr="00244CCE" w:rsidRDefault="00806E5D" w:rsidP="00F73DD3">
      <w:pPr>
        <w:jc w:val="center"/>
        <w:rPr>
          <w:smallCaps/>
        </w:rPr>
      </w:pPr>
      <w:r w:rsidRPr="00244CCE">
        <w:rPr>
          <w:smallCaps/>
        </w:rPr>
        <w:t>Appellate Body</w:t>
      </w:r>
    </w:p>
    <w:p w14:paraId="7E308762" w14:textId="77777777" w:rsidR="00806E5D" w:rsidRPr="00244CCE" w:rsidRDefault="00806E5D" w:rsidP="00F73DD3"/>
    <w:p w14:paraId="26C6B051" w14:textId="77777777" w:rsidR="00806E5D" w:rsidRPr="00244CCE" w:rsidRDefault="00806E5D" w:rsidP="00F73DD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0"/>
        <w:gridCol w:w="4516"/>
      </w:tblGrid>
      <w:tr w:rsidR="00806E5D" w:rsidRPr="00244CCE" w14:paraId="76CC1D38" w14:textId="77777777" w:rsidTr="00806E5D">
        <w:tc>
          <w:tcPr>
            <w:tcW w:w="4621" w:type="dxa"/>
            <w:shd w:val="clear" w:color="auto" w:fill="auto"/>
          </w:tcPr>
          <w:p w14:paraId="2F66D4B1" w14:textId="3AA66A18" w:rsidR="00806E5D" w:rsidRPr="00244CCE" w:rsidRDefault="00806E5D" w:rsidP="00F73DD3">
            <w:pPr>
              <w:jc w:val="left"/>
              <w:rPr>
                <w:b/>
              </w:rPr>
            </w:pPr>
            <w:r w:rsidRPr="00244CCE">
              <w:rPr>
                <w:b/>
              </w:rPr>
              <w:t>United</w:t>
            </w:r>
            <w:r w:rsidR="00945567" w:rsidRPr="00244CCE">
              <w:rPr>
                <w:b/>
              </w:rPr>
              <w:t> States</w:t>
            </w:r>
            <w:r w:rsidRPr="00244CCE">
              <w:rPr>
                <w:b/>
              </w:rPr>
              <w:t xml:space="preserve"> – Countervailing Measures on </w:t>
            </w:r>
            <w:proofErr w:type="spellStart"/>
            <w:r w:rsidRPr="00244CCE">
              <w:rPr>
                <w:b/>
              </w:rPr>
              <w:t>Supercalendered</w:t>
            </w:r>
            <w:proofErr w:type="spellEnd"/>
            <w:r w:rsidRPr="00244CCE">
              <w:rPr>
                <w:b/>
              </w:rPr>
              <w:t xml:space="preserve"> Paper from Canada</w:t>
            </w:r>
          </w:p>
          <w:p w14:paraId="16FA45CC" w14:textId="77777777" w:rsidR="00806E5D" w:rsidRPr="00244CCE" w:rsidRDefault="00806E5D" w:rsidP="00F73DD3"/>
          <w:p w14:paraId="1A545F21" w14:textId="77777777" w:rsidR="00806E5D" w:rsidRPr="00244CCE" w:rsidRDefault="00806E5D" w:rsidP="00F73DD3"/>
          <w:p w14:paraId="31D23B6C" w14:textId="600FA253" w:rsidR="00806E5D" w:rsidRPr="00244CCE" w:rsidRDefault="00806E5D" w:rsidP="00F73DD3">
            <w:r w:rsidRPr="00244CCE">
              <w:t>United</w:t>
            </w:r>
            <w:r w:rsidR="00945567" w:rsidRPr="00244CCE">
              <w:t> States</w:t>
            </w:r>
            <w:r w:rsidRPr="00244CCE">
              <w:t xml:space="preserve">, </w:t>
            </w:r>
            <w:r w:rsidRPr="00244CCE">
              <w:rPr>
                <w:i/>
              </w:rPr>
              <w:t>Appellant</w:t>
            </w:r>
          </w:p>
          <w:p w14:paraId="693E6E2E" w14:textId="77777777" w:rsidR="00806E5D" w:rsidRPr="00244CCE" w:rsidRDefault="00806E5D" w:rsidP="00F73DD3">
            <w:r w:rsidRPr="00244CCE">
              <w:t xml:space="preserve">Canada, </w:t>
            </w:r>
            <w:proofErr w:type="spellStart"/>
            <w:r w:rsidRPr="00244CCE">
              <w:rPr>
                <w:i/>
              </w:rPr>
              <w:t>Appellee</w:t>
            </w:r>
            <w:proofErr w:type="spellEnd"/>
          </w:p>
          <w:p w14:paraId="1B15D3A6" w14:textId="77777777" w:rsidR="00806E5D" w:rsidRPr="00244CCE" w:rsidRDefault="00806E5D" w:rsidP="00F73DD3"/>
          <w:p w14:paraId="2F65413A" w14:textId="77777777" w:rsidR="00806E5D" w:rsidRPr="00244CCE" w:rsidRDefault="00806E5D" w:rsidP="00F73DD3">
            <w:r w:rsidRPr="00244CCE">
              <w:t xml:space="preserve">Brazil, </w:t>
            </w:r>
            <w:r w:rsidRPr="00244CCE">
              <w:rPr>
                <w:i/>
              </w:rPr>
              <w:t>Third Participant</w:t>
            </w:r>
          </w:p>
          <w:p w14:paraId="5A841134" w14:textId="77777777" w:rsidR="00806E5D" w:rsidRPr="00244CCE" w:rsidRDefault="00806E5D" w:rsidP="00F73DD3">
            <w:r w:rsidRPr="00244CCE">
              <w:t xml:space="preserve">China, </w:t>
            </w:r>
            <w:r w:rsidRPr="00244CCE">
              <w:rPr>
                <w:i/>
              </w:rPr>
              <w:t>Third Participant</w:t>
            </w:r>
          </w:p>
          <w:p w14:paraId="1794EE81" w14:textId="77777777" w:rsidR="00806E5D" w:rsidRPr="00244CCE" w:rsidRDefault="00806E5D" w:rsidP="00F73DD3">
            <w:r w:rsidRPr="00244CCE">
              <w:t xml:space="preserve">European Union, </w:t>
            </w:r>
            <w:r w:rsidRPr="00244CCE">
              <w:rPr>
                <w:i/>
              </w:rPr>
              <w:t>Third Participant</w:t>
            </w:r>
          </w:p>
          <w:p w14:paraId="478E92F2" w14:textId="77777777" w:rsidR="00806E5D" w:rsidRPr="00244CCE" w:rsidRDefault="00806E5D" w:rsidP="00F73DD3">
            <w:r w:rsidRPr="00244CCE">
              <w:rPr>
                <w:szCs w:val="18"/>
              </w:rPr>
              <w:t>India</w:t>
            </w:r>
            <w:r w:rsidRPr="00244CCE">
              <w:t xml:space="preserve">, </w:t>
            </w:r>
            <w:r w:rsidRPr="00244CCE">
              <w:rPr>
                <w:i/>
              </w:rPr>
              <w:t>Third Participant</w:t>
            </w:r>
          </w:p>
          <w:p w14:paraId="43A81DB6" w14:textId="77777777" w:rsidR="00806E5D" w:rsidRPr="00244CCE" w:rsidRDefault="00806E5D" w:rsidP="00F73DD3">
            <w:r w:rsidRPr="00244CCE">
              <w:rPr>
                <w:szCs w:val="18"/>
              </w:rPr>
              <w:t>Japan</w:t>
            </w:r>
            <w:r w:rsidRPr="00244CCE">
              <w:t xml:space="preserve">, </w:t>
            </w:r>
            <w:r w:rsidRPr="00244CCE">
              <w:rPr>
                <w:i/>
              </w:rPr>
              <w:t>Third Participant</w:t>
            </w:r>
          </w:p>
          <w:p w14:paraId="2388BA1E" w14:textId="77777777" w:rsidR="00806E5D" w:rsidRPr="00244CCE" w:rsidRDefault="00806E5D" w:rsidP="00F73DD3">
            <w:r w:rsidRPr="00244CCE">
              <w:rPr>
                <w:szCs w:val="18"/>
              </w:rPr>
              <w:t>Korea</w:t>
            </w:r>
            <w:r w:rsidRPr="00244CCE">
              <w:t xml:space="preserve">, </w:t>
            </w:r>
            <w:r w:rsidRPr="00244CCE">
              <w:rPr>
                <w:i/>
              </w:rPr>
              <w:t>Third Participant</w:t>
            </w:r>
          </w:p>
          <w:p w14:paraId="4F58D30F" w14:textId="77777777" w:rsidR="00806E5D" w:rsidRPr="00244CCE" w:rsidRDefault="00806E5D" w:rsidP="00F73DD3">
            <w:r w:rsidRPr="00244CCE">
              <w:t xml:space="preserve">Mexico, </w:t>
            </w:r>
            <w:r w:rsidRPr="00244CCE">
              <w:rPr>
                <w:i/>
              </w:rPr>
              <w:t>Third Partic</w:t>
            </w:r>
            <w:bookmarkStart w:id="7" w:name="_GoBack"/>
            <w:bookmarkEnd w:id="7"/>
            <w:r w:rsidRPr="00244CCE">
              <w:rPr>
                <w:i/>
              </w:rPr>
              <w:t>ipant</w:t>
            </w:r>
          </w:p>
          <w:p w14:paraId="1DA5CF34" w14:textId="77777777" w:rsidR="00806E5D" w:rsidRPr="00244CCE" w:rsidRDefault="00806E5D" w:rsidP="00F73DD3">
            <w:r w:rsidRPr="00244CCE">
              <w:rPr>
                <w:szCs w:val="18"/>
              </w:rPr>
              <w:t>Turkey</w:t>
            </w:r>
            <w:r w:rsidRPr="00244CCE">
              <w:t xml:space="preserve">, </w:t>
            </w:r>
            <w:r w:rsidRPr="00244CCE">
              <w:rPr>
                <w:i/>
              </w:rPr>
              <w:t>Third Participant</w:t>
            </w:r>
          </w:p>
          <w:p w14:paraId="7D0AAED1" w14:textId="77777777" w:rsidR="00806E5D" w:rsidRPr="00244CCE" w:rsidRDefault="00806E5D" w:rsidP="00F73DD3"/>
        </w:tc>
        <w:tc>
          <w:tcPr>
            <w:tcW w:w="4621" w:type="dxa"/>
            <w:shd w:val="clear" w:color="auto" w:fill="auto"/>
          </w:tcPr>
          <w:p w14:paraId="1DE17938" w14:textId="61411490" w:rsidR="00806E5D" w:rsidRPr="00244CCE" w:rsidRDefault="00806E5D" w:rsidP="00F73DD3">
            <w:pPr>
              <w:ind w:left="482"/>
            </w:pPr>
            <w:r w:rsidRPr="00244CCE">
              <w:t>AB</w:t>
            </w:r>
            <w:r w:rsidR="007643D6" w:rsidRPr="00244CCE">
              <w:noBreakHyphen/>
            </w:r>
            <w:r w:rsidRPr="00244CCE">
              <w:t>2018</w:t>
            </w:r>
            <w:r w:rsidR="007643D6" w:rsidRPr="00244CCE">
              <w:noBreakHyphen/>
            </w:r>
            <w:r w:rsidRPr="00244CCE">
              <w:t>8</w:t>
            </w:r>
          </w:p>
          <w:p w14:paraId="6DF42565" w14:textId="77777777" w:rsidR="00806E5D" w:rsidRPr="00244CCE" w:rsidRDefault="00806E5D" w:rsidP="00F73DD3">
            <w:pPr>
              <w:ind w:left="482"/>
            </w:pPr>
          </w:p>
          <w:p w14:paraId="4A4B7B8B" w14:textId="77777777" w:rsidR="00806E5D" w:rsidRPr="00244CCE" w:rsidRDefault="00806E5D" w:rsidP="00F73DD3">
            <w:pPr>
              <w:ind w:left="482"/>
            </w:pPr>
            <w:r w:rsidRPr="00244CCE">
              <w:t xml:space="preserve">Appellate Body Division: </w:t>
            </w:r>
          </w:p>
          <w:p w14:paraId="4CCF540B" w14:textId="77777777" w:rsidR="00806E5D" w:rsidRPr="00244CCE" w:rsidRDefault="00806E5D" w:rsidP="00F73DD3">
            <w:pPr>
              <w:ind w:left="482"/>
            </w:pPr>
          </w:p>
          <w:p w14:paraId="48D80DF3" w14:textId="77777777" w:rsidR="00806E5D" w:rsidRPr="00244CCE" w:rsidRDefault="00806E5D" w:rsidP="00F73DD3">
            <w:pPr>
              <w:ind w:left="482"/>
            </w:pPr>
            <w:r w:rsidRPr="00244CCE">
              <w:t>Bhatia, Presiding Member</w:t>
            </w:r>
          </w:p>
          <w:p w14:paraId="239C08F5" w14:textId="77777777" w:rsidR="00806E5D" w:rsidRPr="00244CCE" w:rsidRDefault="00806E5D" w:rsidP="00F73DD3">
            <w:pPr>
              <w:ind w:left="482"/>
            </w:pPr>
            <w:r w:rsidRPr="00244CCE">
              <w:t>Graham, Member</w:t>
            </w:r>
          </w:p>
          <w:p w14:paraId="34106523" w14:textId="77777777" w:rsidR="00806E5D" w:rsidRPr="00244CCE" w:rsidRDefault="00806E5D" w:rsidP="00F73DD3">
            <w:pPr>
              <w:ind w:left="482"/>
            </w:pPr>
            <w:r w:rsidRPr="00244CCE">
              <w:t>Zhao, Member</w:t>
            </w:r>
          </w:p>
          <w:p w14:paraId="7404CA27" w14:textId="77777777" w:rsidR="00806E5D" w:rsidRPr="00244CCE" w:rsidRDefault="00806E5D" w:rsidP="00F73DD3">
            <w:pPr>
              <w:ind w:left="482"/>
            </w:pPr>
          </w:p>
        </w:tc>
      </w:tr>
    </w:tbl>
    <w:p w14:paraId="0F89F2A5" w14:textId="77777777" w:rsidR="00806E5D" w:rsidRPr="00244CCE" w:rsidRDefault="00806E5D" w:rsidP="00F73DD3"/>
    <w:p w14:paraId="3A2E5CD0" w14:textId="77777777" w:rsidR="00806E5D" w:rsidRPr="00244CCE" w:rsidRDefault="00806E5D" w:rsidP="00F73DD3"/>
    <w:p w14:paraId="1FAB6C3C" w14:textId="77777777" w:rsidR="00806E5D" w:rsidRPr="00244CCE" w:rsidRDefault="00806E5D" w:rsidP="00F73DD3">
      <w:pPr>
        <w:pStyle w:val="Heading1"/>
        <w:numPr>
          <w:ilvl w:val="0"/>
          <w:numId w:val="10"/>
        </w:numPr>
      </w:pPr>
      <w:bookmarkStart w:id="8" w:name="_Toc440800998"/>
      <w:bookmarkStart w:id="9" w:name="_Toc454876749"/>
      <w:bookmarkStart w:id="10" w:name="_Toc487421786"/>
      <w:bookmarkStart w:id="11" w:name="_Toc498425901"/>
      <w:bookmarkStart w:id="12" w:name="_Toc328640616"/>
      <w:bookmarkStart w:id="13" w:name="_Toc333317533"/>
      <w:bookmarkStart w:id="14" w:name="_Toc333331187"/>
      <w:bookmarkStart w:id="15" w:name="_Toc333395142"/>
      <w:bookmarkStart w:id="16" w:name="_Toc333510428"/>
      <w:bookmarkStart w:id="17" w:name="_Toc333510535"/>
      <w:bookmarkStart w:id="18" w:name="_Toc4508003"/>
      <w:bookmarkStart w:id="19" w:name="_Toc5704479"/>
      <w:bookmarkStart w:id="20" w:name="_Toc30412724"/>
      <w:r w:rsidRPr="00244CCE">
        <w:t>Introduction</w:t>
      </w:r>
      <w:bookmarkEnd w:id="8"/>
      <w:bookmarkEnd w:id="9"/>
      <w:bookmarkEnd w:id="10"/>
      <w:bookmarkEnd w:id="11"/>
      <w:bookmarkEnd w:id="12"/>
      <w:bookmarkEnd w:id="13"/>
      <w:bookmarkEnd w:id="14"/>
      <w:bookmarkEnd w:id="15"/>
      <w:bookmarkEnd w:id="16"/>
      <w:bookmarkEnd w:id="17"/>
      <w:bookmarkEnd w:id="18"/>
      <w:bookmarkEnd w:id="19"/>
      <w:bookmarkEnd w:id="20"/>
    </w:p>
    <w:bookmarkEnd w:id="6"/>
    <w:p w14:paraId="2B1E9225" w14:textId="3286FA81" w:rsidR="00DA0AF4" w:rsidRPr="00244CCE" w:rsidRDefault="00DA0AF4" w:rsidP="00F73DD3">
      <w:pPr>
        <w:pStyle w:val="BodyText"/>
        <w:numPr>
          <w:ilvl w:val="6"/>
          <w:numId w:val="11"/>
        </w:numPr>
      </w:pPr>
      <w:r w:rsidRPr="00244CCE">
        <w:t>The United</w:t>
      </w:r>
      <w:r w:rsidR="00945567" w:rsidRPr="00244CCE">
        <w:t> States</w:t>
      </w:r>
      <w:r w:rsidRPr="00244CCE">
        <w:t xml:space="preserve"> appeals certain issues of law and legal interpretations developed in the Panel</w:t>
      </w:r>
      <w:r w:rsidR="00062DDD" w:rsidRPr="00244CCE">
        <w:t> Report</w:t>
      </w:r>
      <w:r w:rsidRPr="00244CCE">
        <w:t xml:space="preserve">, </w:t>
      </w:r>
      <w:r w:rsidRPr="00244CCE">
        <w:rPr>
          <w:i/>
        </w:rPr>
        <w:t>United</w:t>
      </w:r>
      <w:r w:rsidR="00945567" w:rsidRPr="00244CCE">
        <w:rPr>
          <w:i/>
        </w:rPr>
        <w:t> States</w:t>
      </w:r>
      <w:r w:rsidRPr="00244CCE">
        <w:rPr>
          <w:i/>
        </w:rPr>
        <w:t xml:space="preserve"> – Countervailing Measures on </w:t>
      </w:r>
      <w:proofErr w:type="spellStart"/>
      <w:r w:rsidRPr="00244CCE">
        <w:rPr>
          <w:i/>
        </w:rPr>
        <w:t>Supercalendered</w:t>
      </w:r>
      <w:proofErr w:type="spellEnd"/>
      <w:r w:rsidRPr="00244CCE">
        <w:rPr>
          <w:i/>
        </w:rPr>
        <w:t xml:space="preserve"> Paper from Canada</w:t>
      </w:r>
      <w:r w:rsidRPr="00F97844">
        <w:rPr>
          <w:rStyle w:val="FootnoteReference"/>
          <w:rFonts w:cs="Arial"/>
          <w:szCs w:val="18"/>
        </w:rPr>
        <w:footnoteReference w:id="2"/>
      </w:r>
      <w:r w:rsidRPr="00F97844">
        <w:t xml:space="preserve"> (Panel Report). The Panel was established on 21 July 2016</w:t>
      </w:r>
      <w:r w:rsidRPr="00F97844">
        <w:rPr>
          <w:rStyle w:val="FootnoteReference"/>
          <w:rFonts w:cs="Arial"/>
          <w:szCs w:val="18"/>
        </w:rPr>
        <w:footnoteReference w:id="3"/>
      </w:r>
      <w:r w:rsidRPr="00F97844">
        <w:t xml:space="preserve"> to consider a complaint by Canada</w:t>
      </w:r>
      <w:r w:rsidRPr="00F97844">
        <w:rPr>
          <w:rStyle w:val="FootnoteReference"/>
          <w:rFonts w:cs="Arial"/>
          <w:szCs w:val="18"/>
        </w:rPr>
        <w:footnoteReference w:id="4"/>
      </w:r>
      <w:r w:rsidRPr="00F97844">
        <w:t xml:space="preserve"> with respect to the consistency of certain United</w:t>
      </w:r>
      <w:r w:rsidR="00945567" w:rsidRPr="00F97844">
        <w:t> States</w:t>
      </w:r>
      <w:r w:rsidRPr="00F97844">
        <w:t xml:space="preserve"> measures with the </w:t>
      </w:r>
      <w:r w:rsidRPr="00F97844">
        <w:rPr>
          <w:lang w:eastAsia="ja-JP"/>
        </w:rPr>
        <w:t xml:space="preserve">Agreement on Subsidies and Countervailing Measures (SCM Agreement). </w:t>
      </w:r>
    </w:p>
    <w:p w14:paraId="4ED94F83" w14:textId="42DB920E" w:rsidR="00DA0AF4" w:rsidRPr="00244CCE" w:rsidRDefault="00DA0AF4" w:rsidP="00F73DD3">
      <w:pPr>
        <w:pStyle w:val="BodyText"/>
        <w:numPr>
          <w:ilvl w:val="6"/>
          <w:numId w:val="11"/>
        </w:numPr>
      </w:pPr>
      <w:proofErr w:type="gramStart"/>
      <w:r w:rsidRPr="00244CCE">
        <w:rPr>
          <w:lang w:eastAsia="ja-JP"/>
        </w:rPr>
        <w:t>In particular, Canada</w:t>
      </w:r>
      <w:proofErr w:type="gramEnd"/>
      <w:r w:rsidRPr="00244CCE">
        <w:rPr>
          <w:lang w:eastAsia="ja-JP"/>
        </w:rPr>
        <w:t xml:space="preserve"> challenged </w:t>
      </w:r>
      <w:r w:rsidRPr="00244CCE">
        <w:t>certain countervailing duty (CVD) measures adopted by the United</w:t>
      </w:r>
      <w:r w:rsidR="00945567" w:rsidRPr="00244CCE">
        <w:t> States</w:t>
      </w:r>
      <w:r w:rsidRPr="00244CCE">
        <w:t xml:space="preserve"> on </w:t>
      </w:r>
      <w:proofErr w:type="spellStart"/>
      <w:r w:rsidR="004611F3" w:rsidRPr="00244CCE">
        <w:t>s</w:t>
      </w:r>
      <w:r w:rsidRPr="00244CCE">
        <w:t>upercalendered</w:t>
      </w:r>
      <w:proofErr w:type="spellEnd"/>
      <w:r w:rsidRPr="00244CCE">
        <w:t xml:space="preserve"> </w:t>
      </w:r>
      <w:r w:rsidR="004611F3" w:rsidRPr="00244CCE">
        <w:t>p</w:t>
      </w:r>
      <w:r w:rsidRPr="00244CCE">
        <w:t>aper from Canada. Canada made multiple claims of inconsistency in relation to the U</w:t>
      </w:r>
      <w:r w:rsidR="00885B18" w:rsidRPr="00244CCE">
        <w:t>nited</w:t>
      </w:r>
      <w:r w:rsidR="00CF40A8" w:rsidRPr="00244CCE">
        <w:t> States</w:t>
      </w:r>
      <w:r w:rsidR="00885B18" w:rsidRPr="00244CCE">
        <w:t xml:space="preserve"> </w:t>
      </w:r>
      <w:r w:rsidRPr="00244CCE">
        <w:t>D</w:t>
      </w:r>
      <w:r w:rsidR="00885B18" w:rsidRPr="00244CCE">
        <w:t xml:space="preserve">epartment of </w:t>
      </w:r>
      <w:r w:rsidRPr="00244CCE">
        <w:t>C</w:t>
      </w:r>
      <w:r w:rsidR="00885B18" w:rsidRPr="00244CCE">
        <w:t>ommerce</w:t>
      </w:r>
      <w:r w:rsidRPr="00244CCE">
        <w:t>'s</w:t>
      </w:r>
      <w:r w:rsidR="00885B18" w:rsidRPr="00244CCE">
        <w:t xml:space="preserve"> (USDOC)</w:t>
      </w:r>
      <w:r w:rsidRPr="00244CCE">
        <w:t xml:space="preserve"> CVD</w:t>
      </w:r>
      <w:r w:rsidR="0055406A" w:rsidRPr="00244CCE">
        <w:t> </w:t>
      </w:r>
      <w:r w:rsidRPr="00244CCE">
        <w:t xml:space="preserve">determinations regarding Canadian producers Port Hawkesbury Paper LP (PHP), Resolute FP Canada Inc. (Resolute), Irving Paper Ltd (Irving), and Catalyst Paper Corporation (Catalyst). Canada also challenged an alleged unwritten </w:t>
      </w:r>
      <w:r w:rsidR="00686A6B" w:rsidRPr="00244CCE">
        <w:t>"</w:t>
      </w:r>
      <w:r w:rsidRPr="00244CCE">
        <w:t>ongoing conduct</w:t>
      </w:r>
      <w:r w:rsidR="00686A6B" w:rsidRPr="00244CCE">
        <w:t>"</w:t>
      </w:r>
      <w:r w:rsidRPr="00244CCE">
        <w:t xml:space="preserve"> measure </w:t>
      </w:r>
      <w:r w:rsidR="00885B18" w:rsidRPr="00244CCE">
        <w:t xml:space="preserve">attributable </w:t>
      </w:r>
      <w:r w:rsidRPr="00244CCE">
        <w:t>to the United</w:t>
      </w:r>
      <w:r w:rsidR="00945567" w:rsidRPr="00244CCE">
        <w:t> States</w:t>
      </w:r>
      <w:r w:rsidRPr="00244CCE">
        <w:t xml:space="preserve"> that consisted </w:t>
      </w:r>
      <w:r w:rsidR="00867478" w:rsidRPr="00244CCE">
        <w:t xml:space="preserve">of </w:t>
      </w:r>
      <w:r w:rsidRPr="00244CCE">
        <w:t xml:space="preserve">the </w:t>
      </w:r>
      <w:r w:rsidR="00885B18" w:rsidRPr="00244CCE">
        <w:rPr>
          <w:szCs w:val="18"/>
        </w:rPr>
        <w:t>USDOC</w:t>
      </w:r>
      <w:r w:rsidRPr="00244CCE">
        <w:rPr>
          <w:szCs w:val="18"/>
        </w:rPr>
        <w:t xml:space="preserve"> </w:t>
      </w:r>
      <w:r w:rsidRPr="00244CCE">
        <w:t>applying adverse facts available (AFA) to find countervailable subsidies in relation to programmes discovered during CVD investigation</w:t>
      </w:r>
      <w:r w:rsidR="00885B18" w:rsidRPr="00244CCE">
        <w:t>s</w:t>
      </w:r>
      <w:r w:rsidRPr="00244CCE">
        <w:t xml:space="preserve"> that were not reported in response to the USDOC's "other forms of assistance" (OFA)</w:t>
      </w:r>
      <w:r w:rsidR="009D30CA" w:rsidRPr="00244CCE">
        <w:t> </w:t>
      </w:r>
      <w:r w:rsidRPr="00244CCE">
        <w:t>question (the OFA</w:t>
      </w:r>
      <w:r w:rsidR="007643D6" w:rsidRPr="00244CCE">
        <w:noBreakHyphen/>
      </w:r>
      <w:r w:rsidRPr="00244CCE">
        <w:t>AFA measure).</w:t>
      </w:r>
      <w:r w:rsidRPr="00F97844">
        <w:rPr>
          <w:rStyle w:val="FootnoteReference"/>
        </w:rPr>
        <w:footnoteReference w:id="5"/>
      </w:r>
      <w:r w:rsidRPr="00F97844">
        <w:t xml:space="preserve"> Canada requested the Panel </w:t>
      </w:r>
      <w:r w:rsidR="000E24B1" w:rsidRPr="00F97844">
        <w:t xml:space="preserve">to </w:t>
      </w:r>
      <w:r w:rsidRPr="00244CCE">
        <w:t>find that the United</w:t>
      </w:r>
      <w:r w:rsidR="00945567" w:rsidRPr="00244CCE">
        <w:t> States</w:t>
      </w:r>
      <w:r w:rsidRPr="00244CCE">
        <w:t xml:space="preserve"> acted inconsistent</w:t>
      </w:r>
      <w:r w:rsidR="00485028" w:rsidRPr="00244CCE">
        <w:t>ly</w:t>
      </w:r>
      <w:r w:rsidRPr="00244CCE">
        <w:t xml:space="preserve"> with Articles</w:t>
      </w:r>
      <w:r w:rsidR="00980BB5" w:rsidRPr="00244CCE">
        <w:t> </w:t>
      </w:r>
      <w:r w:rsidRPr="00244CCE">
        <w:t>1.1(a)(1), 1.1(b), 2, 10, 11.1</w:t>
      </w:r>
      <w:r w:rsidR="00572523" w:rsidRPr="00244CCE">
        <w:t>-</w:t>
      </w:r>
      <w:r w:rsidRPr="00244CCE">
        <w:t>11.3, 11.6, 12.1</w:t>
      </w:r>
      <w:r w:rsidR="00572523" w:rsidRPr="00244CCE">
        <w:t>-</w:t>
      </w:r>
      <w:r w:rsidRPr="00244CCE">
        <w:t>12.3, 12.7</w:t>
      </w:r>
      <w:r w:rsidR="00572523" w:rsidRPr="00244CCE">
        <w:t>-</w:t>
      </w:r>
      <w:r w:rsidRPr="00244CCE">
        <w:t>12.8, 14, 19.1, 19.3</w:t>
      </w:r>
      <w:r w:rsidR="0035214A" w:rsidRPr="00244CCE">
        <w:t>-</w:t>
      </w:r>
      <w:r w:rsidRPr="00244CCE">
        <w:t>19.4, and32.1 of the SCM Agreement and Article</w:t>
      </w:r>
      <w:r w:rsidR="00945567" w:rsidRPr="00244CCE">
        <w:t> </w:t>
      </w:r>
      <w:r w:rsidRPr="00244CCE">
        <w:t>VI:3 of the G</w:t>
      </w:r>
      <w:r w:rsidR="00496351" w:rsidRPr="00244CCE">
        <w:t>eneral</w:t>
      </w:r>
      <w:r w:rsidR="00AB41C3" w:rsidRPr="00244CCE">
        <w:t> </w:t>
      </w:r>
      <w:r w:rsidRPr="00244CCE">
        <w:t>A</w:t>
      </w:r>
      <w:r w:rsidR="00496351" w:rsidRPr="00244CCE">
        <w:t xml:space="preserve">greement on </w:t>
      </w:r>
      <w:r w:rsidRPr="00244CCE">
        <w:t>T</w:t>
      </w:r>
      <w:r w:rsidR="00496351" w:rsidRPr="00244CCE">
        <w:t xml:space="preserve">ariffs and </w:t>
      </w:r>
      <w:r w:rsidRPr="00244CCE">
        <w:t>T</w:t>
      </w:r>
      <w:r w:rsidR="00496351" w:rsidRPr="00244CCE">
        <w:t>rade</w:t>
      </w:r>
      <w:r w:rsidR="00945567" w:rsidRPr="00244CCE">
        <w:t> 1994</w:t>
      </w:r>
      <w:r w:rsidR="00496351" w:rsidRPr="00244CCE">
        <w:t xml:space="preserve"> (GATT</w:t>
      </w:r>
      <w:r w:rsidR="00CF40A8" w:rsidRPr="00244CCE">
        <w:t> 1994</w:t>
      </w:r>
      <w:r w:rsidR="00496351" w:rsidRPr="00244CCE">
        <w:t>)</w:t>
      </w:r>
      <w:r w:rsidRPr="00244CCE">
        <w:t>.</w:t>
      </w:r>
      <w:r w:rsidRPr="00F97844">
        <w:rPr>
          <w:rStyle w:val="FootnoteReference"/>
        </w:rPr>
        <w:footnoteReference w:id="6"/>
      </w:r>
      <w:r w:rsidRPr="00F97844">
        <w:t xml:space="preserve"> The United</w:t>
      </w:r>
      <w:r w:rsidR="00945567" w:rsidRPr="00F97844">
        <w:t> States</w:t>
      </w:r>
      <w:r w:rsidRPr="00F97844">
        <w:t xml:space="preserve"> disagreed with Canada's</w:t>
      </w:r>
      <w:r w:rsidR="00E30290" w:rsidRPr="00F97844">
        <w:t> </w:t>
      </w:r>
      <w:r w:rsidRPr="00244CCE">
        <w:t>claims in their entirety.</w:t>
      </w:r>
      <w:r w:rsidRPr="00F97844">
        <w:rPr>
          <w:rStyle w:val="FootnoteReference"/>
        </w:rPr>
        <w:footnoteReference w:id="7"/>
      </w:r>
      <w:r w:rsidRPr="00F97844">
        <w:t xml:space="preserve"> The factual aspects of this dispute are set </w:t>
      </w:r>
      <w:r w:rsidR="00885B18" w:rsidRPr="00F97844">
        <w:t xml:space="preserve">out </w:t>
      </w:r>
      <w:r w:rsidRPr="00F97844">
        <w:t>in greater detail in the Panel</w:t>
      </w:r>
      <w:r w:rsidR="00062DDD" w:rsidRPr="00F97844">
        <w:t> Report</w:t>
      </w:r>
      <w:r w:rsidRPr="00244CCE">
        <w:t>.</w:t>
      </w:r>
    </w:p>
    <w:p w14:paraId="01CC25AB" w14:textId="1BCEF70F" w:rsidR="00DA0AF4" w:rsidRPr="00244CCE" w:rsidRDefault="00DA0AF4" w:rsidP="00F73DD3">
      <w:pPr>
        <w:pStyle w:val="BodyText"/>
        <w:numPr>
          <w:ilvl w:val="6"/>
          <w:numId w:val="11"/>
        </w:numPr>
      </w:pPr>
      <w:r w:rsidRPr="00244CCE">
        <w:t>In the Panel</w:t>
      </w:r>
      <w:r w:rsidR="00062DDD" w:rsidRPr="00244CCE">
        <w:t> Report</w:t>
      </w:r>
      <w:r w:rsidRPr="00244CCE">
        <w:t xml:space="preserve">, circulated to Members of the World Trade Organization (WTO) on 5 July 2018, the Panel </w:t>
      </w:r>
      <w:r w:rsidR="001804A6" w:rsidRPr="00244CCE">
        <w:t>concluded as follows</w:t>
      </w:r>
      <w:r w:rsidRPr="00244CCE">
        <w:t>:</w:t>
      </w:r>
    </w:p>
    <w:p w14:paraId="0FCDB2C4" w14:textId="69523E49" w:rsidR="00DA0AF4" w:rsidRPr="00244CCE" w:rsidRDefault="00885B18" w:rsidP="00F73DD3">
      <w:pPr>
        <w:pStyle w:val="BodyText2"/>
      </w:pPr>
      <w:r w:rsidRPr="00244CCE">
        <w:t xml:space="preserve">for </w:t>
      </w:r>
      <w:r w:rsidR="00DA0AF4" w:rsidRPr="00244CCE">
        <w:t xml:space="preserve">the claims concerning the USDOC's CVD determination with respect to PHP: </w:t>
      </w:r>
    </w:p>
    <w:p w14:paraId="614FD209" w14:textId="78CA3769" w:rsidR="00DA0AF4" w:rsidRPr="00244CCE" w:rsidRDefault="00885B18" w:rsidP="00F73DD3">
      <w:pPr>
        <w:pStyle w:val="BodyText3"/>
        <w:numPr>
          <w:ilvl w:val="8"/>
          <w:numId w:val="12"/>
        </w:numPr>
        <w:rPr>
          <w:szCs w:val="18"/>
        </w:rPr>
      </w:pPr>
      <w:r w:rsidRPr="00244CCE">
        <w:rPr>
          <w:szCs w:val="18"/>
        </w:rPr>
        <w:lastRenderedPageBreak/>
        <w:t xml:space="preserve">the </w:t>
      </w:r>
      <w:r w:rsidR="00DA0AF4" w:rsidRPr="00244CCE">
        <w:rPr>
          <w:szCs w:val="18"/>
        </w:rPr>
        <w:t>USDOC acted inconsistently with Article</w:t>
      </w:r>
      <w:r w:rsidR="00945567" w:rsidRPr="00244CCE">
        <w:rPr>
          <w:szCs w:val="18"/>
        </w:rPr>
        <w:t> </w:t>
      </w:r>
      <w:r w:rsidR="00DA0AF4" w:rsidRPr="00244CCE">
        <w:rPr>
          <w:szCs w:val="18"/>
        </w:rPr>
        <w:t>1.1(a)(1)(iv)</w:t>
      </w:r>
      <w:r w:rsidR="00062DDD" w:rsidRPr="00244CCE">
        <w:rPr>
          <w:szCs w:val="18"/>
        </w:rPr>
        <w:t> </w:t>
      </w:r>
      <w:r w:rsidR="00DA0AF4" w:rsidRPr="00244CCE">
        <w:rPr>
          <w:szCs w:val="18"/>
        </w:rPr>
        <w:t>of the SCM</w:t>
      </w:r>
      <w:r w:rsidR="00945567" w:rsidRPr="00244CCE">
        <w:rPr>
          <w:szCs w:val="18"/>
        </w:rPr>
        <w:t> Agreement</w:t>
      </w:r>
      <w:r w:rsidR="00DA0AF4" w:rsidRPr="00244CCE">
        <w:rPr>
          <w:szCs w:val="18"/>
        </w:rPr>
        <w:t xml:space="preserve">, by making a finding of entrustment or direction with respect to the provision of electricity by </w:t>
      </w:r>
      <w:r w:rsidR="00DA0AF4" w:rsidRPr="00244CCE">
        <w:t>Nova Scotia Power Incorporated</w:t>
      </w:r>
      <w:r w:rsidR="00DA0AF4" w:rsidRPr="00244CCE">
        <w:rPr>
          <w:szCs w:val="18"/>
        </w:rPr>
        <w:t xml:space="preserve"> (NSPI</w:t>
      </w:r>
      <w:proofErr w:type="gramStart"/>
      <w:r w:rsidR="00DA0AF4" w:rsidRPr="00244CCE">
        <w:rPr>
          <w:szCs w:val="18"/>
        </w:rPr>
        <w:t>);</w:t>
      </w:r>
      <w:proofErr w:type="gramEnd"/>
    </w:p>
    <w:p w14:paraId="4E398307" w14:textId="4BA6870F" w:rsidR="00DA0AF4" w:rsidRPr="00244CCE" w:rsidRDefault="00885B18"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Articles</w:t>
      </w:r>
      <w:r w:rsidR="00437FC5" w:rsidRPr="00244CCE">
        <w:rPr>
          <w:szCs w:val="18"/>
        </w:rPr>
        <w:t> </w:t>
      </w:r>
      <w:r w:rsidR="00DA0AF4" w:rsidRPr="00244CCE">
        <w:rPr>
          <w:szCs w:val="18"/>
        </w:rPr>
        <w:t xml:space="preserve">1.1(b) and 14(d) of the SCM Agreement, when it determined that the </w:t>
      </w:r>
      <w:r w:rsidR="00DA0AF4" w:rsidRPr="00244CCE">
        <w:t>provision</w:t>
      </w:r>
      <w:r w:rsidR="00DA0AF4" w:rsidRPr="00244CCE">
        <w:rPr>
          <w:szCs w:val="18"/>
        </w:rPr>
        <w:t xml:space="preserve"> of electricity by NSPI to PHP, through the </w:t>
      </w:r>
      <w:r w:rsidR="0035214A" w:rsidRPr="00244CCE">
        <w:rPr>
          <w:szCs w:val="18"/>
        </w:rPr>
        <w:t>l</w:t>
      </w:r>
      <w:r w:rsidR="00DA0AF4" w:rsidRPr="00244CCE">
        <w:rPr>
          <w:szCs w:val="18"/>
        </w:rPr>
        <w:t xml:space="preserve">oad </w:t>
      </w:r>
      <w:r w:rsidR="0035214A" w:rsidRPr="00244CCE">
        <w:rPr>
          <w:szCs w:val="18"/>
        </w:rPr>
        <w:t>r</w:t>
      </w:r>
      <w:r w:rsidR="00DA0AF4" w:rsidRPr="00244CCE">
        <w:rPr>
          <w:szCs w:val="18"/>
        </w:rPr>
        <w:t xml:space="preserve">etention </w:t>
      </w:r>
      <w:r w:rsidR="0035214A" w:rsidRPr="00244CCE">
        <w:rPr>
          <w:szCs w:val="18"/>
        </w:rPr>
        <w:t>r</w:t>
      </w:r>
      <w:r w:rsidR="00DA0AF4" w:rsidRPr="00244CCE">
        <w:rPr>
          <w:szCs w:val="18"/>
        </w:rPr>
        <w:t xml:space="preserve">ate, conferred a </w:t>
      </w:r>
      <w:proofErr w:type="gramStart"/>
      <w:r w:rsidR="00DA0AF4" w:rsidRPr="00244CCE">
        <w:rPr>
          <w:szCs w:val="18"/>
        </w:rPr>
        <w:t>benefit;</w:t>
      </w:r>
      <w:proofErr w:type="gramEnd"/>
    </w:p>
    <w:p w14:paraId="0F6482A1" w14:textId="01AF86F4" w:rsidR="00DA0AF4" w:rsidRPr="00244CCE" w:rsidRDefault="00885B18"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w:t>
      </w:r>
      <w:r w:rsidR="00945567" w:rsidRPr="00244CCE">
        <w:rPr>
          <w:szCs w:val="18"/>
        </w:rPr>
        <w:t> </w:t>
      </w:r>
      <w:r w:rsidR="00DA0AF4" w:rsidRPr="00244CCE">
        <w:rPr>
          <w:szCs w:val="18"/>
        </w:rPr>
        <w:t>12.8 of the SCM</w:t>
      </w:r>
      <w:r w:rsidR="00945567" w:rsidRPr="00244CCE">
        <w:rPr>
          <w:szCs w:val="18"/>
        </w:rPr>
        <w:t> Agreement</w:t>
      </w:r>
      <w:r w:rsidR="00DA0AF4" w:rsidRPr="00244CCE">
        <w:rPr>
          <w:szCs w:val="18"/>
        </w:rPr>
        <w:t xml:space="preserve">, by failing to disclose to interested parties an </w:t>
      </w:r>
      <w:r w:rsidR="00DA0AF4" w:rsidRPr="00244CCE">
        <w:t>essential</w:t>
      </w:r>
      <w:r w:rsidR="00DA0AF4" w:rsidRPr="00244CCE">
        <w:rPr>
          <w:szCs w:val="18"/>
        </w:rPr>
        <w:t xml:space="preserve"> fact that, in the view of the USDOC, Section</w:t>
      </w:r>
      <w:r w:rsidR="00616BA8" w:rsidRPr="00244CCE">
        <w:rPr>
          <w:szCs w:val="18"/>
        </w:rPr>
        <w:t> </w:t>
      </w:r>
      <w:r w:rsidR="00DA0AF4" w:rsidRPr="00244CCE">
        <w:rPr>
          <w:szCs w:val="18"/>
        </w:rPr>
        <w:t xml:space="preserve">52 of the Public Utilities Act entrusted or directed NSPI to provide electricity to all customers, including PHP; </w:t>
      </w:r>
    </w:p>
    <w:p w14:paraId="1DF42139" w14:textId="45D8F2A4" w:rsidR="00DA0AF4" w:rsidRPr="00244CCE" w:rsidRDefault="00885B18"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w:t>
      </w:r>
      <w:r w:rsidR="00945567" w:rsidRPr="00244CCE">
        <w:rPr>
          <w:szCs w:val="18"/>
        </w:rPr>
        <w:t> </w:t>
      </w:r>
      <w:r w:rsidR="00DA0AF4" w:rsidRPr="00244CCE">
        <w:rPr>
          <w:szCs w:val="18"/>
        </w:rPr>
        <w:t>1.1(b) of the SCM</w:t>
      </w:r>
      <w:r w:rsidR="00945567" w:rsidRPr="00244CCE">
        <w:rPr>
          <w:szCs w:val="18"/>
        </w:rPr>
        <w:t> Agreement</w:t>
      </w:r>
      <w:r w:rsidR="00DA0AF4" w:rsidRPr="00244CCE">
        <w:rPr>
          <w:szCs w:val="18"/>
        </w:rPr>
        <w:t xml:space="preserve">, by finding that the hot idle funding </w:t>
      </w:r>
      <w:r w:rsidR="00DA0AF4" w:rsidRPr="00244CCE">
        <w:t>conferred</w:t>
      </w:r>
      <w:r w:rsidR="00DA0AF4" w:rsidRPr="00244CCE">
        <w:rPr>
          <w:szCs w:val="18"/>
        </w:rPr>
        <w:t xml:space="preserve"> a benefit on Pacific West Commercial Corporation (PWCC)/</w:t>
      </w:r>
      <w:proofErr w:type="gramStart"/>
      <w:r w:rsidR="00DA0AF4" w:rsidRPr="00244CCE">
        <w:rPr>
          <w:szCs w:val="18"/>
        </w:rPr>
        <w:t>PHP;</w:t>
      </w:r>
      <w:proofErr w:type="gramEnd"/>
      <w:r w:rsidR="00DA0AF4" w:rsidRPr="00244CCE">
        <w:rPr>
          <w:szCs w:val="18"/>
        </w:rPr>
        <w:t xml:space="preserve"> </w:t>
      </w:r>
    </w:p>
    <w:p w14:paraId="39AB4D2B" w14:textId="6DB55ECE" w:rsidR="00DA0AF4" w:rsidRPr="00244CCE" w:rsidRDefault="00496351"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w:t>
      </w:r>
      <w:r w:rsidR="00945567" w:rsidRPr="00244CCE">
        <w:rPr>
          <w:szCs w:val="18"/>
        </w:rPr>
        <w:t> </w:t>
      </w:r>
      <w:r w:rsidR="00DA0AF4" w:rsidRPr="00244CCE">
        <w:rPr>
          <w:szCs w:val="18"/>
        </w:rPr>
        <w:t>1.1(b) of the SCM</w:t>
      </w:r>
      <w:r w:rsidR="00945567" w:rsidRPr="00244CCE">
        <w:rPr>
          <w:szCs w:val="18"/>
        </w:rPr>
        <w:t> Agreement</w:t>
      </w:r>
      <w:r w:rsidR="00DA0AF4" w:rsidRPr="00244CCE">
        <w:rPr>
          <w:szCs w:val="18"/>
        </w:rPr>
        <w:t>, by finding that the second Forestry Infrastructure Fund amount conferred a benefit on PWCC/PHP;</w:t>
      </w:r>
      <w:r w:rsidR="00AB3DCB" w:rsidRPr="00244CCE">
        <w:rPr>
          <w:szCs w:val="18"/>
        </w:rPr>
        <w:t xml:space="preserve"> and</w:t>
      </w:r>
    </w:p>
    <w:p w14:paraId="7BBC2CB4" w14:textId="41D40FE7" w:rsidR="00DA0AF4" w:rsidRPr="00244CCE" w:rsidRDefault="00496351"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w:t>
      </w:r>
      <w:r w:rsidR="00945567" w:rsidRPr="00244CCE">
        <w:rPr>
          <w:szCs w:val="18"/>
        </w:rPr>
        <w:t> </w:t>
      </w:r>
      <w:r w:rsidR="00DA0AF4" w:rsidRPr="00244CCE">
        <w:rPr>
          <w:szCs w:val="18"/>
        </w:rPr>
        <w:t>11.3 of the SCM</w:t>
      </w:r>
      <w:r w:rsidR="00945567" w:rsidRPr="00244CCE">
        <w:rPr>
          <w:szCs w:val="18"/>
        </w:rPr>
        <w:t> Agreement</w:t>
      </w:r>
      <w:r w:rsidR="00DA0AF4" w:rsidRPr="00244CCE">
        <w:rPr>
          <w:szCs w:val="18"/>
        </w:rPr>
        <w:t xml:space="preserve">, by failing in its obligation to evaluate the accuracy and adequacy of the evidence in the application with respect to the existence of a benefit in the provision of stumpage and biomass by the Government of Nova Scotia to PHP; </w:t>
      </w:r>
    </w:p>
    <w:p w14:paraId="7D0BFD88" w14:textId="7F72EB34" w:rsidR="00DA0AF4" w:rsidRPr="00244CCE" w:rsidRDefault="00496351" w:rsidP="00F73DD3">
      <w:pPr>
        <w:pStyle w:val="BodyText2"/>
      </w:pPr>
      <w:r w:rsidRPr="00244CCE">
        <w:t xml:space="preserve">for </w:t>
      </w:r>
      <w:r w:rsidR="00DA0AF4" w:rsidRPr="00244CCE">
        <w:t>the claims concerning the USDOC's CVD determination with respect to Resolute:</w:t>
      </w:r>
    </w:p>
    <w:p w14:paraId="500A4C42" w14:textId="76B6255F" w:rsidR="00DA0AF4" w:rsidRPr="00244CCE" w:rsidRDefault="00496351" w:rsidP="00F73DD3">
      <w:pPr>
        <w:pStyle w:val="BodyText3"/>
        <w:numPr>
          <w:ilvl w:val="8"/>
          <w:numId w:val="36"/>
        </w:numPr>
        <w:rPr>
          <w:szCs w:val="18"/>
        </w:rPr>
      </w:pPr>
      <w:r w:rsidRPr="00244CCE">
        <w:rPr>
          <w:szCs w:val="18"/>
        </w:rPr>
        <w:t xml:space="preserve">the </w:t>
      </w:r>
      <w:r w:rsidR="00DA0AF4" w:rsidRPr="00244CCE">
        <w:rPr>
          <w:szCs w:val="18"/>
        </w:rPr>
        <w:t>USDOC acted inconsistently with Article</w:t>
      </w:r>
      <w:r w:rsidR="00945567" w:rsidRPr="00244CCE">
        <w:rPr>
          <w:szCs w:val="18"/>
        </w:rPr>
        <w:t> </w:t>
      </w:r>
      <w:r w:rsidR="00DA0AF4" w:rsidRPr="00244CCE">
        <w:rPr>
          <w:szCs w:val="18"/>
        </w:rPr>
        <w:t>12.7 of the SCM</w:t>
      </w:r>
      <w:r w:rsidR="00945567" w:rsidRPr="00244CCE">
        <w:rPr>
          <w:szCs w:val="18"/>
        </w:rPr>
        <w:t> Agreement</w:t>
      </w:r>
      <w:r w:rsidR="00DA0AF4" w:rsidRPr="00244CCE">
        <w:rPr>
          <w:szCs w:val="18"/>
        </w:rPr>
        <w:t xml:space="preserve">, by applying facts available to the discovered </w:t>
      </w:r>
      <w:proofErr w:type="gramStart"/>
      <w:r w:rsidR="00DA0AF4" w:rsidRPr="00244CCE">
        <w:rPr>
          <w:szCs w:val="18"/>
        </w:rPr>
        <w:t>programmes;</w:t>
      </w:r>
      <w:proofErr w:type="gramEnd"/>
    </w:p>
    <w:p w14:paraId="361C5193" w14:textId="6F91CE05" w:rsidR="00DA0AF4" w:rsidRPr="00244CCE" w:rsidRDefault="00E479E9" w:rsidP="00F73DD3">
      <w:pPr>
        <w:pStyle w:val="BodyText3"/>
        <w:numPr>
          <w:ilvl w:val="8"/>
          <w:numId w:val="12"/>
        </w:numPr>
      </w:pPr>
      <w:r w:rsidRPr="00244CCE">
        <w:t xml:space="preserve">the </w:t>
      </w:r>
      <w:r w:rsidR="00DA0AF4" w:rsidRPr="00244CCE">
        <w:t>Panel declined to rule on Canada's claims under Articles</w:t>
      </w:r>
      <w:r w:rsidR="00437FC5" w:rsidRPr="00244CCE">
        <w:t> </w:t>
      </w:r>
      <w:r w:rsidR="00DA0AF4" w:rsidRPr="00244CCE">
        <w:t>11.2</w:t>
      </w:r>
      <w:r w:rsidR="0035214A" w:rsidRPr="00244CCE">
        <w:t>-</w:t>
      </w:r>
      <w:r w:rsidR="00DA0AF4" w:rsidRPr="00244CCE">
        <w:t>11.3, 12.1</w:t>
      </w:r>
      <w:r w:rsidR="0035214A" w:rsidRPr="00244CCE">
        <w:t>-</w:t>
      </w:r>
      <w:r w:rsidR="00DA0AF4" w:rsidRPr="00244CCE">
        <w:t>12.3, and 12.8 of the SCM</w:t>
      </w:r>
      <w:r w:rsidR="00945567" w:rsidRPr="00244CCE">
        <w:t> Agreement</w:t>
      </w:r>
      <w:r w:rsidR="00DA0AF4" w:rsidRPr="00244CCE">
        <w:t xml:space="preserve">, regarding the discovered </w:t>
      </w:r>
      <w:proofErr w:type="gramStart"/>
      <w:r w:rsidR="00DA0AF4" w:rsidRPr="00244CCE">
        <w:t>programmes;</w:t>
      </w:r>
      <w:proofErr w:type="gramEnd"/>
    </w:p>
    <w:p w14:paraId="777246D2" w14:textId="3678D00B" w:rsidR="00DA0AF4" w:rsidRPr="00244CCE" w:rsidRDefault="00496351"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w:t>
      </w:r>
      <w:r w:rsidR="00945567" w:rsidRPr="00244CCE">
        <w:rPr>
          <w:szCs w:val="18"/>
        </w:rPr>
        <w:t> </w:t>
      </w:r>
      <w:r w:rsidR="00DA0AF4" w:rsidRPr="00244CCE">
        <w:rPr>
          <w:szCs w:val="18"/>
        </w:rPr>
        <w:t>1.1(b) of the SCM</w:t>
      </w:r>
      <w:r w:rsidR="00945567" w:rsidRPr="00244CCE">
        <w:rPr>
          <w:szCs w:val="18"/>
        </w:rPr>
        <w:t> Agreement</w:t>
      </w:r>
      <w:r w:rsidR="00DA0AF4" w:rsidRPr="00244CCE">
        <w:rPr>
          <w:szCs w:val="18"/>
        </w:rPr>
        <w:t xml:space="preserve">, by finding, on the basis of an alleged lack of relevant evidence, that the benefit conferred on </w:t>
      </w:r>
      <w:proofErr w:type="spellStart"/>
      <w:r w:rsidR="00DA0AF4" w:rsidRPr="00244CCE">
        <w:t>Fibrek</w:t>
      </w:r>
      <w:proofErr w:type="spellEnd"/>
      <w:r w:rsidR="00DA0AF4" w:rsidRPr="00244CCE">
        <w:t xml:space="preserve"> General Partnership (</w:t>
      </w:r>
      <w:proofErr w:type="spellStart"/>
      <w:r w:rsidR="00DA0AF4" w:rsidRPr="00244CCE">
        <w:rPr>
          <w:szCs w:val="18"/>
        </w:rPr>
        <w:t>Fibrek</w:t>
      </w:r>
      <w:proofErr w:type="spellEnd"/>
      <w:r w:rsidR="00DA0AF4" w:rsidRPr="00244CCE">
        <w:rPr>
          <w:szCs w:val="18"/>
        </w:rPr>
        <w:t>)</w:t>
      </w:r>
      <w:r w:rsidR="001C02CD" w:rsidRPr="00244CCE">
        <w:rPr>
          <w:szCs w:val="18"/>
        </w:rPr>
        <w:t xml:space="preserve"> through the </w:t>
      </w:r>
      <w:r w:rsidR="00ED21F1" w:rsidRPr="00244CCE">
        <w:rPr>
          <w:szCs w:val="18"/>
        </w:rPr>
        <w:t>f</w:t>
      </w:r>
      <w:r w:rsidR="001C02CD" w:rsidRPr="00244CCE">
        <w:rPr>
          <w:szCs w:val="18"/>
        </w:rPr>
        <w:t>ederal Pulp and Paper Green Transformation Programme (PPGTP)</w:t>
      </w:r>
      <w:r w:rsidR="00DA0AF4" w:rsidRPr="00244CCE">
        <w:rPr>
          <w:szCs w:val="18"/>
        </w:rPr>
        <w:t xml:space="preserve"> was not extinguished when </w:t>
      </w:r>
      <w:proofErr w:type="spellStart"/>
      <w:r w:rsidR="00DA0AF4" w:rsidRPr="00244CCE">
        <w:rPr>
          <w:szCs w:val="18"/>
        </w:rPr>
        <w:t>Fibrek</w:t>
      </w:r>
      <w:proofErr w:type="spellEnd"/>
      <w:r w:rsidR="00DA0AF4" w:rsidRPr="00244CCE">
        <w:rPr>
          <w:szCs w:val="18"/>
        </w:rPr>
        <w:t xml:space="preserve"> was acquired by Resolute;</w:t>
      </w:r>
    </w:p>
    <w:p w14:paraId="7613DEFF" w14:textId="2FF053CE" w:rsidR="00DA0AF4" w:rsidRPr="00244CCE" w:rsidRDefault="00FE0B44" w:rsidP="00F73DD3">
      <w:pPr>
        <w:pStyle w:val="BodyText3"/>
        <w:numPr>
          <w:ilvl w:val="8"/>
          <w:numId w:val="12"/>
        </w:numPr>
      </w:pPr>
      <w:r w:rsidRPr="00244CCE">
        <w:t xml:space="preserve">the </w:t>
      </w:r>
      <w:r w:rsidR="00DA0AF4" w:rsidRPr="00244CCE">
        <w:t>Panel declined to rule on Canada's claims under Articles</w:t>
      </w:r>
      <w:r w:rsidR="00437FC5" w:rsidRPr="00244CCE">
        <w:t> </w:t>
      </w:r>
      <w:r w:rsidR="00DA0AF4" w:rsidRPr="00244CCE">
        <w:t>10, 14, 19.1</w:t>
      </w:r>
      <w:r w:rsidR="005754AF" w:rsidRPr="00244CCE">
        <w:t>, and</w:t>
      </w:r>
      <w:r w:rsidR="00DA0AF4" w:rsidRPr="00244CCE">
        <w:t xml:space="preserve"> 19.3</w:t>
      </w:r>
      <w:r w:rsidR="005754AF" w:rsidRPr="00244CCE">
        <w:t>-</w:t>
      </w:r>
      <w:r w:rsidR="00DA0AF4" w:rsidRPr="00244CCE">
        <w:t>19.4 of the SCM</w:t>
      </w:r>
      <w:r w:rsidR="00945567" w:rsidRPr="00244CCE">
        <w:t> Agreement</w:t>
      </w:r>
      <w:r w:rsidR="00DA0AF4" w:rsidRPr="00244CCE">
        <w:t xml:space="preserve"> and Article</w:t>
      </w:r>
      <w:r w:rsidR="00945567" w:rsidRPr="00244CCE">
        <w:t> </w:t>
      </w:r>
      <w:r w:rsidR="00DA0AF4" w:rsidRPr="00244CCE">
        <w:t>VI:3 of the GATT</w:t>
      </w:r>
      <w:r w:rsidR="00945567" w:rsidRPr="00244CCE">
        <w:t> 1994</w:t>
      </w:r>
      <w:r w:rsidR="00DA0AF4" w:rsidRPr="00244CCE">
        <w:t xml:space="preserve">, regarding the USDOC's finding that the benefit conferred on </w:t>
      </w:r>
      <w:proofErr w:type="spellStart"/>
      <w:r w:rsidR="00DA0AF4" w:rsidRPr="00244CCE">
        <w:t>Fibrek</w:t>
      </w:r>
      <w:proofErr w:type="spellEnd"/>
      <w:r w:rsidR="00DA0AF4" w:rsidRPr="00244CCE">
        <w:t xml:space="preserve"> through the PPGTP was not extinguished when </w:t>
      </w:r>
      <w:proofErr w:type="spellStart"/>
      <w:r w:rsidR="00DA0AF4" w:rsidRPr="00244CCE">
        <w:t>Fibrek</w:t>
      </w:r>
      <w:proofErr w:type="spellEnd"/>
      <w:r w:rsidR="00DA0AF4" w:rsidRPr="00244CCE">
        <w:t xml:space="preserve"> was acquired by Resolute; </w:t>
      </w:r>
    </w:p>
    <w:p w14:paraId="735ECE73" w14:textId="31CBC84C" w:rsidR="00DA0AF4" w:rsidRPr="00244CCE" w:rsidRDefault="00FE0B44" w:rsidP="00F73DD3">
      <w:pPr>
        <w:pStyle w:val="BodyText3"/>
        <w:numPr>
          <w:ilvl w:val="8"/>
          <w:numId w:val="12"/>
        </w:numPr>
      </w:pPr>
      <w:r w:rsidRPr="00244CCE">
        <w:t xml:space="preserve">the </w:t>
      </w:r>
      <w:r w:rsidR="00DA0AF4" w:rsidRPr="00244CCE">
        <w:t>Panel declined to rule on Canada's claims under Articles</w:t>
      </w:r>
      <w:r w:rsidR="00437FC5" w:rsidRPr="00244CCE">
        <w:t> </w:t>
      </w:r>
      <w:r w:rsidR="00DA0AF4" w:rsidRPr="00244CCE">
        <w:t xml:space="preserve">1.1(b), 10, 14, 19.1, </w:t>
      </w:r>
      <w:r w:rsidR="005754AF" w:rsidRPr="00244CCE">
        <w:t xml:space="preserve">and </w:t>
      </w:r>
      <w:r w:rsidR="00DA0AF4" w:rsidRPr="00244CCE">
        <w:t>19.3</w:t>
      </w:r>
      <w:r w:rsidR="005754AF" w:rsidRPr="00244CCE">
        <w:t>-</w:t>
      </w:r>
      <w:r w:rsidR="00DA0AF4" w:rsidRPr="00244CCE">
        <w:t>19.4 of the SCM</w:t>
      </w:r>
      <w:r w:rsidR="00945567" w:rsidRPr="00244CCE">
        <w:t> Agreement</w:t>
      </w:r>
      <w:r w:rsidR="00DA0AF4" w:rsidRPr="00244CCE">
        <w:t xml:space="preserve"> and Article</w:t>
      </w:r>
      <w:r w:rsidR="00945567" w:rsidRPr="00244CCE">
        <w:t> </w:t>
      </w:r>
      <w:r w:rsidR="00DA0AF4" w:rsidRPr="00244CCE">
        <w:t>VI:3 of the GATT</w:t>
      </w:r>
      <w:r w:rsidR="00945567" w:rsidRPr="00244CCE">
        <w:t> 1994</w:t>
      </w:r>
      <w:r w:rsidR="00DA0AF4" w:rsidRPr="00244CCE">
        <w:t xml:space="preserve">, regarding the USDOC's finding that the benefit conferred on </w:t>
      </w:r>
      <w:proofErr w:type="spellStart"/>
      <w:r w:rsidR="00DA0AF4" w:rsidRPr="00244CCE">
        <w:t>Fibrek</w:t>
      </w:r>
      <w:proofErr w:type="spellEnd"/>
      <w:r w:rsidR="00DA0AF4" w:rsidRPr="00244CCE">
        <w:t xml:space="preserve"> was not extinguished when </w:t>
      </w:r>
      <w:proofErr w:type="spellStart"/>
      <w:r w:rsidR="00DA0AF4" w:rsidRPr="00244CCE">
        <w:t>Fibrek</w:t>
      </w:r>
      <w:proofErr w:type="spellEnd"/>
      <w:r w:rsidR="00DA0AF4" w:rsidRPr="00244CCE">
        <w:t xml:space="preserve"> was acquired by Resolute, with respect to the alleged assistance discovered during the verification of </w:t>
      </w:r>
      <w:proofErr w:type="spellStart"/>
      <w:r w:rsidR="00DA0AF4" w:rsidRPr="00244CCE">
        <w:t>Fibrek</w:t>
      </w:r>
      <w:proofErr w:type="spellEnd"/>
      <w:r w:rsidR="00DA0AF4" w:rsidRPr="00244CCE">
        <w:t xml:space="preserve">; </w:t>
      </w:r>
    </w:p>
    <w:p w14:paraId="17230EB0" w14:textId="71CFE9DE" w:rsidR="00DA0AF4" w:rsidRPr="00244CCE" w:rsidRDefault="00496351"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Articles</w:t>
      </w:r>
      <w:r w:rsidR="00437FC5" w:rsidRPr="00244CCE">
        <w:rPr>
          <w:szCs w:val="18"/>
        </w:rPr>
        <w:t> </w:t>
      </w:r>
      <w:r w:rsidR="00DA0AF4" w:rsidRPr="00244CCE">
        <w:rPr>
          <w:szCs w:val="18"/>
        </w:rPr>
        <w:t xml:space="preserve">10, 19.1, </w:t>
      </w:r>
      <w:r w:rsidR="005754AF" w:rsidRPr="00244CCE">
        <w:rPr>
          <w:szCs w:val="18"/>
        </w:rPr>
        <w:t xml:space="preserve">and </w:t>
      </w:r>
      <w:r w:rsidR="00DA0AF4" w:rsidRPr="00244CCE">
        <w:rPr>
          <w:szCs w:val="18"/>
        </w:rPr>
        <w:t>19.3</w:t>
      </w:r>
      <w:r w:rsidR="005754AF" w:rsidRPr="00244CCE">
        <w:rPr>
          <w:szCs w:val="18"/>
        </w:rPr>
        <w:t>-</w:t>
      </w:r>
      <w:r w:rsidR="00DA0AF4" w:rsidRPr="00244CCE">
        <w:rPr>
          <w:szCs w:val="18"/>
        </w:rPr>
        <w:t>19.4 of the SCM</w:t>
      </w:r>
      <w:r w:rsidR="00945567" w:rsidRPr="00244CCE">
        <w:rPr>
          <w:szCs w:val="18"/>
        </w:rPr>
        <w:t> Agreement</w:t>
      </w:r>
      <w:r w:rsidR="00DA0AF4" w:rsidRPr="00244CCE">
        <w:rPr>
          <w:szCs w:val="18"/>
        </w:rPr>
        <w:t xml:space="preserve"> and Article</w:t>
      </w:r>
      <w:r w:rsidR="00945567" w:rsidRPr="00244CCE">
        <w:rPr>
          <w:szCs w:val="18"/>
        </w:rPr>
        <w:t> </w:t>
      </w:r>
      <w:r w:rsidR="00DA0AF4" w:rsidRPr="00244CCE">
        <w:rPr>
          <w:szCs w:val="18"/>
        </w:rPr>
        <w:t>VI:3 of the GATT</w:t>
      </w:r>
      <w:r w:rsidR="00945567" w:rsidRPr="00244CCE">
        <w:rPr>
          <w:szCs w:val="18"/>
        </w:rPr>
        <w:t> 1994</w:t>
      </w:r>
      <w:r w:rsidR="00DA0AF4" w:rsidRPr="00244CCE">
        <w:rPr>
          <w:szCs w:val="18"/>
        </w:rPr>
        <w:t xml:space="preserve">, by attributing to the production of </w:t>
      </w:r>
      <w:proofErr w:type="spellStart"/>
      <w:r w:rsidR="00DA0AF4" w:rsidRPr="00244CCE">
        <w:rPr>
          <w:szCs w:val="18"/>
        </w:rPr>
        <w:t>supercalendered</w:t>
      </w:r>
      <w:proofErr w:type="spellEnd"/>
      <w:r w:rsidR="00DA0AF4" w:rsidRPr="00244CCE">
        <w:rPr>
          <w:szCs w:val="18"/>
        </w:rPr>
        <w:t xml:space="preserve"> paper </w:t>
      </w:r>
      <w:r w:rsidR="00DA0AF4" w:rsidRPr="00244CCE">
        <w:t xml:space="preserve">subsidies provided to Resolute and </w:t>
      </w:r>
      <w:proofErr w:type="spellStart"/>
      <w:r w:rsidR="00DA0AF4" w:rsidRPr="00244CCE">
        <w:t>Fibrek</w:t>
      </w:r>
      <w:proofErr w:type="spellEnd"/>
      <w:r w:rsidR="00DA0AF4" w:rsidRPr="00244CCE">
        <w:t xml:space="preserve"> under the PPGTP, Ontario Forest Sector Prosperity Fund, and Ontario Northern Industrial Electricity Rate Programmes</w:t>
      </w:r>
      <w:r w:rsidR="00DA0AF4" w:rsidRPr="00244CCE">
        <w:rPr>
          <w:szCs w:val="18"/>
        </w:rPr>
        <w:t xml:space="preserve">; </w:t>
      </w:r>
      <w:r w:rsidR="00AB3DCB" w:rsidRPr="00244CCE">
        <w:rPr>
          <w:szCs w:val="18"/>
        </w:rPr>
        <w:t>and</w:t>
      </w:r>
    </w:p>
    <w:p w14:paraId="36F7219F" w14:textId="504BD6D1" w:rsidR="00DA0AF4" w:rsidRPr="00244CCE" w:rsidRDefault="007B165D" w:rsidP="00F73DD3">
      <w:pPr>
        <w:pStyle w:val="BodyText3"/>
        <w:numPr>
          <w:ilvl w:val="8"/>
          <w:numId w:val="12"/>
        </w:numPr>
      </w:pPr>
      <w:r w:rsidRPr="00244CCE">
        <w:t xml:space="preserve">the </w:t>
      </w:r>
      <w:r w:rsidR="00DA0AF4" w:rsidRPr="00244CCE">
        <w:t>Panel declined to rule on Canada's claims under Articles</w:t>
      </w:r>
      <w:r w:rsidR="00437FC5" w:rsidRPr="00244CCE">
        <w:t> </w:t>
      </w:r>
      <w:r w:rsidR="00DA0AF4" w:rsidRPr="00244CCE">
        <w:t xml:space="preserve">10, 19.1, </w:t>
      </w:r>
      <w:r w:rsidR="00693EFF" w:rsidRPr="00244CCE">
        <w:t xml:space="preserve">and </w:t>
      </w:r>
      <w:r w:rsidR="00DA0AF4" w:rsidRPr="00244CCE">
        <w:t>19.3</w:t>
      </w:r>
      <w:r w:rsidR="00693EFF" w:rsidRPr="00244CCE">
        <w:t>-</w:t>
      </w:r>
      <w:r w:rsidR="00DA0AF4" w:rsidRPr="00244CCE">
        <w:t>19.4 of the SCM</w:t>
      </w:r>
      <w:r w:rsidR="00945567" w:rsidRPr="00244CCE">
        <w:t> Agreement</w:t>
      </w:r>
      <w:r w:rsidR="00DA0AF4" w:rsidRPr="00244CCE">
        <w:t xml:space="preserve"> and Article</w:t>
      </w:r>
      <w:r w:rsidR="00945567" w:rsidRPr="00244CCE">
        <w:t> </w:t>
      </w:r>
      <w:r w:rsidR="00DA0AF4" w:rsidRPr="00244CCE">
        <w:t>VI:3 of the GATT</w:t>
      </w:r>
      <w:r w:rsidR="00945567" w:rsidRPr="00244CCE">
        <w:t> 1994</w:t>
      </w:r>
      <w:r w:rsidR="00DA0AF4" w:rsidRPr="00244CCE">
        <w:t xml:space="preserve">, regarding the attribution to the production of </w:t>
      </w:r>
      <w:proofErr w:type="spellStart"/>
      <w:r w:rsidR="00DA0AF4" w:rsidRPr="00244CCE">
        <w:t>supercalendered</w:t>
      </w:r>
      <w:proofErr w:type="spellEnd"/>
      <w:r w:rsidR="00DA0AF4" w:rsidRPr="00244CCE">
        <w:t xml:space="preserve"> paper of the alleged assistance discovered during the verification of </w:t>
      </w:r>
      <w:proofErr w:type="spellStart"/>
      <w:proofErr w:type="gramStart"/>
      <w:r w:rsidR="00DA0AF4" w:rsidRPr="00244CCE">
        <w:t>Fibrek</w:t>
      </w:r>
      <w:proofErr w:type="spellEnd"/>
      <w:r w:rsidR="00DA0AF4" w:rsidRPr="00244CCE">
        <w:t>;</w:t>
      </w:r>
      <w:proofErr w:type="gramEnd"/>
    </w:p>
    <w:p w14:paraId="41D1A6A1" w14:textId="78C2FCE8" w:rsidR="00DA0AF4" w:rsidRPr="00244CCE" w:rsidRDefault="00496351" w:rsidP="00F73DD3">
      <w:pPr>
        <w:pStyle w:val="BodyText2"/>
      </w:pPr>
      <w:r w:rsidRPr="00244CCE">
        <w:lastRenderedPageBreak/>
        <w:t xml:space="preserve">for </w:t>
      </w:r>
      <w:r w:rsidR="00DA0AF4" w:rsidRPr="00244CCE">
        <w:t xml:space="preserve">the claims concerning the CVD determinations with respect to Irving and Catalyst: </w:t>
      </w:r>
    </w:p>
    <w:p w14:paraId="22F24E79" w14:textId="087D02CB" w:rsidR="00DA0AF4" w:rsidRPr="00244CCE" w:rsidRDefault="00496351" w:rsidP="00F73DD3">
      <w:pPr>
        <w:pStyle w:val="BodyText3"/>
        <w:numPr>
          <w:ilvl w:val="8"/>
          <w:numId w:val="37"/>
        </w:numPr>
        <w:rPr>
          <w:szCs w:val="18"/>
        </w:rPr>
      </w:pPr>
      <w:r w:rsidRPr="00244CCE">
        <w:rPr>
          <w:szCs w:val="18"/>
        </w:rPr>
        <w:t xml:space="preserve">the </w:t>
      </w:r>
      <w:r w:rsidR="00DA0AF4" w:rsidRPr="00244CCE">
        <w:rPr>
          <w:szCs w:val="18"/>
        </w:rPr>
        <w:t>USDOC acted inconsistently with Articles</w:t>
      </w:r>
      <w:r w:rsidR="00437FC5" w:rsidRPr="00244CCE">
        <w:rPr>
          <w:szCs w:val="18"/>
        </w:rPr>
        <w:t> </w:t>
      </w:r>
      <w:r w:rsidR="00DA0AF4" w:rsidRPr="00244CCE">
        <w:rPr>
          <w:szCs w:val="18"/>
        </w:rPr>
        <w:t>10, 19.1, 19.3</w:t>
      </w:r>
      <w:r w:rsidR="00693EFF" w:rsidRPr="00244CCE">
        <w:rPr>
          <w:szCs w:val="18"/>
        </w:rPr>
        <w:t>-</w:t>
      </w:r>
      <w:r w:rsidR="00DA0AF4" w:rsidRPr="00244CCE">
        <w:rPr>
          <w:szCs w:val="18"/>
        </w:rPr>
        <w:t>19.4, and 32.1 of the SCM</w:t>
      </w:r>
      <w:r w:rsidR="00945567" w:rsidRPr="00244CCE">
        <w:rPr>
          <w:szCs w:val="18"/>
        </w:rPr>
        <w:t> Agreement</w:t>
      </w:r>
      <w:r w:rsidR="00DA0AF4" w:rsidRPr="00244CCE">
        <w:rPr>
          <w:szCs w:val="18"/>
        </w:rPr>
        <w:t xml:space="preserve"> and Article</w:t>
      </w:r>
      <w:r w:rsidR="00945567" w:rsidRPr="00244CCE">
        <w:rPr>
          <w:szCs w:val="18"/>
        </w:rPr>
        <w:t> </w:t>
      </w:r>
      <w:r w:rsidR="00DA0AF4" w:rsidRPr="00244CCE">
        <w:rPr>
          <w:szCs w:val="18"/>
        </w:rPr>
        <w:t>VI:3 of the GATT</w:t>
      </w:r>
      <w:r w:rsidR="00945567" w:rsidRPr="00244CCE">
        <w:rPr>
          <w:szCs w:val="18"/>
        </w:rPr>
        <w:t> 1994</w:t>
      </w:r>
      <w:r w:rsidR="00DA0AF4" w:rsidRPr="00244CCE">
        <w:rPr>
          <w:szCs w:val="18"/>
        </w:rPr>
        <w:t xml:space="preserve">, </w:t>
      </w:r>
      <w:r w:rsidR="00DA0AF4" w:rsidRPr="00244CCE">
        <w:t>by constructing the all</w:t>
      </w:r>
      <w:r w:rsidR="007643D6" w:rsidRPr="00244CCE">
        <w:noBreakHyphen/>
      </w:r>
      <w:r w:rsidR="00DA0AF4" w:rsidRPr="00244CCE">
        <w:t xml:space="preserve">others rate relying on </w:t>
      </w:r>
      <w:proofErr w:type="spellStart"/>
      <w:r w:rsidR="00DA0AF4" w:rsidRPr="00244CCE">
        <w:t>Resolute's</w:t>
      </w:r>
      <w:proofErr w:type="spellEnd"/>
      <w:r w:rsidR="00DA0AF4" w:rsidRPr="00244CCE">
        <w:t xml:space="preserve"> rate, which was mainly calculated using </w:t>
      </w:r>
      <w:proofErr w:type="gramStart"/>
      <w:r w:rsidR="00DA0AF4" w:rsidRPr="00244CCE">
        <w:t>AFA</w:t>
      </w:r>
      <w:r w:rsidR="00DA0AF4" w:rsidRPr="00244CCE">
        <w:rPr>
          <w:szCs w:val="18"/>
        </w:rPr>
        <w:t>;</w:t>
      </w:r>
      <w:proofErr w:type="gramEnd"/>
      <w:r w:rsidR="00DA0AF4" w:rsidRPr="00244CCE">
        <w:rPr>
          <w:szCs w:val="18"/>
        </w:rPr>
        <w:t xml:space="preserve"> </w:t>
      </w:r>
    </w:p>
    <w:p w14:paraId="44B94595" w14:textId="177D1204" w:rsidR="00DA0AF4" w:rsidRPr="00244CCE" w:rsidRDefault="007B165D" w:rsidP="00F73DD3">
      <w:pPr>
        <w:pStyle w:val="BodyText3"/>
        <w:numPr>
          <w:ilvl w:val="8"/>
          <w:numId w:val="12"/>
        </w:numPr>
      </w:pPr>
      <w:r w:rsidRPr="00244CCE">
        <w:t xml:space="preserve">the </w:t>
      </w:r>
      <w:r w:rsidR="00DA0AF4" w:rsidRPr="00244CCE">
        <w:t>Panel declined to rule on Canada's claim under Article</w:t>
      </w:r>
      <w:r w:rsidR="00945567" w:rsidRPr="00244CCE">
        <w:t> </w:t>
      </w:r>
      <w:r w:rsidR="00DA0AF4" w:rsidRPr="00244CCE">
        <w:t>12.7 of the SCM Agreement, regarding the construction of the all</w:t>
      </w:r>
      <w:r w:rsidR="007643D6" w:rsidRPr="00244CCE">
        <w:noBreakHyphen/>
      </w:r>
      <w:r w:rsidR="00DA0AF4" w:rsidRPr="00244CCE">
        <w:t xml:space="preserve">others rate relying on </w:t>
      </w:r>
      <w:proofErr w:type="spellStart"/>
      <w:r w:rsidR="00DA0AF4" w:rsidRPr="00244CCE">
        <w:t>Resolute's</w:t>
      </w:r>
      <w:proofErr w:type="spellEnd"/>
      <w:r w:rsidR="00DA0AF4" w:rsidRPr="00244CCE">
        <w:t xml:space="preserve"> </w:t>
      </w:r>
      <w:proofErr w:type="gramStart"/>
      <w:r w:rsidR="00DA0AF4" w:rsidRPr="00244CCE">
        <w:t>rate;</w:t>
      </w:r>
      <w:proofErr w:type="gramEnd"/>
      <w:r w:rsidR="00DA0AF4" w:rsidRPr="00244CCE">
        <w:t xml:space="preserve"> </w:t>
      </w:r>
    </w:p>
    <w:p w14:paraId="12AF45DD" w14:textId="3EE0EAAE" w:rsidR="00DA0AF4" w:rsidRPr="00244CCE" w:rsidRDefault="001804A6" w:rsidP="00F73DD3">
      <w:pPr>
        <w:pStyle w:val="BodyText3"/>
        <w:numPr>
          <w:ilvl w:val="8"/>
          <w:numId w:val="12"/>
        </w:numPr>
        <w:rPr>
          <w:szCs w:val="18"/>
        </w:rPr>
      </w:pPr>
      <w:r w:rsidRPr="00244CCE">
        <w:rPr>
          <w:szCs w:val="18"/>
        </w:rPr>
        <w:t>t</w:t>
      </w:r>
      <w:r w:rsidR="00DA0AF4" w:rsidRPr="00244CCE">
        <w:rPr>
          <w:szCs w:val="18"/>
        </w:rPr>
        <w:t>he Panel rejected Canada's claims under Articles</w:t>
      </w:r>
      <w:r w:rsidR="00437FC5" w:rsidRPr="00244CCE">
        <w:rPr>
          <w:szCs w:val="18"/>
        </w:rPr>
        <w:t> </w:t>
      </w:r>
      <w:r w:rsidR="00DA0AF4" w:rsidRPr="00244CCE">
        <w:rPr>
          <w:szCs w:val="18"/>
        </w:rPr>
        <w:t>10, 19.1, 19.3</w:t>
      </w:r>
      <w:r w:rsidR="00693EFF" w:rsidRPr="00244CCE">
        <w:rPr>
          <w:szCs w:val="18"/>
        </w:rPr>
        <w:t>-</w:t>
      </w:r>
      <w:r w:rsidR="00DA0AF4" w:rsidRPr="00244CCE">
        <w:rPr>
          <w:szCs w:val="18"/>
        </w:rPr>
        <w:t>19.4, and 32.1 of the SCM</w:t>
      </w:r>
      <w:r w:rsidR="00945567" w:rsidRPr="00244CCE">
        <w:rPr>
          <w:szCs w:val="18"/>
        </w:rPr>
        <w:t> Agreement</w:t>
      </w:r>
      <w:r w:rsidR="00DA0AF4" w:rsidRPr="00244CCE">
        <w:rPr>
          <w:szCs w:val="18"/>
        </w:rPr>
        <w:t xml:space="preserve"> and Article</w:t>
      </w:r>
      <w:r w:rsidR="00945567" w:rsidRPr="00244CCE">
        <w:rPr>
          <w:szCs w:val="18"/>
        </w:rPr>
        <w:t> </w:t>
      </w:r>
      <w:r w:rsidR="00DA0AF4" w:rsidRPr="00244CCE">
        <w:rPr>
          <w:szCs w:val="18"/>
        </w:rPr>
        <w:t>VI:3 of the GATT</w:t>
      </w:r>
      <w:r w:rsidR="00945567" w:rsidRPr="00244CCE">
        <w:rPr>
          <w:szCs w:val="18"/>
        </w:rPr>
        <w:t> 1994</w:t>
      </w:r>
      <w:r w:rsidR="00DA0AF4" w:rsidRPr="00244CCE">
        <w:rPr>
          <w:szCs w:val="18"/>
        </w:rPr>
        <w:t>, regarding the USDOC's failure to adjust the all</w:t>
      </w:r>
      <w:r w:rsidR="007643D6" w:rsidRPr="00244CCE">
        <w:rPr>
          <w:szCs w:val="18"/>
        </w:rPr>
        <w:noBreakHyphen/>
      </w:r>
      <w:r w:rsidR="00DA0AF4" w:rsidRPr="00244CCE">
        <w:rPr>
          <w:szCs w:val="18"/>
        </w:rPr>
        <w:t xml:space="preserve">others rate </w:t>
      </w:r>
      <w:r w:rsidR="00BB4BC7" w:rsidRPr="00244CCE">
        <w:rPr>
          <w:szCs w:val="18"/>
        </w:rPr>
        <w:t>with</w:t>
      </w:r>
      <w:r w:rsidR="00DA0AF4" w:rsidRPr="00244CCE">
        <w:rPr>
          <w:szCs w:val="18"/>
        </w:rPr>
        <w:t xml:space="preserve"> respect </w:t>
      </w:r>
      <w:r w:rsidR="00BB4BC7" w:rsidRPr="00244CCE">
        <w:rPr>
          <w:szCs w:val="18"/>
        </w:rPr>
        <w:t xml:space="preserve">to </w:t>
      </w:r>
      <w:r w:rsidR="00DA0AF4" w:rsidRPr="00244CCE">
        <w:rPr>
          <w:szCs w:val="18"/>
        </w:rPr>
        <w:t>subsidies that were not available to non</w:t>
      </w:r>
      <w:r w:rsidR="007643D6" w:rsidRPr="00244CCE">
        <w:rPr>
          <w:szCs w:val="18"/>
        </w:rPr>
        <w:noBreakHyphen/>
      </w:r>
      <w:r w:rsidR="00DA0AF4" w:rsidRPr="00244CCE">
        <w:rPr>
          <w:szCs w:val="18"/>
        </w:rPr>
        <w:t>investigated exporters;</w:t>
      </w:r>
    </w:p>
    <w:p w14:paraId="6917F5DE" w14:textId="48C39DE5" w:rsidR="00DA0AF4" w:rsidRPr="00244CCE" w:rsidRDefault="00496351" w:rsidP="00F73DD3">
      <w:pPr>
        <w:pStyle w:val="BodyText3"/>
        <w:numPr>
          <w:ilvl w:val="8"/>
          <w:numId w:val="12"/>
        </w:numPr>
        <w:rPr>
          <w:szCs w:val="18"/>
        </w:rPr>
      </w:pPr>
      <w:r w:rsidRPr="00244CCE">
        <w:rPr>
          <w:szCs w:val="18"/>
        </w:rPr>
        <w:t xml:space="preserve">the </w:t>
      </w:r>
      <w:r w:rsidR="00DA0AF4" w:rsidRPr="00244CCE">
        <w:rPr>
          <w:szCs w:val="18"/>
        </w:rPr>
        <w:t>USDOC acted inconsistently with Article</w:t>
      </w:r>
      <w:r w:rsidR="00945567" w:rsidRPr="00244CCE">
        <w:rPr>
          <w:szCs w:val="18"/>
        </w:rPr>
        <w:t> </w:t>
      </w:r>
      <w:r w:rsidR="00DA0AF4" w:rsidRPr="00244CCE">
        <w:rPr>
          <w:szCs w:val="18"/>
        </w:rPr>
        <w:t>19.3 of the SCM</w:t>
      </w:r>
      <w:r w:rsidR="00945567" w:rsidRPr="00244CCE">
        <w:rPr>
          <w:szCs w:val="18"/>
        </w:rPr>
        <w:t> Agreement</w:t>
      </w:r>
      <w:r w:rsidR="00DA0AF4" w:rsidRPr="00244CCE">
        <w:rPr>
          <w:szCs w:val="18"/>
        </w:rPr>
        <w:t>, by including new subsidy allegations in the context of the expedited reviews undertaken for Catalyst and Irving;</w:t>
      </w:r>
      <w:r w:rsidR="00AB3DCB" w:rsidRPr="00244CCE">
        <w:rPr>
          <w:szCs w:val="18"/>
        </w:rPr>
        <w:t xml:space="preserve"> and</w:t>
      </w:r>
    </w:p>
    <w:p w14:paraId="57402388" w14:textId="0B72BA32" w:rsidR="00DA0AF4" w:rsidRPr="00244CCE" w:rsidRDefault="007B165D" w:rsidP="00F73DD3">
      <w:pPr>
        <w:pStyle w:val="BodyText3"/>
        <w:numPr>
          <w:ilvl w:val="8"/>
          <w:numId w:val="12"/>
        </w:numPr>
      </w:pPr>
      <w:r w:rsidRPr="00244CCE">
        <w:t xml:space="preserve">the </w:t>
      </w:r>
      <w:r w:rsidR="00DA0AF4" w:rsidRPr="00244CCE">
        <w:t>Panel declined to rule on Canada's claims under Articles</w:t>
      </w:r>
      <w:r w:rsidR="00437FC5" w:rsidRPr="00244CCE">
        <w:t> </w:t>
      </w:r>
      <w:r w:rsidR="00DA0AF4" w:rsidRPr="00244CCE">
        <w:t>11.2 and 11.3 of the SCM</w:t>
      </w:r>
      <w:r w:rsidR="00945567" w:rsidRPr="00244CCE">
        <w:t> Agreement</w:t>
      </w:r>
      <w:r w:rsidR="00DA0AF4" w:rsidRPr="00244CCE">
        <w:t xml:space="preserve">, regarding the USDOC's alleged initiation of an investigation into new subsidy allegations during the expedited reviews of Catalyst and Irving; </w:t>
      </w:r>
      <w:r w:rsidR="00AB3DCB" w:rsidRPr="00244CCE">
        <w:t>and</w:t>
      </w:r>
    </w:p>
    <w:p w14:paraId="52A00919" w14:textId="766025F9" w:rsidR="00DA0AF4" w:rsidRPr="00244CCE" w:rsidRDefault="00496351" w:rsidP="00F73DD3">
      <w:pPr>
        <w:pStyle w:val="BodyText2"/>
      </w:pPr>
      <w:r w:rsidRPr="00244CCE">
        <w:t xml:space="preserve">for </w:t>
      </w:r>
      <w:r w:rsidR="00DA0AF4" w:rsidRPr="00244CCE">
        <w:t>the claims concerning the alleged OFA</w:t>
      </w:r>
      <w:r w:rsidR="007643D6" w:rsidRPr="00244CCE">
        <w:noBreakHyphen/>
      </w:r>
      <w:r w:rsidR="00DA0AF4" w:rsidRPr="00244CCE">
        <w:t xml:space="preserve">AFA measure: </w:t>
      </w:r>
    </w:p>
    <w:p w14:paraId="6089E51D" w14:textId="5597F33F" w:rsidR="00DA0AF4" w:rsidRPr="00244CCE" w:rsidRDefault="00DA0AF4" w:rsidP="00F73DD3">
      <w:pPr>
        <w:pStyle w:val="BodyText3"/>
        <w:numPr>
          <w:ilvl w:val="8"/>
          <w:numId w:val="38"/>
        </w:numPr>
        <w:rPr>
          <w:szCs w:val="18"/>
        </w:rPr>
      </w:pPr>
      <w:r w:rsidRPr="00244CCE">
        <w:t>Canada had adduced sufficient evidence to establish that the challenged OFA</w:t>
      </w:r>
      <w:r w:rsidR="007643D6" w:rsidRPr="00244CCE">
        <w:noBreakHyphen/>
      </w:r>
      <w:r w:rsidRPr="00244CCE">
        <w:t>AFA</w:t>
      </w:r>
      <w:r w:rsidR="0055406A" w:rsidRPr="00244CCE">
        <w:t> </w:t>
      </w:r>
      <w:r w:rsidRPr="00244CCE">
        <w:t>measure constitutes "ongoing conduct" and, therefore, the Panel did not consider it necessary to address Canada's argument that the challenged measure amounts to a "rule or norm of general and prospective application";</w:t>
      </w:r>
    </w:p>
    <w:p w14:paraId="25276BFE" w14:textId="62E32E89" w:rsidR="00DA0AF4" w:rsidRPr="00244CCE" w:rsidRDefault="00496351" w:rsidP="00F73DD3">
      <w:pPr>
        <w:pStyle w:val="BodyText3"/>
        <w:numPr>
          <w:ilvl w:val="8"/>
          <w:numId w:val="12"/>
        </w:numPr>
        <w:rPr>
          <w:szCs w:val="18"/>
        </w:rPr>
      </w:pPr>
      <w:r w:rsidRPr="00244CCE">
        <w:rPr>
          <w:szCs w:val="18"/>
        </w:rPr>
        <w:t xml:space="preserve">the </w:t>
      </w:r>
      <w:r w:rsidR="00DA0AF4" w:rsidRPr="00244CCE">
        <w:rPr>
          <w:szCs w:val="18"/>
        </w:rPr>
        <w:t>unwritten measure challenged by Canada is inconsistent with Article</w:t>
      </w:r>
      <w:r w:rsidR="00945567" w:rsidRPr="00244CCE">
        <w:rPr>
          <w:szCs w:val="18"/>
        </w:rPr>
        <w:t> </w:t>
      </w:r>
      <w:r w:rsidR="00DA0AF4" w:rsidRPr="00244CCE">
        <w:rPr>
          <w:szCs w:val="18"/>
        </w:rPr>
        <w:t>12.7 of the SCM</w:t>
      </w:r>
      <w:r w:rsidR="00945567" w:rsidRPr="00244CCE">
        <w:rPr>
          <w:szCs w:val="18"/>
        </w:rPr>
        <w:t> Agreement</w:t>
      </w:r>
      <w:r w:rsidR="00DA0AF4" w:rsidRPr="00244CCE">
        <w:rPr>
          <w:szCs w:val="18"/>
        </w:rPr>
        <w:t xml:space="preserve">; </w:t>
      </w:r>
      <w:r w:rsidR="00AB3DCB" w:rsidRPr="00244CCE">
        <w:rPr>
          <w:szCs w:val="18"/>
        </w:rPr>
        <w:t>and</w:t>
      </w:r>
    </w:p>
    <w:p w14:paraId="7466BCAC" w14:textId="415B9027" w:rsidR="00DA0AF4" w:rsidRPr="00244CCE" w:rsidRDefault="007B165D" w:rsidP="00F73DD3">
      <w:pPr>
        <w:pStyle w:val="BodyText3"/>
        <w:numPr>
          <w:ilvl w:val="8"/>
          <w:numId w:val="12"/>
        </w:numPr>
      </w:pPr>
      <w:r w:rsidRPr="00244CCE">
        <w:t xml:space="preserve">the </w:t>
      </w:r>
      <w:r w:rsidR="00DA0AF4" w:rsidRPr="00244CCE">
        <w:t>Panel declined to rule on Canada's claims under Articles</w:t>
      </w:r>
      <w:r w:rsidR="00437FC5" w:rsidRPr="00244CCE">
        <w:t> </w:t>
      </w:r>
      <w:r w:rsidR="00DA0AF4" w:rsidRPr="00244CCE">
        <w:t>10, 11.1</w:t>
      </w:r>
      <w:r w:rsidR="00693EFF" w:rsidRPr="00244CCE">
        <w:t>-</w:t>
      </w:r>
      <w:r w:rsidR="00DA0AF4" w:rsidRPr="00244CCE">
        <w:t>11.3, 11.6, 12.1, and 12.8 of the SCM</w:t>
      </w:r>
      <w:r w:rsidR="00945567" w:rsidRPr="00244CCE">
        <w:t> Agreement</w:t>
      </w:r>
      <w:r w:rsidR="00DA0AF4" w:rsidRPr="00244CCE">
        <w:t>, with respect to the alleged OFA</w:t>
      </w:r>
      <w:r w:rsidR="007643D6" w:rsidRPr="00244CCE">
        <w:noBreakHyphen/>
      </w:r>
      <w:r w:rsidR="00DA0AF4" w:rsidRPr="00244CCE">
        <w:t xml:space="preserve">AFA measure. </w:t>
      </w:r>
    </w:p>
    <w:p w14:paraId="246104AD" w14:textId="5AC30E8F" w:rsidR="00DA0AF4" w:rsidRPr="00F97844" w:rsidRDefault="00496351" w:rsidP="00F73DD3">
      <w:pPr>
        <w:pStyle w:val="BodyText"/>
        <w:numPr>
          <w:ilvl w:val="6"/>
          <w:numId w:val="11"/>
        </w:numPr>
        <w:rPr>
          <w:szCs w:val="18"/>
        </w:rPr>
      </w:pPr>
      <w:r w:rsidRPr="00244CCE">
        <w:rPr>
          <w:szCs w:val="18"/>
        </w:rPr>
        <w:t>H</w:t>
      </w:r>
      <w:r w:rsidR="00DA0AF4" w:rsidRPr="00244CCE">
        <w:rPr>
          <w:szCs w:val="18"/>
        </w:rPr>
        <w:t>aving found that the United</w:t>
      </w:r>
      <w:r w:rsidR="00945567" w:rsidRPr="00244CCE">
        <w:rPr>
          <w:szCs w:val="18"/>
        </w:rPr>
        <w:t> States</w:t>
      </w:r>
      <w:r w:rsidR="00DA0AF4" w:rsidRPr="00244CCE">
        <w:rPr>
          <w:szCs w:val="18"/>
        </w:rPr>
        <w:t xml:space="preserve"> acted inconsistently with certain provisions of the SCM Agreement and the GATT 1994, </w:t>
      </w:r>
      <w:r w:rsidRPr="00244CCE">
        <w:rPr>
          <w:szCs w:val="18"/>
        </w:rPr>
        <w:t>in accordance with Article 19.1 of the Understanding on Rules and Procedures Governing the Settlement of Disputes (DSU)</w:t>
      </w:r>
      <w:r w:rsidR="007B165D" w:rsidRPr="00244CCE">
        <w:rPr>
          <w:szCs w:val="18"/>
        </w:rPr>
        <w:t>,</w:t>
      </w:r>
      <w:r w:rsidRPr="00244CCE">
        <w:rPr>
          <w:szCs w:val="18"/>
        </w:rPr>
        <w:t xml:space="preserve"> </w:t>
      </w:r>
      <w:r w:rsidR="00DA0AF4" w:rsidRPr="00244CCE">
        <w:rPr>
          <w:szCs w:val="18"/>
        </w:rPr>
        <w:t>the Panel recommended that the United</w:t>
      </w:r>
      <w:r w:rsidR="00945567" w:rsidRPr="00244CCE">
        <w:rPr>
          <w:szCs w:val="18"/>
        </w:rPr>
        <w:t> States</w:t>
      </w:r>
      <w:r w:rsidR="00DA0AF4" w:rsidRPr="00244CCE">
        <w:rPr>
          <w:szCs w:val="18"/>
        </w:rPr>
        <w:t xml:space="preserve"> bring its measures into conformity with its obligations under those </w:t>
      </w:r>
      <w:r w:rsidR="00221CB6" w:rsidRPr="00244CCE">
        <w:rPr>
          <w:szCs w:val="18"/>
        </w:rPr>
        <w:t>A</w:t>
      </w:r>
      <w:r w:rsidR="00DA0AF4" w:rsidRPr="00244CCE">
        <w:rPr>
          <w:szCs w:val="18"/>
        </w:rPr>
        <w:t>greements.</w:t>
      </w:r>
      <w:r w:rsidR="001A663F" w:rsidRPr="00F97844">
        <w:rPr>
          <w:rStyle w:val="FootnoteReference"/>
          <w:szCs w:val="18"/>
        </w:rPr>
        <w:footnoteReference w:id="8"/>
      </w:r>
      <w:r w:rsidR="00DA0AF4" w:rsidRPr="00F97844">
        <w:rPr>
          <w:szCs w:val="18"/>
        </w:rPr>
        <w:t xml:space="preserve"> </w:t>
      </w:r>
    </w:p>
    <w:p w14:paraId="38FD33CB" w14:textId="0785CCA2" w:rsidR="00DA0AF4" w:rsidRPr="00F97844" w:rsidRDefault="00DA0AF4" w:rsidP="00F73DD3">
      <w:pPr>
        <w:pStyle w:val="BodyText"/>
        <w:numPr>
          <w:ilvl w:val="6"/>
          <w:numId w:val="11"/>
        </w:numPr>
      </w:pPr>
      <w:r w:rsidRPr="00F97844">
        <w:t>On 27 August 2018</w:t>
      </w:r>
      <w:r w:rsidRPr="00F97844">
        <w:rPr>
          <w:rFonts w:cs="Arial"/>
        </w:rPr>
        <w:t>, the United</w:t>
      </w:r>
      <w:r w:rsidR="00945567" w:rsidRPr="00244CCE">
        <w:rPr>
          <w:rFonts w:cs="Arial"/>
        </w:rPr>
        <w:t> States</w:t>
      </w:r>
      <w:r w:rsidRPr="00244CCE">
        <w:rPr>
          <w:rFonts w:cs="Arial"/>
        </w:rPr>
        <w:t xml:space="preserve"> </w:t>
      </w:r>
      <w:r w:rsidRPr="00244CCE">
        <w:t>notified the Dispute Settlement Body (DSB), pursuant to Article 16 of the DSU, of its intention to appeal certain issues of law covered in the Panel Report and certain legal interpretations developed by the Panel, and filed a Notice of Appeal</w:t>
      </w:r>
      <w:r w:rsidRPr="00F97844">
        <w:rPr>
          <w:rStyle w:val="FootnoteReference"/>
        </w:rPr>
        <w:footnoteReference w:id="9"/>
      </w:r>
      <w:r w:rsidRPr="00F97844">
        <w:t xml:space="preserve"> and an appellant's submission pursuant to Rule 20 and Rule</w:t>
      </w:r>
      <w:r w:rsidR="00594F20" w:rsidRPr="00F97844">
        <w:t> </w:t>
      </w:r>
      <w:r w:rsidRPr="00F97844">
        <w:t>21, respectively, of the Working Procedures for Appellate Review (Working Procedures). On 14</w:t>
      </w:r>
      <w:r w:rsidR="00E91523" w:rsidRPr="00244CCE">
        <w:t> </w:t>
      </w:r>
      <w:r w:rsidRPr="00244CCE">
        <w:t>September</w:t>
      </w:r>
      <w:r w:rsidR="00E91523" w:rsidRPr="00244CCE">
        <w:t> </w:t>
      </w:r>
      <w:r w:rsidRPr="00244CCE">
        <w:t>2018</w:t>
      </w:r>
      <w:r w:rsidRPr="00244CCE">
        <w:rPr>
          <w:rFonts w:cs="Arial"/>
        </w:rPr>
        <w:t xml:space="preserve">, Canada </w:t>
      </w:r>
      <w:r w:rsidRPr="00244CCE">
        <w:t xml:space="preserve">filed an </w:t>
      </w:r>
      <w:proofErr w:type="spellStart"/>
      <w:r w:rsidRPr="00244CCE">
        <w:t>appellee's</w:t>
      </w:r>
      <w:proofErr w:type="spellEnd"/>
      <w:r w:rsidRPr="00244CCE">
        <w:t xml:space="preserve"> submission pursuant to Rule</w:t>
      </w:r>
      <w:r w:rsidR="00594F20" w:rsidRPr="00244CCE">
        <w:t> </w:t>
      </w:r>
      <w:r w:rsidRPr="00244CCE">
        <w:t xml:space="preserve">22 of the </w:t>
      </w:r>
      <w:r w:rsidRPr="00244CCE">
        <w:rPr>
          <w:iCs/>
        </w:rPr>
        <w:t>Working Procedures</w:t>
      </w:r>
      <w:r w:rsidRPr="00244CCE">
        <w:t>. On 21</w:t>
      </w:r>
      <w:r w:rsidR="00E91523" w:rsidRPr="00244CCE">
        <w:t> </w:t>
      </w:r>
      <w:r w:rsidRPr="00244CCE">
        <w:t>September</w:t>
      </w:r>
      <w:r w:rsidR="00E91523" w:rsidRPr="00244CCE">
        <w:t> </w:t>
      </w:r>
      <w:r w:rsidRPr="00244CCE">
        <w:t>2018, Brazil, China, the European</w:t>
      </w:r>
      <w:r w:rsidR="00945567" w:rsidRPr="00244CCE">
        <w:t> Union</w:t>
      </w:r>
      <w:r w:rsidRPr="00244CCE">
        <w:t xml:space="preserve">, and Japan </w:t>
      </w:r>
      <w:r w:rsidRPr="00244CCE">
        <w:rPr>
          <w:rFonts w:cs="Arial"/>
        </w:rPr>
        <w:t xml:space="preserve">each </w:t>
      </w:r>
      <w:r w:rsidRPr="00244CCE">
        <w:t>filed a third participant's submission.</w:t>
      </w:r>
      <w:r w:rsidRPr="00F97844">
        <w:rPr>
          <w:rStyle w:val="FootnoteReference"/>
        </w:rPr>
        <w:footnoteReference w:id="10"/>
      </w:r>
      <w:r w:rsidRPr="00F97844">
        <w:t xml:space="preserve"> On </w:t>
      </w:r>
      <w:r w:rsidR="00A4128A" w:rsidRPr="00F97844">
        <w:t xml:space="preserve">that </w:t>
      </w:r>
      <w:r w:rsidRPr="00F97844">
        <w:t>same day</w:t>
      </w:r>
      <w:r w:rsidR="00A4128A" w:rsidRPr="00F97844">
        <w:t>,</w:t>
      </w:r>
      <w:r w:rsidRPr="00244CCE">
        <w:t xml:space="preserve"> India and Mexico notified the Appellate</w:t>
      </w:r>
      <w:r w:rsidR="00945567" w:rsidRPr="00244CCE">
        <w:t> Body</w:t>
      </w:r>
      <w:r w:rsidRPr="00244CCE">
        <w:t xml:space="preserve"> that they did not intend to submit </w:t>
      </w:r>
      <w:r w:rsidR="003B2AF3" w:rsidRPr="00244CCE">
        <w:t xml:space="preserve">a </w:t>
      </w:r>
      <w:r w:rsidRPr="00244CCE">
        <w:t>third</w:t>
      </w:r>
      <w:r w:rsidR="003B2AF3" w:rsidRPr="00244CCE">
        <w:t xml:space="preserve"> participant's submission, </w:t>
      </w:r>
      <w:r w:rsidRPr="00244CCE">
        <w:t>but would appear at the hearing.</w:t>
      </w:r>
      <w:r w:rsidRPr="00F97844">
        <w:rPr>
          <w:rStyle w:val="FootnoteReference"/>
        </w:rPr>
        <w:footnoteReference w:id="11"/>
      </w:r>
      <w:r w:rsidRPr="00F97844">
        <w:t xml:space="preserve"> Subsequently, Korea and Turkey notified </w:t>
      </w:r>
      <w:r w:rsidR="009D7B59" w:rsidRPr="00F97844">
        <w:t>the Appellate</w:t>
      </w:r>
      <w:r w:rsidR="00CF40A8" w:rsidRPr="00F97844">
        <w:t> Body</w:t>
      </w:r>
      <w:r w:rsidR="009D7B59" w:rsidRPr="00F97844">
        <w:t xml:space="preserve"> of </w:t>
      </w:r>
      <w:r w:rsidRPr="00244CCE">
        <w:t>their intention to appear at the hearing as third participant</w:t>
      </w:r>
      <w:r w:rsidR="009D7B59" w:rsidRPr="00244CCE">
        <w:t>s</w:t>
      </w:r>
      <w:r w:rsidRPr="00244CCE">
        <w:t>.</w:t>
      </w:r>
      <w:r w:rsidRPr="00F97844">
        <w:rPr>
          <w:rStyle w:val="FootnoteReference"/>
        </w:rPr>
        <w:footnoteReference w:id="12"/>
      </w:r>
    </w:p>
    <w:p w14:paraId="64B8CF81" w14:textId="6E75B29B" w:rsidR="00DA0AF4" w:rsidRPr="00244CCE" w:rsidRDefault="00DA0AF4" w:rsidP="00F73DD3">
      <w:pPr>
        <w:pStyle w:val="BodyText"/>
        <w:numPr>
          <w:ilvl w:val="6"/>
          <w:numId w:val="11"/>
        </w:numPr>
        <w:rPr>
          <w:szCs w:val="18"/>
        </w:rPr>
      </w:pPr>
      <w:r w:rsidRPr="00F97844">
        <w:rPr>
          <w:szCs w:val="18"/>
        </w:rPr>
        <w:lastRenderedPageBreak/>
        <w:t>On 4</w:t>
      </w:r>
      <w:r w:rsidR="00250319" w:rsidRPr="00F97844">
        <w:rPr>
          <w:szCs w:val="18"/>
        </w:rPr>
        <w:t> </w:t>
      </w:r>
      <w:r w:rsidRPr="00F97844">
        <w:rPr>
          <w:szCs w:val="18"/>
        </w:rPr>
        <w:t>September</w:t>
      </w:r>
      <w:r w:rsidR="00250319" w:rsidRPr="00F97844">
        <w:rPr>
          <w:szCs w:val="18"/>
        </w:rPr>
        <w:t> </w:t>
      </w:r>
      <w:r w:rsidRPr="00244CCE">
        <w:rPr>
          <w:szCs w:val="18"/>
        </w:rPr>
        <w:t xml:space="preserve">2018, the Chair of the Appellate Body received a </w:t>
      </w:r>
      <w:r w:rsidRPr="00244CCE">
        <w:t>communication from the European</w:t>
      </w:r>
      <w:r w:rsidR="00945567" w:rsidRPr="00244CCE">
        <w:t> Union</w:t>
      </w:r>
      <w:r w:rsidRPr="00244CCE">
        <w:t xml:space="preserve"> requesting that the Division hearing this appeal modify the deadline for the filing of third participants' submissions to allow third participants four full working days following the submission of the</w:t>
      </w:r>
      <w:r w:rsidR="003B2AF3" w:rsidRPr="00244CCE">
        <w:t xml:space="preserve"> </w:t>
      </w:r>
      <w:proofErr w:type="spellStart"/>
      <w:r w:rsidR="003B2AF3" w:rsidRPr="00244CCE">
        <w:t>appellee's</w:t>
      </w:r>
      <w:proofErr w:type="spellEnd"/>
      <w:r w:rsidR="003B2AF3" w:rsidRPr="00244CCE">
        <w:t xml:space="preserve"> submission</w:t>
      </w:r>
      <w:r w:rsidRPr="00244CCE">
        <w:t xml:space="preserve">. </w:t>
      </w:r>
      <w:r w:rsidRPr="00244CCE">
        <w:rPr>
          <w:color w:val="000000"/>
          <w:szCs w:val="18"/>
        </w:rPr>
        <w:t>O</w:t>
      </w:r>
      <w:r w:rsidRPr="00244CCE">
        <w:rPr>
          <w:szCs w:val="18"/>
        </w:rPr>
        <w:t>n 5</w:t>
      </w:r>
      <w:r w:rsidR="00E91523" w:rsidRPr="00244CCE">
        <w:rPr>
          <w:szCs w:val="18"/>
        </w:rPr>
        <w:t> </w:t>
      </w:r>
      <w:r w:rsidRPr="00244CCE">
        <w:rPr>
          <w:szCs w:val="18"/>
        </w:rPr>
        <w:t>September</w:t>
      </w:r>
      <w:r w:rsidR="00E91523" w:rsidRPr="00244CCE">
        <w:rPr>
          <w:szCs w:val="18"/>
        </w:rPr>
        <w:t> </w:t>
      </w:r>
      <w:r w:rsidRPr="00244CCE">
        <w:rPr>
          <w:szCs w:val="18"/>
        </w:rPr>
        <w:t>2018</w:t>
      </w:r>
      <w:r w:rsidRPr="00244CCE">
        <w:rPr>
          <w:color w:val="000000"/>
          <w:szCs w:val="18"/>
        </w:rPr>
        <w:t>, on behalf of the Division hearing this appeal, the Chair of the Appellate</w:t>
      </w:r>
      <w:r w:rsidR="00945567" w:rsidRPr="00244CCE">
        <w:rPr>
          <w:color w:val="000000"/>
          <w:szCs w:val="18"/>
        </w:rPr>
        <w:t> Body</w:t>
      </w:r>
      <w:r w:rsidRPr="00244CCE">
        <w:rPr>
          <w:color w:val="000000"/>
          <w:szCs w:val="18"/>
        </w:rPr>
        <w:t xml:space="preserve"> invited the participants and other third participants in this appeal to comment in writing on the European</w:t>
      </w:r>
      <w:r w:rsidR="00945567" w:rsidRPr="00244CCE">
        <w:rPr>
          <w:color w:val="000000"/>
          <w:szCs w:val="18"/>
        </w:rPr>
        <w:t> Union</w:t>
      </w:r>
      <w:r w:rsidRPr="00244CCE">
        <w:rPr>
          <w:color w:val="000000"/>
          <w:szCs w:val="18"/>
        </w:rPr>
        <w:t xml:space="preserve">'s request. </w:t>
      </w:r>
      <w:r w:rsidR="00CE4D2D" w:rsidRPr="00244CCE">
        <w:rPr>
          <w:color w:val="000000"/>
          <w:szCs w:val="18"/>
        </w:rPr>
        <w:t xml:space="preserve">Brazil, </w:t>
      </w:r>
      <w:r w:rsidRPr="00244CCE">
        <w:rPr>
          <w:color w:val="000000"/>
          <w:szCs w:val="18"/>
        </w:rPr>
        <w:t xml:space="preserve">Canada, China, </w:t>
      </w:r>
      <w:r w:rsidR="00CE4D2D" w:rsidRPr="00244CCE">
        <w:rPr>
          <w:color w:val="000000"/>
          <w:szCs w:val="18"/>
        </w:rPr>
        <w:t xml:space="preserve">India, Japan, </w:t>
      </w:r>
      <w:r w:rsidRPr="00244CCE">
        <w:rPr>
          <w:color w:val="000000"/>
          <w:szCs w:val="18"/>
        </w:rPr>
        <w:t xml:space="preserve">Korea, </w:t>
      </w:r>
      <w:r w:rsidR="00CE4D2D" w:rsidRPr="00244CCE">
        <w:rPr>
          <w:color w:val="000000"/>
          <w:szCs w:val="18"/>
        </w:rPr>
        <w:t xml:space="preserve">Mexico, </w:t>
      </w:r>
      <w:r w:rsidRPr="00244CCE">
        <w:rPr>
          <w:color w:val="000000"/>
          <w:szCs w:val="18"/>
        </w:rPr>
        <w:t>and the United</w:t>
      </w:r>
      <w:r w:rsidR="00945567" w:rsidRPr="00244CCE">
        <w:rPr>
          <w:color w:val="000000"/>
          <w:szCs w:val="18"/>
        </w:rPr>
        <w:t> States</w:t>
      </w:r>
      <w:r w:rsidRPr="00244CCE">
        <w:rPr>
          <w:color w:val="000000"/>
          <w:szCs w:val="18"/>
        </w:rPr>
        <w:t xml:space="preserve"> indicated that they had no objections to the European</w:t>
      </w:r>
      <w:r w:rsidR="00945567" w:rsidRPr="00244CCE">
        <w:rPr>
          <w:color w:val="000000"/>
          <w:szCs w:val="18"/>
        </w:rPr>
        <w:t> Union</w:t>
      </w:r>
      <w:r w:rsidRPr="00244CCE">
        <w:rPr>
          <w:color w:val="000000"/>
          <w:szCs w:val="18"/>
        </w:rPr>
        <w:t xml:space="preserve">'s request for an extension. </w:t>
      </w:r>
      <w:r w:rsidRPr="00244CCE">
        <w:rPr>
          <w:rFonts w:cs="Verdana"/>
          <w:szCs w:val="18"/>
        </w:rPr>
        <w:t xml:space="preserve">On 13 September 2018, </w:t>
      </w:r>
      <w:r w:rsidRPr="00244CCE">
        <w:rPr>
          <w:color w:val="000000"/>
          <w:szCs w:val="18"/>
        </w:rPr>
        <w:t>on behalf of the Division hearing this appeal, the Chair of the Appellate</w:t>
      </w:r>
      <w:r w:rsidR="00945567" w:rsidRPr="00244CCE">
        <w:rPr>
          <w:color w:val="000000"/>
          <w:szCs w:val="18"/>
        </w:rPr>
        <w:t> Body</w:t>
      </w:r>
      <w:r w:rsidRPr="00244CCE">
        <w:rPr>
          <w:color w:val="000000"/>
          <w:szCs w:val="18"/>
        </w:rPr>
        <w:t xml:space="preserve"> issued a Procedural Ruling</w:t>
      </w:r>
      <w:r w:rsidRPr="00F97844">
        <w:rPr>
          <w:rStyle w:val="FootnoteReference"/>
          <w:color w:val="000000"/>
          <w:szCs w:val="18"/>
        </w:rPr>
        <w:footnoteReference w:id="13"/>
      </w:r>
      <w:r w:rsidRPr="00F97844">
        <w:rPr>
          <w:color w:val="000000"/>
          <w:szCs w:val="18"/>
        </w:rPr>
        <w:t xml:space="preserve"> </w:t>
      </w:r>
      <w:r w:rsidRPr="00F97844">
        <w:t>to extend the deadline for filing third participant's submissions, notifications, and executive summaries as requested by the European</w:t>
      </w:r>
      <w:r w:rsidR="00945567" w:rsidRPr="00F97844">
        <w:t> Union</w:t>
      </w:r>
      <w:r w:rsidRPr="00244CCE">
        <w:t>.</w:t>
      </w:r>
    </w:p>
    <w:p w14:paraId="2B7D5D7E" w14:textId="03787242" w:rsidR="00104C58" w:rsidRPr="00F97844" w:rsidRDefault="00104C58" w:rsidP="00F73DD3">
      <w:pPr>
        <w:pStyle w:val="BodyText"/>
        <w:numPr>
          <w:ilvl w:val="6"/>
          <w:numId w:val="11"/>
        </w:numPr>
        <w:rPr>
          <w:szCs w:val="18"/>
        </w:rPr>
      </w:pPr>
      <w:r w:rsidRPr="00244CCE">
        <w:rPr>
          <w:szCs w:val="18"/>
        </w:rPr>
        <w:t>On 24 October 2018, the Chair of the Appellate Body notified the Chair of the DSB that the Appellate Body would not be able to circulate its Report in this appeal within the 60</w:t>
      </w:r>
      <w:r w:rsidRPr="00244CCE">
        <w:rPr>
          <w:szCs w:val="18"/>
        </w:rPr>
        <w:noBreakHyphen/>
        <w:t>day period pursuant to Article 17.5 of the DSU, or within the 90</w:t>
      </w:r>
      <w:r w:rsidRPr="00244CCE">
        <w:rPr>
          <w:szCs w:val="18"/>
        </w:rPr>
        <w:noBreakHyphen/>
        <w:t>day period pursuant to the same provision.</w:t>
      </w:r>
      <w:r w:rsidRPr="00F97844">
        <w:rPr>
          <w:rStyle w:val="FootnoteReference"/>
          <w:szCs w:val="18"/>
        </w:rPr>
        <w:footnoteReference w:id="14"/>
      </w:r>
      <w:r w:rsidRPr="00F97844">
        <w:rPr>
          <w:szCs w:val="18"/>
        </w:rPr>
        <w:t xml:space="preserve"> On 9 December 2019, the Chair of the Appellate Body informed the Chair of the DSB that the Report in these proceedings would be circulated no later than </w:t>
      </w:r>
      <w:r w:rsidRPr="00F97844">
        <w:t>6 February</w:t>
      </w:r>
      <w:r w:rsidRPr="00F97844">
        <w:rPr>
          <w:szCs w:val="18"/>
        </w:rPr>
        <w:t> 2020.</w:t>
      </w:r>
      <w:r w:rsidRPr="00F97844">
        <w:rPr>
          <w:rStyle w:val="FootnoteReference"/>
          <w:szCs w:val="18"/>
        </w:rPr>
        <w:footnoteReference w:id="15"/>
      </w:r>
    </w:p>
    <w:p w14:paraId="20FD831F" w14:textId="70B600F5" w:rsidR="00DA0AF4" w:rsidRPr="00F97844" w:rsidRDefault="00DA0AF4" w:rsidP="00F73DD3">
      <w:pPr>
        <w:pStyle w:val="BodyText"/>
        <w:numPr>
          <w:ilvl w:val="6"/>
          <w:numId w:val="11"/>
        </w:numPr>
        <w:rPr>
          <w:szCs w:val="18"/>
        </w:rPr>
      </w:pPr>
      <w:r w:rsidRPr="00F97844">
        <w:t>On 14</w:t>
      </w:r>
      <w:r w:rsidR="00E91523" w:rsidRPr="00F97844">
        <w:t> </w:t>
      </w:r>
      <w:r w:rsidRPr="00244CCE">
        <w:t>March</w:t>
      </w:r>
      <w:r w:rsidR="00E91523" w:rsidRPr="00244CCE">
        <w:t> </w:t>
      </w:r>
      <w:r w:rsidRPr="00244CCE">
        <w:t>2019, the Division received a communication from China, containing the executive summary of China's third participant's submission in the present appeal. China originally filed its third participant's submission on 21</w:t>
      </w:r>
      <w:r w:rsidR="00E91523" w:rsidRPr="00244CCE">
        <w:t> </w:t>
      </w:r>
      <w:r w:rsidRPr="00244CCE">
        <w:t>September</w:t>
      </w:r>
      <w:r w:rsidR="00E91523" w:rsidRPr="00244CCE">
        <w:t> </w:t>
      </w:r>
      <w:r w:rsidRPr="00244CCE">
        <w:t xml:space="preserve">2018. China indicated that the executive summary was inadvertently omitted from </w:t>
      </w:r>
      <w:r w:rsidR="009D7B59" w:rsidRPr="00244CCE">
        <w:t xml:space="preserve">its </w:t>
      </w:r>
      <w:r w:rsidRPr="00244CCE">
        <w:t>third participant's submission. On 19</w:t>
      </w:r>
      <w:r w:rsidR="00E91523" w:rsidRPr="00244CCE">
        <w:t> </w:t>
      </w:r>
      <w:r w:rsidRPr="00244CCE">
        <w:t>March</w:t>
      </w:r>
      <w:r w:rsidR="00E91523" w:rsidRPr="00244CCE">
        <w:t> </w:t>
      </w:r>
      <w:r w:rsidRPr="00244CCE">
        <w:t xml:space="preserve">2019, the Presiding Member of the Division hearing this appeal invited, on behalf of the Division, the participants and other third participants in this appeal to comment in writing on China's </w:t>
      </w:r>
      <w:r w:rsidR="000E24B1" w:rsidRPr="00244CCE">
        <w:t>communication</w:t>
      </w:r>
      <w:r w:rsidRPr="00244CCE">
        <w:t>. Canada indicated that it had no objections for China to submit the executive summary of its third participant's submission at this stage of the appeal. Mexico noted that, as China's third participant's submission was filed on time, the participants' and other third participants' due process rights were not affected. On 28</w:t>
      </w:r>
      <w:r w:rsidR="00E91523" w:rsidRPr="00244CCE">
        <w:t> </w:t>
      </w:r>
      <w:r w:rsidRPr="00244CCE">
        <w:t>March</w:t>
      </w:r>
      <w:r w:rsidR="00E91523" w:rsidRPr="00244CCE">
        <w:t> </w:t>
      </w:r>
      <w:r w:rsidRPr="00244CCE">
        <w:t>2019, the Division hearing this appeal issued a Procedural Ruling</w:t>
      </w:r>
      <w:r w:rsidRPr="00F97844">
        <w:rPr>
          <w:rStyle w:val="FootnoteReference"/>
        </w:rPr>
        <w:footnoteReference w:id="16"/>
      </w:r>
      <w:r w:rsidRPr="00F97844">
        <w:t xml:space="preserve"> to accept the executive summary of China's third participant's submission. </w:t>
      </w:r>
    </w:p>
    <w:p w14:paraId="389C0E62" w14:textId="35DBCFFA" w:rsidR="00DA0AF4" w:rsidRPr="00244CCE" w:rsidRDefault="00DA0AF4" w:rsidP="00F73DD3">
      <w:pPr>
        <w:pStyle w:val="BodyText"/>
        <w:numPr>
          <w:ilvl w:val="6"/>
          <w:numId w:val="11"/>
        </w:numPr>
        <w:rPr>
          <w:szCs w:val="18"/>
        </w:rPr>
      </w:pPr>
      <w:r w:rsidRPr="00F97844">
        <w:rPr>
          <w:szCs w:val="18"/>
        </w:rPr>
        <w:t>On 18</w:t>
      </w:r>
      <w:r w:rsidR="00E91523" w:rsidRPr="00F97844">
        <w:rPr>
          <w:szCs w:val="18"/>
        </w:rPr>
        <w:t> </w:t>
      </w:r>
      <w:r w:rsidRPr="00244CCE">
        <w:rPr>
          <w:szCs w:val="18"/>
        </w:rPr>
        <w:t>April</w:t>
      </w:r>
      <w:r w:rsidR="00E91523" w:rsidRPr="00244CCE">
        <w:rPr>
          <w:szCs w:val="18"/>
        </w:rPr>
        <w:t> </w:t>
      </w:r>
      <w:r w:rsidRPr="00244CCE">
        <w:rPr>
          <w:szCs w:val="18"/>
        </w:rPr>
        <w:t>2019, the Division received a joint communication from Canada and the United</w:t>
      </w:r>
      <w:r w:rsidR="00945567" w:rsidRPr="00244CCE">
        <w:rPr>
          <w:szCs w:val="18"/>
        </w:rPr>
        <w:t> States</w:t>
      </w:r>
      <w:r w:rsidRPr="00244CCE">
        <w:rPr>
          <w:szCs w:val="18"/>
        </w:rPr>
        <w:t xml:space="preserve"> requesting that the public be allowed to observe the participants and third participants that agree to make</w:t>
      </w:r>
      <w:r w:rsidR="00AB78B2" w:rsidRPr="00244CCE">
        <w:rPr>
          <w:szCs w:val="18"/>
        </w:rPr>
        <w:t xml:space="preserve"> public</w:t>
      </w:r>
      <w:r w:rsidRPr="00244CCE">
        <w:rPr>
          <w:szCs w:val="18"/>
        </w:rPr>
        <w:t xml:space="preserve"> their statements and responses at the oral hearing. Canada and the United</w:t>
      </w:r>
      <w:r w:rsidR="00945567" w:rsidRPr="00244CCE">
        <w:rPr>
          <w:szCs w:val="18"/>
        </w:rPr>
        <w:t> States</w:t>
      </w:r>
      <w:r w:rsidRPr="00244CCE">
        <w:rPr>
          <w:szCs w:val="18"/>
        </w:rPr>
        <w:t xml:space="preserve"> made the request on the understanding that any information that </w:t>
      </w:r>
      <w:r w:rsidR="00CE4D2D" w:rsidRPr="00244CCE">
        <w:rPr>
          <w:szCs w:val="18"/>
        </w:rPr>
        <w:t xml:space="preserve">had </w:t>
      </w:r>
      <w:r w:rsidRPr="00244CCE">
        <w:rPr>
          <w:szCs w:val="18"/>
        </w:rPr>
        <w:t>been designated as confidential in the documents filed by any participant in the Panel proceedings would be adequately protected in the course of the Appellate</w:t>
      </w:r>
      <w:r w:rsidR="00945567" w:rsidRPr="00244CCE">
        <w:rPr>
          <w:szCs w:val="18"/>
        </w:rPr>
        <w:t> Body</w:t>
      </w:r>
      <w:r w:rsidRPr="00244CCE">
        <w:rPr>
          <w:szCs w:val="18"/>
        </w:rPr>
        <w:t>'s oral hearing. On 13</w:t>
      </w:r>
      <w:r w:rsidR="00E91523" w:rsidRPr="00244CCE">
        <w:rPr>
          <w:szCs w:val="18"/>
        </w:rPr>
        <w:t> </w:t>
      </w:r>
      <w:r w:rsidRPr="00244CCE">
        <w:rPr>
          <w:szCs w:val="18"/>
        </w:rPr>
        <w:t>May</w:t>
      </w:r>
      <w:r w:rsidR="00E91523" w:rsidRPr="00244CCE">
        <w:rPr>
          <w:szCs w:val="18"/>
        </w:rPr>
        <w:t> </w:t>
      </w:r>
      <w:r w:rsidRPr="00244CCE">
        <w:rPr>
          <w:szCs w:val="18"/>
        </w:rPr>
        <w:t xml:space="preserve">2019, the Division invited third participants to comment on this request. Mexico indicated that, </w:t>
      </w:r>
      <w:bookmarkStart w:id="21" w:name="_Hlk26554614"/>
      <w:r w:rsidRPr="00244CCE">
        <w:rPr>
          <w:szCs w:val="18"/>
        </w:rPr>
        <w:t>without prejudice to its systemic position on the matter</w:t>
      </w:r>
      <w:bookmarkEnd w:id="21"/>
      <w:r w:rsidRPr="00244CCE">
        <w:rPr>
          <w:szCs w:val="18"/>
        </w:rPr>
        <w:t xml:space="preserve">, it did not object to allowing public observation of the oral hearing in these proceedings. </w:t>
      </w:r>
      <w:r w:rsidR="0067099B" w:rsidRPr="00244CCE">
        <w:rPr>
          <w:szCs w:val="18"/>
        </w:rPr>
        <w:t xml:space="preserve">No other comments from third participants were received. </w:t>
      </w:r>
      <w:r w:rsidRPr="00244CCE">
        <w:rPr>
          <w:szCs w:val="18"/>
        </w:rPr>
        <w:t>On</w:t>
      </w:r>
      <w:r w:rsidR="0055406A" w:rsidRPr="00244CCE">
        <w:rPr>
          <w:szCs w:val="18"/>
        </w:rPr>
        <w:t> </w:t>
      </w:r>
      <w:r w:rsidRPr="00244CCE">
        <w:rPr>
          <w:szCs w:val="18"/>
        </w:rPr>
        <w:t>2</w:t>
      </w:r>
      <w:r w:rsidR="00E91523" w:rsidRPr="00244CCE">
        <w:rPr>
          <w:szCs w:val="18"/>
        </w:rPr>
        <w:t> </w:t>
      </w:r>
      <w:r w:rsidRPr="00244CCE">
        <w:rPr>
          <w:szCs w:val="18"/>
        </w:rPr>
        <w:t>July</w:t>
      </w:r>
      <w:r w:rsidR="00E91523" w:rsidRPr="00244CCE">
        <w:rPr>
          <w:szCs w:val="18"/>
        </w:rPr>
        <w:t> </w:t>
      </w:r>
      <w:r w:rsidRPr="00244CCE">
        <w:rPr>
          <w:szCs w:val="18"/>
        </w:rPr>
        <w:t>2019, the Division issued a Procedural Ruling</w:t>
      </w:r>
      <w:r w:rsidRPr="00F97844">
        <w:rPr>
          <w:rStyle w:val="FootnoteReference"/>
          <w:szCs w:val="18"/>
        </w:rPr>
        <w:footnoteReference w:id="17"/>
      </w:r>
      <w:r w:rsidRPr="00F97844">
        <w:rPr>
          <w:szCs w:val="18"/>
        </w:rPr>
        <w:t xml:space="preserve"> regarding the joint request by Canada and the United</w:t>
      </w:r>
      <w:r w:rsidR="00945567" w:rsidRPr="00F97844">
        <w:rPr>
          <w:szCs w:val="18"/>
        </w:rPr>
        <w:t> States</w:t>
      </w:r>
      <w:r w:rsidRPr="00F97844">
        <w:rPr>
          <w:szCs w:val="18"/>
        </w:rPr>
        <w:t>. The Division adopted additional procedures on the conduct of the oral hearing, including procedures pertaining to public observation of the ope</w:t>
      </w:r>
      <w:r w:rsidRPr="00244CCE">
        <w:rPr>
          <w:szCs w:val="18"/>
        </w:rPr>
        <w:t xml:space="preserve">ning statements of </w:t>
      </w:r>
      <w:r w:rsidR="00704955" w:rsidRPr="00244CCE">
        <w:rPr>
          <w:szCs w:val="18"/>
        </w:rPr>
        <w:t xml:space="preserve">the </w:t>
      </w:r>
      <w:r w:rsidRPr="00244CCE">
        <w:rPr>
          <w:szCs w:val="18"/>
        </w:rPr>
        <w:t>Member</w:t>
      </w:r>
      <w:r w:rsidR="00704955" w:rsidRPr="00244CCE">
        <w:rPr>
          <w:szCs w:val="18"/>
        </w:rPr>
        <w:t>s'</w:t>
      </w:r>
      <w:r w:rsidRPr="00244CCE">
        <w:rPr>
          <w:szCs w:val="18"/>
        </w:rPr>
        <w:t xml:space="preserve"> delegations that had agreed to have their statements made public.</w:t>
      </w:r>
    </w:p>
    <w:p w14:paraId="25C47E8D" w14:textId="3EB0B73D" w:rsidR="00DA0AF4" w:rsidRPr="000A3A77" w:rsidRDefault="00DA0AF4" w:rsidP="00F73DD3">
      <w:pPr>
        <w:pStyle w:val="BodyText"/>
        <w:numPr>
          <w:ilvl w:val="6"/>
          <w:numId w:val="11"/>
        </w:numPr>
        <w:rPr>
          <w:szCs w:val="18"/>
        </w:rPr>
      </w:pPr>
      <w:r w:rsidRPr="00244CCE">
        <w:rPr>
          <w:rFonts w:cs="Arial"/>
          <w:szCs w:val="18"/>
        </w:rPr>
        <w:t>The hearing in this appeal was held on 4</w:t>
      </w:r>
      <w:r w:rsidR="007643D6" w:rsidRPr="00244CCE">
        <w:rPr>
          <w:rFonts w:cs="Arial"/>
          <w:szCs w:val="18"/>
        </w:rPr>
        <w:noBreakHyphen/>
      </w:r>
      <w:r w:rsidRPr="00244CCE">
        <w:rPr>
          <w:rFonts w:cs="Arial"/>
          <w:szCs w:val="18"/>
        </w:rPr>
        <w:t>5 November 2019. The participants and four of the third participants (</w:t>
      </w:r>
      <w:r w:rsidRPr="00244CCE">
        <w:t>Brazil, China, the European</w:t>
      </w:r>
      <w:r w:rsidR="00945567" w:rsidRPr="00244CCE">
        <w:t> Union</w:t>
      </w:r>
      <w:r w:rsidRPr="00244CCE">
        <w:t>, and Japan</w:t>
      </w:r>
      <w:r w:rsidRPr="00244CCE">
        <w:rPr>
          <w:rFonts w:cs="Arial"/>
          <w:szCs w:val="18"/>
        </w:rPr>
        <w:t>) made oral statements and responded to questions posed by the Members of the Appellate Body Division hearing the appeal. A simultaneous closed</w:t>
      </w:r>
      <w:r w:rsidR="007643D6" w:rsidRPr="00244CCE">
        <w:rPr>
          <w:rFonts w:cs="Arial"/>
          <w:szCs w:val="18"/>
        </w:rPr>
        <w:noBreakHyphen/>
      </w:r>
      <w:r w:rsidRPr="00244CCE">
        <w:rPr>
          <w:rFonts w:cs="Arial"/>
          <w:szCs w:val="18"/>
        </w:rPr>
        <w:t xml:space="preserve">circuit television broadcast of the hearing was shown in a separate viewing room. Oral statements and responses to questions by </w:t>
      </w:r>
      <w:r w:rsidR="00540E6E" w:rsidRPr="00244CCE">
        <w:rPr>
          <w:rFonts w:cs="Arial"/>
          <w:szCs w:val="18"/>
        </w:rPr>
        <w:t xml:space="preserve">a </w:t>
      </w:r>
      <w:r w:rsidRPr="00244CCE">
        <w:rPr>
          <w:rFonts w:cs="Arial"/>
          <w:szCs w:val="18"/>
        </w:rPr>
        <w:t xml:space="preserve">third participant that had indicated its wish to maintain the confidentiality of </w:t>
      </w:r>
      <w:r w:rsidR="00704955" w:rsidRPr="00244CCE">
        <w:rPr>
          <w:rFonts w:cs="Arial"/>
          <w:szCs w:val="18"/>
        </w:rPr>
        <w:t xml:space="preserve">its </w:t>
      </w:r>
      <w:r w:rsidRPr="00244CCE">
        <w:rPr>
          <w:rFonts w:cs="Arial"/>
          <w:szCs w:val="18"/>
        </w:rPr>
        <w:t>submissions were not subject to public observation.</w:t>
      </w:r>
    </w:p>
    <w:p w14:paraId="1C727495" w14:textId="3BB0F88B" w:rsidR="000A3A77" w:rsidRPr="00244CCE" w:rsidRDefault="000A3A77" w:rsidP="00F73DD3">
      <w:pPr>
        <w:pStyle w:val="BodyText"/>
        <w:numPr>
          <w:ilvl w:val="6"/>
          <w:numId w:val="11"/>
        </w:numPr>
        <w:rPr>
          <w:szCs w:val="18"/>
        </w:rPr>
      </w:pPr>
      <w:r w:rsidRPr="000A3A77">
        <w:rPr>
          <w:szCs w:val="18"/>
        </w:rPr>
        <w:lastRenderedPageBreak/>
        <w:t xml:space="preserve">On 3 December 2019, the Chair of the Appellate Body informed the Chair of the DSB that, pursuant to Rule 15 of the Working Procedures, Appellate Body Members Mr </w:t>
      </w:r>
      <w:proofErr w:type="spellStart"/>
      <w:r w:rsidRPr="000A3A77">
        <w:rPr>
          <w:szCs w:val="18"/>
        </w:rPr>
        <w:t>Ujal</w:t>
      </w:r>
      <w:proofErr w:type="spellEnd"/>
      <w:r w:rsidRPr="000A3A77">
        <w:rPr>
          <w:szCs w:val="18"/>
        </w:rPr>
        <w:t xml:space="preserve"> Singh Bhatia and Mr Thomas R. Graham would continue working after their terms expired on 11 December 2019 to finish appeals for which oral hearings had been completed. At the DSB meeting on the same day, the Chair of the DSB reported to WTO Members that this appeal would be concluded by the Appellate</w:t>
      </w:r>
      <w:r w:rsidR="00957340">
        <w:rPr>
          <w:szCs w:val="18"/>
        </w:rPr>
        <w:t> </w:t>
      </w:r>
      <w:r w:rsidRPr="000A3A77">
        <w:rPr>
          <w:szCs w:val="18"/>
        </w:rPr>
        <w:t>Body Division that held the oral hearing. On 9 December 2019, the participants and third</w:t>
      </w:r>
      <w:r w:rsidR="00957340">
        <w:rPr>
          <w:szCs w:val="18"/>
        </w:rPr>
        <w:t> </w:t>
      </w:r>
      <w:r w:rsidRPr="000A3A77">
        <w:rPr>
          <w:szCs w:val="18"/>
        </w:rPr>
        <w:t>participants received a copy of the communication of the Chair of the Appellate Body to the Chair of the DSB referred to above.</w:t>
      </w:r>
      <w:r w:rsidR="00957340">
        <w:rPr>
          <w:rStyle w:val="FootnoteReference"/>
          <w:szCs w:val="18"/>
        </w:rPr>
        <w:footnoteReference w:id="18"/>
      </w:r>
    </w:p>
    <w:p w14:paraId="7E37B538" w14:textId="77777777" w:rsidR="00DA0AF4" w:rsidRPr="00244CCE" w:rsidRDefault="00DA0AF4" w:rsidP="00F73DD3">
      <w:pPr>
        <w:pStyle w:val="Heading1"/>
        <w:numPr>
          <w:ilvl w:val="0"/>
          <w:numId w:val="11"/>
        </w:numPr>
      </w:pPr>
      <w:bookmarkStart w:id="22" w:name="_Toc4508004"/>
      <w:bookmarkStart w:id="23" w:name="_Toc5704480"/>
      <w:bookmarkStart w:id="24" w:name="_Toc30412725"/>
      <w:bookmarkStart w:id="25" w:name="_Toc314670761"/>
      <w:bookmarkStart w:id="26" w:name="_Toc328640617"/>
      <w:bookmarkStart w:id="27" w:name="_Toc333317534"/>
      <w:bookmarkStart w:id="28" w:name="_Toc333331188"/>
      <w:bookmarkStart w:id="29" w:name="_Toc333395143"/>
      <w:bookmarkStart w:id="30" w:name="_Toc333510429"/>
      <w:bookmarkStart w:id="31" w:name="_Toc333510536"/>
      <w:r w:rsidRPr="00244CCE">
        <w:t>Arguments of the Participants</w:t>
      </w:r>
      <w:bookmarkEnd w:id="22"/>
      <w:bookmarkEnd w:id="23"/>
      <w:bookmarkEnd w:id="24"/>
    </w:p>
    <w:p w14:paraId="3A3028EB" w14:textId="56038277" w:rsidR="00DA0AF4" w:rsidRPr="00F97844" w:rsidRDefault="00DA0AF4" w:rsidP="00F73DD3">
      <w:pPr>
        <w:pStyle w:val="BodyText"/>
        <w:numPr>
          <w:ilvl w:val="6"/>
          <w:numId w:val="11"/>
        </w:numPr>
      </w:pPr>
      <w:r w:rsidRPr="00244CCE">
        <w:t>The Notice of Appeal and the executive summaries of the participants' claims and arguments are contained in Annexes</w:t>
      </w:r>
      <w:r w:rsidR="0044530A" w:rsidRPr="00244CCE">
        <w:t> </w:t>
      </w:r>
      <w:r w:rsidRPr="00244CCE">
        <w:t>A and B of the Addendum to this Report, WT/DS505/AB/R/Add.1.</w:t>
      </w:r>
      <w:r w:rsidR="00540E6E" w:rsidRPr="00F97844">
        <w:rPr>
          <w:rStyle w:val="FootnoteReference"/>
        </w:rPr>
        <w:footnoteReference w:id="19"/>
      </w:r>
    </w:p>
    <w:p w14:paraId="649E97B6" w14:textId="77777777" w:rsidR="00DA0AF4" w:rsidRPr="00F97844" w:rsidRDefault="00DA0AF4" w:rsidP="00F73DD3">
      <w:pPr>
        <w:pStyle w:val="Heading1"/>
        <w:numPr>
          <w:ilvl w:val="0"/>
          <w:numId w:val="11"/>
        </w:numPr>
      </w:pPr>
      <w:bookmarkStart w:id="32" w:name="_Toc4508005"/>
      <w:bookmarkStart w:id="33" w:name="_Toc5704481"/>
      <w:bookmarkStart w:id="34" w:name="_Toc30412726"/>
      <w:r w:rsidRPr="00F97844">
        <w:t>Arguments of the Third Participants</w:t>
      </w:r>
      <w:bookmarkEnd w:id="25"/>
      <w:bookmarkEnd w:id="26"/>
      <w:bookmarkEnd w:id="27"/>
      <w:bookmarkEnd w:id="28"/>
      <w:bookmarkEnd w:id="29"/>
      <w:bookmarkEnd w:id="30"/>
      <w:bookmarkEnd w:id="31"/>
      <w:bookmarkEnd w:id="32"/>
      <w:bookmarkEnd w:id="33"/>
      <w:bookmarkEnd w:id="34"/>
    </w:p>
    <w:p w14:paraId="332F00E0" w14:textId="217FA27D" w:rsidR="00DA0AF4" w:rsidRPr="00F97844" w:rsidRDefault="00540E6E" w:rsidP="00F73DD3">
      <w:pPr>
        <w:pStyle w:val="BodyText"/>
        <w:numPr>
          <w:ilvl w:val="6"/>
          <w:numId w:val="11"/>
        </w:numPr>
      </w:pPr>
      <w:bookmarkStart w:id="35" w:name="_Toc298321505"/>
      <w:bookmarkStart w:id="36" w:name="_Toc328640637"/>
      <w:bookmarkStart w:id="37" w:name="_Toc333317558"/>
      <w:bookmarkStart w:id="38" w:name="_Toc333331196"/>
      <w:bookmarkStart w:id="39" w:name="_Toc333395163"/>
      <w:bookmarkStart w:id="40" w:name="_Toc333510449"/>
      <w:bookmarkStart w:id="41" w:name="_Toc333510556"/>
      <w:r w:rsidRPr="00244CCE">
        <w:rPr>
          <w:lang w:eastAsia="zh-CN"/>
        </w:rPr>
        <w:t xml:space="preserve">Brazil, China, the </w:t>
      </w:r>
      <w:r w:rsidR="00A5207F" w:rsidRPr="00244CCE">
        <w:rPr>
          <w:lang w:eastAsia="zh-CN"/>
        </w:rPr>
        <w:t>European</w:t>
      </w:r>
      <w:r w:rsidR="00CF40A8" w:rsidRPr="00244CCE">
        <w:rPr>
          <w:lang w:eastAsia="zh-CN"/>
        </w:rPr>
        <w:t> Union</w:t>
      </w:r>
      <w:r w:rsidR="00A5207F" w:rsidRPr="00244CCE">
        <w:rPr>
          <w:lang w:eastAsia="zh-CN"/>
        </w:rPr>
        <w:t>,</w:t>
      </w:r>
      <w:r w:rsidRPr="00244CCE">
        <w:rPr>
          <w:lang w:eastAsia="zh-CN"/>
        </w:rPr>
        <w:t xml:space="preserve"> and Japan filed written submissions. The executive summaries of these written submissions</w:t>
      </w:r>
      <w:r w:rsidR="00DA0AF4" w:rsidRPr="00244CCE">
        <w:rPr>
          <w:lang w:eastAsia="zh-CN"/>
        </w:rPr>
        <w:t xml:space="preserve"> are contained in Annex</w:t>
      </w:r>
      <w:r w:rsidR="0044530A" w:rsidRPr="00244CCE">
        <w:rPr>
          <w:lang w:eastAsia="zh-CN"/>
        </w:rPr>
        <w:t> </w:t>
      </w:r>
      <w:r w:rsidR="00DA0AF4" w:rsidRPr="00244CCE">
        <w:t xml:space="preserve">C </w:t>
      </w:r>
      <w:r w:rsidR="00DA0AF4" w:rsidRPr="00244CCE">
        <w:rPr>
          <w:lang w:eastAsia="zh-CN"/>
        </w:rPr>
        <w:t xml:space="preserve">of the Addendum to this Report, </w:t>
      </w:r>
      <w:r w:rsidR="00DA0AF4" w:rsidRPr="00244CCE">
        <w:t>WT/DS505/AB/R/Add.1.</w:t>
      </w:r>
      <w:r w:rsidR="00A5207F" w:rsidRPr="00F97844">
        <w:rPr>
          <w:rStyle w:val="FootnoteReference"/>
          <w:lang w:eastAsia="zh-CN"/>
        </w:rPr>
        <w:footnoteReference w:id="20"/>
      </w:r>
    </w:p>
    <w:p w14:paraId="2D417076" w14:textId="77777777" w:rsidR="00DA0AF4" w:rsidRPr="00F97844" w:rsidRDefault="00DA0AF4" w:rsidP="00F73DD3">
      <w:pPr>
        <w:pStyle w:val="Heading1"/>
        <w:numPr>
          <w:ilvl w:val="0"/>
          <w:numId w:val="11"/>
        </w:numPr>
      </w:pPr>
      <w:bookmarkStart w:id="42" w:name="_Toc328640674"/>
      <w:bookmarkStart w:id="43" w:name="_Toc333317605"/>
      <w:bookmarkStart w:id="44" w:name="_Toc333331221"/>
      <w:bookmarkStart w:id="45" w:name="_Toc333395200"/>
      <w:bookmarkStart w:id="46" w:name="_Toc333510486"/>
      <w:bookmarkStart w:id="47" w:name="_Toc333510593"/>
      <w:bookmarkStart w:id="48" w:name="_Toc4508006"/>
      <w:bookmarkStart w:id="49" w:name="_Toc5704482"/>
      <w:bookmarkStart w:id="50" w:name="_Toc30412727"/>
      <w:bookmarkEnd w:id="35"/>
      <w:bookmarkEnd w:id="36"/>
      <w:bookmarkEnd w:id="37"/>
      <w:bookmarkEnd w:id="38"/>
      <w:bookmarkEnd w:id="39"/>
      <w:bookmarkEnd w:id="40"/>
      <w:bookmarkEnd w:id="41"/>
      <w:r w:rsidRPr="00F97844">
        <w:t>Issues raised in this appeal</w:t>
      </w:r>
      <w:bookmarkEnd w:id="42"/>
      <w:bookmarkEnd w:id="43"/>
      <w:bookmarkEnd w:id="44"/>
      <w:bookmarkEnd w:id="45"/>
      <w:bookmarkEnd w:id="46"/>
      <w:bookmarkEnd w:id="47"/>
      <w:bookmarkEnd w:id="48"/>
      <w:bookmarkEnd w:id="49"/>
      <w:bookmarkEnd w:id="50"/>
    </w:p>
    <w:p w14:paraId="4284259A" w14:textId="61D224CB" w:rsidR="00DA0AF4" w:rsidRPr="00244CCE" w:rsidRDefault="00DA0AF4" w:rsidP="00F73DD3">
      <w:pPr>
        <w:pStyle w:val="BodyText"/>
        <w:numPr>
          <w:ilvl w:val="6"/>
          <w:numId w:val="11"/>
        </w:numPr>
      </w:pPr>
      <w:r w:rsidRPr="00244CCE">
        <w:t>The following issues are raised in this appeal:</w:t>
      </w:r>
    </w:p>
    <w:p w14:paraId="62A34A67" w14:textId="470CA889" w:rsidR="00DA0AF4" w:rsidRPr="00244CCE" w:rsidRDefault="00DA0AF4" w:rsidP="00F73DD3">
      <w:pPr>
        <w:pStyle w:val="BodyText2"/>
        <w:numPr>
          <w:ilvl w:val="7"/>
          <w:numId w:val="28"/>
        </w:numPr>
      </w:pPr>
      <w:r w:rsidRPr="00244CCE">
        <w:t>whether the Panel erred</w:t>
      </w:r>
      <w:r w:rsidRPr="00244CCE">
        <w:rPr>
          <w:i/>
        </w:rPr>
        <w:t xml:space="preserve"> </w:t>
      </w:r>
      <w:r w:rsidRPr="00244CCE">
        <w:t>under Articles</w:t>
      </w:r>
      <w:r w:rsidR="00B37C5D" w:rsidRPr="00244CCE">
        <w:t> </w:t>
      </w:r>
      <w:r w:rsidRPr="00244CCE">
        <w:t>3.3, 4.2, 7.1, and 19.1 of the DSU, by finding that the alleged OFA</w:t>
      </w:r>
      <w:r w:rsidR="007643D6" w:rsidRPr="00244CCE">
        <w:noBreakHyphen/>
      </w:r>
      <w:r w:rsidR="00443768" w:rsidRPr="00244CCE">
        <w:t>AFA</w:t>
      </w:r>
      <w:r w:rsidRPr="00244CCE">
        <w:t xml:space="preserve"> measure amounted to a "measure" that could be challenged under the DSU as "ongoing conduct"</w:t>
      </w:r>
      <w:r w:rsidR="00540E6E" w:rsidRPr="00244CCE">
        <w:t>;</w:t>
      </w:r>
      <w:r w:rsidR="00CE4D2D" w:rsidRPr="00244CCE">
        <w:t xml:space="preserve"> and</w:t>
      </w:r>
    </w:p>
    <w:p w14:paraId="2D6A39DF" w14:textId="689D3619" w:rsidR="00DA0AF4" w:rsidRPr="00244CCE" w:rsidRDefault="00DA0AF4" w:rsidP="00F73DD3">
      <w:pPr>
        <w:pStyle w:val="BodyText2"/>
        <w:keepNext/>
        <w:keepLines/>
        <w:numPr>
          <w:ilvl w:val="7"/>
          <w:numId w:val="28"/>
        </w:numPr>
      </w:pPr>
      <w:r w:rsidRPr="00244CCE">
        <w:t xml:space="preserve">in </w:t>
      </w:r>
      <w:r w:rsidRPr="00244CCE">
        <w:rPr>
          <w:szCs w:val="18"/>
        </w:rPr>
        <w:t>relation</w:t>
      </w:r>
      <w:r w:rsidRPr="00244CCE">
        <w:t xml:space="preserve"> to the alleged OFA</w:t>
      </w:r>
      <w:r w:rsidR="007643D6" w:rsidRPr="00244CCE">
        <w:noBreakHyphen/>
      </w:r>
      <w:r w:rsidRPr="00244CCE">
        <w:t>AFA</w:t>
      </w:r>
      <w:r w:rsidR="00F00213">
        <w:t> </w:t>
      </w:r>
      <w:r w:rsidRPr="00244CCE">
        <w:t>measure:</w:t>
      </w:r>
    </w:p>
    <w:p w14:paraId="5F3ADB6E" w14:textId="4CB3FCC1" w:rsidR="00DA0AF4" w:rsidRPr="00244CCE" w:rsidRDefault="00DA0AF4" w:rsidP="00F73DD3">
      <w:pPr>
        <w:pStyle w:val="BodyText3"/>
        <w:keepNext/>
        <w:keepLines/>
        <w:numPr>
          <w:ilvl w:val="8"/>
          <w:numId w:val="40"/>
        </w:numPr>
      </w:pPr>
      <w:r w:rsidRPr="00244CCE">
        <w:t>whether the Panel erred under Article 12.7 of the DSU by failing to provide a "basi</w:t>
      </w:r>
      <w:r w:rsidR="00443768" w:rsidRPr="00244CCE">
        <w:t>c</w:t>
      </w:r>
      <w:r w:rsidRPr="00244CCE">
        <w:t xml:space="preserve"> rationale" for it</w:t>
      </w:r>
      <w:r w:rsidR="00540E6E" w:rsidRPr="00244CCE">
        <w:t>s</w:t>
      </w:r>
      <w:r w:rsidRPr="00244CCE">
        <w:t xml:space="preserve"> finding; and</w:t>
      </w:r>
    </w:p>
    <w:p w14:paraId="28616097" w14:textId="42907D6A" w:rsidR="00E30290" w:rsidRPr="00244CCE" w:rsidRDefault="00E30290" w:rsidP="00F73DD3">
      <w:pPr>
        <w:pStyle w:val="BodyText3"/>
        <w:numPr>
          <w:ilvl w:val="8"/>
          <w:numId w:val="40"/>
        </w:numPr>
      </w:pPr>
      <w:r w:rsidRPr="00244CCE">
        <w:t>whether the Panel erred under Article 12.7 of the SCM Agreement in finding that the alleged OFA</w:t>
      </w:r>
      <w:r w:rsidR="007643D6" w:rsidRPr="00244CCE">
        <w:noBreakHyphen/>
      </w:r>
      <w:r w:rsidRPr="00244CCE">
        <w:t>AFA measure is inconsistent with that provision.</w:t>
      </w:r>
    </w:p>
    <w:p w14:paraId="6D92BB6D" w14:textId="350BED8F" w:rsidR="00DA0AF4" w:rsidRPr="00244CCE" w:rsidRDefault="00DA0AF4" w:rsidP="00F73DD3">
      <w:pPr>
        <w:pStyle w:val="Heading1"/>
        <w:numPr>
          <w:ilvl w:val="0"/>
          <w:numId w:val="11"/>
        </w:numPr>
      </w:pPr>
      <w:bookmarkStart w:id="51" w:name="_Toc30412728"/>
      <w:r w:rsidRPr="00244CCE">
        <w:t>Analysis of the A</w:t>
      </w:r>
      <w:r w:rsidR="00E06518" w:rsidRPr="00244CCE">
        <w:t>ppellate Body</w:t>
      </w:r>
      <w:bookmarkEnd w:id="51"/>
    </w:p>
    <w:p w14:paraId="393C3E16" w14:textId="6FAAC89A" w:rsidR="007454B1" w:rsidRPr="00244CCE" w:rsidRDefault="00DA0AF4" w:rsidP="00F73DD3">
      <w:pPr>
        <w:pStyle w:val="BodyText"/>
        <w:numPr>
          <w:ilvl w:val="6"/>
          <w:numId w:val="11"/>
        </w:numPr>
      </w:pPr>
      <w:r w:rsidRPr="00244CCE">
        <w:rPr>
          <w:lang w:eastAsia="zh-CN"/>
        </w:rPr>
        <w:t xml:space="preserve">In </w:t>
      </w:r>
      <w:r w:rsidRPr="00244CCE">
        <w:t>this</w:t>
      </w:r>
      <w:r w:rsidRPr="00244CCE">
        <w:rPr>
          <w:lang w:eastAsia="zh-CN"/>
        </w:rPr>
        <w:t xml:space="preserve"> Report, we first address the United</w:t>
      </w:r>
      <w:r w:rsidR="00945567" w:rsidRPr="00244CCE">
        <w:rPr>
          <w:lang w:eastAsia="zh-CN"/>
        </w:rPr>
        <w:t> States</w:t>
      </w:r>
      <w:r w:rsidRPr="00244CCE">
        <w:rPr>
          <w:lang w:eastAsia="zh-CN"/>
        </w:rPr>
        <w:t>' claim that the Panel erred</w:t>
      </w:r>
      <w:r w:rsidRPr="00244CCE">
        <w:rPr>
          <w:i/>
        </w:rPr>
        <w:t xml:space="preserve"> </w:t>
      </w:r>
      <w:r w:rsidRPr="00244CCE">
        <w:t>under Articles</w:t>
      </w:r>
      <w:r w:rsidR="004C053E" w:rsidRPr="00244CCE">
        <w:t> </w:t>
      </w:r>
      <w:r w:rsidRPr="00244CCE">
        <w:t>3.3, 4.2, 7.1, and 19.1 of the DSU, by finding that the alleged OFA</w:t>
      </w:r>
      <w:r w:rsidR="007643D6" w:rsidRPr="00244CCE">
        <w:noBreakHyphen/>
      </w:r>
      <w:r w:rsidRPr="00244CCE">
        <w:t>AFA</w:t>
      </w:r>
      <w:r w:rsidR="00F00213">
        <w:t> </w:t>
      </w:r>
      <w:r w:rsidRPr="00244CCE">
        <w:t xml:space="preserve">measure amounted to a "measure" that could be challenged under the DSU as "ongoing conduct". Thereafter, we address </w:t>
      </w:r>
      <w:r w:rsidRPr="00244CCE">
        <w:rPr>
          <w:lang w:eastAsia="zh-CN"/>
        </w:rPr>
        <w:t>the United</w:t>
      </w:r>
      <w:r w:rsidR="00945567" w:rsidRPr="00244CCE">
        <w:rPr>
          <w:lang w:eastAsia="zh-CN"/>
        </w:rPr>
        <w:t> States</w:t>
      </w:r>
      <w:r w:rsidRPr="00244CCE">
        <w:rPr>
          <w:lang w:eastAsia="zh-CN"/>
        </w:rPr>
        <w:t xml:space="preserve">' claims that the </w:t>
      </w:r>
      <w:r w:rsidRPr="00244CCE">
        <w:t>Panel erred by finding that the alleged OFA</w:t>
      </w:r>
      <w:r w:rsidR="007643D6" w:rsidRPr="00244CCE">
        <w:noBreakHyphen/>
      </w:r>
      <w:r w:rsidRPr="00244CCE">
        <w:t>AFA</w:t>
      </w:r>
      <w:r w:rsidR="00F00213">
        <w:t> </w:t>
      </w:r>
      <w:r w:rsidRPr="00244CCE">
        <w:t>measure is inconsistent with Article</w:t>
      </w:r>
      <w:r w:rsidR="00945567" w:rsidRPr="00244CCE">
        <w:t> </w:t>
      </w:r>
      <w:r w:rsidRPr="00244CCE">
        <w:t>12.7 of the SCM</w:t>
      </w:r>
      <w:r w:rsidR="00945567" w:rsidRPr="00244CCE">
        <w:t> Agreement</w:t>
      </w:r>
      <w:r w:rsidRPr="00244CCE">
        <w:t xml:space="preserve">. </w:t>
      </w:r>
    </w:p>
    <w:p w14:paraId="3A20614E" w14:textId="4CC672CD" w:rsidR="00104C58" w:rsidRPr="00244CCE" w:rsidRDefault="00104C58" w:rsidP="00F73DD3">
      <w:pPr>
        <w:pStyle w:val="BodyText"/>
        <w:numPr>
          <w:ilvl w:val="6"/>
          <w:numId w:val="11"/>
        </w:numPr>
      </w:pPr>
      <w:r w:rsidRPr="00244CCE">
        <w:rPr>
          <w:szCs w:val="16"/>
        </w:rPr>
        <w:t>We recall that the Panel issued its final Panel</w:t>
      </w:r>
      <w:r w:rsidR="00E06518" w:rsidRPr="00244CCE">
        <w:rPr>
          <w:szCs w:val="16"/>
        </w:rPr>
        <w:t> Report</w:t>
      </w:r>
      <w:r w:rsidRPr="00244CCE">
        <w:rPr>
          <w:szCs w:val="16"/>
        </w:rPr>
        <w:t xml:space="preserve"> to the parties on 15</w:t>
      </w:r>
      <w:r w:rsidR="00C73A2C" w:rsidRPr="00244CCE">
        <w:rPr>
          <w:szCs w:val="16"/>
        </w:rPr>
        <w:t> </w:t>
      </w:r>
      <w:r w:rsidRPr="00244CCE">
        <w:rPr>
          <w:szCs w:val="16"/>
        </w:rPr>
        <w:t>December</w:t>
      </w:r>
      <w:r w:rsidR="00C73A2C" w:rsidRPr="00244CCE">
        <w:rPr>
          <w:szCs w:val="16"/>
        </w:rPr>
        <w:t> </w:t>
      </w:r>
      <w:r w:rsidRPr="00244CCE">
        <w:rPr>
          <w:szCs w:val="16"/>
        </w:rPr>
        <w:t>2017. On 5 July 2018, the Panel</w:t>
      </w:r>
      <w:r w:rsidR="00E06518" w:rsidRPr="00244CCE">
        <w:rPr>
          <w:szCs w:val="16"/>
        </w:rPr>
        <w:t> Report</w:t>
      </w:r>
      <w:r w:rsidRPr="00244CCE">
        <w:rPr>
          <w:szCs w:val="16"/>
        </w:rPr>
        <w:t xml:space="preserve"> was circulated to WTO Members. On 5</w:t>
      </w:r>
      <w:r w:rsidR="00C73A2C" w:rsidRPr="00244CCE">
        <w:rPr>
          <w:szCs w:val="16"/>
        </w:rPr>
        <w:t> </w:t>
      </w:r>
      <w:r w:rsidRPr="00244CCE">
        <w:rPr>
          <w:szCs w:val="16"/>
        </w:rPr>
        <w:t>July</w:t>
      </w:r>
      <w:r w:rsidR="00C73A2C" w:rsidRPr="00244CCE">
        <w:rPr>
          <w:szCs w:val="16"/>
        </w:rPr>
        <w:t> </w:t>
      </w:r>
      <w:r w:rsidRPr="00244CCE">
        <w:rPr>
          <w:szCs w:val="16"/>
        </w:rPr>
        <w:t xml:space="preserve">2018, the USDOC revoked the CVD order in </w:t>
      </w:r>
      <w:proofErr w:type="spellStart"/>
      <w:r w:rsidRPr="00244CCE">
        <w:rPr>
          <w:szCs w:val="16"/>
        </w:rPr>
        <w:t>Supercalendered</w:t>
      </w:r>
      <w:proofErr w:type="spellEnd"/>
      <w:r w:rsidRPr="00244CCE">
        <w:rPr>
          <w:szCs w:val="16"/>
        </w:rPr>
        <w:t xml:space="preserve"> Paper from Canada 2015, with retroactive effect to the beginning of the CVD proceeding. Notwithstanding this revocation, the United</w:t>
      </w:r>
      <w:r w:rsidR="00E06518" w:rsidRPr="00244CCE">
        <w:rPr>
          <w:szCs w:val="16"/>
        </w:rPr>
        <w:t> States</w:t>
      </w:r>
      <w:r w:rsidRPr="00244CCE">
        <w:rPr>
          <w:szCs w:val="16"/>
        </w:rPr>
        <w:t xml:space="preserve"> filed its appeal on 27 August 2018. This revocation is not addressed by either participant in </w:t>
      </w:r>
      <w:r w:rsidR="00C07E8A" w:rsidRPr="00244CCE">
        <w:rPr>
          <w:szCs w:val="16"/>
        </w:rPr>
        <w:t xml:space="preserve">its </w:t>
      </w:r>
      <w:r w:rsidRPr="00244CCE">
        <w:rPr>
          <w:szCs w:val="16"/>
        </w:rPr>
        <w:t xml:space="preserve">written submissions. </w:t>
      </w:r>
      <w:r w:rsidR="00F500BE" w:rsidRPr="00244CCE">
        <w:rPr>
          <w:szCs w:val="16"/>
        </w:rPr>
        <w:t>Moreover, a</w:t>
      </w:r>
      <w:r w:rsidRPr="00244CCE">
        <w:rPr>
          <w:szCs w:val="16"/>
        </w:rPr>
        <w:t xml:space="preserve">t the oral hearing, both participants confirmed that there is a dispute between them </w:t>
      </w:r>
      <w:r w:rsidR="0017544A" w:rsidRPr="00244CCE">
        <w:rPr>
          <w:szCs w:val="16"/>
        </w:rPr>
        <w:t xml:space="preserve">regarding the existence of "ongoing conduct" and the finding of inconsistency with Article 12.7 of the SCM Agreement </w:t>
      </w:r>
      <w:r w:rsidRPr="00244CCE">
        <w:rPr>
          <w:szCs w:val="16"/>
        </w:rPr>
        <w:t xml:space="preserve">that remains to be resolved on appeal. </w:t>
      </w:r>
      <w:r w:rsidR="00490D3A" w:rsidRPr="00244CCE">
        <w:rPr>
          <w:szCs w:val="16"/>
        </w:rPr>
        <w:t>Under these circumstances</w:t>
      </w:r>
      <w:r w:rsidRPr="00244CCE">
        <w:rPr>
          <w:szCs w:val="16"/>
        </w:rPr>
        <w:t>, we consider the United</w:t>
      </w:r>
      <w:r w:rsidR="00E06518" w:rsidRPr="00244CCE">
        <w:rPr>
          <w:szCs w:val="16"/>
        </w:rPr>
        <w:t> States</w:t>
      </w:r>
      <w:r w:rsidRPr="00244CCE">
        <w:t xml:space="preserve">' claims of error on appeal </w:t>
      </w:r>
      <w:proofErr w:type="gramStart"/>
      <w:r w:rsidRPr="00244CCE">
        <w:rPr>
          <w:szCs w:val="16"/>
        </w:rPr>
        <w:t>in light of</w:t>
      </w:r>
      <w:proofErr w:type="gramEnd"/>
      <w:r w:rsidRPr="00244CCE">
        <w:rPr>
          <w:szCs w:val="16"/>
        </w:rPr>
        <w:t xml:space="preserve"> the Panel</w:t>
      </w:r>
      <w:r w:rsidRPr="00244CCE">
        <w:t>'</w:t>
      </w:r>
      <w:r w:rsidRPr="00244CCE">
        <w:rPr>
          <w:szCs w:val="16"/>
        </w:rPr>
        <w:t>s findings as</w:t>
      </w:r>
      <w:r w:rsidR="00693EFF" w:rsidRPr="00244CCE">
        <w:rPr>
          <w:szCs w:val="16"/>
        </w:rPr>
        <w:t xml:space="preserve"> they are</w:t>
      </w:r>
      <w:r w:rsidRPr="00244CCE">
        <w:rPr>
          <w:szCs w:val="16"/>
        </w:rPr>
        <w:t xml:space="preserve"> in the Panel</w:t>
      </w:r>
      <w:r w:rsidR="00E06518" w:rsidRPr="00244CCE">
        <w:rPr>
          <w:szCs w:val="16"/>
        </w:rPr>
        <w:t> Report</w:t>
      </w:r>
      <w:r w:rsidRPr="00244CCE">
        <w:rPr>
          <w:szCs w:val="16"/>
        </w:rPr>
        <w:t>.</w:t>
      </w:r>
    </w:p>
    <w:p w14:paraId="2F2E4FCF" w14:textId="742EF929" w:rsidR="00DA0AF4" w:rsidRPr="00244CCE" w:rsidRDefault="00DA0AF4" w:rsidP="00F73DD3">
      <w:pPr>
        <w:pStyle w:val="Heading2"/>
        <w:numPr>
          <w:ilvl w:val="1"/>
          <w:numId w:val="47"/>
        </w:numPr>
      </w:pPr>
      <w:bookmarkStart w:id="52" w:name="_Toc30412729"/>
      <w:r w:rsidRPr="00244CCE">
        <w:lastRenderedPageBreak/>
        <w:t>Alleged OFA</w:t>
      </w:r>
      <w:r w:rsidR="007643D6" w:rsidRPr="00244CCE">
        <w:noBreakHyphen/>
      </w:r>
      <w:r w:rsidRPr="00244CCE">
        <w:t xml:space="preserve">AFA </w:t>
      </w:r>
      <w:r w:rsidR="00E9318E" w:rsidRPr="00244CCE">
        <w:t>m</w:t>
      </w:r>
      <w:r w:rsidRPr="00244CCE">
        <w:t>easure</w:t>
      </w:r>
      <w:bookmarkEnd w:id="52"/>
    </w:p>
    <w:p w14:paraId="1EB88993" w14:textId="77777777" w:rsidR="00DA0AF4" w:rsidRPr="00244CCE" w:rsidRDefault="00DA0AF4" w:rsidP="00F73DD3">
      <w:pPr>
        <w:pStyle w:val="Heading3"/>
        <w:numPr>
          <w:ilvl w:val="2"/>
          <w:numId w:val="28"/>
        </w:numPr>
      </w:pPr>
      <w:bookmarkStart w:id="53" w:name="_Toc30412730"/>
      <w:r w:rsidRPr="00244CCE">
        <w:t>Introduction</w:t>
      </w:r>
      <w:bookmarkEnd w:id="53"/>
    </w:p>
    <w:p w14:paraId="288289EC" w14:textId="714BEEB1" w:rsidR="00DA0AF4" w:rsidRPr="00F97844" w:rsidRDefault="00DA0AF4" w:rsidP="00F73DD3">
      <w:pPr>
        <w:pStyle w:val="BodyText"/>
        <w:numPr>
          <w:ilvl w:val="6"/>
          <w:numId w:val="28"/>
        </w:numPr>
      </w:pPr>
      <w:r w:rsidRPr="00244CCE">
        <w:t>The United</w:t>
      </w:r>
      <w:r w:rsidR="00945567" w:rsidRPr="00244CCE">
        <w:t> States</w:t>
      </w:r>
      <w:r w:rsidRPr="00244CCE">
        <w:t xml:space="preserve"> appeals the Panel's finding that the alleged OFA</w:t>
      </w:r>
      <w:r w:rsidR="007643D6" w:rsidRPr="00244CCE">
        <w:noBreakHyphen/>
      </w:r>
      <w:r w:rsidRPr="00244CCE">
        <w:t>AFA</w:t>
      </w:r>
      <w:r w:rsidR="00F00213">
        <w:t> </w:t>
      </w:r>
      <w:r w:rsidRPr="00244CCE">
        <w:t xml:space="preserve">measure is an </w:t>
      </w:r>
      <w:r w:rsidR="00686A6B" w:rsidRPr="00244CCE">
        <w:t>"</w:t>
      </w:r>
      <w:r w:rsidRPr="00244CCE">
        <w:t>ongoing conduct</w:t>
      </w:r>
      <w:r w:rsidR="00686A6B" w:rsidRPr="00244CCE">
        <w:t>"</w:t>
      </w:r>
      <w:r w:rsidRPr="00244CCE">
        <w:t xml:space="preserve"> measure susceptible to challenge under the DSU. According to the United</w:t>
      </w:r>
      <w:r w:rsidR="00945567" w:rsidRPr="00244CCE">
        <w:t> States</w:t>
      </w:r>
      <w:r w:rsidRPr="00244CCE">
        <w:t xml:space="preserve">, the Panel erred in both </w:t>
      </w:r>
      <w:r w:rsidR="008976FB" w:rsidRPr="00244CCE">
        <w:t>its</w:t>
      </w:r>
      <w:r w:rsidRPr="00244CCE">
        <w:t xml:space="preserve"> </w:t>
      </w:r>
      <w:r w:rsidR="00F42796" w:rsidRPr="00244CCE">
        <w:t>understanding</w:t>
      </w:r>
      <w:r w:rsidRPr="00244CCE">
        <w:t xml:space="preserve"> and application of the legal standard for "ongoing conduct" measures, in particular with regard to the alleged measure's precise content, repeated application, and likelihood of continued application.</w:t>
      </w:r>
      <w:r w:rsidRPr="00F97844">
        <w:rPr>
          <w:rStyle w:val="FootnoteReference"/>
        </w:rPr>
        <w:footnoteReference w:id="21"/>
      </w:r>
      <w:r w:rsidRPr="00F97844">
        <w:t xml:space="preserve"> The United</w:t>
      </w:r>
      <w:r w:rsidR="00945567" w:rsidRPr="00F97844">
        <w:t> States</w:t>
      </w:r>
      <w:r w:rsidRPr="00F97844">
        <w:t xml:space="preserve"> requests that we reverse the Panel's findings in </w:t>
      </w:r>
      <w:r w:rsidRPr="00244CCE">
        <w:t>this respect.</w:t>
      </w:r>
      <w:r w:rsidRPr="00F97844">
        <w:rPr>
          <w:rStyle w:val="FootnoteReference"/>
        </w:rPr>
        <w:footnoteReference w:id="22"/>
      </w:r>
      <w:r w:rsidRPr="00F97844">
        <w:t xml:space="preserve"> Canada responds that the United</w:t>
      </w:r>
      <w:r w:rsidR="00945567" w:rsidRPr="00F97844">
        <w:t> States</w:t>
      </w:r>
      <w:r w:rsidRPr="00F97844">
        <w:t>' appeal is outside the scope of appellate review</w:t>
      </w:r>
      <w:r w:rsidRPr="00F97844">
        <w:rPr>
          <w:rStyle w:val="FootnoteReference"/>
        </w:rPr>
        <w:footnoteReference w:id="23"/>
      </w:r>
      <w:r w:rsidRPr="00F97844">
        <w:t>, and that, in any event, the Panel was correct to find that the alleged OFA</w:t>
      </w:r>
      <w:r w:rsidR="007643D6" w:rsidRPr="00F97844">
        <w:noBreakHyphen/>
      </w:r>
      <w:r w:rsidRPr="00F97844">
        <w:t>AFA</w:t>
      </w:r>
      <w:r w:rsidR="00F00213">
        <w:t> </w:t>
      </w:r>
      <w:r w:rsidRPr="00F97844">
        <w:t>measure was challengeable in WTO dispute settlement as "ongoing conduct"</w:t>
      </w:r>
      <w:r w:rsidRPr="00244CCE">
        <w:t>.</w:t>
      </w:r>
      <w:r w:rsidRPr="00F97844">
        <w:rPr>
          <w:rStyle w:val="FootnoteReference"/>
        </w:rPr>
        <w:footnoteReference w:id="24"/>
      </w:r>
      <w:r w:rsidRPr="00F97844">
        <w:t xml:space="preserve"> For that reason, Canada requests that we dismiss the United</w:t>
      </w:r>
      <w:r w:rsidR="00945567" w:rsidRPr="00F97844">
        <w:t> States</w:t>
      </w:r>
      <w:r w:rsidRPr="00F97844">
        <w:t>' claim of error.</w:t>
      </w:r>
      <w:r w:rsidRPr="00F97844">
        <w:rPr>
          <w:rStyle w:val="FootnoteReference"/>
        </w:rPr>
        <w:footnoteReference w:id="25"/>
      </w:r>
    </w:p>
    <w:p w14:paraId="32F1DB15" w14:textId="3A82A11A" w:rsidR="00DA0AF4" w:rsidRPr="00244CCE" w:rsidRDefault="00DA0AF4" w:rsidP="00F73DD3">
      <w:pPr>
        <w:pStyle w:val="BodyText"/>
        <w:numPr>
          <w:ilvl w:val="6"/>
          <w:numId w:val="28"/>
        </w:numPr>
      </w:pPr>
      <w:r w:rsidRPr="00F97844">
        <w:t>In the section below, we first summarize the relevant Panel findings concerning the existence of the alleged OFA</w:t>
      </w:r>
      <w:r w:rsidR="007643D6" w:rsidRPr="00F97844">
        <w:noBreakHyphen/>
      </w:r>
      <w:r w:rsidRPr="00244CCE">
        <w:t>AFA measure. We then address Canada's assertion that the United</w:t>
      </w:r>
      <w:r w:rsidR="00945567" w:rsidRPr="00244CCE">
        <w:t> States</w:t>
      </w:r>
      <w:r w:rsidRPr="00244CCE">
        <w:t>' claim of error falls outside the scope of appellate review. Finally, we address the United</w:t>
      </w:r>
      <w:r w:rsidR="00945567" w:rsidRPr="00244CCE">
        <w:t> States</w:t>
      </w:r>
      <w:r w:rsidRPr="00244CCE">
        <w:t xml:space="preserve">' claim that the Panel erred in its </w:t>
      </w:r>
      <w:r w:rsidR="00F42796" w:rsidRPr="00244CCE">
        <w:t>understanding</w:t>
      </w:r>
      <w:r w:rsidRPr="00244CCE">
        <w:t xml:space="preserve"> and application of the legal standard for "ongoing conduct" measures.</w:t>
      </w:r>
    </w:p>
    <w:p w14:paraId="036E7EE3" w14:textId="77777777" w:rsidR="00DA0AF4" w:rsidRPr="00244CCE" w:rsidRDefault="00DA0AF4" w:rsidP="00F73DD3">
      <w:pPr>
        <w:pStyle w:val="Heading3"/>
        <w:numPr>
          <w:ilvl w:val="2"/>
          <w:numId w:val="28"/>
        </w:numPr>
      </w:pPr>
      <w:bookmarkStart w:id="54" w:name="_Toc30412731"/>
      <w:r w:rsidRPr="00244CCE">
        <w:t>The Panel's findings</w:t>
      </w:r>
      <w:bookmarkEnd w:id="54"/>
    </w:p>
    <w:p w14:paraId="41067E2A" w14:textId="681FCA5B" w:rsidR="00DA0AF4" w:rsidRPr="00F97844" w:rsidRDefault="00DA0AF4" w:rsidP="00F73DD3">
      <w:pPr>
        <w:pStyle w:val="BodyText"/>
        <w:numPr>
          <w:ilvl w:val="6"/>
          <w:numId w:val="28"/>
        </w:numPr>
      </w:pPr>
      <w:r w:rsidRPr="00244CCE">
        <w:t>The Panel identified the relevant issue before it as whether Canada had demonstrated the existence of the alleged OFA</w:t>
      </w:r>
      <w:r w:rsidR="007643D6" w:rsidRPr="00244CCE">
        <w:noBreakHyphen/>
      </w:r>
      <w:r w:rsidRPr="00244CCE">
        <w:t>AFA</w:t>
      </w:r>
      <w:r w:rsidR="00F00213">
        <w:t> </w:t>
      </w:r>
      <w:r w:rsidRPr="00244CCE">
        <w:t>measure "either as 'ongoing conduct' or as a 'rule or norm of general and prospective application'".</w:t>
      </w:r>
      <w:r w:rsidRPr="00F97844">
        <w:rPr>
          <w:rStyle w:val="FootnoteReference"/>
        </w:rPr>
        <w:footnoteReference w:id="26"/>
      </w:r>
    </w:p>
    <w:p w14:paraId="3122F7D6" w14:textId="406B4820" w:rsidR="00DA0AF4" w:rsidRPr="00F97844" w:rsidRDefault="00DA0AF4" w:rsidP="00F73DD3">
      <w:pPr>
        <w:pStyle w:val="BodyText"/>
        <w:numPr>
          <w:ilvl w:val="6"/>
          <w:numId w:val="28"/>
        </w:numPr>
      </w:pPr>
      <w:r w:rsidRPr="00F97844">
        <w:t>The Panel first a</w:t>
      </w:r>
      <w:r w:rsidRPr="00244CCE">
        <w:t>ddressed the legal standard for "measures" challengeable in WTO dispute settlement.</w:t>
      </w:r>
      <w:r w:rsidRPr="00F97844">
        <w:rPr>
          <w:rStyle w:val="FootnoteReference"/>
        </w:rPr>
        <w:footnoteReference w:id="27"/>
      </w:r>
      <w:r w:rsidRPr="00F97844">
        <w:t xml:space="preserve"> The Panel recalled that a complainant seeking to prove the existence of a measure, whether written or unwritten, must demonstrate that it is attributable to a Member and its precise content. In addition, depending on the specific measure challenged and how it is described by the complainant, other elements may need to be proven.</w:t>
      </w:r>
      <w:r w:rsidRPr="00F97844">
        <w:rPr>
          <w:rStyle w:val="FootnoteReference"/>
        </w:rPr>
        <w:footnoteReference w:id="28"/>
      </w:r>
      <w:r w:rsidRPr="00F97844">
        <w:t xml:space="preserve"> Where dealing with </w:t>
      </w:r>
      <w:r w:rsidR="00553C7C" w:rsidRPr="00F97844">
        <w:t xml:space="preserve">an </w:t>
      </w:r>
      <w:r w:rsidRPr="00F97844">
        <w:t>unwritten "ongoing conduct</w:t>
      </w:r>
      <w:r w:rsidR="00686A6B" w:rsidRPr="00F97844">
        <w:t>"</w:t>
      </w:r>
      <w:r w:rsidR="00553C7C" w:rsidRPr="00244CCE">
        <w:t xml:space="preserve"> measure</w:t>
      </w:r>
      <w:r w:rsidRPr="00244CCE">
        <w:t>, the Panel considered that a complainant would need to prove the alleged measure's (</w:t>
      </w:r>
      <w:proofErr w:type="spellStart"/>
      <w:r w:rsidRPr="00244CCE">
        <w:t>i</w:t>
      </w:r>
      <w:proofErr w:type="spellEnd"/>
      <w:r w:rsidRPr="00244CCE">
        <w:t>) attribution to a Member</w:t>
      </w:r>
      <w:r w:rsidR="00C86E75" w:rsidRPr="00244CCE">
        <w:t>,</w:t>
      </w:r>
      <w:r w:rsidRPr="00244CCE">
        <w:t xml:space="preserve"> (ii)</w:t>
      </w:r>
      <w:r w:rsidR="00027ADB" w:rsidRPr="00244CCE">
        <w:t> </w:t>
      </w:r>
      <w:r w:rsidRPr="00244CCE">
        <w:t>precise content</w:t>
      </w:r>
      <w:r w:rsidR="00C86E75" w:rsidRPr="00244CCE">
        <w:t>,</w:t>
      </w:r>
      <w:r w:rsidRPr="00244CCE">
        <w:t xml:space="preserve"> (iii)</w:t>
      </w:r>
      <w:r w:rsidR="00027ADB" w:rsidRPr="00244CCE">
        <w:t> </w:t>
      </w:r>
      <w:r w:rsidRPr="00244CCE">
        <w:t>repeated application</w:t>
      </w:r>
      <w:r w:rsidR="00C86E75" w:rsidRPr="00244CCE">
        <w:t>,</w:t>
      </w:r>
      <w:r w:rsidRPr="00244CCE">
        <w:t xml:space="preserve"> and (iv)</w:t>
      </w:r>
      <w:r w:rsidR="00027ADB" w:rsidRPr="00244CCE">
        <w:t> </w:t>
      </w:r>
      <w:r w:rsidRPr="00244CCE">
        <w:t>likelihood of continued application.</w:t>
      </w:r>
      <w:r w:rsidRPr="00F97844">
        <w:rPr>
          <w:rStyle w:val="FootnoteReference"/>
        </w:rPr>
        <w:footnoteReference w:id="29"/>
      </w:r>
      <w:r w:rsidRPr="00F97844">
        <w:t xml:space="preserve"> </w:t>
      </w:r>
    </w:p>
    <w:p w14:paraId="258A99C5" w14:textId="5E79A5A9" w:rsidR="00DA0AF4" w:rsidRPr="00F97844" w:rsidRDefault="00DA0AF4" w:rsidP="00F73DD3">
      <w:pPr>
        <w:pStyle w:val="BodyText"/>
        <w:numPr>
          <w:ilvl w:val="6"/>
          <w:numId w:val="28"/>
        </w:numPr>
      </w:pPr>
      <w:bookmarkStart w:id="55" w:name="_Hlk20831815"/>
      <w:r w:rsidRPr="00F97844">
        <w:t>Next, the Panel addressed whether Canada had demonstrated the precise content of t</w:t>
      </w:r>
      <w:r w:rsidRPr="00244CCE">
        <w:t>he alleged OFA</w:t>
      </w:r>
      <w:r w:rsidR="007643D6" w:rsidRPr="00244CCE">
        <w:noBreakHyphen/>
      </w:r>
      <w:r w:rsidRPr="00244CCE">
        <w:t>AFA measure.</w:t>
      </w:r>
      <w:r w:rsidRPr="00F97844">
        <w:rPr>
          <w:rStyle w:val="FootnoteReference"/>
        </w:rPr>
        <w:footnoteReference w:id="30"/>
      </w:r>
      <w:r w:rsidRPr="00F97844">
        <w:t xml:space="preserve"> The Panel observed that the alleged measure challenged by Canada concerns the USDOC's post</w:t>
      </w:r>
      <w:r w:rsidR="007643D6" w:rsidRPr="00F97844">
        <w:noBreakHyphen/>
      </w:r>
      <w:r w:rsidRPr="00F97844">
        <w:t>2012 conduct.</w:t>
      </w:r>
      <w:r w:rsidRPr="00F97844">
        <w:rPr>
          <w:rStyle w:val="FootnoteReference"/>
        </w:rPr>
        <w:footnoteReference w:id="31"/>
      </w:r>
      <w:r w:rsidRPr="00F97844">
        <w:t xml:space="preserve"> With respect to the OFA</w:t>
      </w:r>
      <w:r w:rsidR="00027ADB" w:rsidRPr="00F97844">
        <w:t> </w:t>
      </w:r>
      <w:r w:rsidRPr="00F97844">
        <w:t xml:space="preserve">question, the Panel produced </w:t>
      </w:r>
      <w:r w:rsidR="00785B98" w:rsidRPr="00F97844">
        <w:t>t</w:t>
      </w:r>
      <w:r w:rsidR="007D24BB" w:rsidRPr="00244CCE">
        <w:t>able</w:t>
      </w:r>
      <w:r w:rsidR="00D47A9A" w:rsidRPr="00244CCE">
        <w:t> </w:t>
      </w:r>
      <w:r w:rsidR="007D24BB" w:rsidRPr="00244CCE">
        <w:t>1</w:t>
      </w:r>
      <w:r w:rsidR="00270546" w:rsidRPr="00244CCE">
        <w:t>,</w:t>
      </w:r>
      <w:r w:rsidRPr="00244CCE">
        <w:t xml:space="preserve"> </w:t>
      </w:r>
      <w:r w:rsidR="00270546" w:rsidRPr="00244CCE">
        <w:lastRenderedPageBreak/>
        <w:t xml:space="preserve">which </w:t>
      </w:r>
      <w:r w:rsidRPr="00244CCE">
        <w:t>quotes from certain USDOC CVD proceedings from 2012 onwards.</w:t>
      </w:r>
      <w:r w:rsidRPr="00F97844">
        <w:rPr>
          <w:rStyle w:val="FootnoteReference"/>
        </w:rPr>
        <w:footnoteReference w:id="32"/>
      </w:r>
      <w:r w:rsidRPr="00F97844">
        <w:t xml:space="preserve"> As to the remaining content of the alleged OFA</w:t>
      </w:r>
      <w:r w:rsidR="007643D6" w:rsidRPr="00F97844">
        <w:noBreakHyphen/>
      </w:r>
      <w:r w:rsidRPr="00F97844">
        <w:t>AFA</w:t>
      </w:r>
      <w:r w:rsidR="00F00213">
        <w:t> </w:t>
      </w:r>
      <w:r w:rsidRPr="00F97844">
        <w:t xml:space="preserve">measure, the Panel produced </w:t>
      </w:r>
      <w:r w:rsidR="00785B98" w:rsidRPr="00F97844">
        <w:t>t</w:t>
      </w:r>
      <w:r w:rsidR="007D24BB" w:rsidRPr="00F97844">
        <w:t>able</w:t>
      </w:r>
      <w:r w:rsidR="00D47A9A" w:rsidRPr="00244CCE">
        <w:t> </w:t>
      </w:r>
      <w:r w:rsidR="007D24BB" w:rsidRPr="00244CCE">
        <w:t>2</w:t>
      </w:r>
      <w:r w:rsidR="00270546" w:rsidRPr="00244CCE">
        <w:t>,</w:t>
      </w:r>
      <w:r w:rsidRPr="00244CCE">
        <w:t xml:space="preserve"> </w:t>
      </w:r>
      <w:r w:rsidR="00270546" w:rsidRPr="00244CCE">
        <w:t>which</w:t>
      </w:r>
      <w:r w:rsidRPr="00244CCE">
        <w:t xml:space="preserve"> quotes from the same USDOC CVD proceedings.</w:t>
      </w:r>
      <w:r w:rsidRPr="00F97844">
        <w:rPr>
          <w:rStyle w:val="FootnoteReference"/>
        </w:rPr>
        <w:footnoteReference w:id="33"/>
      </w:r>
      <w:r w:rsidRPr="00F97844">
        <w:t xml:space="preserve"> </w:t>
      </w:r>
      <w:bookmarkStart w:id="56" w:name="_Hlk20831630"/>
      <w:r w:rsidRPr="00F97844">
        <w:t>The Panel concluded that Canada had provided sufficient evidence to establish the precise content of the alleged OFA</w:t>
      </w:r>
      <w:r w:rsidR="007643D6" w:rsidRPr="00F97844">
        <w:noBreakHyphen/>
      </w:r>
      <w:r w:rsidRPr="00244CCE">
        <w:t>AFA</w:t>
      </w:r>
      <w:r w:rsidR="00F00213">
        <w:t> </w:t>
      </w:r>
      <w:r w:rsidRPr="00244CCE">
        <w:t>measure.</w:t>
      </w:r>
      <w:r w:rsidR="00F73859" w:rsidRPr="00F97844">
        <w:rPr>
          <w:rStyle w:val="FootnoteReference"/>
        </w:rPr>
        <w:footnoteReference w:id="34"/>
      </w:r>
      <w:r w:rsidRPr="00F97844">
        <w:t xml:space="preserve"> The Panel considered that variations in language in Canada's examples did not detract from the fact that the substance of </w:t>
      </w:r>
      <w:r w:rsidR="00953697" w:rsidRPr="00F97844">
        <w:t xml:space="preserve">both </w:t>
      </w:r>
      <w:r w:rsidRPr="00F97844">
        <w:t xml:space="preserve">the questions </w:t>
      </w:r>
      <w:r w:rsidR="00953697" w:rsidRPr="00F97844">
        <w:t xml:space="preserve">and the USDOC's subsequent reactions </w:t>
      </w:r>
      <w:r w:rsidR="00D92422" w:rsidRPr="00244CCE">
        <w:t xml:space="preserve">remained </w:t>
      </w:r>
      <w:r w:rsidRPr="00244CCE">
        <w:t>the same</w:t>
      </w:r>
      <w:r w:rsidR="00953697" w:rsidRPr="00244CCE">
        <w:t xml:space="preserve"> in each example</w:t>
      </w:r>
      <w:r w:rsidRPr="00244CCE">
        <w:t>.</w:t>
      </w:r>
      <w:r w:rsidRPr="00F97844">
        <w:rPr>
          <w:rStyle w:val="FootnoteReference"/>
        </w:rPr>
        <w:footnoteReference w:id="35"/>
      </w:r>
      <w:r w:rsidRPr="00F97844">
        <w:t xml:space="preserve"> </w:t>
      </w:r>
      <w:bookmarkStart w:id="57" w:name="_Hlk20301142"/>
      <w:r w:rsidRPr="00F97844">
        <w:t>To the Panel, the alleged OFA</w:t>
      </w:r>
      <w:r w:rsidR="007643D6" w:rsidRPr="00F97844">
        <w:noBreakHyphen/>
      </w:r>
      <w:r w:rsidRPr="00244CCE">
        <w:t>AFA measure consists in the USDOC asking the OFA</w:t>
      </w:r>
      <w:r w:rsidR="00027ADB" w:rsidRPr="00244CCE">
        <w:t> </w:t>
      </w:r>
      <w:r w:rsidRPr="00244CCE">
        <w:t>question and</w:t>
      </w:r>
      <w:r w:rsidR="00DB2769" w:rsidRPr="00244CCE">
        <w:t>,</w:t>
      </w:r>
      <w:r w:rsidRPr="00244CCE">
        <w:t xml:space="preserve"> where the USDOC discovers information during verification that it deems should have been provided in response to that question, applying AFA to determine that the discovered information amounts to countervailable subsidies.</w:t>
      </w:r>
      <w:bookmarkStart w:id="58" w:name="_Ref26559499"/>
      <w:r w:rsidRPr="00F97844">
        <w:rPr>
          <w:rStyle w:val="FootnoteReference"/>
        </w:rPr>
        <w:footnoteReference w:id="36"/>
      </w:r>
      <w:bookmarkEnd w:id="55"/>
      <w:bookmarkEnd w:id="56"/>
      <w:bookmarkEnd w:id="57"/>
      <w:bookmarkEnd w:id="58"/>
    </w:p>
    <w:p w14:paraId="5139E9EA" w14:textId="3A9C6DF8" w:rsidR="00DA0AF4" w:rsidRPr="00F97844" w:rsidRDefault="00DA0AF4" w:rsidP="00F73DD3">
      <w:pPr>
        <w:pStyle w:val="BodyText"/>
        <w:numPr>
          <w:ilvl w:val="6"/>
          <w:numId w:val="28"/>
        </w:numPr>
      </w:pPr>
      <w:r w:rsidRPr="00F97844">
        <w:t xml:space="preserve">The Panel then addressed the repeated application and likelihood of </w:t>
      </w:r>
      <w:r w:rsidR="00FD7879" w:rsidRPr="00F97844">
        <w:t xml:space="preserve">continued application </w:t>
      </w:r>
      <w:r w:rsidRPr="00244CCE">
        <w:t>of the alleged OFA</w:t>
      </w:r>
      <w:r w:rsidR="007643D6" w:rsidRPr="00244CCE">
        <w:noBreakHyphen/>
      </w:r>
      <w:r w:rsidRPr="00244CCE">
        <w:t>AFA</w:t>
      </w:r>
      <w:r w:rsidR="00F00213">
        <w:t> </w:t>
      </w:r>
      <w:r w:rsidRPr="00244CCE">
        <w:t>measure.</w:t>
      </w:r>
      <w:r w:rsidRPr="00F97844">
        <w:rPr>
          <w:rStyle w:val="FootnoteReference"/>
        </w:rPr>
        <w:footnoteReference w:id="37"/>
      </w:r>
      <w:r w:rsidRPr="00F97844">
        <w:t xml:space="preserve"> The Panel produced </w:t>
      </w:r>
      <w:r w:rsidR="00785B98" w:rsidRPr="00F97844">
        <w:t>t</w:t>
      </w:r>
      <w:r w:rsidRPr="00F97844">
        <w:t>able</w:t>
      </w:r>
      <w:r w:rsidR="008076A1" w:rsidRPr="00F97844">
        <w:t> </w:t>
      </w:r>
      <w:r w:rsidR="007D24BB" w:rsidRPr="00244CCE">
        <w:t xml:space="preserve">3 and </w:t>
      </w:r>
      <w:r w:rsidR="00785B98" w:rsidRPr="00244CCE">
        <w:t>t</w:t>
      </w:r>
      <w:r w:rsidR="007D24BB" w:rsidRPr="00244CCE">
        <w:t>able</w:t>
      </w:r>
      <w:r w:rsidR="008076A1" w:rsidRPr="00244CCE">
        <w:t> </w:t>
      </w:r>
      <w:r w:rsidR="007D24BB" w:rsidRPr="00244CCE">
        <w:t>4</w:t>
      </w:r>
      <w:r w:rsidR="007C1C57" w:rsidRPr="00244CCE">
        <w:t>,</w:t>
      </w:r>
      <w:r w:rsidRPr="00244CCE">
        <w:t xml:space="preserve"> </w:t>
      </w:r>
      <w:r w:rsidR="007C1C57" w:rsidRPr="00244CCE">
        <w:t>which</w:t>
      </w:r>
      <w:r w:rsidRPr="00244CCE">
        <w:t xml:space="preserve"> quote from certain USDOC</w:t>
      </w:r>
      <w:r w:rsidR="00983D79" w:rsidRPr="00244CCE">
        <w:t> </w:t>
      </w:r>
      <w:r w:rsidRPr="00244CCE">
        <w:t>CVD</w:t>
      </w:r>
      <w:r w:rsidR="00983D79" w:rsidRPr="00244CCE">
        <w:t> </w:t>
      </w:r>
      <w:r w:rsidRPr="00244CCE">
        <w:t>proceedings relied on by Canada.</w:t>
      </w:r>
      <w:r w:rsidRPr="00F97844">
        <w:rPr>
          <w:rStyle w:val="FootnoteReference"/>
        </w:rPr>
        <w:footnoteReference w:id="38"/>
      </w:r>
      <w:r w:rsidRPr="00F97844">
        <w:t xml:space="preserve"> The Panel found that, despite variations in language, those examples showed that, since 2012, the USDOC acted in substantially the same manner </w:t>
      </w:r>
      <w:r w:rsidR="00C447F7" w:rsidRPr="00F97844">
        <w:t>in</w:t>
      </w:r>
      <w:r w:rsidRPr="00F97844">
        <w:t xml:space="preserve"> treating information discovered at the verification stage of CVD proceedings t</w:t>
      </w:r>
      <w:r w:rsidRPr="00244CCE">
        <w:t>hat it considered should have been provided in response to the OFA</w:t>
      </w:r>
      <w:r w:rsidR="000E72D0" w:rsidRPr="00244CCE">
        <w:t> </w:t>
      </w:r>
      <w:r w:rsidRPr="00244CCE">
        <w:t>question. On that basis, the Panel considered that Canada had established the repeated application of the alleged OFA</w:t>
      </w:r>
      <w:r w:rsidR="007643D6" w:rsidRPr="00244CCE">
        <w:noBreakHyphen/>
      </w:r>
      <w:r w:rsidRPr="00244CCE">
        <w:t>AFA</w:t>
      </w:r>
      <w:r w:rsidR="00F00213">
        <w:t> </w:t>
      </w:r>
      <w:r w:rsidRPr="00244CCE">
        <w:t>measure.</w:t>
      </w:r>
      <w:bookmarkStart w:id="59" w:name="_Hlk20301297"/>
      <w:r w:rsidRPr="00F97844">
        <w:rPr>
          <w:rStyle w:val="FootnoteReference"/>
        </w:rPr>
        <w:footnoteReference w:id="39"/>
      </w:r>
      <w:bookmarkEnd w:id="59"/>
      <w:r w:rsidRPr="00F97844">
        <w:t xml:space="preserve"> The Panel noted that it was unable to identify any instance where the alleged OFA</w:t>
      </w:r>
      <w:r w:rsidR="007643D6" w:rsidRPr="00F97844">
        <w:noBreakHyphen/>
      </w:r>
      <w:r w:rsidRPr="00244CCE">
        <w:t>AFA</w:t>
      </w:r>
      <w:r w:rsidR="00F00213">
        <w:t> </w:t>
      </w:r>
      <w:r w:rsidRPr="00244CCE">
        <w:t>measure had not been applied</w:t>
      </w:r>
      <w:r w:rsidRPr="00F97844">
        <w:rPr>
          <w:rStyle w:val="FootnoteReference"/>
        </w:rPr>
        <w:footnoteReference w:id="40"/>
      </w:r>
      <w:r w:rsidRPr="00F97844">
        <w:t>, except as an inadvertent error.</w:t>
      </w:r>
      <w:r w:rsidRPr="00F97844">
        <w:rPr>
          <w:rStyle w:val="FootnoteReference"/>
        </w:rPr>
        <w:footnoteReference w:id="41"/>
      </w:r>
    </w:p>
    <w:p w14:paraId="35CF9D8F" w14:textId="02A367AC" w:rsidR="00DA0AF4" w:rsidRPr="00F97844" w:rsidRDefault="00DA0AF4" w:rsidP="00F73DD3">
      <w:pPr>
        <w:pStyle w:val="BodyText"/>
        <w:numPr>
          <w:ilvl w:val="6"/>
          <w:numId w:val="28"/>
        </w:numPr>
      </w:pPr>
      <w:r w:rsidRPr="00F97844">
        <w:t>The Panel also found that Canada had established that the alleged OFA</w:t>
      </w:r>
      <w:r w:rsidR="007643D6" w:rsidRPr="00F97844">
        <w:noBreakHyphen/>
      </w:r>
      <w:r w:rsidRPr="00F97844">
        <w:t>AFA</w:t>
      </w:r>
      <w:r w:rsidR="00F00213">
        <w:t> </w:t>
      </w:r>
      <w:r w:rsidRPr="00F97844">
        <w:t>measure was likely to continue to be applied.</w:t>
      </w:r>
      <w:r w:rsidRPr="00F97844">
        <w:rPr>
          <w:rStyle w:val="FootnoteReference"/>
        </w:rPr>
        <w:footnoteReference w:id="42"/>
      </w:r>
      <w:r w:rsidRPr="00F97844">
        <w:t xml:space="preserve"> The Panel based its finding on: (</w:t>
      </w:r>
      <w:proofErr w:type="spellStart"/>
      <w:r w:rsidRPr="00F97844">
        <w:t>i</w:t>
      </w:r>
      <w:proofErr w:type="spellEnd"/>
      <w:r w:rsidRPr="00F97844">
        <w:t xml:space="preserve">) the consistent manner in which the </w:t>
      </w:r>
      <w:r w:rsidRPr="00F97844">
        <w:lastRenderedPageBreak/>
        <w:t>USDOC referred to the alleged OFA</w:t>
      </w:r>
      <w:r w:rsidR="007643D6" w:rsidRPr="00F97844">
        <w:noBreakHyphen/>
      </w:r>
      <w:r w:rsidRPr="00244CCE">
        <w:t>AFA</w:t>
      </w:r>
      <w:r w:rsidR="00F00213">
        <w:t> </w:t>
      </w:r>
      <w:r w:rsidRPr="00244CCE">
        <w:t>measure or previous applications of the alleged measure</w:t>
      </w:r>
      <w:r w:rsidRPr="00F97844">
        <w:rPr>
          <w:rStyle w:val="FootnoteReference"/>
        </w:rPr>
        <w:footnoteReference w:id="43"/>
      </w:r>
      <w:r w:rsidRPr="00F97844">
        <w:t>; (ii)</w:t>
      </w:r>
      <w:r w:rsidR="000E72D0" w:rsidRPr="00F97844">
        <w:t> </w:t>
      </w:r>
      <w:r w:rsidRPr="00F97844">
        <w:t>the USDOC's own reference to the alleged measure as its "practice"</w:t>
      </w:r>
      <w:r w:rsidRPr="00F97844">
        <w:rPr>
          <w:rStyle w:val="FootnoteReference"/>
        </w:rPr>
        <w:footnoteReference w:id="44"/>
      </w:r>
      <w:r w:rsidRPr="00F97844">
        <w:t>; and (iii)</w:t>
      </w:r>
      <w:r w:rsidR="000E72D0" w:rsidRPr="00F97844">
        <w:t> </w:t>
      </w:r>
      <w:r w:rsidRPr="00F97844">
        <w:t>the USDOC's characterization of a departure fro</w:t>
      </w:r>
      <w:r w:rsidRPr="00244CCE">
        <w:t>m the alleged measure as an "inadvertent error".</w:t>
      </w:r>
      <w:r w:rsidRPr="00F97844">
        <w:rPr>
          <w:rStyle w:val="FootnoteReference"/>
        </w:rPr>
        <w:footnoteReference w:id="45"/>
      </w:r>
      <w:r w:rsidRPr="00F97844">
        <w:t xml:space="preserve"> </w:t>
      </w:r>
    </w:p>
    <w:p w14:paraId="78DC51D6" w14:textId="024D59DF" w:rsidR="00DA0AF4" w:rsidRPr="00F97844" w:rsidRDefault="00DA0AF4" w:rsidP="00F73DD3">
      <w:pPr>
        <w:pStyle w:val="BodyText"/>
        <w:numPr>
          <w:ilvl w:val="6"/>
          <w:numId w:val="28"/>
        </w:numPr>
      </w:pPr>
      <w:r w:rsidRPr="00F97844">
        <w:t xml:space="preserve">Overall, </w:t>
      </w:r>
      <w:bookmarkStart w:id="60" w:name="_Hlk20300633"/>
      <w:r w:rsidRPr="00F97844">
        <w:t xml:space="preserve">the Panel concluded that Canada had adduced </w:t>
      </w:r>
      <w:proofErr w:type="gramStart"/>
      <w:r w:rsidRPr="00F97844">
        <w:t>sufficient</w:t>
      </w:r>
      <w:proofErr w:type="gramEnd"/>
      <w:r w:rsidRPr="00F97844">
        <w:t xml:space="preserve"> evidence to establish the existence of the alleged OFA</w:t>
      </w:r>
      <w:r w:rsidR="007643D6" w:rsidRPr="00F97844">
        <w:noBreakHyphen/>
      </w:r>
      <w:r w:rsidRPr="00244CCE">
        <w:t>AFA</w:t>
      </w:r>
      <w:r w:rsidR="00F00213">
        <w:t> </w:t>
      </w:r>
      <w:r w:rsidRPr="00244CCE">
        <w:t xml:space="preserve">measure as ongoing conduct. The Panel did not consider it necessary </w:t>
      </w:r>
      <w:bookmarkStart w:id="61" w:name="_Hlk20301371"/>
      <w:r w:rsidRPr="00244CCE">
        <w:t>to address Canada's assertion that the alleged OFA</w:t>
      </w:r>
      <w:r w:rsidR="007643D6" w:rsidRPr="00244CCE">
        <w:noBreakHyphen/>
      </w:r>
      <w:r w:rsidRPr="00244CCE">
        <w:t>AFA</w:t>
      </w:r>
      <w:r w:rsidR="00F00213">
        <w:t> </w:t>
      </w:r>
      <w:r w:rsidRPr="00244CCE">
        <w:t>measure amounted to a rule or norm of general and prospective application.</w:t>
      </w:r>
      <w:r w:rsidRPr="00F97844">
        <w:rPr>
          <w:rStyle w:val="FootnoteReference"/>
        </w:rPr>
        <w:footnoteReference w:id="46"/>
      </w:r>
      <w:bookmarkEnd w:id="60"/>
      <w:bookmarkEnd w:id="61"/>
    </w:p>
    <w:p w14:paraId="373C653F" w14:textId="11AB7EC8" w:rsidR="00DA0AF4" w:rsidRPr="00244CCE" w:rsidRDefault="00DA0AF4" w:rsidP="00F73DD3">
      <w:pPr>
        <w:pStyle w:val="Heading3"/>
        <w:numPr>
          <w:ilvl w:val="2"/>
          <w:numId w:val="28"/>
        </w:numPr>
      </w:pPr>
      <w:bookmarkStart w:id="62" w:name="_Toc30412732"/>
      <w:r w:rsidRPr="00F97844">
        <w:t>Scope of appellate review under Article</w:t>
      </w:r>
      <w:r w:rsidR="00945567" w:rsidRPr="00F97844">
        <w:t> </w:t>
      </w:r>
      <w:r w:rsidRPr="00244CCE">
        <w:t>17.6 of the DSU</w:t>
      </w:r>
      <w:bookmarkEnd w:id="62"/>
    </w:p>
    <w:p w14:paraId="2304E7F2" w14:textId="4C736A01" w:rsidR="00DA0AF4" w:rsidRPr="00F97844" w:rsidRDefault="00DA0AF4" w:rsidP="00F73DD3">
      <w:pPr>
        <w:pStyle w:val="BodyText"/>
        <w:numPr>
          <w:ilvl w:val="6"/>
          <w:numId w:val="28"/>
        </w:numPr>
      </w:pPr>
      <w:r w:rsidRPr="00244CCE">
        <w:t>We first address Canada's assertion that the United</w:t>
      </w:r>
      <w:r w:rsidR="00945567" w:rsidRPr="00244CCE">
        <w:t> States</w:t>
      </w:r>
      <w:r w:rsidRPr="00244CCE">
        <w:t>' claim on appeal regarding the existence of the alleged OFA</w:t>
      </w:r>
      <w:r w:rsidR="007643D6" w:rsidRPr="00244CCE">
        <w:noBreakHyphen/>
      </w:r>
      <w:r w:rsidRPr="00244CCE">
        <w:t>AFA</w:t>
      </w:r>
      <w:r w:rsidR="00F00213">
        <w:t> </w:t>
      </w:r>
      <w:r w:rsidRPr="00244CCE">
        <w:t>measure falls outside the scope of appellate review under Article 17.6 of the DSU.</w:t>
      </w:r>
      <w:r w:rsidRPr="00F97844">
        <w:rPr>
          <w:rStyle w:val="FootnoteReference"/>
        </w:rPr>
        <w:footnoteReference w:id="47"/>
      </w:r>
      <w:r w:rsidRPr="00F97844">
        <w:t xml:space="preserve"> According to Canada, the United</w:t>
      </w:r>
      <w:r w:rsidR="00945567" w:rsidRPr="00F97844">
        <w:t> States</w:t>
      </w:r>
      <w:r w:rsidRPr="00F97844">
        <w:t>' appeal challenges the Panel's factual finding that the alleged OFA</w:t>
      </w:r>
      <w:r w:rsidR="007643D6" w:rsidRPr="00244CCE">
        <w:noBreakHyphen/>
      </w:r>
      <w:r w:rsidRPr="00244CCE">
        <w:t>AFA</w:t>
      </w:r>
      <w:r w:rsidR="00F00213">
        <w:t> </w:t>
      </w:r>
      <w:r w:rsidRPr="00244CCE">
        <w:t>measure exists, and implicates the Panel's appreciation of the facts and evidence.</w:t>
      </w:r>
      <w:r w:rsidRPr="00F97844">
        <w:rPr>
          <w:rStyle w:val="FootnoteReference"/>
        </w:rPr>
        <w:footnoteReference w:id="48"/>
      </w:r>
      <w:r w:rsidRPr="00F97844">
        <w:t xml:space="preserve"> This is because, according to Canada, the Appellate</w:t>
      </w:r>
      <w:r w:rsidR="00945567" w:rsidRPr="00F97844">
        <w:t> Body</w:t>
      </w:r>
      <w:r w:rsidRPr="00F97844">
        <w:t xml:space="preserve"> would be required to delve into the record and reweigh the evidence to assess the United</w:t>
      </w:r>
      <w:r w:rsidR="00945567" w:rsidRPr="00244CCE">
        <w:t> States</w:t>
      </w:r>
      <w:r w:rsidRPr="00244CCE">
        <w:t>' claim that the Panel erred in finding the existence of the precise content, repeated application</w:t>
      </w:r>
      <w:r w:rsidR="00651269" w:rsidRPr="00244CCE">
        <w:t>,</w:t>
      </w:r>
      <w:r w:rsidRPr="00244CCE">
        <w:t xml:space="preserve"> and likelihood of continu</w:t>
      </w:r>
      <w:r w:rsidR="00893445" w:rsidRPr="00244CCE">
        <w:t>ed application</w:t>
      </w:r>
      <w:r w:rsidRPr="00244CCE">
        <w:t xml:space="preserve"> of the alleged OFA</w:t>
      </w:r>
      <w:r w:rsidR="007643D6" w:rsidRPr="00244CCE">
        <w:noBreakHyphen/>
      </w:r>
      <w:r w:rsidRPr="00244CCE">
        <w:t>AFA</w:t>
      </w:r>
      <w:r w:rsidR="00F00213">
        <w:t> </w:t>
      </w:r>
      <w:r w:rsidRPr="00244CCE">
        <w:t>measure.</w:t>
      </w:r>
      <w:r w:rsidRPr="00F97844">
        <w:rPr>
          <w:vertAlign w:val="superscript"/>
        </w:rPr>
        <w:footnoteReference w:id="49"/>
      </w:r>
      <w:r w:rsidRPr="00F97844">
        <w:t xml:space="preserve"> Canada notes that the United</w:t>
      </w:r>
      <w:r w:rsidR="00945567" w:rsidRPr="00F97844">
        <w:t> States</w:t>
      </w:r>
      <w:r w:rsidRPr="00F97844">
        <w:t xml:space="preserve"> has not made a claim under Article 11 of the DSU, which, in Canada's view, would have be</w:t>
      </w:r>
      <w:r w:rsidRPr="00244CCE">
        <w:t>en the appropriate basis for the United</w:t>
      </w:r>
      <w:r w:rsidR="00945567" w:rsidRPr="00244CCE">
        <w:t> States</w:t>
      </w:r>
      <w:r w:rsidRPr="00244CCE">
        <w:t>' claim</w:t>
      </w:r>
      <w:r w:rsidR="00686A6B" w:rsidRPr="00244CCE">
        <w:t xml:space="preserve"> of error</w:t>
      </w:r>
      <w:r w:rsidRPr="00244CCE">
        <w:t>.</w:t>
      </w:r>
      <w:r w:rsidRPr="00F97844">
        <w:rPr>
          <w:vertAlign w:val="superscript"/>
        </w:rPr>
        <w:footnoteReference w:id="50"/>
      </w:r>
      <w:r w:rsidRPr="00F97844">
        <w:t xml:space="preserve"> The United</w:t>
      </w:r>
      <w:r w:rsidR="00945567" w:rsidRPr="00F97844">
        <w:t> States</w:t>
      </w:r>
      <w:r w:rsidRPr="00F97844">
        <w:t xml:space="preserve"> responds that this appeal concerns legal issues</w:t>
      </w:r>
      <w:r w:rsidR="00A33B9E" w:rsidRPr="00F97844">
        <w:t>. To the United</w:t>
      </w:r>
      <w:r w:rsidR="00CF40A8" w:rsidRPr="00244CCE">
        <w:t> States</w:t>
      </w:r>
      <w:r w:rsidR="00A33B9E" w:rsidRPr="00244CCE">
        <w:t xml:space="preserve">, </w:t>
      </w:r>
      <w:r w:rsidRPr="00244CCE">
        <w:t xml:space="preserve">whether a measure exists </w:t>
      </w:r>
      <w:r w:rsidR="00686A6B" w:rsidRPr="00244CCE">
        <w:t xml:space="preserve">as "ongoing conduct" that is challengeable under the DSU </w:t>
      </w:r>
      <w:r w:rsidRPr="00244CCE">
        <w:t>is a legal question.</w:t>
      </w:r>
      <w:r w:rsidRPr="00F97844">
        <w:rPr>
          <w:rStyle w:val="FootnoteReference"/>
        </w:rPr>
        <w:footnoteReference w:id="51"/>
      </w:r>
    </w:p>
    <w:p w14:paraId="0E430263" w14:textId="7EFDB2DB" w:rsidR="00DA0AF4" w:rsidRPr="00F97844" w:rsidRDefault="00DA0AF4" w:rsidP="00F73DD3">
      <w:pPr>
        <w:pStyle w:val="BodyText"/>
        <w:numPr>
          <w:ilvl w:val="6"/>
          <w:numId w:val="28"/>
        </w:numPr>
      </w:pPr>
      <w:r w:rsidRPr="00F97844">
        <w:t>Article</w:t>
      </w:r>
      <w:r w:rsidR="00945567" w:rsidRPr="00F97844">
        <w:t> </w:t>
      </w:r>
      <w:r w:rsidRPr="00244CCE">
        <w:t>17.6 of the DSU provides that an appeal shall be limited to "issues of law covered in the panel report and legal interpretations developed by the panel". The Appellate</w:t>
      </w:r>
      <w:r w:rsidR="00945567" w:rsidRPr="00244CCE">
        <w:t> Body</w:t>
      </w:r>
      <w:r w:rsidRPr="00244CCE">
        <w:t xml:space="preserve"> has stated that findings of fact, as distinct from legal interpretations or legal conclusions by a panel, are in principle not subject to review by the Appellate</w:t>
      </w:r>
      <w:r w:rsidR="00945567" w:rsidRPr="00244CCE">
        <w:t> Body</w:t>
      </w:r>
      <w:r w:rsidRPr="00244CCE">
        <w:t>. Whether a certain event occurred in time and space is typically a question of fact.</w:t>
      </w:r>
      <w:r w:rsidRPr="00F97844">
        <w:rPr>
          <w:rStyle w:val="FootnoteReference"/>
        </w:rPr>
        <w:footnoteReference w:id="52"/>
      </w:r>
      <w:r w:rsidRPr="00F97844">
        <w:t xml:space="preserve"> By contrast, the consistency or inconsistency of a fact or set </w:t>
      </w:r>
      <w:r w:rsidRPr="00F97844">
        <w:lastRenderedPageBreak/>
        <w:t xml:space="preserve">of facts with the requirements of a given treaty provision, or the application of </w:t>
      </w:r>
      <w:r w:rsidRPr="00244CCE">
        <w:t xml:space="preserve">rules to facts, </w:t>
      </w:r>
      <w:r w:rsidR="00B26BB2" w:rsidRPr="00244CCE">
        <w:t xml:space="preserve">is a </w:t>
      </w:r>
      <w:r w:rsidRPr="00244CCE">
        <w:t>legal characterization, subject to appellate review.</w:t>
      </w:r>
      <w:r w:rsidRPr="00F97844">
        <w:rPr>
          <w:rStyle w:val="FootnoteReference"/>
        </w:rPr>
        <w:footnoteReference w:id="53"/>
      </w:r>
      <w:r w:rsidRPr="00F97844">
        <w:t xml:space="preserve"> </w:t>
      </w:r>
    </w:p>
    <w:p w14:paraId="3BBF50C7" w14:textId="77777777" w:rsidR="00DA0AF4" w:rsidRPr="00244CCE" w:rsidRDefault="00DA0AF4" w:rsidP="00F73DD3">
      <w:pPr>
        <w:pStyle w:val="BodyText"/>
        <w:numPr>
          <w:ilvl w:val="6"/>
          <w:numId w:val="28"/>
        </w:numPr>
      </w:pPr>
      <w:r w:rsidRPr="00F97844">
        <w:t>The Panel's analysis had three dimensions: (</w:t>
      </w:r>
      <w:proofErr w:type="spellStart"/>
      <w:r w:rsidRPr="00F97844">
        <w:t>i</w:t>
      </w:r>
      <w:proofErr w:type="spellEnd"/>
      <w:r w:rsidRPr="00F97844">
        <w:t xml:space="preserve">) identifying the legal standard for "ongoing conduct" measures; (ii) examining relevant evidence and making factual findings; and (iii) applying the legal standard to the facts before the Panel. </w:t>
      </w:r>
    </w:p>
    <w:p w14:paraId="358AC0B4" w14:textId="65C3680E" w:rsidR="00DA0AF4" w:rsidRPr="00F97844" w:rsidRDefault="00DA0AF4" w:rsidP="00F73DD3">
      <w:pPr>
        <w:pStyle w:val="BodyText"/>
        <w:numPr>
          <w:ilvl w:val="6"/>
          <w:numId w:val="28"/>
        </w:numPr>
      </w:pPr>
      <w:r w:rsidRPr="00244CCE">
        <w:t>On appeal, the United</w:t>
      </w:r>
      <w:r w:rsidR="00945567" w:rsidRPr="00244CCE">
        <w:t> States</w:t>
      </w:r>
      <w:r w:rsidRPr="00244CCE">
        <w:t xml:space="preserve"> argues that the Panel erred in finding that a "measure" existed</w:t>
      </w:r>
      <w:r w:rsidR="009D2D91" w:rsidRPr="00244CCE">
        <w:t xml:space="preserve"> as one that could be challenged in WTO dispute settlement under </w:t>
      </w:r>
      <w:r w:rsidRPr="00244CCE">
        <w:t>the DSU.</w:t>
      </w:r>
      <w:r w:rsidRPr="00F97844">
        <w:rPr>
          <w:rStyle w:val="FootnoteReference"/>
        </w:rPr>
        <w:footnoteReference w:id="54"/>
      </w:r>
      <w:r w:rsidRPr="00F97844">
        <w:t xml:space="preserve"> We consider that the correct understanding of the legal standard for establishing the existence of an </w:t>
      </w:r>
      <w:r w:rsidR="00686A6B" w:rsidRPr="00F97844">
        <w:t>"</w:t>
      </w:r>
      <w:r w:rsidRPr="00F97844">
        <w:t>ongoing conduct</w:t>
      </w:r>
      <w:r w:rsidR="00686A6B" w:rsidRPr="00F97844">
        <w:t>"</w:t>
      </w:r>
      <w:r w:rsidRPr="00244CCE">
        <w:t xml:space="preserve"> measure and the application of that standard to the facts on the </w:t>
      </w:r>
      <w:r w:rsidR="00EE5545" w:rsidRPr="00244CCE">
        <w:t>p</w:t>
      </w:r>
      <w:r w:rsidRPr="00244CCE">
        <w:t>anel record are legal issues, and thus fall within the scope of appellate review. We note that the United</w:t>
      </w:r>
      <w:r w:rsidR="00945567" w:rsidRPr="00244CCE">
        <w:t> States</w:t>
      </w:r>
      <w:r w:rsidRPr="00244CCE">
        <w:t xml:space="preserve"> neither contests the evidence on the Panel record, nor the Panel's factual assessment of that evidence. Specifically, the United</w:t>
      </w:r>
      <w:r w:rsidR="00945567" w:rsidRPr="00244CCE">
        <w:t> States</w:t>
      </w:r>
      <w:r w:rsidRPr="00244CCE">
        <w:t xml:space="preserve"> does not identify any factual findings that it challenges on appeal. Rather, we understand the United</w:t>
      </w:r>
      <w:r w:rsidR="00945567" w:rsidRPr="00244CCE">
        <w:t> States</w:t>
      </w:r>
      <w:r w:rsidRPr="00244CCE">
        <w:t>' claim and arguments on appeal as directed to the legal standard for an "ongoing conduct" measure, and the application of that standard to the facts of this case.</w:t>
      </w:r>
      <w:r w:rsidR="00E479E9" w:rsidRPr="00F97844">
        <w:rPr>
          <w:rStyle w:val="FootnoteReference"/>
        </w:rPr>
        <w:footnoteReference w:id="55"/>
      </w:r>
      <w:r w:rsidRPr="00F97844">
        <w:t xml:space="preserve"> Therefore, in our view, the United</w:t>
      </w:r>
      <w:r w:rsidR="00945567" w:rsidRPr="00F97844">
        <w:t> States</w:t>
      </w:r>
      <w:r w:rsidRPr="00F97844">
        <w:t xml:space="preserve">' claim of error on appeal concerns </w:t>
      </w:r>
      <w:r w:rsidR="00276F4B" w:rsidRPr="00F97844">
        <w:t>issues of law covered in the Panel</w:t>
      </w:r>
      <w:r w:rsidR="00062DDD" w:rsidRPr="00244CCE">
        <w:t> Report</w:t>
      </w:r>
      <w:r w:rsidR="00276F4B" w:rsidRPr="00244CCE">
        <w:t xml:space="preserve"> and legal interpretations developed by the Panel</w:t>
      </w:r>
      <w:r w:rsidRPr="00244CCE">
        <w:t>. On that basis, we consider that the United</w:t>
      </w:r>
      <w:r w:rsidR="00945567" w:rsidRPr="00244CCE">
        <w:t> States</w:t>
      </w:r>
      <w:r w:rsidRPr="00244CCE">
        <w:t xml:space="preserve">' claim of error at issue falls within the scope of appellate review </w:t>
      </w:r>
      <w:r w:rsidR="00FA2C7B" w:rsidRPr="00244CCE">
        <w:t>under</w:t>
      </w:r>
      <w:r w:rsidRPr="00244CCE">
        <w:t xml:space="preserve"> Article</w:t>
      </w:r>
      <w:r w:rsidR="00945567" w:rsidRPr="00244CCE">
        <w:t> </w:t>
      </w:r>
      <w:r w:rsidRPr="00244CCE">
        <w:t>17.6 of the DSU.</w:t>
      </w:r>
      <w:r w:rsidRPr="00F97844">
        <w:rPr>
          <w:rStyle w:val="FootnoteReference"/>
        </w:rPr>
        <w:footnoteReference w:id="56"/>
      </w:r>
      <w:r w:rsidRPr="00F97844">
        <w:t xml:space="preserve"> </w:t>
      </w:r>
    </w:p>
    <w:p w14:paraId="270F8E23" w14:textId="1A97CB69" w:rsidR="00DA0AF4" w:rsidRPr="00244CCE" w:rsidRDefault="00DA0AF4" w:rsidP="00F73DD3">
      <w:pPr>
        <w:pStyle w:val="Heading3"/>
        <w:numPr>
          <w:ilvl w:val="2"/>
          <w:numId w:val="28"/>
        </w:numPr>
      </w:pPr>
      <w:bookmarkStart w:id="63" w:name="_Toc30412733"/>
      <w:r w:rsidRPr="00F97844">
        <w:t>Whether the Panel erred by finding that the alleged OFA</w:t>
      </w:r>
      <w:r w:rsidR="007643D6" w:rsidRPr="00F97844">
        <w:noBreakHyphen/>
      </w:r>
      <w:r w:rsidRPr="00244CCE">
        <w:t>AFA</w:t>
      </w:r>
      <w:r w:rsidR="00F00213">
        <w:t> </w:t>
      </w:r>
      <w:r w:rsidRPr="00244CCE">
        <w:t>measure amounted to a "measure" that could be challenged under the DSU as "ongoing conduct"</w:t>
      </w:r>
      <w:bookmarkEnd w:id="63"/>
    </w:p>
    <w:p w14:paraId="1ACC98E7" w14:textId="2F714DC5" w:rsidR="00DA0AF4" w:rsidRPr="00F97844" w:rsidRDefault="00DA0AF4" w:rsidP="00F73DD3">
      <w:pPr>
        <w:pStyle w:val="BodyText"/>
        <w:numPr>
          <w:ilvl w:val="6"/>
          <w:numId w:val="28"/>
        </w:numPr>
      </w:pPr>
      <w:bookmarkStart w:id="64" w:name="_Hlk25258160"/>
      <w:r w:rsidRPr="00244CCE">
        <w:t>The United</w:t>
      </w:r>
      <w:r w:rsidR="00945567" w:rsidRPr="00244CCE">
        <w:t> States</w:t>
      </w:r>
      <w:r w:rsidRPr="00244CCE">
        <w:t xml:space="preserve"> appeals </w:t>
      </w:r>
      <w:bookmarkStart w:id="65" w:name="_Hlk20334497"/>
      <w:r w:rsidRPr="00244CCE">
        <w:t>the Panel's finding that the alleged OFA</w:t>
      </w:r>
      <w:r w:rsidR="007643D6" w:rsidRPr="00244CCE">
        <w:noBreakHyphen/>
      </w:r>
      <w:r w:rsidRPr="00244CCE">
        <w:t>AFA</w:t>
      </w:r>
      <w:r w:rsidR="00F00213">
        <w:t> </w:t>
      </w:r>
      <w:r w:rsidRPr="00244CCE">
        <w:t xml:space="preserve">measure is a measure that </w:t>
      </w:r>
      <w:r w:rsidR="00686A6B" w:rsidRPr="00244CCE">
        <w:t xml:space="preserve">could </w:t>
      </w:r>
      <w:r w:rsidRPr="00244CCE">
        <w:t>be challenged under the DSU as "ongoing conduct"</w:t>
      </w:r>
      <w:bookmarkEnd w:id="65"/>
      <w:r w:rsidRPr="00244CCE">
        <w:t>.</w:t>
      </w:r>
      <w:r w:rsidRPr="00F97844">
        <w:rPr>
          <w:rStyle w:val="FootnoteReference"/>
        </w:rPr>
        <w:footnoteReference w:id="57"/>
      </w:r>
      <w:r w:rsidRPr="00F97844">
        <w:t xml:space="preserve"> </w:t>
      </w:r>
      <w:bookmarkStart w:id="66" w:name="_Hlk25258295"/>
      <w:bookmarkEnd w:id="64"/>
      <w:r w:rsidRPr="00F97844">
        <w:t>The United States does not challenge the attribution of the alleged measure.</w:t>
      </w:r>
      <w:bookmarkEnd w:id="66"/>
      <w:r w:rsidRPr="00F97844">
        <w:t xml:space="preserve"> Rather, the United</w:t>
      </w:r>
      <w:r w:rsidR="00945567" w:rsidRPr="00F97844">
        <w:t> States</w:t>
      </w:r>
      <w:r w:rsidRPr="00F97844">
        <w:t>' arguments concern the pr</w:t>
      </w:r>
      <w:r w:rsidRPr="00244CCE">
        <w:t>ecise content, repeated application, and likelihood of continued application of that alleged measure.</w:t>
      </w:r>
      <w:r w:rsidRPr="00F97844">
        <w:rPr>
          <w:rStyle w:val="FootnoteReference"/>
        </w:rPr>
        <w:footnoteReference w:id="58"/>
      </w:r>
    </w:p>
    <w:p w14:paraId="361294A2" w14:textId="2F75275F" w:rsidR="00DA0AF4" w:rsidRPr="00F97844" w:rsidRDefault="00DA0AF4" w:rsidP="00F73DD3">
      <w:pPr>
        <w:pStyle w:val="BodyText"/>
        <w:numPr>
          <w:ilvl w:val="6"/>
          <w:numId w:val="28"/>
        </w:numPr>
      </w:pPr>
      <w:bookmarkStart w:id="67" w:name="_Hlk20408398"/>
      <w:r w:rsidRPr="00F97844">
        <w:t>Canada responds that the Panel correctly found that "ongoing conduct" measures are subject to WTO dispute settlement, and applied the correct legal stand</w:t>
      </w:r>
      <w:r w:rsidRPr="00244CCE">
        <w:t>ard.</w:t>
      </w:r>
      <w:r w:rsidRPr="00F97844">
        <w:rPr>
          <w:rStyle w:val="FootnoteReference"/>
        </w:rPr>
        <w:footnoteReference w:id="59"/>
      </w:r>
      <w:r w:rsidRPr="00F97844">
        <w:t xml:space="preserve"> Having framed its challenge as one of ongoing conduct, Canada considers it was required to show attribution, precise content, repeated application, and likelihood of </w:t>
      </w:r>
      <w:r w:rsidR="00485028" w:rsidRPr="00F97844">
        <w:t>continued application of the alleged measure</w:t>
      </w:r>
      <w:r w:rsidRPr="00F97844">
        <w:t>.</w:t>
      </w:r>
      <w:r w:rsidRPr="00F97844">
        <w:rPr>
          <w:rStyle w:val="FootnoteReference"/>
        </w:rPr>
        <w:footnoteReference w:id="60"/>
      </w:r>
      <w:r w:rsidRPr="00F97844">
        <w:t xml:space="preserve"> </w:t>
      </w:r>
      <w:bookmarkStart w:id="68" w:name="_Hlk20831452"/>
      <w:r w:rsidRPr="00F97844">
        <w:t>To Canada, the Panel correctly found that Canada had established the</w:t>
      </w:r>
      <w:r w:rsidR="00485028" w:rsidRPr="00F97844">
        <w:t>se elements</w:t>
      </w:r>
      <w:r w:rsidRPr="00F97844">
        <w:t>.</w:t>
      </w:r>
      <w:r w:rsidRPr="00F97844">
        <w:rPr>
          <w:rStyle w:val="FootnoteReference"/>
        </w:rPr>
        <w:footnoteReference w:id="61"/>
      </w:r>
      <w:r w:rsidRPr="00F97844">
        <w:t xml:space="preserve"> </w:t>
      </w:r>
      <w:bookmarkEnd w:id="67"/>
      <w:bookmarkEnd w:id="68"/>
    </w:p>
    <w:p w14:paraId="01DCE5F8" w14:textId="3C742D6C" w:rsidR="00DA0AF4" w:rsidRPr="00244CCE" w:rsidRDefault="00DA0AF4" w:rsidP="00F73DD3">
      <w:pPr>
        <w:pStyle w:val="BodyText"/>
        <w:numPr>
          <w:ilvl w:val="6"/>
          <w:numId w:val="28"/>
        </w:numPr>
      </w:pPr>
      <w:bookmarkStart w:id="69" w:name="_Hlk25258215"/>
      <w:r w:rsidRPr="00F97844">
        <w:t xml:space="preserve">We recall that Articles 3.3, 4.4, and 6.2 of the DSU refer to "measures" </w:t>
      </w:r>
      <w:r w:rsidR="007B6E51" w:rsidRPr="00F97844">
        <w:t xml:space="preserve">challengeable </w:t>
      </w:r>
      <w:r w:rsidRPr="00244CCE">
        <w:t>in WTO dispute settlement.</w:t>
      </w:r>
      <w:r w:rsidRPr="00F97844">
        <w:rPr>
          <w:rStyle w:val="FootnoteReference"/>
        </w:rPr>
        <w:footnoteReference w:id="62"/>
      </w:r>
      <w:r w:rsidRPr="00F97844">
        <w:t xml:space="preserve"> The Appellate</w:t>
      </w:r>
      <w:r w:rsidR="00945567" w:rsidRPr="00F97844">
        <w:t> Body</w:t>
      </w:r>
      <w:r w:rsidRPr="00F97844">
        <w:t xml:space="preserve"> has explained that, in principle, any act or omission </w:t>
      </w:r>
      <w:r w:rsidRPr="00F97844">
        <w:lastRenderedPageBreak/>
        <w:t>attributable to a WTO Member can be a measure of that Member for the purposes of dispute settlement proceedings.</w:t>
      </w:r>
      <w:r w:rsidRPr="00F97844">
        <w:rPr>
          <w:rStyle w:val="FootnoteReference"/>
        </w:rPr>
        <w:footnoteReference w:id="63"/>
      </w:r>
      <w:r w:rsidRPr="00F97844">
        <w:t xml:space="preserve"> Accordingly, a broad range of measures can be challenged in WTO dispute settlement.</w:t>
      </w:r>
      <w:r w:rsidRPr="00F97844">
        <w:rPr>
          <w:rStyle w:val="FootnoteReference"/>
        </w:rPr>
        <w:footnoteReference w:id="64"/>
      </w:r>
      <w:r w:rsidRPr="00F97844">
        <w:t xml:space="preserve"> For every measure, a complainant must establish that the measure is attributable to the respondent, as well as the precise content of the challenged measure. A complainant may be required to demonstrate other elements</w:t>
      </w:r>
      <w:r w:rsidRPr="00F97844">
        <w:rPr>
          <w:rStyle w:val="FootnoteReference"/>
        </w:rPr>
        <w:footnoteReference w:id="65"/>
      </w:r>
      <w:r w:rsidRPr="00F97844">
        <w:t>, depending on the particular characteristics or nature of the measure being challenged.</w:t>
      </w:r>
      <w:r w:rsidRPr="00F97844">
        <w:rPr>
          <w:rStyle w:val="FootnoteReference"/>
        </w:rPr>
        <w:footnoteReference w:id="66"/>
      </w:r>
      <w:r w:rsidRPr="00F97844">
        <w:t xml:space="preserve"> </w:t>
      </w:r>
      <w:bookmarkStart w:id="70" w:name="_Hlk20822732"/>
      <w:r w:rsidRPr="00F97844">
        <w:t>In order to prove the existence of an "ongoing conduct" measure, a complainant must clearly establish that the alleged measure is attributable to the responding Member, its precise content, its repeated application, and that it is likely to continue to be applied in the future.</w:t>
      </w:r>
      <w:r w:rsidRPr="00F97844">
        <w:rPr>
          <w:vertAlign w:val="superscript"/>
        </w:rPr>
        <w:footnoteReference w:id="67"/>
      </w:r>
      <w:r w:rsidRPr="00F97844">
        <w:t xml:space="preserve"> </w:t>
      </w:r>
      <w:bookmarkEnd w:id="70"/>
      <w:r w:rsidRPr="00F97844">
        <w:t>We examine below each element challenged on appeal by the United</w:t>
      </w:r>
      <w:r w:rsidR="00945567" w:rsidRPr="00F97844">
        <w:t> States</w:t>
      </w:r>
      <w:r w:rsidRPr="00F97844">
        <w:t>.</w:t>
      </w:r>
      <w:bookmarkEnd w:id="69"/>
    </w:p>
    <w:p w14:paraId="356448E0" w14:textId="36231CBA" w:rsidR="00F33D57" w:rsidRPr="00244CCE" w:rsidRDefault="00F33D57" w:rsidP="00F73DD3">
      <w:pPr>
        <w:pStyle w:val="Heading4"/>
        <w:numPr>
          <w:ilvl w:val="3"/>
          <w:numId w:val="34"/>
        </w:numPr>
        <w:ind w:left="0"/>
      </w:pPr>
      <w:bookmarkStart w:id="71" w:name="_Toc30412734"/>
      <w:r w:rsidRPr="00244CCE">
        <w:t>Precise content of the alleged OFA</w:t>
      </w:r>
      <w:r w:rsidR="007643D6" w:rsidRPr="00244CCE">
        <w:noBreakHyphen/>
      </w:r>
      <w:r w:rsidRPr="00244CCE">
        <w:t>AFA</w:t>
      </w:r>
      <w:r w:rsidR="00F00213">
        <w:t> </w:t>
      </w:r>
      <w:r w:rsidRPr="00244CCE">
        <w:t>measure</w:t>
      </w:r>
      <w:bookmarkEnd w:id="71"/>
    </w:p>
    <w:p w14:paraId="48D6D0FD" w14:textId="520E67AF" w:rsidR="00DA0AF4" w:rsidRPr="00F97844" w:rsidRDefault="00DA0AF4" w:rsidP="00F73DD3">
      <w:pPr>
        <w:pStyle w:val="BodyText"/>
        <w:numPr>
          <w:ilvl w:val="6"/>
          <w:numId w:val="28"/>
        </w:numPr>
      </w:pPr>
      <w:r w:rsidRPr="00244CCE">
        <w:t>In relation to the precise content of the alleged OFA</w:t>
      </w:r>
      <w:r w:rsidR="007643D6" w:rsidRPr="00244CCE">
        <w:noBreakHyphen/>
      </w:r>
      <w:r w:rsidRPr="00244CCE">
        <w:t>AFA</w:t>
      </w:r>
      <w:r w:rsidR="00F00213">
        <w:t> </w:t>
      </w:r>
      <w:r w:rsidRPr="00244CCE">
        <w:t>measure, the United</w:t>
      </w:r>
      <w:r w:rsidR="00945567" w:rsidRPr="00244CCE">
        <w:t> States</w:t>
      </w:r>
      <w:r w:rsidRPr="00244CCE">
        <w:t xml:space="preserve"> points to variations in the language in each of the examples examined by the Panel. To the United</w:t>
      </w:r>
      <w:r w:rsidR="00945567" w:rsidRPr="00244CCE">
        <w:t> States</w:t>
      </w:r>
      <w:r w:rsidRPr="00244CCE">
        <w:t>, this reflects different fact patterns and dissimilar results.</w:t>
      </w:r>
      <w:r w:rsidRPr="00F97844">
        <w:rPr>
          <w:vertAlign w:val="superscript"/>
        </w:rPr>
        <w:footnoteReference w:id="68"/>
      </w:r>
      <w:r w:rsidRPr="00F97844">
        <w:t xml:space="preserve"> The United</w:t>
      </w:r>
      <w:r w:rsidR="00945567" w:rsidRPr="00F97844">
        <w:t> States</w:t>
      </w:r>
      <w:r w:rsidRPr="00F97844">
        <w:t xml:space="preserve"> also highlights that the determinations concern different segments of CVD proceedings.</w:t>
      </w:r>
      <w:r w:rsidRPr="00F97844">
        <w:rPr>
          <w:vertAlign w:val="superscript"/>
        </w:rPr>
        <w:footnoteReference w:id="69"/>
      </w:r>
      <w:r w:rsidRPr="00F97844">
        <w:t xml:space="preserve"> </w:t>
      </w:r>
      <w:r w:rsidR="00A33B9E" w:rsidRPr="00F97844">
        <w:t>T</w:t>
      </w:r>
      <w:r w:rsidRPr="00F97844">
        <w:t xml:space="preserve">he </w:t>
      </w:r>
      <w:r w:rsidR="00A33B9E" w:rsidRPr="00F97844">
        <w:t>United</w:t>
      </w:r>
      <w:r w:rsidR="00CF40A8" w:rsidRPr="00244CCE">
        <w:t> States</w:t>
      </w:r>
      <w:r w:rsidR="00A33B9E" w:rsidRPr="00244CCE">
        <w:t xml:space="preserve"> argues that</w:t>
      </w:r>
      <w:r w:rsidRPr="00244CCE">
        <w:t xml:space="preserve"> including selective excerpts from differing proceedings does not identify with precision the actions that the USDOC may take in future cases</w:t>
      </w:r>
      <w:r w:rsidR="00276F4B" w:rsidRPr="00244CCE">
        <w:t xml:space="preserve">. Rather, </w:t>
      </w:r>
      <w:r w:rsidR="00A33B9E" w:rsidRPr="00244CCE">
        <w:t xml:space="preserve">according to </w:t>
      </w:r>
      <w:r w:rsidR="00276F4B" w:rsidRPr="00244CCE">
        <w:t>the United</w:t>
      </w:r>
      <w:r w:rsidR="00CF40A8" w:rsidRPr="00244CCE">
        <w:t> States</w:t>
      </w:r>
      <w:r w:rsidRPr="00244CCE">
        <w:t xml:space="preserve">, </w:t>
      </w:r>
      <w:r w:rsidR="00276F4B" w:rsidRPr="00244CCE">
        <w:t xml:space="preserve">it </w:t>
      </w:r>
      <w:r w:rsidRPr="00244CCE">
        <w:t xml:space="preserve">reveals </w:t>
      </w:r>
      <w:r w:rsidR="00987D33" w:rsidRPr="00244CCE">
        <w:t xml:space="preserve">only </w:t>
      </w:r>
      <w:r w:rsidRPr="00244CCE">
        <w:t>the application of "facts available" based on the particular facts of certain cases.</w:t>
      </w:r>
      <w:r w:rsidRPr="00F97844">
        <w:rPr>
          <w:vertAlign w:val="superscript"/>
        </w:rPr>
        <w:footnoteReference w:id="70"/>
      </w:r>
    </w:p>
    <w:p w14:paraId="741C6581" w14:textId="2D1E7E52" w:rsidR="00DA0AF4" w:rsidRPr="00F97844" w:rsidRDefault="00DA0AF4" w:rsidP="00F73DD3">
      <w:pPr>
        <w:pStyle w:val="BodyText"/>
        <w:numPr>
          <w:ilvl w:val="6"/>
          <w:numId w:val="28"/>
        </w:numPr>
      </w:pPr>
      <w:r w:rsidRPr="00F97844">
        <w:t>Canada responds that the Panel addressed the</w:t>
      </w:r>
      <w:r w:rsidR="00EA4A13" w:rsidRPr="00F97844">
        <w:t xml:space="preserve"> </w:t>
      </w:r>
      <w:r w:rsidRPr="00244CCE">
        <w:t xml:space="preserve">differences </w:t>
      </w:r>
      <w:r w:rsidR="00EA4A13" w:rsidRPr="00244CCE">
        <w:t>identified by the United</w:t>
      </w:r>
      <w:r w:rsidR="00CF40A8" w:rsidRPr="00244CCE">
        <w:t> States</w:t>
      </w:r>
      <w:r w:rsidRPr="00244CCE">
        <w:t>, and correctly concluded that the substance of the questions and the USDOC's conduct was the same in the different examples examined by the Panel.</w:t>
      </w:r>
      <w:r w:rsidRPr="00F97844">
        <w:rPr>
          <w:vertAlign w:val="superscript"/>
        </w:rPr>
        <w:footnoteReference w:id="71"/>
      </w:r>
      <w:r w:rsidRPr="00F97844">
        <w:t xml:space="preserve"> Further, Canada recalls that the United</w:t>
      </w:r>
      <w:r w:rsidR="00945567" w:rsidRPr="00F97844">
        <w:t> States</w:t>
      </w:r>
      <w:r w:rsidRPr="00F97844">
        <w:t>' descriptions of its own practice were found by the Panel to be consistent with the precise content of the alleged OFA</w:t>
      </w:r>
      <w:r w:rsidR="007643D6" w:rsidRPr="00F97844">
        <w:noBreakHyphen/>
      </w:r>
      <w:r w:rsidRPr="00244CCE">
        <w:t>AFA</w:t>
      </w:r>
      <w:r w:rsidR="00F00213">
        <w:t> </w:t>
      </w:r>
      <w:r w:rsidRPr="00244CCE">
        <w:t>measure.</w:t>
      </w:r>
      <w:r w:rsidRPr="00F97844">
        <w:rPr>
          <w:vertAlign w:val="superscript"/>
        </w:rPr>
        <w:footnoteReference w:id="72"/>
      </w:r>
    </w:p>
    <w:p w14:paraId="006EFFC7" w14:textId="0123A4A4" w:rsidR="00DA0AF4" w:rsidRPr="00F97844" w:rsidRDefault="00DA0AF4" w:rsidP="00F73DD3">
      <w:pPr>
        <w:pStyle w:val="BodyText"/>
        <w:numPr>
          <w:ilvl w:val="6"/>
          <w:numId w:val="28"/>
        </w:numPr>
      </w:pPr>
      <w:r w:rsidRPr="00F97844">
        <w:t xml:space="preserve">The Panel </w:t>
      </w:r>
      <w:r w:rsidR="007B6E51" w:rsidRPr="00F97844">
        <w:t xml:space="preserve">compiled </w:t>
      </w:r>
      <w:r w:rsidR="00D5737C" w:rsidRPr="00244CCE">
        <w:t>t</w:t>
      </w:r>
      <w:r w:rsidR="007B6E51" w:rsidRPr="00244CCE">
        <w:t>ables</w:t>
      </w:r>
      <w:r w:rsidR="00C724C1" w:rsidRPr="00244CCE">
        <w:t> </w:t>
      </w:r>
      <w:r w:rsidR="007B6E51" w:rsidRPr="00244CCE">
        <w:t>1 and 2</w:t>
      </w:r>
      <w:r w:rsidR="000529B7" w:rsidRPr="00244CCE">
        <w:t>,</w:t>
      </w:r>
      <w:r w:rsidRPr="00244CCE">
        <w:t xml:space="preserve"> </w:t>
      </w:r>
      <w:r w:rsidR="000529B7" w:rsidRPr="00244CCE">
        <w:t>which quote</w:t>
      </w:r>
      <w:r w:rsidRPr="00244CCE">
        <w:t xml:space="preserve"> from certain USDOC CVD proceedings from 2012</w:t>
      </w:r>
      <w:r w:rsidR="00983D79" w:rsidRPr="00244CCE">
        <w:t> </w:t>
      </w:r>
      <w:r w:rsidRPr="00244CCE">
        <w:t>onwards</w:t>
      </w:r>
      <w:r w:rsidR="007B6E51" w:rsidRPr="00244CCE">
        <w:t xml:space="preserve"> that were submitted by Canada as evidence of the precise content of the alleged OFA</w:t>
      </w:r>
      <w:r w:rsidR="007643D6" w:rsidRPr="00244CCE">
        <w:noBreakHyphen/>
      </w:r>
      <w:r w:rsidR="007B6E51" w:rsidRPr="00244CCE">
        <w:t>AFA</w:t>
      </w:r>
      <w:r w:rsidR="00F00213">
        <w:t> </w:t>
      </w:r>
      <w:r w:rsidR="007B6E51" w:rsidRPr="00244CCE">
        <w:t>measure</w:t>
      </w:r>
      <w:r w:rsidRPr="00244CCE">
        <w:t>.</w:t>
      </w:r>
      <w:r w:rsidRPr="00F97844">
        <w:rPr>
          <w:vertAlign w:val="superscript"/>
        </w:rPr>
        <w:footnoteReference w:id="73"/>
      </w:r>
      <w:r w:rsidRPr="00F97844">
        <w:t xml:space="preserve"> The Panel concluded that Canada had provided sufficient evidence to establish the precise content of the alleged measure. The Panel considered that variations in language in Canada's examples did not detract from the fact that the substance of the questions and the USDOC's </w:t>
      </w:r>
      <w:r w:rsidRPr="00F97844">
        <w:lastRenderedPageBreak/>
        <w:t xml:space="preserve">subsequent </w:t>
      </w:r>
      <w:r w:rsidR="00953697" w:rsidRPr="00F97844">
        <w:t xml:space="preserve">reactions </w:t>
      </w:r>
      <w:r w:rsidR="00EA4A13" w:rsidRPr="00244CCE">
        <w:t xml:space="preserve">were </w:t>
      </w:r>
      <w:r w:rsidRPr="00244CCE">
        <w:t>the same</w:t>
      </w:r>
      <w:r w:rsidR="00953697" w:rsidRPr="00244CCE">
        <w:t xml:space="preserve"> in each example</w:t>
      </w:r>
      <w:r w:rsidRPr="00244CCE">
        <w:t>.</w:t>
      </w:r>
      <w:r w:rsidRPr="00F97844">
        <w:rPr>
          <w:vertAlign w:val="superscript"/>
        </w:rPr>
        <w:footnoteReference w:id="74"/>
      </w:r>
      <w:r w:rsidRPr="00F97844">
        <w:t xml:space="preserve"> To the Panel, the alleged OFA</w:t>
      </w:r>
      <w:r w:rsidR="007643D6" w:rsidRPr="00F97844">
        <w:noBreakHyphen/>
      </w:r>
      <w:r w:rsidRPr="00F97844">
        <w:t>AFA</w:t>
      </w:r>
      <w:r w:rsidR="00F00213">
        <w:t> </w:t>
      </w:r>
      <w:r w:rsidRPr="00F97844">
        <w:t>measure consists in the USDOC asking the OFA</w:t>
      </w:r>
      <w:r w:rsidR="00F00213">
        <w:t> </w:t>
      </w:r>
      <w:r w:rsidRPr="00F97844">
        <w:t>question and</w:t>
      </w:r>
      <w:r w:rsidR="005F637E" w:rsidRPr="00244CCE">
        <w:t>,</w:t>
      </w:r>
      <w:r w:rsidRPr="00244CCE">
        <w:t xml:space="preserve"> where the USDOC discovers information during verification that it deems should have been provided in response to that question, applying AFA to determine that the discovered information amounts to countervailable subsidies.</w:t>
      </w:r>
      <w:r w:rsidRPr="00F97844">
        <w:rPr>
          <w:rStyle w:val="FootnoteReference"/>
        </w:rPr>
        <w:footnoteReference w:id="75"/>
      </w:r>
    </w:p>
    <w:p w14:paraId="3D5716C9" w14:textId="5795AA00" w:rsidR="00DA0AF4" w:rsidRPr="00F97844" w:rsidRDefault="00DA0AF4" w:rsidP="00F73DD3">
      <w:pPr>
        <w:pStyle w:val="BodyText"/>
        <w:numPr>
          <w:ilvl w:val="6"/>
          <w:numId w:val="28"/>
        </w:numPr>
      </w:pPr>
      <w:r w:rsidRPr="00F97844">
        <w:t xml:space="preserve">We note that </w:t>
      </w:r>
      <w:r w:rsidR="00D5737C" w:rsidRPr="00F97844">
        <w:t>t</w:t>
      </w:r>
      <w:r w:rsidRPr="00244CCE">
        <w:t>able</w:t>
      </w:r>
      <w:r w:rsidR="009F411B" w:rsidRPr="00244CCE">
        <w:t> </w:t>
      </w:r>
      <w:r w:rsidRPr="00244CCE">
        <w:t>1 of the Panel</w:t>
      </w:r>
      <w:r w:rsidR="00062DDD" w:rsidRPr="00244CCE">
        <w:t> Report</w:t>
      </w:r>
      <w:r w:rsidRPr="00244CCE">
        <w:t xml:space="preserve"> indicates variations in language with respect to respondent countries, calendar dates, and period of review or period of investigation.</w:t>
      </w:r>
      <w:r w:rsidRPr="00F97844">
        <w:rPr>
          <w:rStyle w:val="FootnoteReference"/>
        </w:rPr>
        <w:footnoteReference w:id="76"/>
      </w:r>
      <w:r w:rsidRPr="00F97844">
        <w:t xml:space="preserve"> We agree with the Panel that these variations </w:t>
      </w:r>
      <w:r w:rsidR="00ED7EB9" w:rsidRPr="00244CCE">
        <w:t xml:space="preserve">do </w:t>
      </w:r>
      <w:r w:rsidRPr="00244CCE">
        <w:t>not detract from the fact that the substance of the OFA</w:t>
      </w:r>
      <w:r w:rsidR="009F411B" w:rsidRPr="00244CCE">
        <w:t> </w:t>
      </w:r>
      <w:r w:rsidRPr="00244CCE">
        <w:t>question remained the same.</w:t>
      </w:r>
      <w:r w:rsidRPr="00F97844">
        <w:rPr>
          <w:vertAlign w:val="superscript"/>
        </w:rPr>
        <w:footnoteReference w:id="77"/>
      </w:r>
      <w:r w:rsidRPr="00F97844">
        <w:t xml:space="preserve"> Each formulation of the OFA</w:t>
      </w:r>
      <w:r w:rsidR="009F411B" w:rsidRPr="00F97844">
        <w:t> </w:t>
      </w:r>
      <w:r w:rsidRPr="00244CCE">
        <w:t>question asks whether a respondent country provided the respondent company with "any other forms of assistance", "directly or indirectly", and to "describe such assistance in detail, including the amounts, date of receipt, purpose and terms". This supports the Panel's conclusion that, despite minor variations in wording, the object and substance of the OFA question remained the same. In addition, we note that, as described in the Panel</w:t>
      </w:r>
      <w:r w:rsidR="00062DDD" w:rsidRPr="00244CCE">
        <w:t> Report</w:t>
      </w:r>
      <w:r w:rsidRPr="00244CCE">
        <w:t>, the USDOC itself refers to asking the OFA</w:t>
      </w:r>
      <w:r w:rsidR="008B527B" w:rsidRPr="00244CCE">
        <w:t> </w:t>
      </w:r>
      <w:r w:rsidRPr="00244CCE">
        <w:t>question as a matter of "standard procedure".</w:t>
      </w:r>
      <w:r w:rsidRPr="00F97844">
        <w:rPr>
          <w:vertAlign w:val="superscript"/>
        </w:rPr>
        <w:footnoteReference w:id="78"/>
      </w:r>
      <w:r w:rsidRPr="00F97844">
        <w:t xml:space="preserve"> </w:t>
      </w:r>
    </w:p>
    <w:p w14:paraId="5111FE47" w14:textId="172A8605" w:rsidR="00DA0AF4" w:rsidRPr="00F97844" w:rsidRDefault="00DA0AF4" w:rsidP="00F73DD3">
      <w:pPr>
        <w:pStyle w:val="BodyText"/>
        <w:numPr>
          <w:ilvl w:val="6"/>
          <w:numId w:val="28"/>
        </w:numPr>
      </w:pPr>
      <w:r w:rsidRPr="00244CCE">
        <w:t xml:space="preserve">In </w:t>
      </w:r>
      <w:r w:rsidR="00D5737C" w:rsidRPr="00244CCE">
        <w:t>t</w:t>
      </w:r>
      <w:r w:rsidRPr="00244CCE">
        <w:t>able</w:t>
      </w:r>
      <w:r w:rsidR="00C724C1" w:rsidRPr="00244CCE">
        <w:t> </w:t>
      </w:r>
      <w:r w:rsidRPr="00244CCE">
        <w:t>2 of the Panel</w:t>
      </w:r>
      <w:r w:rsidR="00062DDD" w:rsidRPr="00244CCE">
        <w:t> Report</w:t>
      </w:r>
      <w:r w:rsidRPr="00244CCE">
        <w:t xml:space="preserve">, the Panel </w:t>
      </w:r>
      <w:r w:rsidR="007B6E51" w:rsidRPr="00244CCE">
        <w:t>compiled</w:t>
      </w:r>
      <w:r w:rsidRPr="00244CCE">
        <w:t xml:space="preserve"> excerpts describing the USDOC's application of "facts available" when information about unreported assistance was discovered during verification.</w:t>
      </w:r>
      <w:bookmarkStart w:id="72" w:name="_Ref25348698"/>
      <w:r w:rsidRPr="00F97844">
        <w:rPr>
          <w:rStyle w:val="FootnoteReference"/>
        </w:rPr>
        <w:footnoteReference w:id="79"/>
      </w:r>
      <w:bookmarkEnd w:id="72"/>
      <w:r w:rsidRPr="00F97844">
        <w:t xml:space="preserve"> The Panel found that the substance of the USDOC's reactions remained the same, and comprised applying AFA to find countervailable subsidies when the USDOC discovers </w:t>
      </w:r>
      <w:r w:rsidRPr="00244CCE">
        <w:t>information during verification that it deems should have been reported in response to the OFA question.</w:t>
      </w:r>
      <w:r w:rsidRPr="00F97844">
        <w:rPr>
          <w:vertAlign w:val="superscript"/>
        </w:rPr>
        <w:footnoteReference w:id="80"/>
      </w:r>
      <w:r w:rsidRPr="00F97844">
        <w:t xml:space="preserve"> The United</w:t>
      </w:r>
      <w:r w:rsidR="00945567" w:rsidRPr="00F97844">
        <w:t> States</w:t>
      </w:r>
      <w:r w:rsidRPr="00244CCE">
        <w:t xml:space="preserve"> challenges the Panel's finding because the excerpts reviewed by the Panel concern different fact patterns, dissimilar results, and different segments of CVD proceedings, and therefore do not identify with precision the actions the USDOC may take in a future determination. Rather, according to the United</w:t>
      </w:r>
      <w:r w:rsidR="00945567" w:rsidRPr="00244CCE">
        <w:t> States</w:t>
      </w:r>
      <w:r w:rsidRPr="00244CCE">
        <w:t>, these excerpts</w:t>
      </w:r>
      <w:r w:rsidR="006D4BEF" w:rsidRPr="00244CCE">
        <w:t xml:space="preserve"> merely reveal that</w:t>
      </w:r>
      <w:r w:rsidR="00D5177C" w:rsidRPr="00244CCE">
        <w:t>,</w:t>
      </w:r>
      <w:r w:rsidR="006D4BEF" w:rsidRPr="00244CCE">
        <w:t xml:space="preserve"> in some determinations</w:t>
      </w:r>
      <w:r w:rsidR="00D5177C" w:rsidRPr="00244CCE">
        <w:t>,</w:t>
      </w:r>
      <w:r w:rsidR="006D4BEF" w:rsidRPr="00244CCE">
        <w:t xml:space="preserve"> the USDOC applied "facts available" based on the particular facts of those cases</w:t>
      </w:r>
      <w:r w:rsidRPr="00244CCE">
        <w:t>.</w:t>
      </w:r>
      <w:r w:rsidRPr="00F97844">
        <w:rPr>
          <w:vertAlign w:val="superscript"/>
        </w:rPr>
        <w:footnoteReference w:id="81"/>
      </w:r>
      <w:r w:rsidRPr="00F97844">
        <w:t xml:space="preserve"> </w:t>
      </w:r>
    </w:p>
    <w:p w14:paraId="3A54C641" w14:textId="23F3944D" w:rsidR="00DA0AF4" w:rsidRPr="00F97844" w:rsidRDefault="00DA0AF4" w:rsidP="00F73DD3">
      <w:pPr>
        <w:pStyle w:val="BodyText"/>
        <w:numPr>
          <w:ilvl w:val="6"/>
          <w:numId w:val="28"/>
        </w:numPr>
      </w:pPr>
      <w:r w:rsidRPr="00244CCE">
        <w:t>In our view, the United</w:t>
      </w:r>
      <w:r w:rsidR="00945567" w:rsidRPr="00244CCE">
        <w:t> States</w:t>
      </w:r>
      <w:r w:rsidRPr="00244CCE">
        <w:t xml:space="preserve"> has not identified differences in these determinations that would undermine the Panel's analysis and conclusion</w:t>
      </w:r>
      <w:r w:rsidR="00686A6B" w:rsidRPr="00244CCE">
        <w:t>s</w:t>
      </w:r>
      <w:r w:rsidRPr="00244CCE">
        <w:t xml:space="preserve"> in relation to the precise content of the alleged OFA</w:t>
      </w:r>
      <w:r w:rsidR="007643D6" w:rsidRPr="00244CCE">
        <w:noBreakHyphen/>
      </w:r>
      <w:r w:rsidRPr="00244CCE">
        <w:t>AFA</w:t>
      </w:r>
      <w:r w:rsidR="007B4980">
        <w:t> </w:t>
      </w:r>
      <w:r w:rsidRPr="00244CCE">
        <w:t xml:space="preserve">measure. </w:t>
      </w:r>
      <w:r w:rsidR="00085E63" w:rsidRPr="00244CCE">
        <w:t xml:space="preserve">Although the various determinations concern different facts, </w:t>
      </w:r>
      <w:r w:rsidR="00681910" w:rsidRPr="00244CCE">
        <w:t xml:space="preserve">we </w:t>
      </w:r>
      <w:r w:rsidRPr="00244CCE">
        <w:t xml:space="preserve">agree with the Panel that </w:t>
      </w:r>
      <w:r w:rsidR="00085E63" w:rsidRPr="00244CCE">
        <w:t xml:space="preserve">such differences, including </w:t>
      </w:r>
      <w:r w:rsidRPr="00244CCE">
        <w:t>the variations identified by the United</w:t>
      </w:r>
      <w:r w:rsidR="00945567" w:rsidRPr="00244CCE">
        <w:t> States</w:t>
      </w:r>
      <w:r w:rsidR="00085E63" w:rsidRPr="00244CCE">
        <w:t>,</w:t>
      </w:r>
      <w:r w:rsidRPr="00244CCE">
        <w:t xml:space="preserve"> do not detract from the fact that the substance of the USDOC's conduct is the same in relation to the elements of </w:t>
      </w:r>
      <w:r w:rsidRPr="00244CCE">
        <w:lastRenderedPageBreak/>
        <w:t>the alleged measure challenged by Canada.</w:t>
      </w:r>
      <w:r w:rsidRPr="00F97844">
        <w:rPr>
          <w:rStyle w:val="FootnoteReference"/>
        </w:rPr>
        <w:footnoteReference w:id="82"/>
      </w:r>
      <w:r w:rsidRPr="00F97844">
        <w:t xml:space="preserve"> Specifically, we agree with the Panel that </w:t>
      </w:r>
      <w:r w:rsidR="00085E63" w:rsidRPr="00F97844">
        <w:t xml:space="preserve">each </w:t>
      </w:r>
      <w:r w:rsidRPr="00244CCE">
        <w:t>element</w:t>
      </w:r>
      <w:r w:rsidR="00085E63" w:rsidRPr="00244CCE">
        <w:t xml:space="preserve"> of the alleged OFA</w:t>
      </w:r>
      <w:r w:rsidR="007643D6" w:rsidRPr="00244CCE">
        <w:noBreakHyphen/>
      </w:r>
      <w:r w:rsidR="00085E63" w:rsidRPr="00244CCE">
        <w:t>AFA</w:t>
      </w:r>
      <w:r w:rsidR="007B4980">
        <w:t> </w:t>
      </w:r>
      <w:r w:rsidR="00085E63" w:rsidRPr="00244CCE">
        <w:t>measure i</w:t>
      </w:r>
      <w:r w:rsidR="00C3318D" w:rsidRPr="00244CCE">
        <w:t>s</w:t>
      </w:r>
      <w:r w:rsidRPr="00244CCE">
        <w:t xml:space="preserve"> replicated in the determinations.</w:t>
      </w:r>
      <w:r w:rsidRPr="00F97844">
        <w:rPr>
          <w:rStyle w:val="FootnoteReference"/>
        </w:rPr>
        <w:footnoteReference w:id="83"/>
      </w:r>
      <w:r w:rsidRPr="00F97844">
        <w:t xml:space="preserve"> Moreover, we agree with Canada that the fact that these examples concern different segments of CVD proceedings is not material, because the conduct at issue may arise at any segment where the USDOC conducts verification. In this regard,</w:t>
      </w:r>
      <w:r w:rsidRPr="00244CCE">
        <w:t xml:space="preserve"> we note that these determinations all concern the identification of information at verification.</w:t>
      </w:r>
      <w:r w:rsidRPr="00F97844">
        <w:rPr>
          <w:rStyle w:val="FootnoteReference"/>
        </w:rPr>
        <w:footnoteReference w:id="84"/>
      </w:r>
    </w:p>
    <w:p w14:paraId="61468AFF" w14:textId="2F3281C8" w:rsidR="00DA0AF4" w:rsidRPr="00F97844" w:rsidRDefault="00DA0AF4" w:rsidP="00F73DD3">
      <w:pPr>
        <w:pStyle w:val="BodyText"/>
        <w:numPr>
          <w:ilvl w:val="6"/>
          <w:numId w:val="28"/>
        </w:numPr>
      </w:pPr>
      <w:bookmarkStart w:id="73" w:name="_Hlk25258332"/>
      <w:r w:rsidRPr="00F97844">
        <w:t>Overall, we consider that the Panel was correct to focus on the substance of the USDOC's conduct for each element of the alleged OFA</w:t>
      </w:r>
      <w:r w:rsidR="007643D6" w:rsidRPr="00244CCE">
        <w:noBreakHyphen/>
      </w:r>
      <w:r w:rsidRPr="00244CCE">
        <w:t>AFA</w:t>
      </w:r>
      <w:r w:rsidR="0079108A">
        <w:t> </w:t>
      </w:r>
      <w:r w:rsidRPr="00244CCE">
        <w:t>measure, as evidenced by the USDOC</w:t>
      </w:r>
      <w:r w:rsidR="0055406A" w:rsidRPr="00244CCE">
        <w:t> </w:t>
      </w:r>
      <w:r w:rsidRPr="00244CCE">
        <w:t>questionnaires and determinations before the Panel. Thus, we see no error in the Panel's finding that Canada had established the precise content of the alleged OFA</w:t>
      </w:r>
      <w:r w:rsidR="007643D6" w:rsidRPr="00244CCE">
        <w:noBreakHyphen/>
      </w:r>
      <w:r w:rsidRPr="00244CCE">
        <w:t>AFA</w:t>
      </w:r>
      <w:r w:rsidR="0079108A">
        <w:t> </w:t>
      </w:r>
      <w:r w:rsidRPr="00244CCE">
        <w:t xml:space="preserve">measure as </w:t>
      </w:r>
      <w:r w:rsidR="00591889" w:rsidRPr="00244CCE">
        <w:t>the USDOC asking the OFA</w:t>
      </w:r>
      <w:r w:rsidR="003724C1" w:rsidRPr="00244CCE">
        <w:t> </w:t>
      </w:r>
      <w:r w:rsidR="00591889" w:rsidRPr="00244CCE">
        <w:t>question and</w:t>
      </w:r>
      <w:r w:rsidR="00353B03" w:rsidRPr="00244CCE">
        <w:t>,</w:t>
      </w:r>
      <w:r w:rsidR="00591889" w:rsidRPr="00244CCE">
        <w:t xml:space="preserve"> </w:t>
      </w:r>
      <w:bookmarkStart w:id="74" w:name="_Hlk27457152"/>
      <w:r w:rsidR="001F417F" w:rsidRPr="00244CCE">
        <w:t xml:space="preserve">where </w:t>
      </w:r>
      <w:r w:rsidRPr="00244CCE">
        <w:t xml:space="preserve">the USDOC </w:t>
      </w:r>
      <w:bookmarkEnd w:id="74"/>
      <w:r w:rsidRPr="00244CCE">
        <w:t>discovers information during verification that it deems should have been provided in response to the OFA</w:t>
      </w:r>
      <w:r w:rsidR="003724C1" w:rsidRPr="00244CCE">
        <w:t> </w:t>
      </w:r>
      <w:r w:rsidRPr="00244CCE">
        <w:t xml:space="preserve">question, </w:t>
      </w:r>
      <w:r w:rsidR="00C775A0" w:rsidRPr="00244CCE">
        <w:t xml:space="preserve">applying </w:t>
      </w:r>
      <w:r w:rsidRPr="00244CCE">
        <w:t>AFA to determine that such information amounts to countervailable subsidies.</w:t>
      </w:r>
      <w:r w:rsidRPr="00F97844">
        <w:rPr>
          <w:rStyle w:val="FootnoteReference"/>
        </w:rPr>
        <w:footnoteReference w:id="85"/>
      </w:r>
      <w:bookmarkEnd w:id="73"/>
    </w:p>
    <w:p w14:paraId="6A4F3B3D" w14:textId="2F15683C" w:rsidR="00DA0AF4" w:rsidRPr="00244CCE" w:rsidRDefault="00DA0AF4" w:rsidP="00F73DD3">
      <w:pPr>
        <w:pStyle w:val="Heading4"/>
        <w:numPr>
          <w:ilvl w:val="3"/>
          <w:numId w:val="28"/>
        </w:numPr>
        <w:ind w:left="0"/>
      </w:pPr>
      <w:bookmarkStart w:id="75" w:name="_Toc30412735"/>
      <w:r w:rsidRPr="00F97844">
        <w:t>Repeated application of the alleged OFA</w:t>
      </w:r>
      <w:r w:rsidR="007643D6" w:rsidRPr="00244CCE">
        <w:noBreakHyphen/>
      </w:r>
      <w:r w:rsidRPr="00244CCE">
        <w:t>AFA measure</w:t>
      </w:r>
      <w:bookmarkEnd w:id="75"/>
    </w:p>
    <w:p w14:paraId="7CA094DC" w14:textId="24E18A39" w:rsidR="00DA0AF4" w:rsidRPr="00F97844" w:rsidRDefault="00DA0AF4" w:rsidP="00F73DD3">
      <w:pPr>
        <w:pStyle w:val="BodyText"/>
        <w:numPr>
          <w:ilvl w:val="6"/>
          <w:numId w:val="28"/>
        </w:numPr>
      </w:pPr>
      <w:r w:rsidRPr="00244CCE">
        <w:t>In relation to the repeated application of the alleged OFA</w:t>
      </w:r>
      <w:r w:rsidR="007643D6" w:rsidRPr="00244CCE">
        <w:noBreakHyphen/>
      </w:r>
      <w:r w:rsidRPr="00244CCE">
        <w:t>AFA measure, the United</w:t>
      </w:r>
      <w:r w:rsidR="00945567" w:rsidRPr="00244CCE">
        <w:t> States</w:t>
      </w:r>
      <w:r w:rsidRPr="00244CCE">
        <w:t xml:space="preserve"> contends that there are multiple examples on the Panel record showing that the USDOC did not repeatedly apply the alleged measure.</w:t>
      </w:r>
      <w:r w:rsidRPr="00F97844">
        <w:rPr>
          <w:rStyle w:val="FootnoteReference"/>
        </w:rPr>
        <w:footnoteReference w:id="86"/>
      </w:r>
      <w:r w:rsidRPr="00F97844">
        <w:t xml:space="preserve"> In particular, the United</w:t>
      </w:r>
      <w:r w:rsidR="00945567" w:rsidRPr="00F97844">
        <w:t> States</w:t>
      </w:r>
      <w:r w:rsidRPr="00244CCE">
        <w:t xml:space="preserve"> points to four instances in the CVD proceedings examined by the Panel where the alleged OFA</w:t>
      </w:r>
      <w:r w:rsidR="007643D6" w:rsidRPr="00244CCE">
        <w:noBreakHyphen/>
      </w:r>
      <w:r w:rsidRPr="00244CCE">
        <w:t>AFA measure was not applied.</w:t>
      </w:r>
      <w:r w:rsidRPr="00F97844">
        <w:rPr>
          <w:rStyle w:val="FootnoteReference"/>
        </w:rPr>
        <w:footnoteReference w:id="87"/>
      </w:r>
      <w:r w:rsidRPr="00F97844">
        <w:t xml:space="preserve"> The United</w:t>
      </w:r>
      <w:r w:rsidR="00945567" w:rsidRPr="00F97844">
        <w:t> States</w:t>
      </w:r>
      <w:r w:rsidRPr="00F97844">
        <w:t xml:space="preserve"> argues that "repeated application" is shown where a measure is applied in a string of determinations made sequentially i</w:t>
      </w:r>
      <w:r w:rsidRPr="00244CCE">
        <w:t>n successive proceedings over an extended period of time.</w:t>
      </w:r>
      <w:r w:rsidR="00113FC6" w:rsidRPr="00F97844">
        <w:rPr>
          <w:rStyle w:val="FootnoteReference"/>
        </w:rPr>
        <w:footnoteReference w:id="88"/>
      </w:r>
      <w:r w:rsidRPr="00F97844">
        <w:t xml:space="preserve"> To the United</w:t>
      </w:r>
      <w:r w:rsidR="00945567" w:rsidRPr="00244CCE">
        <w:t> States</w:t>
      </w:r>
      <w:r w:rsidRPr="00244CCE">
        <w:t>, this was a key part of the Appellate</w:t>
      </w:r>
      <w:r w:rsidR="00945567" w:rsidRPr="00244CCE">
        <w:t> Body</w:t>
      </w:r>
      <w:r w:rsidRPr="00244CCE">
        <w:t xml:space="preserve">'s reasoning in </w:t>
      </w:r>
      <w:r w:rsidRPr="00244CCE">
        <w:rPr>
          <w:i/>
          <w:iCs/>
        </w:rPr>
        <w:t xml:space="preserve">US – Continued </w:t>
      </w:r>
      <w:r w:rsidRPr="00244CCE">
        <w:rPr>
          <w:i/>
        </w:rPr>
        <w:t>Zeroing</w:t>
      </w:r>
      <w:r w:rsidRPr="00244CCE">
        <w:t>.</w:t>
      </w:r>
      <w:r w:rsidRPr="00F97844">
        <w:rPr>
          <w:rStyle w:val="FootnoteReference"/>
        </w:rPr>
        <w:footnoteReference w:id="89"/>
      </w:r>
      <w:r w:rsidRPr="00F97844">
        <w:t xml:space="preserve"> The United</w:t>
      </w:r>
      <w:r w:rsidR="00945567" w:rsidRPr="00F97844">
        <w:t> States</w:t>
      </w:r>
      <w:r w:rsidRPr="00244CCE">
        <w:t xml:space="preserve"> contends that the Panel never engaged with important differences between this dispute and the situation in </w:t>
      </w:r>
      <w:r w:rsidRPr="00244CCE">
        <w:rPr>
          <w:i/>
        </w:rPr>
        <w:t>US – Continued Zeroing</w:t>
      </w:r>
      <w:r w:rsidRPr="00244CCE">
        <w:t>.</w:t>
      </w:r>
      <w:r w:rsidRPr="00F97844">
        <w:rPr>
          <w:vertAlign w:val="superscript"/>
        </w:rPr>
        <w:footnoteReference w:id="90"/>
      </w:r>
      <w:r w:rsidRPr="00F97844">
        <w:t xml:space="preserve"> </w:t>
      </w:r>
    </w:p>
    <w:p w14:paraId="377BA5DF" w14:textId="46D739AF" w:rsidR="00DA0AF4" w:rsidRPr="00F97844" w:rsidRDefault="00DA0AF4" w:rsidP="00F73DD3">
      <w:pPr>
        <w:pStyle w:val="BodyText"/>
        <w:numPr>
          <w:ilvl w:val="6"/>
          <w:numId w:val="28"/>
        </w:numPr>
      </w:pPr>
      <w:r w:rsidRPr="00244CCE">
        <w:t>Canada responds that imposing the requirement suggested by the United</w:t>
      </w:r>
      <w:r w:rsidR="00945567" w:rsidRPr="00244CCE">
        <w:t> States</w:t>
      </w:r>
      <w:r w:rsidRPr="00244CCE">
        <w:t xml:space="preserve"> would be to misread the Appellate</w:t>
      </w:r>
      <w:r w:rsidR="00945567" w:rsidRPr="00244CCE">
        <w:t> Body</w:t>
      </w:r>
      <w:r w:rsidRPr="00244CCE">
        <w:t xml:space="preserve"> Report in </w:t>
      </w:r>
      <w:r w:rsidRPr="00244CCE">
        <w:rPr>
          <w:i/>
        </w:rPr>
        <w:t xml:space="preserve">US – Continued </w:t>
      </w:r>
      <w:r w:rsidRPr="00244CCE">
        <w:t>Zeroing, and conflate the specific measure challenged in that dispute with the constituent elements that have to be shown to establish the existence of an "ongoing conduct" measure.</w:t>
      </w:r>
      <w:r w:rsidRPr="00F97844">
        <w:rPr>
          <w:vertAlign w:val="superscript"/>
        </w:rPr>
        <w:footnoteReference w:id="91"/>
      </w:r>
    </w:p>
    <w:p w14:paraId="1D972FDC" w14:textId="2AD249CA" w:rsidR="00DA0AF4" w:rsidRPr="00F97844" w:rsidRDefault="00DA0AF4" w:rsidP="00F73DD3">
      <w:pPr>
        <w:pStyle w:val="BodyText"/>
        <w:numPr>
          <w:ilvl w:val="6"/>
          <w:numId w:val="28"/>
        </w:numPr>
      </w:pPr>
      <w:r w:rsidRPr="00F97844">
        <w:t>In addressing the repeated application of the alleged OFA</w:t>
      </w:r>
      <w:r w:rsidR="007643D6" w:rsidRPr="00F97844">
        <w:noBreakHyphen/>
      </w:r>
      <w:r w:rsidRPr="00244CCE">
        <w:t>AFA</w:t>
      </w:r>
      <w:r w:rsidR="007B4980">
        <w:t> </w:t>
      </w:r>
      <w:r w:rsidRPr="00244CCE">
        <w:t xml:space="preserve">measure, the Panel </w:t>
      </w:r>
      <w:r w:rsidR="007B6E51" w:rsidRPr="00244CCE">
        <w:t xml:space="preserve">compiled </w:t>
      </w:r>
      <w:r w:rsidR="00D5737C" w:rsidRPr="00244CCE">
        <w:t>t</w:t>
      </w:r>
      <w:r w:rsidRPr="00244CCE">
        <w:t>ables 3 and 4 of the Panel</w:t>
      </w:r>
      <w:r w:rsidR="00062DDD" w:rsidRPr="00244CCE">
        <w:t> Report</w:t>
      </w:r>
      <w:r w:rsidR="004026BB" w:rsidRPr="00244CCE">
        <w:t>, which quote</w:t>
      </w:r>
      <w:r w:rsidR="007B6E51" w:rsidRPr="00244CCE">
        <w:t xml:space="preserve"> from the following USDOC CVD proceedings that were submitted by Canada as evidence of the repeated application of the alleged OFA</w:t>
      </w:r>
      <w:r w:rsidR="007643D6" w:rsidRPr="00244CCE">
        <w:noBreakHyphen/>
      </w:r>
      <w:r w:rsidR="007B6E51" w:rsidRPr="00244CCE">
        <w:t>AFA</w:t>
      </w:r>
      <w:r w:rsidR="007B4980">
        <w:t> </w:t>
      </w:r>
      <w:r w:rsidR="007B6E51" w:rsidRPr="00244CCE">
        <w:t>measure:</w:t>
      </w:r>
      <w:r w:rsidR="00A26A97" w:rsidRPr="00244CCE">
        <w:t xml:space="preserve"> </w:t>
      </w:r>
      <w:r w:rsidRPr="00244CCE">
        <w:rPr>
          <w:iCs/>
        </w:rPr>
        <w:t>Shrimp from China 2013</w:t>
      </w:r>
      <w:r w:rsidRPr="00244CCE">
        <w:t xml:space="preserve">, </w:t>
      </w:r>
      <w:r w:rsidRPr="00244CCE">
        <w:rPr>
          <w:iCs/>
        </w:rPr>
        <w:t>Solar Cells from China 2014</w:t>
      </w:r>
      <w:r w:rsidRPr="00244CCE">
        <w:t xml:space="preserve">, </w:t>
      </w:r>
      <w:r w:rsidRPr="00244CCE">
        <w:rPr>
          <w:iCs/>
        </w:rPr>
        <w:t>Solar Cells from China 2015</w:t>
      </w:r>
      <w:r w:rsidRPr="00244CCE">
        <w:t xml:space="preserve">, </w:t>
      </w:r>
      <w:proofErr w:type="spellStart"/>
      <w:r w:rsidRPr="00244CCE">
        <w:rPr>
          <w:iCs/>
        </w:rPr>
        <w:t>Supercalendered</w:t>
      </w:r>
      <w:proofErr w:type="spellEnd"/>
      <w:r w:rsidRPr="00244CCE">
        <w:rPr>
          <w:iCs/>
        </w:rPr>
        <w:t xml:space="preserve"> Paper from Canada 2015</w:t>
      </w:r>
      <w:r w:rsidRPr="00244CCE">
        <w:t xml:space="preserve">, </w:t>
      </w:r>
      <w:r w:rsidRPr="00244CCE">
        <w:rPr>
          <w:iCs/>
        </w:rPr>
        <w:t>PET Resin from China 2016</w:t>
      </w:r>
      <w:r w:rsidRPr="00244CCE">
        <w:t xml:space="preserve">, </w:t>
      </w:r>
      <w:r w:rsidRPr="00244CCE">
        <w:rPr>
          <w:iCs/>
        </w:rPr>
        <w:t>Stainless Pressure Pipe from India 2016</w:t>
      </w:r>
      <w:r w:rsidRPr="00244CCE">
        <w:t xml:space="preserve">, </w:t>
      </w:r>
      <w:r w:rsidRPr="00244CCE">
        <w:rPr>
          <w:iCs/>
        </w:rPr>
        <w:lastRenderedPageBreak/>
        <w:t>Truck and Bus Tires from China 2016</w:t>
      </w:r>
      <w:r w:rsidRPr="00244CCE">
        <w:t xml:space="preserve">, and </w:t>
      </w:r>
      <w:r w:rsidRPr="00244CCE">
        <w:rPr>
          <w:iCs/>
        </w:rPr>
        <w:t>Stainless Steel Sheet and Strip from China 2017</w:t>
      </w:r>
      <w:r w:rsidRPr="00244CCE">
        <w:t>.</w:t>
      </w:r>
      <w:r w:rsidRPr="00F97844">
        <w:rPr>
          <w:vertAlign w:val="superscript"/>
        </w:rPr>
        <w:footnoteReference w:id="92"/>
      </w:r>
      <w:r w:rsidRPr="00F97844">
        <w:t xml:space="preserve"> The Panel found that, despite variations in language, Canada's examples showed that, since 2012, the USDOC acted substantially in the same manner in treating information discovered at verification that it considered should have been provided in response to the OFA</w:t>
      </w:r>
      <w:r w:rsidR="00235BF6" w:rsidRPr="00244CCE">
        <w:t> </w:t>
      </w:r>
      <w:r w:rsidRPr="00244CCE">
        <w:t xml:space="preserve">question. To the Panel, this was </w:t>
      </w:r>
      <w:proofErr w:type="gramStart"/>
      <w:r w:rsidRPr="00244CCE">
        <w:t>sufficient</w:t>
      </w:r>
      <w:proofErr w:type="gramEnd"/>
      <w:r w:rsidRPr="00244CCE">
        <w:t xml:space="preserve"> evidence of the repeated application of the alleged OFA</w:t>
      </w:r>
      <w:r w:rsidR="007643D6" w:rsidRPr="00244CCE">
        <w:noBreakHyphen/>
      </w:r>
      <w:r w:rsidRPr="00244CCE">
        <w:t>AFA</w:t>
      </w:r>
      <w:r w:rsidR="007B4980">
        <w:t> </w:t>
      </w:r>
      <w:r w:rsidRPr="00244CCE">
        <w:t>measure.</w:t>
      </w:r>
      <w:r w:rsidRPr="00F97844">
        <w:rPr>
          <w:vertAlign w:val="superscript"/>
        </w:rPr>
        <w:footnoteReference w:id="93"/>
      </w:r>
      <w:r w:rsidRPr="00F97844">
        <w:t xml:space="preserve"> </w:t>
      </w:r>
    </w:p>
    <w:p w14:paraId="4C13C836" w14:textId="65A5ED52" w:rsidR="00DA0AF4" w:rsidRPr="00F97844" w:rsidRDefault="00DA0AF4" w:rsidP="00F73DD3">
      <w:pPr>
        <w:pStyle w:val="BodyText"/>
        <w:numPr>
          <w:ilvl w:val="6"/>
          <w:numId w:val="28"/>
        </w:numPr>
      </w:pPr>
      <w:r w:rsidRPr="00244CCE">
        <w:t xml:space="preserve">We recall that, in </w:t>
      </w:r>
      <w:r w:rsidRPr="00244CCE">
        <w:rPr>
          <w:i/>
          <w:iCs/>
        </w:rPr>
        <w:t>US – Continued Zeroing</w:t>
      </w:r>
      <w:r w:rsidRPr="00244CCE">
        <w:t>, the European</w:t>
      </w:r>
      <w:r w:rsidR="00062DDD" w:rsidRPr="00244CCE">
        <w:t> Communities</w:t>
      </w:r>
      <w:r w:rsidRPr="00244CCE">
        <w:t xml:space="preserve"> challenged the "use of the zeroing methodology in a string of connected and sequential determinations" in 18</w:t>
      </w:r>
      <w:r w:rsidR="007B4980">
        <w:t> </w:t>
      </w:r>
      <w:r w:rsidRPr="00244CCE">
        <w:t>cases, by which anti</w:t>
      </w:r>
      <w:r w:rsidR="007643D6" w:rsidRPr="00244CCE">
        <w:noBreakHyphen/>
      </w:r>
      <w:r w:rsidRPr="00244CCE">
        <w:t>dumping duties were being maintained.</w:t>
      </w:r>
      <w:r w:rsidRPr="00F97844">
        <w:rPr>
          <w:rStyle w:val="FootnoteReference"/>
        </w:rPr>
        <w:footnoteReference w:id="94"/>
      </w:r>
      <w:r w:rsidRPr="00F97844">
        <w:t xml:space="preserve"> The Appellate</w:t>
      </w:r>
      <w:r w:rsidR="00945567" w:rsidRPr="00F97844">
        <w:t> Body</w:t>
      </w:r>
      <w:r w:rsidRPr="00F97844">
        <w:t xml:space="preserve"> understood the</w:t>
      </w:r>
      <w:r w:rsidRPr="00244CCE">
        <w:t xml:space="preserve"> "string of connected and sequential determinations" to mean successive proceedings in the 18</w:t>
      </w:r>
      <w:r w:rsidR="007B4980">
        <w:t> </w:t>
      </w:r>
      <w:r w:rsidRPr="00244CCE">
        <w:t>anti</w:t>
      </w:r>
      <w:r w:rsidR="007643D6" w:rsidRPr="00244CCE">
        <w:noBreakHyphen/>
      </w:r>
      <w:r w:rsidRPr="00244CCE">
        <w:t>dumping duty cases.</w:t>
      </w:r>
      <w:r w:rsidRPr="00F97844">
        <w:rPr>
          <w:vertAlign w:val="superscript"/>
        </w:rPr>
        <w:footnoteReference w:id="95"/>
      </w:r>
      <w:r w:rsidRPr="00F97844">
        <w:t xml:space="preserve"> Having reversed the relevant panel findings in </w:t>
      </w:r>
      <w:r w:rsidRPr="00F97844">
        <w:rPr>
          <w:i/>
          <w:iCs/>
        </w:rPr>
        <w:t>US – Continued Zeroing</w:t>
      </w:r>
      <w:r w:rsidRPr="00244CCE">
        <w:t xml:space="preserve">, the Appellate Body examined whether there were sufficient factual findings and undisputed facts on the record for it to complete the </w:t>
      </w:r>
      <w:r w:rsidR="00062DDD" w:rsidRPr="00244CCE">
        <w:t xml:space="preserve">legal </w:t>
      </w:r>
      <w:r w:rsidRPr="00244CCE">
        <w:t>analysis, as requested by the European</w:t>
      </w:r>
      <w:r w:rsidR="00062DDD" w:rsidRPr="00244CCE">
        <w:t> Communities</w:t>
      </w:r>
      <w:r w:rsidRPr="00244CCE">
        <w:t xml:space="preserve">. In this respect, the Appellate Body found that in only </w:t>
      </w:r>
      <w:r w:rsidR="00D84255" w:rsidRPr="00244CCE">
        <w:t xml:space="preserve">4 </w:t>
      </w:r>
      <w:r w:rsidRPr="00244CCE">
        <w:t>of the 18</w:t>
      </w:r>
      <w:r w:rsidR="00224D0D" w:rsidRPr="00244CCE">
        <w:t> </w:t>
      </w:r>
      <w:r w:rsidRPr="00244CCE">
        <w:t xml:space="preserve">cases were there </w:t>
      </w:r>
      <w:proofErr w:type="gramStart"/>
      <w:r w:rsidRPr="00244CCE">
        <w:t>sufficient</w:t>
      </w:r>
      <w:proofErr w:type="gramEnd"/>
      <w:r w:rsidRPr="00244CCE">
        <w:t xml:space="preserve"> factual findings indicating the repeated use of the zeroing methodology in a string of determinations, made sequentially over an extended period of time.</w:t>
      </w:r>
      <w:r w:rsidRPr="00F97844">
        <w:rPr>
          <w:vertAlign w:val="superscript"/>
        </w:rPr>
        <w:footnoteReference w:id="96"/>
      </w:r>
    </w:p>
    <w:p w14:paraId="2DF4AFC9" w14:textId="797164E8" w:rsidR="00DA0AF4" w:rsidRPr="00244CCE" w:rsidRDefault="00DA0AF4" w:rsidP="00F73DD3">
      <w:pPr>
        <w:pStyle w:val="BodyText"/>
        <w:numPr>
          <w:ilvl w:val="6"/>
          <w:numId w:val="28"/>
        </w:numPr>
      </w:pPr>
      <w:r w:rsidRPr="00F97844">
        <w:t>In our view, the Appellate</w:t>
      </w:r>
      <w:r w:rsidR="00945567" w:rsidRPr="00F97844">
        <w:t> Body</w:t>
      </w:r>
      <w:r w:rsidRPr="00244CCE">
        <w:t xml:space="preserve">'s </w:t>
      </w:r>
      <w:r w:rsidR="007B70BA" w:rsidRPr="00244CCE">
        <w:t xml:space="preserve">analysis </w:t>
      </w:r>
      <w:r w:rsidRPr="00244CCE">
        <w:t>concerning the strings of anti</w:t>
      </w:r>
      <w:r w:rsidR="007643D6" w:rsidRPr="00244CCE">
        <w:noBreakHyphen/>
      </w:r>
      <w:r w:rsidRPr="00244CCE">
        <w:t xml:space="preserve">dumping determinations in </w:t>
      </w:r>
      <w:r w:rsidRPr="00244CCE">
        <w:rPr>
          <w:i/>
          <w:iCs/>
        </w:rPr>
        <w:t>US</w:t>
      </w:r>
      <w:r w:rsidR="007B70BA" w:rsidRPr="00244CCE">
        <w:rPr>
          <w:i/>
          <w:iCs/>
        </w:rPr>
        <w:t xml:space="preserve"> – </w:t>
      </w:r>
      <w:r w:rsidRPr="00244CCE">
        <w:rPr>
          <w:i/>
          <w:iCs/>
        </w:rPr>
        <w:t>Continued Zeroing</w:t>
      </w:r>
      <w:r w:rsidRPr="00244CCE">
        <w:t xml:space="preserve"> did not qualify the legal standard of "repeated application" generally. Rather, the Appellate</w:t>
      </w:r>
      <w:r w:rsidR="00945567" w:rsidRPr="00244CCE">
        <w:t> Body</w:t>
      </w:r>
      <w:r w:rsidRPr="00244CCE">
        <w:t xml:space="preserve">'s examination related to the European Communities' characterization of the alleged </w:t>
      </w:r>
      <w:r w:rsidR="00686A6B" w:rsidRPr="00244CCE">
        <w:t>"</w:t>
      </w:r>
      <w:r w:rsidRPr="00244CCE">
        <w:t>ongoing conduct</w:t>
      </w:r>
      <w:r w:rsidR="00686A6B" w:rsidRPr="00244CCE">
        <w:t>"</w:t>
      </w:r>
      <w:r w:rsidRPr="00244CCE">
        <w:t xml:space="preserve"> measure in that </w:t>
      </w:r>
      <w:r w:rsidR="00785B98" w:rsidRPr="00244CCE">
        <w:t>dispute</w:t>
      </w:r>
      <w:r w:rsidRPr="00244CCE">
        <w:t>. Indeed, the panel and the Appellate</w:t>
      </w:r>
      <w:r w:rsidR="00945567" w:rsidRPr="00244CCE">
        <w:t> Body</w:t>
      </w:r>
      <w:r w:rsidRPr="00244CCE">
        <w:t xml:space="preserve"> in that dispute examined the evidence submitted by the European</w:t>
      </w:r>
      <w:r w:rsidR="00062DDD" w:rsidRPr="00244CCE">
        <w:t> Communities</w:t>
      </w:r>
      <w:r w:rsidRPr="00244CCE">
        <w:t xml:space="preserve"> in light of the manner in which the European</w:t>
      </w:r>
      <w:r w:rsidR="00062DDD" w:rsidRPr="00244CCE">
        <w:t> Communities</w:t>
      </w:r>
      <w:r w:rsidRPr="00244CCE">
        <w:t xml:space="preserve"> had characterized the challenged measure.</w:t>
      </w:r>
      <w:r w:rsidRPr="00F97844">
        <w:rPr>
          <w:rStyle w:val="FootnoteReference"/>
        </w:rPr>
        <w:footnoteReference w:id="97"/>
      </w:r>
      <w:r w:rsidRPr="00F97844">
        <w:t xml:space="preserve"> Thus, we do not understand the Appellate</w:t>
      </w:r>
      <w:r w:rsidR="00945567" w:rsidRPr="00F97844">
        <w:t> Body</w:t>
      </w:r>
      <w:r w:rsidRPr="00F97844">
        <w:t xml:space="preserve"> to have suggested that a complainant must always show repetition in a string of connected and sequential determinations in</w:t>
      </w:r>
      <w:r w:rsidRPr="00244CCE">
        <w:t xml:space="preserve"> successive proceedings pertaining to the same order to demonstrate </w:t>
      </w:r>
      <w:r w:rsidR="00686A6B" w:rsidRPr="00244CCE">
        <w:t xml:space="preserve">successfully </w:t>
      </w:r>
      <w:r w:rsidRPr="00244CCE">
        <w:t xml:space="preserve">the "repeated application" of an alleged </w:t>
      </w:r>
      <w:r w:rsidR="00686A6B" w:rsidRPr="00244CCE">
        <w:t>"</w:t>
      </w:r>
      <w:r w:rsidRPr="00244CCE">
        <w:t>ongoing conduct</w:t>
      </w:r>
      <w:r w:rsidR="00686A6B" w:rsidRPr="00244CCE">
        <w:t>"</w:t>
      </w:r>
      <w:r w:rsidRPr="00244CCE">
        <w:t xml:space="preserve"> measure.</w:t>
      </w:r>
    </w:p>
    <w:p w14:paraId="1F0888A4" w14:textId="1920EE1E" w:rsidR="00DA0AF4" w:rsidRPr="00F97844" w:rsidRDefault="00DA0AF4" w:rsidP="00F73DD3">
      <w:pPr>
        <w:pStyle w:val="BodyText"/>
        <w:numPr>
          <w:ilvl w:val="6"/>
          <w:numId w:val="28"/>
        </w:numPr>
      </w:pPr>
      <w:r w:rsidRPr="00244CCE">
        <w:t xml:space="preserve">Unlike in </w:t>
      </w:r>
      <w:r w:rsidRPr="00244CCE">
        <w:rPr>
          <w:i/>
          <w:iCs/>
        </w:rPr>
        <w:t>US – Continued Zeroing</w:t>
      </w:r>
      <w:r w:rsidRPr="00244CCE">
        <w:t>, Canada does not characterize the alleged OFA</w:t>
      </w:r>
      <w:r w:rsidR="007643D6" w:rsidRPr="00244CCE">
        <w:noBreakHyphen/>
      </w:r>
      <w:r w:rsidRPr="00244CCE">
        <w:t>AFA</w:t>
      </w:r>
      <w:r w:rsidR="007B4980">
        <w:t> </w:t>
      </w:r>
      <w:r w:rsidRPr="00244CCE">
        <w:t>measure as occurring in "a string of connected and sequential determinations" or "successive proceedings". Rather, before the Panel, Canada submitted that the alleged OFA</w:t>
      </w:r>
      <w:r w:rsidR="007643D6" w:rsidRPr="00244CCE">
        <w:noBreakHyphen/>
      </w:r>
      <w:r w:rsidRPr="00244CCE">
        <w:t>AFA</w:t>
      </w:r>
      <w:r w:rsidR="007B4980">
        <w:t> </w:t>
      </w:r>
      <w:r w:rsidRPr="00244CCE">
        <w:t>measure consists in the USDOC asking the OFA</w:t>
      </w:r>
      <w:r w:rsidR="007B4980">
        <w:t> </w:t>
      </w:r>
      <w:r w:rsidRPr="00244CCE">
        <w:t>question and</w:t>
      </w:r>
      <w:r w:rsidR="00B70FFD" w:rsidRPr="00244CCE">
        <w:t>,</w:t>
      </w:r>
      <w:r w:rsidRPr="00244CCE">
        <w:t xml:space="preserve"> where the USDOC discovers information during verification that it deems should have been provided in response to that question, applying AFA to determine that the discovered information amounts to countervailable subsidies.</w:t>
      </w:r>
      <w:r w:rsidRPr="00F97844">
        <w:rPr>
          <w:rStyle w:val="FootnoteReference"/>
        </w:rPr>
        <w:footnoteReference w:id="98"/>
      </w:r>
      <w:r w:rsidRPr="00F97844">
        <w:t xml:space="preserve"> </w:t>
      </w:r>
      <w:r w:rsidR="00113FC6" w:rsidRPr="00F97844">
        <w:t xml:space="preserve">As before the Panel, </w:t>
      </w:r>
      <w:r w:rsidRPr="00244CCE">
        <w:t>Canada contend</w:t>
      </w:r>
      <w:r w:rsidR="00113FC6" w:rsidRPr="00244CCE">
        <w:t>s on appeal</w:t>
      </w:r>
      <w:r w:rsidRPr="00244CCE">
        <w:t xml:space="preserve"> that this alleged measure has been repeatedly applied since 2012 whenever the relevant circumstances arose.</w:t>
      </w:r>
      <w:r w:rsidRPr="00F97844">
        <w:rPr>
          <w:rStyle w:val="FootnoteReference"/>
        </w:rPr>
        <w:footnoteReference w:id="99"/>
      </w:r>
      <w:r w:rsidRPr="00F97844">
        <w:t xml:space="preserve"> </w:t>
      </w:r>
    </w:p>
    <w:p w14:paraId="256EAE28" w14:textId="1E59AF8A" w:rsidR="00DA0AF4" w:rsidRPr="00244CCE" w:rsidRDefault="00DA0AF4" w:rsidP="00F73DD3">
      <w:pPr>
        <w:pStyle w:val="BodyText"/>
        <w:numPr>
          <w:ilvl w:val="6"/>
          <w:numId w:val="28"/>
        </w:numPr>
      </w:pPr>
      <w:bookmarkStart w:id="76" w:name="_Hlk25258428"/>
      <w:r w:rsidRPr="00244CCE">
        <w:t>In our view, the Panel's analysis appropriately reflects Canada's characterization of the alleged OFA</w:t>
      </w:r>
      <w:r w:rsidR="007643D6" w:rsidRPr="00244CCE">
        <w:noBreakHyphen/>
      </w:r>
      <w:r w:rsidRPr="00244CCE">
        <w:t>AFA</w:t>
      </w:r>
      <w:r w:rsidR="007B4980">
        <w:t> </w:t>
      </w:r>
      <w:r w:rsidRPr="00244CCE">
        <w:t>measure, focus</w:t>
      </w:r>
      <w:r w:rsidR="009A0849" w:rsidRPr="00244CCE">
        <w:t>ing</w:t>
      </w:r>
      <w:r w:rsidRPr="00244CCE">
        <w:t xml:space="preserve"> at this stage on the repetition of the elements identified by Canada that form part of the alleged OFA</w:t>
      </w:r>
      <w:r w:rsidR="007643D6" w:rsidRPr="00244CCE">
        <w:noBreakHyphen/>
      </w:r>
      <w:r w:rsidRPr="00244CCE">
        <w:t>AFA</w:t>
      </w:r>
      <w:r w:rsidR="007B4980">
        <w:t> </w:t>
      </w:r>
      <w:r w:rsidRPr="00244CCE">
        <w:t xml:space="preserve">measure. Thus, we consider that the Panel did not err in examining </w:t>
      </w:r>
      <w:r w:rsidRPr="00244CCE">
        <w:lastRenderedPageBreak/>
        <w:t xml:space="preserve">"repeated application" by reference to the elements of the alleged measure in this dispute, and not against the </w:t>
      </w:r>
      <w:proofErr w:type="gramStart"/>
      <w:r w:rsidRPr="00244CCE">
        <w:t>particular elements</w:t>
      </w:r>
      <w:proofErr w:type="gramEnd"/>
      <w:r w:rsidRPr="00244CCE">
        <w:t xml:space="preserve"> of the measure in </w:t>
      </w:r>
      <w:r w:rsidRPr="00244CCE">
        <w:rPr>
          <w:i/>
          <w:iCs/>
        </w:rPr>
        <w:t>US – Continued Zeroing</w:t>
      </w:r>
      <w:r w:rsidRPr="00244CCE">
        <w:t>.</w:t>
      </w:r>
      <w:bookmarkEnd w:id="76"/>
      <w:r w:rsidRPr="00244CCE">
        <w:t xml:space="preserve"> </w:t>
      </w:r>
    </w:p>
    <w:p w14:paraId="221BFF50" w14:textId="0E391AF6" w:rsidR="00DA0AF4" w:rsidRPr="00F97844" w:rsidRDefault="00DA0AF4" w:rsidP="00F73DD3">
      <w:pPr>
        <w:pStyle w:val="BodyText"/>
        <w:numPr>
          <w:ilvl w:val="6"/>
          <w:numId w:val="28"/>
        </w:numPr>
      </w:pPr>
      <w:r w:rsidRPr="00244CCE">
        <w:t>The United</w:t>
      </w:r>
      <w:r w:rsidR="00945567" w:rsidRPr="00244CCE">
        <w:t> States</w:t>
      </w:r>
      <w:r w:rsidRPr="00244CCE">
        <w:t xml:space="preserve"> also argues that the evidence in this dispute showed that there was no repeated application of the alleged measure because there were frequent and numerous breaks.</w:t>
      </w:r>
      <w:r w:rsidRPr="00F97844">
        <w:rPr>
          <w:vertAlign w:val="superscript"/>
        </w:rPr>
        <w:footnoteReference w:id="100"/>
      </w:r>
      <w:r w:rsidRPr="00F97844">
        <w:t xml:space="preserve"> </w:t>
      </w:r>
      <w:bookmarkStart w:id="77" w:name="_Hlk25258515"/>
      <w:r w:rsidRPr="00F97844">
        <w:t>The United</w:t>
      </w:r>
      <w:r w:rsidR="00945567" w:rsidRPr="00F97844">
        <w:t> States</w:t>
      </w:r>
      <w:r w:rsidRPr="00244CCE">
        <w:t xml:space="preserve"> refers to four examples on the Panel record</w:t>
      </w:r>
      <w:r w:rsidR="007F3F98" w:rsidRPr="00244CCE">
        <w:t xml:space="preserve"> (</w:t>
      </w:r>
      <w:proofErr w:type="spellStart"/>
      <w:r w:rsidRPr="00244CCE">
        <w:t>Supercalendered</w:t>
      </w:r>
      <w:proofErr w:type="spellEnd"/>
      <w:r w:rsidRPr="00244CCE">
        <w:t xml:space="preserve"> Paper from Canada</w:t>
      </w:r>
      <w:r w:rsidR="0055406A" w:rsidRPr="00244CCE">
        <w:t> </w:t>
      </w:r>
      <w:r w:rsidRPr="00244CCE">
        <w:t>2015, Shrimp from China 2013, PET Resin from China 2016, and Stainless Pressure Pipe from India 2016</w:t>
      </w:r>
      <w:r w:rsidR="007F3F98" w:rsidRPr="00244CCE">
        <w:t>)</w:t>
      </w:r>
      <w:r w:rsidRPr="00244CCE">
        <w:t xml:space="preserve"> where, according to the United</w:t>
      </w:r>
      <w:r w:rsidR="00945567" w:rsidRPr="00244CCE">
        <w:t> States</w:t>
      </w:r>
      <w:r w:rsidRPr="00244CCE">
        <w:t>, the USDOC did not apply the alleged OFA</w:t>
      </w:r>
      <w:r w:rsidR="007643D6" w:rsidRPr="00244CCE">
        <w:noBreakHyphen/>
      </w:r>
      <w:r w:rsidRPr="00244CCE">
        <w:t>AFA</w:t>
      </w:r>
      <w:r w:rsidR="00DA0183" w:rsidRPr="00244CCE">
        <w:t> </w:t>
      </w:r>
      <w:r w:rsidRPr="00244CCE">
        <w:t>measure</w:t>
      </w:r>
      <w:bookmarkEnd w:id="77"/>
      <w:r w:rsidRPr="00244CCE">
        <w:t>.</w:t>
      </w:r>
      <w:r w:rsidRPr="00F97844">
        <w:rPr>
          <w:vertAlign w:val="superscript"/>
        </w:rPr>
        <w:footnoteReference w:id="101"/>
      </w:r>
    </w:p>
    <w:p w14:paraId="271E5E2E" w14:textId="7C9814AB" w:rsidR="00DA0AF4" w:rsidRPr="00F97844" w:rsidRDefault="00DA0AF4" w:rsidP="00F73DD3">
      <w:pPr>
        <w:pStyle w:val="BodyText"/>
        <w:numPr>
          <w:ilvl w:val="6"/>
          <w:numId w:val="28"/>
        </w:numPr>
      </w:pPr>
      <w:r w:rsidRPr="00F97844">
        <w:t>Canada responds that the Panel correctly evaluated the evidence in finding that the alleged OFA</w:t>
      </w:r>
      <w:r w:rsidR="007643D6" w:rsidRPr="00244CCE">
        <w:noBreakHyphen/>
      </w:r>
      <w:r w:rsidRPr="00244CCE">
        <w:t>AFA</w:t>
      </w:r>
      <w:r w:rsidR="007B4980">
        <w:t> </w:t>
      </w:r>
      <w:r w:rsidRPr="00244CCE">
        <w:t>measure had been repeatedly applied and recalls the Panel's conclusion that it could not identify a single instance where the USDOC had not applied the alleged OFA</w:t>
      </w:r>
      <w:r w:rsidR="007643D6" w:rsidRPr="00244CCE">
        <w:noBreakHyphen/>
      </w:r>
      <w:r w:rsidRPr="00244CCE">
        <w:t>AFA</w:t>
      </w:r>
      <w:r w:rsidR="007B4980">
        <w:t> </w:t>
      </w:r>
      <w:r w:rsidRPr="00244CCE">
        <w:t>measure.</w:t>
      </w:r>
      <w:r w:rsidRPr="00F97844">
        <w:rPr>
          <w:vertAlign w:val="superscript"/>
        </w:rPr>
        <w:footnoteReference w:id="102"/>
      </w:r>
      <w:r w:rsidRPr="00F97844">
        <w:t xml:space="preserve"> Canada disagrees with the United</w:t>
      </w:r>
      <w:r w:rsidR="00945567" w:rsidRPr="00F97844">
        <w:t> States</w:t>
      </w:r>
      <w:r w:rsidRPr="00244CCE">
        <w:t>' characterization of certain instances as "deviations" from the alleged OFA</w:t>
      </w:r>
      <w:r w:rsidR="007643D6" w:rsidRPr="00244CCE">
        <w:noBreakHyphen/>
      </w:r>
      <w:r w:rsidRPr="00244CCE">
        <w:t>AFA</w:t>
      </w:r>
      <w:r w:rsidR="007B4980">
        <w:t> </w:t>
      </w:r>
      <w:r w:rsidRPr="00244CCE">
        <w:t>measure. Rather, Canada submits that these determinations also demonstrate the repeated application of the alleged OFA</w:t>
      </w:r>
      <w:r w:rsidR="007643D6" w:rsidRPr="00244CCE">
        <w:noBreakHyphen/>
      </w:r>
      <w:r w:rsidRPr="00244CCE">
        <w:t>AFA</w:t>
      </w:r>
      <w:r w:rsidR="007B4980">
        <w:t> </w:t>
      </w:r>
      <w:r w:rsidRPr="00244CCE">
        <w:t>measure whenever the relevant circumstances arise.</w:t>
      </w:r>
      <w:r w:rsidRPr="00F97844">
        <w:rPr>
          <w:vertAlign w:val="superscript"/>
        </w:rPr>
        <w:footnoteReference w:id="103"/>
      </w:r>
    </w:p>
    <w:p w14:paraId="530FD471" w14:textId="37D9F08E" w:rsidR="00DA0AF4" w:rsidRPr="00F97844" w:rsidRDefault="00DA0AF4" w:rsidP="00F73DD3">
      <w:pPr>
        <w:pStyle w:val="BodyText"/>
        <w:numPr>
          <w:ilvl w:val="6"/>
          <w:numId w:val="28"/>
        </w:numPr>
      </w:pPr>
      <w:r w:rsidRPr="00F97844">
        <w:t xml:space="preserve">We note, as observed by Canada, that the Panel found it was unable to identify any instance </w:t>
      </w:r>
      <w:r w:rsidRPr="00244CCE">
        <w:t>where the alleged OFA</w:t>
      </w:r>
      <w:r w:rsidR="007643D6" w:rsidRPr="00244CCE">
        <w:noBreakHyphen/>
      </w:r>
      <w:r w:rsidRPr="00244CCE">
        <w:t>AFA measure had not been applied by the USDOC, except as an "inadvertent error".</w:t>
      </w:r>
      <w:r w:rsidRPr="00F97844">
        <w:rPr>
          <w:vertAlign w:val="superscript"/>
        </w:rPr>
        <w:footnoteReference w:id="104"/>
      </w:r>
      <w:r w:rsidRPr="00F97844">
        <w:t xml:space="preserve"> The Panel considered that the United</w:t>
      </w:r>
      <w:r w:rsidR="00945567" w:rsidRPr="00F97844">
        <w:t> States</w:t>
      </w:r>
      <w:r w:rsidRPr="00244CCE">
        <w:t xml:space="preserve"> had not provided evidence of any instance after 2012 where the USDOC did not apply the alleged measure.</w:t>
      </w:r>
      <w:r w:rsidRPr="00F97844">
        <w:rPr>
          <w:vertAlign w:val="superscript"/>
        </w:rPr>
        <w:footnoteReference w:id="105"/>
      </w:r>
      <w:r w:rsidRPr="00F97844">
        <w:t xml:space="preserve"> </w:t>
      </w:r>
    </w:p>
    <w:p w14:paraId="2155C2B4" w14:textId="3AB3CE66" w:rsidR="00DA0AF4" w:rsidRPr="00F97844" w:rsidRDefault="00DA0AF4" w:rsidP="00F73DD3">
      <w:pPr>
        <w:pStyle w:val="BodyText"/>
        <w:numPr>
          <w:ilvl w:val="6"/>
          <w:numId w:val="28"/>
        </w:numPr>
      </w:pPr>
      <w:r w:rsidRPr="00244CCE">
        <w:t xml:space="preserve">In relation to </w:t>
      </w:r>
      <w:proofErr w:type="spellStart"/>
      <w:r w:rsidRPr="00244CCE">
        <w:rPr>
          <w:iCs/>
        </w:rPr>
        <w:t>Supercalendered</w:t>
      </w:r>
      <w:proofErr w:type="spellEnd"/>
      <w:r w:rsidRPr="00244CCE">
        <w:rPr>
          <w:iCs/>
        </w:rPr>
        <w:t xml:space="preserve"> Paper from Canada 2015, the United</w:t>
      </w:r>
      <w:r w:rsidR="00945567" w:rsidRPr="00244CCE">
        <w:rPr>
          <w:iCs/>
        </w:rPr>
        <w:t> States</w:t>
      </w:r>
      <w:r w:rsidRPr="00244CCE">
        <w:rPr>
          <w:iCs/>
        </w:rPr>
        <w:t xml:space="preserve"> argues that </w:t>
      </w:r>
      <w:r w:rsidRPr="00244CCE">
        <w:t>the USDOC did not use "facts available" for one of the accounts it had discovered during verification for Resolute.</w:t>
      </w:r>
      <w:r w:rsidRPr="00F97844">
        <w:rPr>
          <w:vertAlign w:val="superscript"/>
        </w:rPr>
        <w:footnoteReference w:id="106"/>
      </w:r>
      <w:r w:rsidRPr="00F97844">
        <w:t xml:space="preserve"> We understand the United</w:t>
      </w:r>
      <w:r w:rsidR="00945567" w:rsidRPr="00F97844">
        <w:t> States</w:t>
      </w:r>
      <w:r w:rsidRPr="00244CCE">
        <w:t xml:space="preserve"> to be referring to the unreported account that the USDOC discovered during verification for Resolute, which was empty for the relevant periods.</w:t>
      </w:r>
      <w:r w:rsidRPr="00F97844">
        <w:rPr>
          <w:vertAlign w:val="superscript"/>
        </w:rPr>
        <w:footnoteReference w:id="107"/>
      </w:r>
      <w:r w:rsidRPr="00F97844">
        <w:t xml:space="preserve"> </w:t>
      </w:r>
      <w:r w:rsidR="008D7C49" w:rsidRPr="00F97844">
        <w:t>As noted by</w:t>
      </w:r>
      <w:r w:rsidRPr="00244CCE">
        <w:t xml:space="preserve"> Canada</w:t>
      </w:r>
      <w:r w:rsidR="008D7C49" w:rsidRPr="00244CCE">
        <w:t>,</w:t>
      </w:r>
      <w:r w:rsidRPr="00244CCE">
        <w:t xml:space="preserve"> an account that is empty during the relevant periods would be unlikely to reflect </w:t>
      </w:r>
      <w:r w:rsidR="002908D6" w:rsidRPr="00244CCE">
        <w:t xml:space="preserve">"assistance" </w:t>
      </w:r>
      <w:r w:rsidRPr="00244CCE">
        <w:t xml:space="preserve">that </w:t>
      </w:r>
      <w:r w:rsidR="005F6975" w:rsidRPr="00244CCE">
        <w:t>would be reported in response to the OFA</w:t>
      </w:r>
      <w:r w:rsidR="00C77088" w:rsidRPr="00244CCE">
        <w:t> </w:t>
      </w:r>
      <w:r w:rsidRPr="00244CCE">
        <w:t>question.</w:t>
      </w:r>
      <w:r w:rsidRPr="00F97844">
        <w:rPr>
          <w:rStyle w:val="FootnoteReference"/>
        </w:rPr>
        <w:footnoteReference w:id="108"/>
      </w:r>
      <w:r w:rsidRPr="00F97844">
        <w:t xml:space="preserve"> Thus, we </w:t>
      </w:r>
      <w:r w:rsidR="005B46B4" w:rsidRPr="00F97844">
        <w:t xml:space="preserve">do not consider that this example undermines the Panel's conclusion that </w:t>
      </w:r>
      <w:proofErr w:type="spellStart"/>
      <w:r w:rsidR="005B46B4" w:rsidRPr="00F97844">
        <w:t>Supercalendered</w:t>
      </w:r>
      <w:proofErr w:type="spellEnd"/>
      <w:r w:rsidR="005B46B4" w:rsidRPr="00F97844">
        <w:t xml:space="preserve"> Paper from Canada 2015</w:t>
      </w:r>
      <w:r w:rsidR="00F15B59" w:rsidRPr="00244CCE">
        <w:t xml:space="preserve"> is an instance</w:t>
      </w:r>
      <w:r w:rsidR="005B46B4" w:rsidRPr="00244CCE">
        <w:t xml:space="preserve"> </w:t>
      </w:r>
      <w:r w:rsidR="00F15B59" w:rsidRPr="00244CCE">
        <w:t xml:space="preserve">of </w:t>
      </w:r>
      <w:r w:rsidRPr="00244CCE">
        <w:t>repeated application</w:t>
      </w:r>
      <w:r w:rsidR="005F6975" w:rsidRPr="00244CCE">
        <w:t xml:space="preserve"> of the alleged OFA</w:t>
      </w:r>
      <w:r w:rsidR="007643D6" w:rsidRPr="00244CCE">
        <w:noBreakHyphen/>
      </w:r>
      <w:r w:rsidR="005F6975" w:rsidRPr="00244CCE">
        <w:t>AFA</w:t>
      </w:r>
      <w:r w:rsidR="007B4980">
        <w:t> </w:t>
      </w:r>
      <w:r w:rsidR="005F6975" w:rsidRPr="00244CCE">
        <w:t>measure</w:t>
      </w:r>
      <w:r w:rsidRPr="00244CCE">
        <w:t>.</w:t>
      </w:r>
      <w:r w:rsidR="00686A6B" w:rsidRPr="00F97844">
        <w:rPr>
          <w:rStyle w:val="FootnoteReference"/>
        </w:rPr>
        <w:footnoteReference w:id="109"/>
      </w:r>
      <w:r w:rsidRPr="00F97844">
        <w:t xml:space="preserve"> </w:t>
      </w:r>
    </w:p>
    <w:p w14:paraId="721B2A16" w14:textId="26AC5BB8" w:rsidR="00DA0AF4" w:rsidRPr="00F97844" w:rsidRDefault="00DA0AF4" w:rsidP="00F73DD3">
      <w:pPr>
        <w:pStyle w:val="BodyText"/>
        <w:numPr>
          <w:ilvl w:val="6"/>
          <w:numId w:val="28"/>
        </w:numPr>
      </w:pPr>
      <w:r w:rsidRPr="00244CCE">
        <w:t>With respect to Shrimp from China 2013 and PET Resin from China 2016, the United</w:t>
      </w:r>
      <w:r w:rsidR="00945567" w:rsidRPr="00244CCE">
        <w:t> States</w:t>
      </w:r>
      <w:r w:rsidRPr="00244CCE">
        <w:t xml:space="preserve"> contends that the USDOC did not apply "facts available" to all previously unreported information that it had discovered during verification. The United</w:t>
      </w:r>
      <w:r w:rsidR="00945567" w:rsidRPr="00244CCE">
        <w:t> States</w:t>
      </w:r>
      <w:r w:rsidRPr="00244CCE">
        <w:t xml:space="preserve"> considers the Panel's reasoning to explain away the non</w:t>
      </w:r>
      <w:r w:rsidR="007643D6" w:rsidRPr="00244CCE">
        <w:noBreakHyphen/>
      </w:r>
      <w:r w:rsidRPr="00244CCE">
        <w:t>application of the alleged OFA</w:t>
      </w:r>
      <w:r w:rsidR="007643D6" w:rsidRPr="00244CCE">
        <w:noBreakHyphen/>
      </w:r>
      <w:r w:rsidRPr="00244CCE">
        <w:t>AFA</w:t>
      </w:r>
      <w:r w:rsidR="005F010A" w:rsidRPr="00244CCE">
        <w:t> </w:t>
      </w:r>
      <w:r w:rsidRPr="00244CCE">
        <w:t xml:space="preserve">measure by referring to the time at which the respondent companies presented information to the USDOC, namely at the outset of verification. </w:t>
      </w:r>
      <w:r w:rsidRPr="00244CCE">
        <w:lastRenderedPageBreak/>
        <w:t>To the United</w:t>
      </w:r>
      <w:r w:rsidR="00945567" w:rsidRPr="00244CCE">
        <w:t> States</w:t>
      </w:r>
      <w:r w:rsidRPr="00244CCE">
        <w:t>, however, the alleged measure does not include this temporal distinction and refers only to "verification".</w:t>
      </w:r>
      <w:r w:rsidRPr="00F97844">
        <w:rPr>
          <w:vertAlign w:val="superscript"/>
        </w:rPr>
        <w:footnoteReference w:id="110"/>
      </w:r>
    </w:p>
    <w:p w14:paraId="172A7EC3" w14:textId="6C065A36" w:rsidR="00DA0AF4" w:rsidRPr="00F97844" w:rsidRDefault="00DA0AF4" w:rsidP="00F73DD3">
      <w:pPr>
        <w:pStyle w:val="BodyText"/>
        <w:numPr>
          <w:ilvl w:val="6"/>
          <w:numId w:val="28"/>
        </w:numPr>
      </w:pPr>
      <w:r w:rsidRPr="00F97844">
        <w:t xml:space="preserve">We note, however, that the Panel found that in both of these examples, "the USDOC went on to discover information during the verification and applied AFA because the companies did not </w:t>
      </w:r>
      <w:r w:rsidRPr="00244CCE">
        <w:t>report the programmes in response to the [OFA]</w:t>
      </w:r>
      <w:r w:rsidR="005F010A" w:rsidRPr="00244CCE">
        <w:t> </w:t>
      </w:r>
      <w:r w:rsidRPr="00244CCE">
        <w:t>question</w:t>
      </w:r>
      <w:r w:rsidR="008D32BA" w:rsidRPr="00244CCE">
        <w:t>.</w:t>
      </w:r>
      <w:r w:rsidRPr="00244CCE">
        <w:t>"</w:t>
      </w:r>
      <w:r w:rsidRPr="00F97844">
        <w:rPr>
          <w:rStyle w:val="FootnoteReference"/>
        </w:rPr>
        <w:footnoteReference w:id="111"/>
      </w:r>
      <w:r w:rsidRPr="00F97844">
        <w:t xml:space="preserve"> We understand that the Panel distinguished between situations where a respondent presents information at verification concerning previously </w:t>
      </w:r>
      <w:r w:rsidRPr="00F97844">
        <w:rPr>
          <w:i/>
        </w:rPr>
        <w:t>reported</w:t>
      </w:r>
      <w:r w:rsidRPr="00244CCE">
        <w:t xml:space="preserve"> </w:t>
      </w:r>
      <w:r w:rsidR="004F2981" w:rsidRPr="00244CCE">
        <w:t xml:space="preserve">grants or </w:t>
      </w:r>
      <w:r w:rsidRPr="00244CCE">
        <w:t xml:space="preserve">programmes, and situations where a respondent presents information at verification concerning previously </w:t>
      </w:r>
      <w:r w:rsidRPr="00244CCE">
        <w:rPr>
          <w:i/>
        </w:rPr>
        <w:t>unreported</w:t>
      </w:r>
      <w:r w:rsidRPr="00244CCE">
        <w:t xml:space="preserve"> grants or programmes.</w:t>
      </w:r>
      <w:r w:rsidRPr="00F97844">
        <w:t xml:space="preserve"> Thus, we do not agree with the United</w:t>
      </w:r>
      <w:r w:rsidR="00945567" w:rsidRPr="00F97844">
        <w:t> States</w:t>
      </w:r>
      <w:r w:rsidRPr="00244CCE">
        <w:t xml:space="preserve"> that the distinction made by the Panel merely concerned timing, i.e.</w:t>
      </w:r>
      <w:r w:rsidR="0055406A" w:rsidRPr="00244CCE">
        <w:t> </w:t>
      </w:r>
      <w:r w:rsidRPr="00244CCE">
        <w:t>whether information was presented at the outset of verification or not.</w:t>
      </w:r>
      <w:r w:rsidRPr="00F97844">
        <w:rPr>
          <w:rStyle w:val="FootnoteReference"/>
        </w:rPr>
        <w:footnoteReference w:id="112"/>
      </w:r>
      <w:r w:rsidRPr="00F97844">
        <w:t xml:space="preserve"> </w:t>
      </w:r>
    </w:p>
    <w:p w14:paraId="544DC08D" w14:textId="295FFEBF" w:rsidR="00DA0AF4" w:rsidRPr="00244CCE" w:rsidRDefault="00DA0AF4" w:rsidP="00F73DD3">
      <w:pPr>
        <w:pStyle w:val="BodyText"/>
        <w:numPr>
          <w:ilvl w:val="6"/>
          <w:numId w:val="28"/>
        </w:numPr>
      </w:pPr>
      <w:r w:rsidRPr="00244CCE">
        <w:t>Indeed, in Shrimp from China 2013, the respondent companies reported three grants at verification that had not been referred to in their initial or supplemental questionnaire responses.</w:t>
      </w:r>
      <w:r w:rsidRPr="00F97844">
        <w:rPr>
          <w:rStyle w:val="FootnoteReference"/>
        </w:rPr>
        <w:footnoteReference w:id="113"/>
      </w:r>
      <w:r w:rsidRPr="00F97844">
        <w:t xml:space="preserve"> The USDOC noted that these grants had not been previously reported, and on that basis applied AFA to determine that they were countervailable subsidies.</w:t>
      </w:r>
      <w:r w:rsidRPr="00F97844">
        <w:rPr>
          <w:rStyle w:val="FootnoteReference"/>
        </w:rPr>
        <w:footnoteReference w:id="114"/>
      </w:r>
      <w:r w:rsidRPr="00F97844">
        <w:t xml:space="preserve"> Similarly, in PET Resin from China 2016, the respondent companies presented certain grants as minor corrections at verification.</w:t>
      </w:r>
      <w:r w:rsidRPr="00F97844">
        <w:rPr>
          <w:rStyle w:val="FootnoteReference"/>
        </w:rPr>
        <w:footnoteReference w:id="115"/>
      </w:r>
      <w:r w:rsidRPr="00F97844">
        <w:t xml:space="preserve"> We understand that the USDOC accepted, as minor corrections, information concerning grants that had been previously reported to the USDOC. By contrast, the USDOC rejected, as minor corrections, grants that had not been previous</w:t>
      </w:r>
      <w:r w:rsidRPr="00244CCE">
        <w:t>ly reported. This was because "whether a program was used or not by a company is not 'minor' in the view of the [USDOC]".</w:t>
      </w:r>
      <w:r w:rsidRPr="00F97844">
        <w:rPr>
          <w:rStyle w:val="FootnoteReference"/>
        </w:rPr>
        <w:footnoteReference w:id="116"/>
      </w:r>
      <w:r w:rsidRPr="00F97844">
        <w:t xml:space="preserve"> In relation to the previously unreported grants, the USDOC then applied AFA to determine that they were countervailable subsidies.</w:t>
      </w:r>
      <w:r w:rsidRPr="00F97844">
        <w:rPr>
          <w:rStyle w:val="FootnoteReference"/>
        </w:rPr>
        <w:footnoteReference w:id="117"/>
      </w:r>
      <w:r w:rsidRPr="00F97844">
        <w:t xml:space="preserve"> Thus, we consider that the Panel corr</w:t>
      </w:r>
      <w:r w:rsidRPr="00244CCE">
        <w:t>ectly concluded that both Shrimp from China 2013 and PET Resin from China 2016 concerned "situations where previously unreported information is discovered by the USDOC".</w:t>
      </w:r>
      <w:r w:rsidRPr="00F97844">
        <w:rPr>
          <w:rStyle w:val="FootnoteReference"/>
        </w:rPr>
        <w:footnoteReference w:id="118"/>
      </w:r>
      <w:r w:rsidRPr="00F97844">
        <w:t xml:space="preserve"> As the United</w:t>
      </w:r>
      <w:r w:rsidR="00945567" w:rsidRPr="00F97844">
        <w:t> States</w:t>
      </w:r>
      <w:r w:rsidRPr="00244CCE">
        <w:t xml:space="preserve"> has not demonstrated otherwise, we see no error in the Panel's finding that these proceedings demonstrate repeated application of the alleged OFA</w:t>
      </w:r>
      <w:r w:rsidR="007643D6" w:rsidRPr="00244CCE">
        <w:noBreakHyphen/>
      </w:r>
      <w:r w:rsidRPr="00244CCE">
        <w:t>AFA</w:t>
      </w:r>
      <w:r w:rsidR="007B4980">
        <w:t> </w:t>
      </w:r>
      <w:r w:rsidRPr="00244CCE">
        <w:t xml:space="preserve">measure. </w:t>
      </w:r>
    </w:p>
    <w:p w14:paraId="45E0C687" w14:textId="0AA4247E" w:rsidR="00DA0AF4" w:rsidRPr="00F97844" w:rsidRDefault="00DA0AF4" w:rsidP="00F73DD3">
      <w:pPr>
        <w:pStyle w:val="BodyText"/>
        <w:numPr>
          <w:ilvl w:val="6"/>
          <w:numId w:val="28"/>
        </w:numPr>
      </w:pPr>
      <w:r w:rsidRPr="00244CCE">
        <w:t xml:space="preserve">Turning to </w:t>
      </w:r>
      <w:r w:rsidRPr="00244CCE">
        <w:rPr>
          <w:iCs/>
        </w:rPr>
        <w:t>Stainless Pressure Pipe from India 2016</w:t>
      </w:r>
      <w:r w:rsidRPr="00244CCE">
        <w:t>, the United</w:t>
      </w:r>
      <w:r w:rsidR="00945567" w:rsidRPr="00244CCE">
        <w:t> States</w:t>
      </w:r>
      <w:r w:rsidRPr="00244CCE">
        <w:t xml:space="preserve"> contends that the USDOC did not apply the alleged measure. The United</w:t>
      </w:r>
      <w:r w:rsidR="00945567" w:rsidRPr="00244CCE">
        <w:t> States</w:t>
      </w:r>
      <w:r w:rsidRPr="00244CCE">
        <w:t xml:space="preserve"> notes that the Panel emphasized that the USDOC characterized its conduct in that proceeding as an "inadvertent error". To the United</w:t>
      </w:r>
      <w:r w:rsidR="00945567" w:rsidRPr="00244CCE">
        <w:t> States</w:t>
      </w:r>
      <w:r w:rsidRPr="00244CCE">
        <w:t>, however, the reason why the USDOC did not apply the alleged measure is "irrelevant".</w:t>
      </w:r>
      <w:r w:rsidRPr="00F97844">
        <w:rPr>
          <w:vertAlign w:val="superscript"/>
        </w:rPr>
        <w:footnoteReference w:id="119"/>
      </w:r>
      <w:r w:rsidRPr="00F97844">
        <w:t xml:space="preserve"> </w:t>
      </w:r>
      <w:bookmarkStart w:id="79" w:name="_Hlk25248238"/>
    </w:p>
    <w:p w14:paraId="5B2CF2B2" w14:textId="4013313D" w:rsidR="00DA0AF4" w:rsidRPr="00244CCE" w:rsidRDefault="00DA0AF4" w:rsidP="00F73DD3">
      <w:pPr>
        <w:pStyle w:val="BodyText"/>
        <w:numPr>
          <w:ilvl w:val="6"/>
          <w:numId w:val="28"/>
        </w:numPr>
      </w:pPr>
      <w:r w:rsidRPr="00244CCE">
        <w:t>We note, however, that the Panel</w:t>
      </w:r>
      <w:r w:rsidR="00062DDD" w:rsidRPr="00244CCE">
        <w:t> Report</w:t>
      </w:r>
      <w:r w:rsidRPr="00244CCE">
        <w:t xml:space="preserve"> refers to excerpts indicating that the alleged OFA</w:t>
      </w:r>
      <w:r w:rsidR="007643D6" w:rsidRPr="00244CCE">
        <w:noBreakHyphen/>
      </w:r>
      <w:r w:rsidRPr="00244CCE">
        <w:t>AFA</w:t>
      </w:r>
      <w:r w:rsidR="00CE0593" w:rsidRPr="00244CCE">
        <w:t> </w:t>
      </w:r>
      <w:r w:rsidRPr="00244CCE">
        <w:t xml:space="preserve">measure was eventually applied in </w:t>
      </w:r>
      <w:r w:rsidRPr="00244CCE">
        <w:rPr>
          <w:iCs/>
        </w:rPr>
        <w:t>Stainless Pressure Pipe from India 2016</w:t>
      </w:r>
      <w:r w:rsidRPr="00244CCE">
        <w:t xml:space="preserve"> in relation to information discovered at verification.</w:t>
      </w:r>
      <w:r w:rsidRPr="00F97844">
        <w:rPr>
          <w:rStyle w:val="FootnoteReference"/>
        </w:rPr>
        <w:footnoteReference w:id="120"/>
      </w:r>
      <w:r w:rsidRPr="00F97844">
        <w:t xml:space="preserve"> </w:t>
      </w:r>
      <w:bookmarkEnd w:id="79"/>
      <w:r w:rsidRPr="00F97844">
        <w:t>In addition, contrary to the United</w:t>
      </w:r>
      <w:r w:rsidR="00945567" w:rsidRPr="00F97844">
        <w:t> </w:t>
      </w:r>
      <w:r w:rsidR="00945567" w:rsidRPr="00244CCE">
        <w:t>States</w:t>
      </w:r>
      <w:r w:rsidRPr="00244CCE">
        <w:t>' argument, we consider that the reason for an apparent break in the application of the alleged OFA</w:t>
      </w:r>
      <w:r w:rsidR="007643D6" w:rsidRPr="00244CCE">
        <w:noBreakHyphen/>
      </w:r>
      <w:r w:rsidRPr="00244CCE">
        <w:t>AFA</w:t>
      </w:r>
      <w:r w:rsidR="005F010A" w:rsidRPr="00244CCE">
        <w:t> </w:t>
      </w:r>
      <w:r w:rsidRPr="00244CCE">
        <w:t>measure is relevant to the analysis at issue. We agree with the Panel that the USDOC's characterization of the non</w:t>
      </w:r>
      <w:r w:rsidR="007643D6" w:rsidRPr="00244CCE">
        <w:noBreakHyphen/>
      </w:r>
      <w:r w:rsidRPr="00244CCE">
        <w:t>application as an "inadvertent error" suggests that, had the USDOC not erred, it would have applied the alleged OFA</w:t>
      </w:r>
      <w:r w:rsidR="007643D6" w:rsidRPr="00244CCE">
        <w:noBreakHyphen/>
      </w:r>
      <w:r w:rsidRPr="00244CCE">
        <w:t>AFA</w:t>
      </w:r>
      <w:r w:rsidR="005F010A" w:rsidRPr="00244CCE">
        <w:t> </w:t>
      </w:r>
      <w:r w:rsidRPr="00244CCE">
        <w:t>measure, as it ultimately did in this example.</w:t>
      </w:r>
      <w:r w:rsidRPr="00F97844">
        <w:rPr>
          <w:rStyle w:val="FootnoteReference"/>
        </w:rPr>
        <w:footnoteReference w:id="121"/>
      </w:r>
      <w:r w:rsidRPr="00F97844">
        <w:t xml:space="preserve"> Thus, we consider that the Panel was correct to conclude that </w:t>
      </w:r>
      <w:r w:rsidRPr="00F97844">
        <w:rPr>
          <w:iCs/>
        </w:rPr>
        <w:t>Stainless Pressure Pipe from India 2016</w:t>
      </w:r>
      <w:r w:rsidRPr="00244CCE">
        <w:rPr>
          <w:i/>
          <w:iCs/>
        </w:rPr>
        <w:t xml:space="preserve"> </w:t>
      </w:r>
      <w:r w:rsidRPr="00244CCE">
        <w:t>does not represent a break in the application of the alleged OFA</w:t>
      </w:r>
      <w:r w:rsidR="007643D6" w:rsidRPr="00244CCE">
        <w:noBreakHyphen/>
      </w:r>
      <w:r w:rsidRPr="00244CCE">
        <w:t>AFA</w:t>
      </w:r>
      <w:r w:rsidR="005F010A" w:rsidRPr="00244CCE">
        <w:t> </w:t>
      </w:r>
      <w:r w:rsidRPr="00244CCE">
        <w:t>measure; rather</w:t>
      </w:r>
      <w:r w:rsidR="008D32BA" w:rsidRPr="00244CCE">
        <w:t>,</w:t>
      </w:r>
      <w:r w:rsidRPr="00244CCE">
        <w:t xml:space="preserve"> it provides evidentiary support for the repeated application of the alleged measure.</w:t>
      </w:r>
    </w:p>
    <w:p w14:paraId="666785B5" w14:textId="3F098AC1" w:rsidR="00DA0AF4" w:rsidRPr="00244CCE" w:rsidRDefault="00DA0AF4" w:rsidP="00F73DD3">
      <w:pPr>
        <w:pStyle w:val="BodyText"/>
        <w:numPr>
          <w:ilvl w:val="6"/>
          <w:numId w:val="28"/>
        </w:numPr>
      </w:pPr>
      <w:r w:rsidRPr="00244CCE">
        <w:lastRenderedPageBreak/>
        <w:t>We therefore consider that the Panel was correct to find that the alleged OFA</w:t>
      </w:r>
      <w:r w:rsidR="007643D6" w:rsidRPr="00244CCE">
        <w:noBreakHyphen/>
      </w:r>
      <w:r w:rsidRPr="00244CCE">
        <w:t>AFA</w:t>
      </w:r>
      <w:r w:rsidR="005F010A" w:rsidRPr="00244CCE">
        <w:t> </w:t>
      </w:r>
      <w:r w:rsidRPr="00244CCE">
        <w:t xml:space="preserve">measure was applied in each of the examples relied on by </w:t>
      </w:r>
      <w:r w:rsidR="005F6975" w:rsidRPr="00244CCE">
        <w:t>Canada, and that no instances of non</w:t>
      </w:r>
      <w:r w:rsidR="007643D6" w:rsidRPr="00244CCE">
        <w:noBreakHyphen/>
      </w:r>
      <w:r w:rsidR="005F6975" w:rsidRPr="00244CCE">
        <w:t>application were identified by the United</w:t>
      </w:r>
      <w:r w:rsidR="005F010A" w:rsidRPr="00244CCE">
        <w:t> </w:t>
      </w:r>
      <w:r w:rsidR="005F6975" w:rsidRPr="00244CCE">
        <w:t>States</w:t>
      </w:r>
      <w:r w:rsidRPr="00244CCE">
        <w:t>. We agree with the Panel that these examples establish that the alleged OFA</w:t>
      </w:r>
      <w:r w:rsidR="007643D6" w:rsidRPr="00244CCE">
        <w:noBreakHyphen/>
      </w:r>
      <w:r w:rsidRPr="00244CCE">
        <w:t>AFA</w:t>
      </w:r>
      <w:r w:rsidR="005F010A" w:rsidRPr="00244CCE">
        <w:t> </w:t>
      </w:r>
      <w:r w:rsidRPr="00244CCE">
        <w:t>measure has been repeatedly applied.</w:t>
      </w:r>
    </w:p>
    <w:p w14:paraId="2C8151F0" w14:textId="2E9F05CE" w:rsidR="00DA0AF4" w:rsidRPr="00244CCE" w:rsidRDefault="00DA0AF4" w:rsidP="00F73DD3">
      <w:pPr>
        <w:pStyle w:val="Heading4"/>
        <w:numPr>
          <w:ilvl w:val="3"/>
          <w:numId w:val="28"/>
        </w:numPr>
        <w:ind w:left="0"/>
      </w:pPr>
      <w:bookmarkStart w:id="80" w:name="_Toc30412736"/>
      <w:r w:rsidRPr="00244CCE">
        <w:t>Likelihood of continued application of the alleged OFA</w:t>
      </w:r>
      <w:r w:rsidR="007643D6" w:rsidRPr="00244CCE">
        <w:noBreakHyphen/>
      </w:r>
      <w:r w:rsidRPr="00244CCE">
        <w:t>AFA</w:t>
      </w:r>
      <w:r w:rsidR="007B4980">
        <w:t> </w:t>
      </w:r>
      <w:r w:rsidRPr="00244CCE">
        <w:t>measure</w:t>
      </w:r>
      <w:bookmarkEnd w:id="80"/>
    </w:p>
    <w:p w14:paraId="78312E37" w14:textId="797799FD" w:rsidR="00DA0AF4" w:rsidRPr="00F97844" w:rsidRDefault="00DA0AF4" w:rsidP="00F73DD3">
      <w:pPr>
        <w:pStyle w:val="BodyText"/>
        <w:numPr>
          <w:ilvl w:val="6"/>
          <w:numId w:val="28"/>
        </w:numPr>
      </w:pPr>
      <w:r w:rsidRPr="00244CCE">
        <w:t>The United</w:t>
      </w:r>
      <w:r w:rsidR="00945567" w:rsidRPr="00244CCE">
        <w:t> States</w:t>
      </w:r>
      <w:r w:rsidRPr="00244CCE">
        <w:t xml:space="preserve"> also claims that the Panel erred in finding that Canada had established that the alleged OFA</w:t>
      </w:r>
      <w:r w:rsidR="007643D6" w:rsidRPr="00244CCE">
        <w:noBreakHyphen/>
      </w:r>
      <w:r w:rsidRPr="00244CCE">
        <w:t>AFA</w:t>
      </w:r>
      <w:r w:rsidR="007B4980">
        <w:t> </w:t>
      </w:r>
      <w:r w:rsidRPr="00244CCE">
        <w:t>measure was likely to continue to be applied in the future.</w:t>
      </w:r>
      <w:r w:rsidRPr="00F97844">
        <w:rPr>
          <w:vertAlign w:val="superscript"/>
        </w:rPr>
        <w:footnoteReference w:id="122"/>
      </w:r>
      <w:r w:rsidRPr="00F97844">
        <w:t xml:space="preserve"> The United States contends that, unless the complainant establishes that "a Member has adopted a </w:t>
      </w:r>
      <w:r w:rsidRPr="00244CCE">
        <w:t>decision to follow [particular] conduct in the future, vague statements of what a Member 'does' do not establish the existence of a measure"</w:t>
      </w:r>
      <w:r w:rsidR="00113FC6" w:rsidRPr="00244CCE">
        <w:t>.</w:t>
      </w:r>
      <w:r w:rsidRPr="00F97844">
        <w:rPr>
          <w:vertAlign w:val="superscript"/>
        </w:rPr>
        <w:footnoteReference w:id="123"/>
      </w:r>
      <w:r w:rsidRPr="00F97844">
        <w:t xml:space="preserve"> The United</w:t>
      </w:r>
      <w:r w:rsidR="00945567" w:rsidRPr="00F97844">
        <w:t> States</w:t>
      </w:r>
      <w:r w:rsidRPr="00244CCE">
        <w:t xml:space="preserve"> refers to its arguments on repeated application and submits that there is "no discernible basis" in the Panel's findings to support the conclusion that the alleged ongoing conduct is likely to continue.</w:t>
      </w:r>
      <w:r w:rsidRPr="00F97844">
        <w:rPr>
          <w:vertAlign w:val="superscript"/>
        </w:rPr>
        <w:footnoteReference w:id="124"/>
      </w:r>
      <w:r w:rsidRPr="00F97844">
        <w:t xml:space="preserve"> Finally, the United</w:t>
      </w:r>
      <w:r w:rsidR="00945567" w:rsidRPr="00F97844">
        <w:t> States</w:t>
      </w:r>
      <w:r w:rsidRPr="00244CCE">
        <w:t xml:space="preserve"> considers that the Panel's reference to "practice" does not demonstrate likelihood of continu</w:t>
      </w:r>
      <w:r w:rsidR="00113FC6" w:rsidRPr="00244CCE">
        <w:t>ed applic</w:t>
      </w:r>
      <w:r w:rsidRPr="00244CCE">
        <w:t xml:space="preserve">ation and that the Panel's findings were not premised on </w:t>
      </w:r>
      <w:r w:rsidR="00113FC6" w:rsidRPr="00244CCE">
        <w:t xml:space="preserve">any </w:t>
      </w:r>
      <w:r w:rsidRPr="00244CCE">
        <w:t>such conclusion.</w:t>
      </w:r>
      <w:r w:rsidRPr="00F97844">
        <w:rPr>
          <w:vertAlign w:val="superscript"/>
        </w:rPr>
        <w:footnoteReference w:id="125"/>
      </w:r>
    </w:p>
    <w:p w14:paraId="11C6DF81" w14:textId="42DB4942" w:rsidR="00DA0AF4" w:rsidRPr="00F97844" w:rsidRDefault="00DA0AF4" w:rsidP="00F73DD3">
      <w:pPr>
        <w:pStyle w:val="BodyText"/>
        <w:numPr>
          <w:ilvl w:val="6"/>
          <w:numId w:val="28"/>
        </w:numPr>
      </w:pPr>
      <w:r w:rsidRPr="00F97844">
        <w:t>Canada responds that the legal standard for likelihood of continued application is not one of "certainty".</w:t>
      </w:r>
      <w:r w:rsidRPr="00F97844">
        <w:rPr>
          <w:rStyle w:val="FootnoteReference"/>
        </w:rPr>
        <w:footnoteReference w:id="126"/>
      </w:r>
      <w:r w:rsidRPr="00F97844">
        <w:t xml:space="preserve"> Canada recalls that the USDOC applied the alleged OFA</w:t>
      </w:r>
      <w:r w:rsidR="007643D6" w:rsidRPr="00F97844">
        <w:noBreakHyphen/>
      </w:r>
      <w:r w:rsidRPr="00244CCE">
        <w:t>AFA</w:t>
      </w:r>
      <w:r w:rsidR="007B4980">
        <w:t> </w:t>
      </w:r>
      <w:r w:rsidRPr="00244CCE">
        <w:t xml:space="preserve">measure whenever it was confronted with relevant factual circumstances. </w:t>
      </w:r>
      <w:bookmarkStart w:id="81" w:name="_Hlk20864181"/>
      <w:r w:rsidRPr="00244CCE">
        <w:t>Canada considers that the Panel correctly concluded that the alleged OFA</w:t>
      </w:r>
      <w:r w:rsidR="007643D6" w:rsidRPr="00244CCE">
        <w:noBreakHyphen/>
      </w:r>
      <w:r w:rsidRPr="00244CCE">
        <w:t>AFA</w:t>
      </w:r>
      <w:r w:rsidR="007B4980">
        <w:t> </w:t>
      </w:r>
      <w:r w:rsidRPr="00244CCE">
        <w:t xml:space="preserve">measure is likely to continue to be applied, given its repeated application, the consistent manner in which the USDOC refers to the alleged measure as a "practice", </w:t>
      </w:r>
      <w:r w:rsidR="00AD71BB" w:rsidRPr="00244CCE">
        <w:t xml:space="preserve">the </w:t>
      </w:r>
      <w:r w:rsidRPr="00244CCE">
        <w:t xml:space="preserve">frequent reference to previous applications of the alleged measure in USDOC determinations, and the USDOC's </w:t>
      </w:r>
      <w:r w:rsidR="00706FBA" w:rsidRPr="00244CCE">
        <w:t>description</w:t>
      </w:r>
      <w:r w:rsidR="006516E8" w:rsidRPr="00244CCE">
        <w:t xml:space="preserve"> </w:t>
      </w:r>
      <w:r w:rsidRPr="00244CCE">
        <w:t>of a departure from the alleged measure as an "error".</w:t>
      </w:r>
      <w:r w:rsidRPr="00F97844">
        <w:rPr>
          <w:rStyle w:val="FootnoteReference"/>
        </w:rPr>
        <w:footnoteReference w:id="127"/>
      </w:r>
      <w:bookmarkEnd w:id="81"/>
    </w:p>
    <w:p w14:paraId="15792485" w14:textId="1B0E91AD" w:rsidR="00DA0AF4" w:rsidRPr="00F97844" w:rsidRDefault="00DA0AF4" w:rsidP="00F73DD3">
      <w:pPr>
        <w:pStyle w:val="BodyText"/>
        <w:numPr>
          <w:ilvl w:val="6"/>
          <w:numId w:val="28"/>
        </w:numPr>
      </w:pPr>
      <w:bookmarkStart w:id="82" w:name="_Hlk25258625"/>
      <w:r w:rsidRPr="00F97844">
        <w:t>We disagree wit</w:t>
      </w:r>
      <w:r w:rsidRPr="00244CCE">
        <w:t>h the United</w:t>
      </w:r>
      <w:r w:rsidR="00945567" w:rsidRPr="00244CCE">
        <w:t> States</w:t>
      </w:r>
      <w:r w:rsidRPr="00244CCE">
        <w:t>' suggestion that a complainant is required to establish that a Member has "adopted" a decision to follow particular conduct in the future.</w:t>
      </w:r>
      <w:r w:rsidRPr="00F97844">
        <w:rPr>
          <w:vertAlign w:val="superscript"/>
        </w:rPr>
        <w:footnoteReference w:id="128"/>
      </w:r>
      <w:r w:rsidRPr="00F97844">
        <w:t xml:space="preserve"> While such an adopted decision may suffice, in certain cases, to show that particular conduct is likely to continue in the futur</w:t>
      </w:r>
      <w:r w:rsidRPr="00244CCE">
        <w:t xml:space="preserve">e, a complaining Member need not rely on a formal </w:t>
      </w:r>
      <w:r w:rsidR="00680DC9" w:rsidRPr="00244CCE">
        <w:t xml:space="preserve">decision </w:t>
      </w:r>
      <w:r w:rsidRPr="00244CCE">
        <w:t xml:space="preserve">by the responding Member to demonstrate the existence of "ongoing conduct". Rather, we consider that likelihood of continued application may be demonstrated through </w:t>
      </w:r>
      <w:proofErr w:type="gramStart"/>
      <w:r w:rsidRPr="00244CCE">
        <w:t>a number of</w:t>
      </w:r>
      <w:proofErr w:type="gramEnd"/>
      <w:r w:rsidRPr="00244CCE">
        <w:t xml:space="preserve"> factors. In this respect, we agree with the Panel that Canada was not required to prove "certainty" of future application of the alleged OFA</w:t>
      </w:r>
      <w:r w:rsidR="007643D6" w:rsidRPr="00244CCE">
        <w:noBreakHyphen/>
      </w:r>
      <w:r w:rsidRPr="00244CCE">
        <w:t>AFA</w:t>
      </w:r>
      <w:r w:rsidR="00983D79" w:rsidRPr="00244CCE">
        <w:t> </w:t>
      </w:r>
      <w:r w:rsidRPr="00244CCE">
        <w:t>measure.</w:t>
      </w:r>
      <w:r w:rsidRPr="00F97844">
        <w:rPr>
          <w:rStyle w:val="FootnoteReference"/>
        </w:rPr>
        <w:footnoteReference w:id="129"/>
      </w:r>
      <w:bookmarkEnd w:id="82"/>
    </w:p>
    <w:p w14:paraId="637AAED2" w14:textId="187D5BE0" w:rsidR="00DA0AF4" w:rsidRPr="00F97844" w:rsidRDefault="009962BA" w:rsidP="00F73DD3">
      <w:pPr>
        <w:pStyle w:val="BodyText"/>
        <w:numPr>
          <w:ilvl w:val="6"/>
          <w:numId w:val="28"/>
        </w:numPr>
      </w:pPr>
      <w:r w:rsidRPr="00F97844">
        <w:t>W</w:t>
      </w:r>
      <w:r w:rsidR="00DA0AF4" w:rsidRPr="00244CCE">
        <w:t xml:space="preserve">e </w:t>
      </w:r>
      <w:r w:rsidR="0084140E" w:rsidRPr="00244CCE">
        <w:t xml:space="preserve">recall </w:t>
      </w:r>
      <w:r w:rsidR="00DA0AF4" w:rsidRPr="00244CCE">
        <w:t>that the Panel found that the alleged OFA</w:t>
      </w:r>
      <w:r w:rsidR="007643D6" w:rsidRPr="00244CCE">
        <w:noBreakHyphen/>
      </w:r>
      <w:r w:rsidR="00DA0AF4" w:rsidRPr="00244CCE">
        <w:t>AFA</w:t>
      </w:r>
      <w:r w:rsidR="00CE0593" w:rsidRPr="00244CCE">
        <w:t> </w:t>
      </w:r>
      <w:r w:rsidR="00DA0AF4" w:rsidRPr="00244CCE">
        <w:t>measure amounted to conduct that was likely to continue on the basis of the following factors</w:t>
      </w:r>
      <w:r w:rsidR="0084140E" w:rsidRPr="00244CCE">
        <w:t xml:space="preserve"> present in the USDOC's </w:t>
      </w:r>
      <w:r w:rsidR="00D17145" w:rsidRPr="00244CCE">
        <w:t>post</w:t>
      </w:r>
      <w:r w:rsidR="007643D6" w:rsidRPr="00244CCE">
        <w:noBreakHyphen/>
      </w:r>
      <w:r w:rsidR="00D17145" w:rsidRPr="00244CCE">
        <w:t xml:space="preserve">2012 </w:t>
      </w:r>
      <w:r w:rsidR="0084140E" w:rsidRPr="00244CCE">
        <w:t>determination</w:t>
      </w:r>
      <w:r w:rsidR="00D17145" w:rsidRPr="00244CCE">
        <w:t>s</w:t>
      </w:r>
      <w:r w:rsidR="00DA0AF4" w:rsidRPr="00244CCE">
        <w:t>: (</w:t>
      </w:r>
      <w:proofErr w:type="spellStart"/>
      <w:r w:rsidR="00DA0AF4" w:rsidRPr="00244CCE">
        <w:t>i</w:t>
      </w:r>
      <w:proofErr w:type="spellEnd"/>
      <w:r w:rsidR="00DA0AF4" w:rsidRPr="00244CCE">
        <w:t>) the consistent manner in which the USDOC referred to the alleged OFA</w:t>
      </w:r>
      <w:r w:rsidR="00235BF6" w:rsidRPr="00244CCE">
        <w:noBreakHyphen/>
      </w:r>
      <w:r w:rsidR="00DA0AF4" w:rsidRPr="00244CCE">
        <w:t>AFA</w:t>
      </w:r>
      <w:r w:rsidR="00CE0593" w:rsidRPr="00244CCE">
        <w:t> </w:t>
      </w:r>
      <w:r w:rsidR="00DA0AF4" w:rsidRPr="00244CCE">
        <w:t>measure or previous applications of</w:t>
      </w:r>
      <w:r w:rsidR="00CF2FE2" w:rsidRPr="00244CCE">
        <w:t xml:space="preserve"> </w:t>
      </w:r>
      <w:r w:rsidR="00DA0AF4" w:rsidRPr="00244CCE">
        <w:t>the alleged measure</w:t>
      </w:r>
      <w:r w:rsidR="00DA0AF4" w:rsidRPr="00F97844">
        <w:rPr>
          <w:vertAlign w:val="superscript"/>
        </w:rPr>
        <w:footnoteReference w:id="130"/>
      </w:r>
      <w:r w:rsidR="00DA0AF4" w:rsidRPr="00F97844">
        <w:t xml:space="preserve">; (ii) the USDOC's own </w:t>
      </w:r>
      <w:r w:rsidR="00DA0AF4" w:rsidRPr="00F97844">
        <w:lastRenderedPageBreak/>
        <w:t>reference to the all</w:t>
      </w:r>
      <w:r w:rsidR="00DA0AF4" w:rsidRPr="00244CCE">
        <w:t>eged measure as its "practice"</w:t>
      </w:r>
      <w:r w:rsidR="00DA0AF4" w:rsidRPr="00F97844">
        <w:rPr>
          <w:vertAlign w:val="superscript"/>
        </w:rPr>
        <w:footnoteReference w:id="131"/>
      </w:r>
      <w:r w:rsidR="00DA0AF4" w:rsidRPr="00F97844">
        <w:t>; and (iii) the USDOC's characterization of a departure from the alleged measure as an "inadvertent error".</w:t>
      </w:r>
      <w:r w:rsidR="00DA0AF4" w:rsidRPr="00F97844">
        <w:rPr>
          <w:vertAlign w:val="superscript"/>
        </w:rPr>
        <w:footnoteReference w:id="132"/>
      </w:r>
    </w:p>
    <w:p w14:paraId="7491AA71" w14:textId="34829790" w:rsidR="00DA0AF4" w:rsidRPr="00F97844" w:rsidRDefault="00DA0AF4" w:rsidP="00F73DD3">
      <w:pPr>
        <w:pStyle w:val="BodyText"/>
        <w:numPr>
          <w:ilvl w:val="6"/>
          <w:numId w:val="28"/>
        </w:numPr>
      </w:pPr>
      <w:r w:rsidRPr="00F97844">
        <w:t xml:space="preserve">In examining these factors, the Panel relied on evidence summarized in </w:t>
      </w:r>
      <w:r w:rsidR="00D5737C" w:rsidRPr="00244CCE">
        <w:t>t</w:t>
      </w:r>
      <w:r w:rsidRPr="00244CCE">
        <w:t>ables</w:t>
      </w:r>
      <w:r w:rsidR="00CE2ACE" w:rsidRPr="00244CCE">
        <w:t> </w:t>
      </w:r>
      <w:r w:rsidRPr="00244CCE">
        <w:t>3 and 4 of the Panel</w:t>
      </w:r>
      <w:r w:rsidR="00062DDD" w:rsidRPr="00244CCE">
        <w:t> Report</w:t>
      </w:r>
      <w:r w:rsidR="009962BA" w:rsidRPr="00244CCE">
        <w:t xml:space="preserve"> concerning </w:t>
      </w:r>
      <w:r w:rsidR="00ED4E12" w:rsidRPr="00244CCE">
        <w:t xml:space="preserve">the </w:t>
      </w:r>
      <w:r w:rsidR="009962BA" w:rsidRPr="00244CCE">
        <w:t>USDOC's post</w:t>
      </w:r>
      <w:r w:rsidR="007643D6" w:rsidRPr="00244CCE">
        <w:noBreakHyphen/>
      </w:r>
      <w:r w:rsidR="009962BA" w:rsidRPr="00244CCE">
        <w:t>2012 determinations</w:t>
      </w:r>
      <w:r w:rsidRPr="00244CCE">
        <w:t xml:space="preserve">. In relation to </w:t>
      </w:r>
      <w:r w:rsidRPr="00244CCE">
        <w:rPr>
          <w:iCs/>
        </w:rPr>
        <w:t>Shrimp from China 2013</w:t>
      </w:r>
      <w:r w:rsidRPr="00244CCE">
        <w:t>, the excerpt relied on by the Panel notes that, while the USDOC's practice concerning programmes discovered at verification has varied in past cases, the facts of that case merit</w:t>
      </w:r>
      <w:r w:rsidR="002A7B73" w:rsidRPr="00244CCE">
        <w:t>ed</w:t>
      </w:r>
      <w:r w:rsidRPr="00244CCE">
        <w:t xml:space="preserve"> the application of AFA.</w:t>
      </w:r>
      <w:r w:rsidRPr="00F97844">
        <w:rPr>
          <w:vertAlign w:val="superscript"/>
        </w:rPr>
        <w:footnoteReference w:id="133"/>
      </w:r>
      <w:r w:rsidRPr="00F97844">
        <w:t xml:space="preserve"> </w:t>
      </w:r>
      <w:r w:rsidRPr="00F97844">
        <w:rPr>
          <w:iCs/>
        </w:rPr>
        <w:t>The excerpts relied on by the Panel in Solar Cells from China 2014</w:t>
      </w:r>
      <w:r w:rsidRPr="00244CCE">
        <w:t xml:space="preserve">, </w:t>
      </w:r>
      <w:r w:rsidR="0084140E" w:rsidRPr="00244CCE">
        <w:t xml:space="preserve">Solar Cells from China 2015, and </w:t>
      </w:r>
      <w:proofErr w:type="spellStart"/>
      <w:r w:rsidRPr="00244CCE">
        <w:rPr>
          <w:iCs/>
        </w:rPr>
        <w:t>Supercalendered</w:t>
      </w:r>
      <w:proofErr w:type="spellEnd"/>
      <w:r w:rsidRPr="00244CCE">
        <w:rPr>
          <w:iCs/>
        </w:rPr>
        <w:t xml:space="preserve"> Paper from Canada 2015</w:t>
      </w:r>
      <w:r w:rsidR="0084140E" w:rsidRPr="00244CCE">
        <w:rPr>
          <w:iCs/>
        </w:rPr>
        <w:t xml:space="preserve"> repeat </w:t>
      </w:r>
      <w:r w:rsidR="009962BA" w:rsidRPr="00244CCE">
        <w:rPr>
          <w:iCs/>
        </w:rPr>
        <w:t xml:space="preserve">the same </w:t>
      </w:r>
      <w:r w:rsidR="0084140E" w:rsidRPr="00244CCE">
        <w:rPr>
          <w:iCs/>
        </w:rPr>
        <w:t>statement</w:t>
      </w:r>
      <w:r w:rsidR="00BD4A2C" w:rsidRPr="00244CCE">
        <w:rPr>
          <w:iCs/>
        </w:rPr>
        <w:t>.</w:t>
      </w:r>
      <w:r w:rsidR="00754E0D" w:rsidRPr="00F97844">
        <w:rPr>
          <w:rStyle w:val="FootnoteReference"/>
          <w:iCs/>
        </w:rPr>
        <w:footnoteReference w:id="134"/>
      </w:r>
      <w:r w:rsidR="00BD4A2C" w:rsidRPr="00F97844">
        <w:rPr>
          <w:iCs/>
        </w:rPr>
        <w:t xml:space="preserve"> Moreover, </w:t>
      </w:r>
      <w:r w:rsidR="0084140E" w:rsidRPr="00F97844">
        <w:rPr>
          <w:iCs/>
        </w:rPr>
        <w:t>Solar Cells from Chin</w:t>
      </w:r>
      <w:r w:rsidR="0084140E" w:rsidRPr="00244CCE">
        <w:rPr>
          <w:iCs/>
        </w:rPr>
        <w:t xml:space="preserve">a 2014, </w:t>
      </w:r>
      <w:proofErr w:type="spellStart"/>
      <w:r w:rsidR="0084140E" w:rsidRPr="00244CCE">
        <w:rPr>
          <w:iCs/>
        </w:rPr>
        <w:t>Supercalendered</w:t>
      </w:r>
      <w:proofErr w:type="spellEnd"/>
      <w:r w:rsidR="0084140E" w:rsidRPr="00244CCE">
        <w:rPr>
          <w:iCs/>
        </w:rPr>
        <w:t xml:space="preserve"> Paper from Canada 2015, and PET Resin from China 2016 </w:t>
      </w:r>
      <w:r w:rsidR="00BD4A2C" w:rsidRPr="00244CCE">
        <w:rPr>
          <w:iCs/>
        </w:rPr>
        <w:t>each</w:t>
      </w:r>
      <w:r w:rsidRPr="00244CCE">
        <w:rPr>
          <w:iCs/>
        </w:rPr>
        <w:t xml:space="preserve"> refer to Shrimp from China 2013 when applying AFA to unreported information discovered during verification.</w:t>
      </w:r>
      <w:r w:rsidR="00754E0D" w:rsidRPr="00F97844">
        <w:rPr>
          <w:rStyle w:val="FootnoteReference"/>
          <w:iCs/>
        </w:rPr>
        <w:footnoteReference w:id="135"/>
      </w:r>
      <w:r w:rsidRPr="00F97844">
        <w:rPr>
          <w:iCs/>
        </w:rPr>
        <w:t xml:space="preserve"> Further, the excerpts for Solar Cells from China 2014, Solar Cel</w:t>
      </w:r>
      <w:r w:rsidRPr="00244CCE">
        <w:rPr>
          <w:iCs/>
        </w:rPr>
        <w:t>ls from China 2015,</w:t>
      </w:r>
      <w:r w:rsidRPr="00244CCE">
        <w:t xml:space="preserve"> and </w:t>
      </w:r>
      <w:proofErr w:type="spellStart"/>
      <w:r w:rsidRPr="00244CCE">
        <w:rPr>
          <w:iCs/>
        </w:rPr>
        <w:t>Supercalendered</w:t>
      </w:r>
      <w:proofErr w:type="spellEnd"/>
      <w:r w:rsidRPr="00244CCE">
        <w:rPr>
          <w:iCs/>
        </w:rPr>
        <w:t xml:space="preserve"> Paper from Canada 2015 preface the application of AFA to unreported information discovered at verification with the statement: "consistent with [the USDOC's] practice".</w:t>
      </w:r>
      <w:r w:rsidRPr="00F97844">
        <w:rPr>
          <w:vertAlign w:val="superscript"/>
        </w:rPr>
        <w:footnoteReference w:id="136"/>
      </w:r>
      <w:r w:rsidRPr="00F97844">
        <w:rPr>
          <w:iCs/>
        </w:rPr>
        <w:t xml:space="preserve"> </w:t>
      </w:r>
      <w:r w:rsidRPr="00F97844">
        <w:t xml:space="preserve">In relation to </w:t>
      </w:r>
      <w:r w:rsidRPr="00244CCE">
        <w:rPr>
          <w:iCs/>
        </w:rPr>
        <w:t>Stainless Pressure Pipe from India 2016</w:t>
      </w:r>
      <w:r w:rsidRPr="00244CCE">
        <w:t>, the Panel referred to the USDOC's "practice of not collecting new information at verification" and the view that it was an "inadvertent error" to do otherwise.</w:t>
      </w:r>
      <w:r w:rsidRPr="00F97844">
        <w:rPr>
          <w:vertAlign w:val="superscript"/>
        </w:rPr>
        <w:footnoteReference w:id="137"/>
      </w:r>
      <w:r w:rsidRPr="00F97844">
        <w:t xml:space="preserve"> In relation to </w:t>
      </w:r>
      <w:r w:rsidRPr="00F97844">
        <w:rPr>
          <w:iCs/>
        </w:rPr>
        <w:t>Truck and Bus Tires from China 2016</w:t>
      </w:r>
      <w:r w:rsidRPr="00244CCE">
        <w:t xml:space="preserve">, the excerpt relied on by the Panel also prefaces the application of AFA to unreported information discovered during verification with the statement: "consistent with prior determinations", </w:t>
      </w:r>
      <w:r w:rsidR="007C24C6" w:rsidRPr="00244CCE">
        <w:t xml:space="preserve">referring to </w:t>
      </w:r>
      <w:r w:rsidRPr="00244CCE">
        <w:rPr>
          <w:iCs/>
        </w:rPr>
        <w:t xml:space="preserve">PET Resin from China 2016 and </w:t>
      </w:r>
      <w:proofErr w:type="spellStart"/>
      <w:r w:rsidRPr="00244CCE">
        <w:rPr>
          <w:iCs/>
        </w:rPr>
        <w:t>Supercalendered</w:t>
      </w:r>
      <w:proofErr w:type="spellEnd"/>
      <w:r w:rsidRPr="00244CCE">
        <w:rPr>
          <w:iCs/>
        </w:rPr>
        <w:t xml:space="preserve"> Paper from Canada 2015.</w:t>
      </w:r>
      <w:r w:rsidRPr="00F97844">
        <w:rPr>
          <w:vertAlign w:val="superscript"/>
        </w:rPr>
        <w:footnoteReference w:id="138"/>
      </w:r>
      <w:r w:rsidRPr="00F97844">
        <w:t xml:space="preserve"> We also note that, in that proceeding, the USDOC stated that, "[w]</w:t>
      </w:r>
      <w:proofErr w:type="spellStart"/>
      <w:r w:rsidRPr="00F97844">
        <w:t>hile</w:t>
      </w:r>
      <w:proofErr w:type="spellEnd"/>
      <w:r w:rsidRPr="00F97844">
        <w:t xml:space="preserve"> the [USDOC] acknowledges that its practice has evolved over time, since 2012, it has determined that the proper course of action when an unreported potential subsidy is discovered </w:t>
      </w:r>
      <w:r w:rsidRPr="00244CCE">
        <w:t>or 'presented' at verification is to rely on adverse inferences in making a finding on that potential subsidy."</w:t>
      </w:r>
      <w:r w:rsidRPr="00F97844">
        <w:rPr>
          <w:vertAlign w:val="superscript"/>
        </w:rPr>
        <w:footnoteReference w:id="139"/>
      </w:r>
    </w:p>
    <w:p w14:paraId="1344B06F" w14:textId="3EED0E11" w:rsidR="00DA0AF4" w:rsidRPr="00F97844" w:rsidRDefault="00DA0AF4" w:rsidP="00F73DD3">
      <w:pPr>
        <w:pStyle w:val="BodyText"/>
        <w:numPr>
          <w:ilvl w:val="6"/>
          <w:numId w:val="28"/>
        </w:numPr>
      </w:pPr>
      <w:bookmarkStart w:id="83" w:name="_Hlk25258682"/>
      <w:r w:rsidRPr="00F97844">
        <w:t>Overall,</w:t>
      </w:r>
      <w:r w:rsidR="00D17145" w:rsidRPr="00244CCE">
        <w:t xml:space="preserve"> </w:t>
      </w:r>
      <w:r w:rsidRPr="00244CCE">
        <w:t>the Panel found that Canada had shown that the USDOC applied the alleged OFA</w:t>
      </w:r>
      <w:r w:rsidR="007643D6" w:rsidRPr="00244CCE">
        <w:noBreakHyphen/>
      </w:r>
      <w:r w:rsidRPr="00244CCE">
        <w:t>AFA</w:t>
      </w:r>
      <w:r w:rsidR="00983D79" w:rsidRPr="00244CCE">
        <w:t> </w:t>
      </w:r>
      <w:r w:rsidRPr="00244CCE">
        <w:t>measure in nine determinations since 2012, and that the United</w:t>
      </w:r>
      <w:r w:rsidR="00945567" w:rsidRPr="00244CCE">
        <w:t> States</w:t>
      </w:r>
      <w:r w:rsidRPr="00244CCE">
        <w:t xml:space="preserve"> had not provided any evidence of non</w:t>
      </w:r>
      <w:r w:rsidR="007643D6" w:rsidRPr="00244CCE">
        <w:noBreakHyphen/>
      </w:r>
      <w:r w:rsidRPr="00244CCE">
        <w:t>application of the alleged measure subsequent to 2012.</w:t>
      </w:r>
      <w:r w:rsidRPr="00F97844">
        <w:rPr>
          <w:rStyle w:val="FootnoteReference"/>
        </w:rPr>
        <w:footnoteReference w:id="140"/>
      </w:r>
      <w:r w:rsidRPr="00F97844">
        <w:t xml:space="preserve"> We see no error in the Panel's conclusion that the evidence adduced by Canada sufficiently establishes that the challenged conduct is likely to continue. In particular</w:t>
      </w:r>
      <w:r w:rsidRPr="00244CCE">
        <w:t>, we agree with the Panel that the consistent manner in which the USDOC refers to the alleged OFA</w:t>
      </w:r>
      <w:r w:rsidR="007643D6" w:rsidRPr="00244CCE">
        <w:noBreakHyphen/>
      </w:r>
      <w:r w:rsidRPr="00244CCE">
        <w:t>AFA</w:t>
      </w:r>
      <w:r w:rsidR="00117119" w:rsidRPr="00244CCE">
        <w:t> </w:t>
      </w:r>
      <w:r w:rsidRPr="00244CCE">
        <w:t>measure, the frequent reference to previous applications of the alleged measure in USDOC determinations, the fact that the USDOC refers to the alleged measure as its "practice"</w:t>
      </w:r>
      <w:r w:rsidRPr="00F97844">
        <w:rPr>
          <w:rStyle w:val="FootnoteReference"/>
        </w:rPr>
        <w:footnoteReference w:id="141"/>
      </w:r>
      <w:r w:rsidRPr="00F97844">
        <w:t xml:space="preserve">, and the USDOC's characterization of a departure </w:t>
      </w:r>
      <w:r w:rsidRPr="00F97844">
        <w:lastRenderedPageBreak/>
        <w:t>from the alleged measure as an "inadvertent error" all support the conclusion that the alleged measure is likely to continue to apply.</w:t>
      </w:r>
      <w:r w:rsidRPr="00F97844">
        <w:rPr>
          <w:rStyle w:val="FootnoteReference"/>
        </w:rPr>
        <w:footnoteReference w:id="142"/>
      </w:r>
      <w:bookmarkEnd w:id="83"/>
    </w:p>
    <w:p w14:paraId="4D313DB5" w14:textId="48B1E68C" w:rsidR="00DA0AF4" w:rsidRPr="00244CCE" w:rsidRDefault="00DA0AF4" w:rsidP="00F73DD3">
      <w:pPr>
        <w:pStyle w:val="Heading3"/>
        <w:numPr>
          <w:ilvl w:val="2"/>
          <w:numId w:val="28"/>
        </w:numPr>
      </w:pPr>
      <w:bookmarkStart w:id="84" w:name="_Toc30412737"/>
      <w:r w:rsidRPr="00F97844">
        <w:t>Conclusion</w:t>
      </w:r>
      <w:bookmarkEnd w:id="84"/>
    </w:p>
    <w:p w14:paraId="3E7D8103" w14:textId="7B5FD6A3" w:rsidR="00591B10" w:rsidRPr="00244CCE" w:rsidRDefault="00DA0AF4" w:rsidP="00F73DD3">
      <w:pPr>
        <w:pStyle w:val="BodyText"/>
        <w:numPr>
          <w:ilvl w:val="6"/>
          <w:numId w:val="28"/>
        </w:numPr>
      </w:pPr>
      <w:r w:rsidRPr="00244CCE">
        <w:t xml:space="preserve">For </w:t>
      </w:r>
      <w:r w:rsidR="009962BA" w:rsidRPr="00244CCE">
        <w:t xml:space="preserve">the </w:t>
      </w:r>
      <w:r w:rsidRPr="00244CCE">
        <w:t>reasons</w:t>
      </w:r>
      <w:r w:rsidR="009962BA" w:rsidRPr="00244CCE">
        <w:t xml:space="preserve"> stated above</w:t>
      </w:r>
      <w:r w:rsidRPr="00244CCE">
        <w:t>, we dismiss Canada's assertion that the United</w:t>
      </w:r>
      <w:r w:rsidR="00945567" w:rsidRPr="00244CCE">
        <w:t> States</w:t>
      </w:r>
      <w:r w:rsidRPr="00244CCE">
        <w:t>' claim on appeal falls outside the scope</w:t>
      </w:r>
      <w:r w:rsidR="00D17145" w:rsidRPr="00244CCE">
        <w:t xml:space="preserve"> of </w:t>
      </w:r>
      <w:r w:rsidRPr="00244CCE">
        <w:t>appellate review.</w:t>
      </w:r>
      <w:r w:rsidR="009962BA" w:rsidRPr="00244CCE">
        <w:t xml:space="preserve"> </w:t>
      </w:r>
      <w:r w:rsidR="00591B10" w:rsidRPr="00244CCE">
        <w:t>Further, w</w:t>
      </w:r>
      <w:r w:rsidR="009962BA" w:rsidRPr="00244CCE">
        <w:t>e</w:t>
      </w:r>
      <w:r w:rsidR="00591B10" w:rsidRPr="00244CCE">
        <w:t xml:space="preserve"> </w:t>
      </w:r>
      <w:r w:rsidRPr="00244CCE">
        <w:rPr>
          <w:u w:val="single"/>
        </w:rPr>
        <w:t>find</w:t>
      </w:r>
      <w:r w:rsidRPr="00244CCE">
        <w:t xml:space="preserve"> that the Panel did not err in </w:t>
      </w:r>
      <w:r w:rsidR="009962BA" w:rsidRPr="00244CCE">
        <w:t>concluding</w:t>
      </w:r>
      <w:r w:rsidRPr="00244CCE">
        <w:t xml:space="preserve"> that Canada had established the precise content</w:t>
      </w:r>
      <w:r w:rsidR="009962BA" w:rsidRPr="00244CCE">
        <w:t>, repeated application, and likelihood of continued application</w:t>
      </w:r>
      <w:r w:rsidRPr="00244CCE">
        <w:t xml:space="preserve"> of the alleged OFA</w:t>
      </w:r>
      <w:r w:rsidR="007643D6" w:rsidRPr="00244CCE">
        <w:noBreakHyphen/>
      </w:r>
      <w:r w:rsidRPr="00244CCE">
        <w:t>AFA</w:t>
      </w:r>
      <w:r w:rsidR="00117119" w:rsidRPr="00244CCE">
        <w:t> </w:t>
      </w:r>
      <w:r w:rsidRPr="00244CCE">
        <w:t>measure</w:t>
      </w:r>
      <w:r w:rsidR="009962BA" w:rsidRPr="00244CCE">
        <w:t xml:space="preserve">. </w:t>
      </w:r>
    </w:p>
    <w:p w14:paraId="41CA03E6" w14:textId="6F72F736" w:rsidR="009962BA" w:rsidRPr="00F97844" w:rsidRDefault="009962BA" w:rsidP="00F73DD3">
      <w:pPr>
        <w:pStyle w:val="BodyText"/>
        <w:numPr>
          <w:ilvl w:val="6"/>
          <w:numId w:val="28"/>
        </w:numPr>
      </w:pPr>
      <w:r w:rsidRPr="00244CCE">
        <w:t xml:space="preserve">Consequently, we </w:t>
      </w:r>
      <w:r w:rsidRPr="00244CCE">
        <w:rPr>
          <w:u w:val="single"/>
        </w:rPr>
        <w:t>uphold</w:t>
      </w:r>
      <w:r w:rsidRPr="00244CCE">
        <w:t xml:space="preserve"> the Panel's finding, in paragraphs 7.332 and 8.4.a of </w:t>
      </w:r>
      <w:r w:rsidR="00CE4D2D" w:rsidRPr="00244CCE">
        <w:t>the Panel</w:t>
      </w:r>
      <w:r w:rsidR="00062DDD" w:rsidRPr="00244CCE">
        <w:t> Report</w:t>
      </w:r>
      <w:r w:rsidR="00CE4D2D" w:rsidRPr="00244CCE">
        <w:t>,</w:t>
      </w:r>
      <w:r w:rsidRPr="00244CCE">
        <w:t xml:space="preserve"> that Canada established the existence of the OFA</w:t>
      </w:r>
      <w:r w:rsidR="007643D6" w:rsidRPr="00244CCE">
        <w:noBreakHyphen/>
      </w:r>
      <w:r w:rsidRPr="00244CCE">
        <w:t>AFA</w:t>
      </w:r>
      <w:r w:rsidR="007B4980">
        <w:t> </w:t>
      </w:r>
      <w:r w:rsidRPr="00244CCE">
        <w:t>measure as "ongoing conduct".</w:t>
      </w:r>
      <w:r w:rsidR="00774EB8" w:rsidRPr="00F97844">
        <w:rPr>
          <w:rStyle w:val="FootnoteReference"/>
        </w:rPr>
        <w:footnoteReference w:id="143"/>
      </w:r>
    </w:p>
    <w:p w14:paraId="46481D6E" w14:textId="4748D1C1" w:rsidR="00B010B2" w:rsidRPr="00244CCE" w:rsidRDefault="00B010B2" w:rsidP="00F73DD3">
      <w:pPr>
        <w:pStyle w:val="Heading2"/>
      </w:pPr>
      <w:bookmarkStart w:id="85" w:name="_Toc30412738"/>
      <w:bookmarkStart w:id="86" w:name="_Toc328640715"/>
      <w:bookmarkStart w:id="87" w:name="_Toc333317656"/>
      <w:bookmarkStart w:id="88" w:name="_Toc333331250"/>
      <w:bookmarkStart w:id="89" w:name="_Toc333395241"/>
      <w:bookmarkStart w:id="90" w:name="_Toc333510527"/>
      <w:bookmarkStart w:id="91" w:name="_Toc333510634"/>
      <w:r w:rsidRPr="00F97844">
        <w:t>Article 12.7 of the S</w:t>
      </w:r>
      <w:r w:rsidRPr="00244CCE">
        <w:t>CM Agreement</w:t>
      </w:r>
      <w:bookmarkEnd w:id="85"/>
    </w:p>
    <w:p w14:paraId="4FA3C5E9" w14:textId="234DE72B" w:rsidR="009962BA" w:rsidRPr="00244CCE" w:rsidRDefault="009962BA" w:rsidP="00F73DD3">
      <w:pPr>
        <w:pStyle w:val="Heading3"/>
        <w:numPr>
          <w:ilvl w:val="2"/>
          <w:numId w:val="28"/>
        </w:numPr>
      </w:pPr>
      <w:bookmarkStart w:id="92" w:name="_Toc4508009"/>
      <w:bookmarkStart w:id="93" w:name="_Toc5704485"/>
      <w:bookmarkStart w:id="94" w:name="_Toc30412739"/>
      <w:r w:rsidRPr="00244CCE">
        <w:t>Introduction</w:t>
      </w:r>
      <w:bookmarkEnd w:id="92"/>
      <w:bookmarkEnd w:id="93"/>
      <w:bookmarkEnd w:id="94"/>
    </w:p>
    <w:p w14:paraId="5EDAEBBF" w14:textId="69B003AE" w:rsidR="00B010B2" w:rsidRPr="00F97844" w:rsidRDefault="00B010B2" w:rsidP="00F73DD3">
      <w:pPr>
        <w:numPr>
          <w:ilvl w:val="6"/>
          <w:numId w:val="28"/>
        </w:numPr>
        <w:spacing w:after="240"/>
        <w:rPr>
          <w:szCs w:val="18"/>
        </w:rPr>
      </w:pPr>
      <w:r w:rsidRPr="00244CCE">
        <w:rPr>
          <w:szCs w:val="18"/>
          <w:lang w:eastAsia="en-GB"/>
        </w:rPr>
        <w:t xml:space="preserve">The </w:t>
      </w:r>
      <w:r w:rsidRPr="00244CCE">
        <w:rPr>
          <w:szCs w:val="20"/>
          <w:lang w:eastAsia="zh-CN"/>
        </w:rPr>
        <w:t>United</w:t>
      </w:r>
      <w:r w:rsidRPr="00244CCE">
        <w:rPr>
          <w:szCs w:val="18"/>
          <w:lang w:eastAsia="en-GB"/>
        </w:rPr>
        <w:t> States appeals the Panel's finding that the OFA</w:t>
      </w:r>
      <w:r w:rsidR="007643D6" w:rsidRPr="00244CCE">
        <w:rPr>
          <w:szCs w:val="18"/>
          <w:lang w:eastAsia="en-GB"/>
        </w:rPr>
        <w:noBreakHyphen/>
      </w:r>
      <w:r w:rsidRPr="00244CCE">
        <w:rPr>
          <w:szCs w:val="18"/>
          <w:lang w:eastAsia="en-GB"/>
        </w:rPr>
        <w:t>AFA</w:t>
      </w:r>
      <w:r w:rsidR="007B4980">
        <w:rPr>
          <w:szCs w:val="18"/>
          <w:lang w:eastAsia="en-GB"/>
        </w:rPr>
        <w:t> </w:t>
      </w:r>
      <w:r w:rsidRPr="00244CCE">
        <w:rPr>
          <w:szCs w:val="18"/>
          <w:lang w:eastAsia="en-GB"/>
        </w:rPr>
        <w:t>measure is inconsistent with Article 12.7 of the SCM Agreement. In particular, the United States claims that the Panel erred under Article 12.7 of the DSU by failing to provide a "basic rationale" for its finding that the OFA</w:t>
      </w:r>
      <w:r w:rsidR="007643D6" w:rsidRPr="00244CCE">
        <w:rPr>
          <w:szCs w:val="18"/>
          <w:lang w:eastAsia="en-GB"/>
        </w:rPr>
        <w:noBreakHyphen/>
      </w:r>
      <w:r w:rsidRPr="00244CCE">
        <w:rPr>
          <w:szCs w:val="18"/>
          <w:lang w:eastAsia="en-GB"/>
        </w:rPr>
        <w:t>AFA measure is inconsistent with Article 12.7 of the SCM Agreement.</w:t>
      </w:r>
      <w:r w:rsidRPr="00F97844">
        <w:rPr>
          <w:rStyle w:val="FootnoteReference"/>
        </w:rPr>
        <w:footnoteReference w:id="144"/>
      </w:r>
      <w:r w:rsidRPr="00F97844">
        <w:rPr>
          <w:szCs w:val="18"/>
          <w:lang w:eastAsia="en-GB"/>
        </w:rPr>
        <w:t xml:space="preserve"> The United States also claims that the Panel erred under Article 12.7 of the SCM Agreement by finding that the OFA</w:t>
      </w:r>
      <w:r w:rsidR="007643D6" w:rsidRPr="00244CCE">
        <w:rPr>
          <w:szCs w:val="18"/>
          <w:lang w:eastAsia="en-GB"/>
        </w:rPr>
        <w:noBreakHyphen/>
      </w:r>
      <w:r w:rsidRPr="00244CCE">
        <w:rPr>
          <w:szCs w:val="18"/>
          <w:lang w:eastAsia="en-GB"/>
        </w:rPr>
        <w:t>AFA measure is inconsistent with that provision.</w:t>
      </w:r>
      <w:r w:rsidR="00B05979" w:rsidRPr="00F97844">
        <w:rPr>
          <w:rStyle w:val="FootnoteReference"/>
          <w:szCs w:val="18"/>
          <w:lang w:eastAsia="en-GB"/>
        </w:rPr>
        <w:footnoteReference w:id="145"/>
      </w:r>
      <w:r w:rsidRPr="00F97844">
        <w:rPr>
          <w:szCs w:val="18"/>
          <w:lang w:eastAsia="en-GB"/>
        </w:rPr>
        <w:t xml:space="preserve"> The United States requests that we reverse the Panel's finding that the OFA</w:t>
      </w:r>
      <w:r w:rsidR="007643D6" w:rsidRPr="00F97844">
        <w:rPr>
          <w:szCs w:val="18"/>
          <w:lang w:eastAsia="en-GB"/>
        </w:rPr>
        <w:noBreakHyphen/>
      </w:r>
      <w:r w:rsidRPr="00244CCE">
        <w:rPr>
          <w:szCs w:val="18"/>
          <w:lang w:eastAsia="en-GB"/>
        </w:rPr>
        <w:t>AFA</w:t>
      </w:r>
      <w:r w:rsidR="00117119" w:rsidRPr="00244CCE">
        <w:rPr>
          <w:szCs w:val="18"/>
          <w:lang w:eastAsia="en-GB"/>
        </w:rPr>
        <w:t xml:space="preserve"> </w:t>
      </w:r>
      <w:r w:rsidRPr="00244CCE">
        <w:rPr>
          <w:szCs w:val="18"/>
          <w:lang w:eastAsia="en-GB"/>
        </w:rPr>
        <w:t>measure is inconsistent with Article 12.7 of the SCM Agreement.</w:t>
      </w:r>
      <w:r w:rsidRPr="00F97844">
        <w:rPr>
          <w:rStyle w:val="FootnoteReference"/>
        </w:rPr>
        <w:footnoteReference w:id="146"/>
      </w:r>
      <w:r w:rsidRPr="00F97844">
        <w:rPr>
          <w:szCs w:val="18"/>
          <w:lang w:eastAsia="en-GB"/>
        </w:rPr>
        <w:t xml:space="preserve"> </w:t>
      </w:r>
      <w:bookmarkStart w:id="95" w:name="_Toc419297810"/>
      <w:bookmarkStart w:id="96" w:name="_Toc419795104"/>
      <w:bookmarkStart w:id="97" w:name="_Toc419795435"/>
      <w:bookmarkStart w:id="98" w:name="_Toc420591009"/>
      <w:bookmarkStart w:id="99" w:name="_Toc420592065"/>
      <w:bookmarkStart w:id="100" w:name="_Toc421114400"/>
      <w:bookmarkStart w:id="101" w:name="_Toc421176032"/>
      <w:r w:rsidRPr="00F97844">
        <w:rPr>
          <w:szCs w:val="18"/>
          <w:lang w:eastAsia="en-GB"/>
        </w:rPr>
        <w:t>Canada responds that the Panel did not err in finding that the OFA</w:t>
      </w:r>
      <w:r w:rsidR="007643D6" w:rsidRPr="00F97844">
        <w:rPr>
          <w:szCs w:val="18"/>
          <w:lang w:eastAsia="en-GB"/>
        </w:rPr>
        <w:noBreakHyphen/>
      </w:r>
      <w:r w:rsidRPr="00244CCE">
        <w:rPr>
          <w:szCs w:val="18"/>
          <w:lang w:eastAsia="en-GB"/>
        </w:rPr>
        <w:t>AFA</w:t>
      </w:r>
      <w:r w:rsidR="00117119" w:rsidRPr="00244CCE">
        <w:rPr>
          <w:szCs w:val="18"/>
          <w:lang w:eastAsia="en-GB"/>
        </w:rPr>
        <w:t> </w:t>
      </w:r>
      <w:r w:rsidRPr="00244CCE">
        <w:rPr>
          <w:szCs w:val="18"/>
          <w:lang w:eastAsia="en-GB"/>
        </w:rPr>
        <w:t>measure is inconsistent with Article 12.7 of the SCM Agreement.</w:t>
      </w:r>
      <w:r w:rsidRPr="00F97844">
        <w:rPr>
          <w:rStyle w:val="FootnoteReference"/>
        </w:rPr>
        <w:footnoteReference w:id="147"/>
      </w:r>
      <w:r w:rsidRPr="00F97844">
        <w:rPr>
          <w:szCs w:val="18"/>
          <w:lang w:eastAsia="en-GB"/>
        </w:rPr>
        <w:t xml:space="preserve"> </w:t>
      </w:r>
      <w:r w:rsidRPr="00F97844">
        <w:rPr>
          <w:szCs w:val="20"/>
          <w:lang w:eastAsia="en-GB"/>
        </w:rPr>
        <w:t>Canada requests that we dismiss the United States' claims of error.</w:t>
      </w:r>
      <w:r w:rsidRPr="00F97844">
        <w:rPr>
          <w:rStyle w:val="FootnoteReference"/>
        </w:rPr>
        <w:footnoteReference w:id="148"/>
      </w:r>
    </w:p>
    <w:p w14:paraId="0F92E51E" w14:textId="77777777" w:rsidR="00B010B2" w:rsidRPr="00244CCE" w:rsidRDefault="00B010B2" w:rsidP="00F73DD3">
      <w:pPr>
        <w:numPr>
          <w:ilvl w:val="6"/>
          <w:numId w:val="28"/>
        </w:numPr>
        <w:spacing w:after="240"/>
        <w:rPr>
          <w:szCs w:val="18"/>
        </w:rPr>
      </w:pPr>
      <w:r w:rsidRPr="00F97844">
        <w:rPr>
          <w:szCs w:val="18"/>
          <w:lang w:eastAsia="en-GB"/>
        </w:rPr>
        <w:t>We begin by sum</w:t>
      </w:r>
      <w:r w:rsidRPr="00244CCE">
        <w:rPr>
          <w:szCs w:val="18"/>
          <w:lang w:eastAsia="en-GB"/>
        </w:rPr>
        <w:t xml:space="preserve">marizing the Panel's findings under Article 12.7 of the SCM Agreement. We then address the </w:t>
      </w:r>
      <w:r w:rsidRPr="00244CCE">
        <w:rPr>
          <w:szCs w:val="20"/>
          <w:lang w:eastAsia="en-GB"/>
        </w:rPr>
        <w:t>United</w:t>
      </w:r>
      <w:r w:rsidRPr="00244CCE">
        <w:rPr>
          <w:szCs w:val="18"/>
          <w:lang w:eastAsia="en-GB"/>
        </w:rPr>
        <w:t> States' claims of error on appeal.</w:t>
      </w:r>
    </w:p>
    <w:p w14:paraId="116C6480" w14:textId="77777777" w:rsidR="00B010B2" w:rsidRPr="00244CCE" w:rsidRDefault="00B010B2" w:rsidP="00F73DD3">
      <w:pPr>
        <w:pStyle w:val="Heading3"/>
      </w:pPr>
      <w:bookmarkStart w:id="102" w:name="_Toc4508010"/>
      <w:bookmarkStart w:id="103" w:name="_Toc5704486"/>
      <w:bookmarkStart w:id="104" w:name="_Toc30412740"/>
      <w:r w:rsidRPr="00244CCE">
        <w:t>The Panel's findings</w:t>
      </w:r>
      <w:bookmarkEnd w:id="95"/>
      <w:bookmarkEnd w:id="96"/>
      <w:bookmarkEnd w:id="97"/>
      <w:bookmarkEnd w:id="98"/>
      <w:bookmarkEnd w:id="99"/>
      <w:bookmarkEnd w:id="100"/>
      <w:bookmarkEnd w:id="101"/>
      <w:bookmarkEnd w:id="102"/>
      <w:bookmarkEnd w:id="103"/>
      <w:bookmarkEnd w:id="104"/>
    </w:p>
    <w:p w14:paraId="0658499C" w14:textId="3CFE5E20" w:rsidR="00B010B2" w:rsidRPr="00F97844" w:rsidRDefault="00B010B2" w:rsidP="00F73DD3">
      <w:pPr>
        <w:numPr>
          <w:ilvl w:val="6"/>
          <w:numId w:val="28"/>
        </w:numPr>
        <w:spacing w:after="240"/>
      </w:pPr>
      <w:r w:rsidRPr="00244CCE">
        <w:rPr>
          <w:szCs w:val="18"/>
          <w:lang w:eastAsia="en-GB"/>
        </w:rPr>
        <w:t>Before</w:t>
      </w:r>
      <w:r w:rsidRPr="00244CCE">
        <w:rPr>
          <w:szCs w:val="20"/>
          <w:lang w:eastAsia="en-GB"/>
        </w:rPr>
        <w:t xml:space="preserve"> the Panel, Canada claimed that the United States acted inconsistently with Article 12.7 of the SCM Agreement by improperly applying AFA against the Canadian company Resolute in relation to </w:t>
      </w:r>
      <w:r w:rsidR="002E2176" w:rsidRPr="00244CCE">
        <w:rPr>
          <w:szCs w:val="20"/>
          <w:lang w:eastAsia="en-GB"/>
        </w:rPr>
        <w:t xml:space="preserve">assistance </w:t>
      </w:r>
      <w:r w:rsidRPr="00244CCE">
        <w:rPr>
          <w:szCs w:val="20"/>
          <w:lang w:eastAsia="en-GB"/>
        </w:rPr>
        <w:t>discovered at verification</w:t>
      </w:r>
      <w:r w:rsidR="00B05979" w:rsidRPr="00244CCE">
        <w:rPr>
          <w:szCs w:val="20"/>
          <w:lang w:eastAsia="en-GB"/>
        </w:rPr>
        <w:t xml:space="preserve"> </w:t>
      </w:r>
      <w:r w:rsidR="00D27A45" w:rsidRPr="00244CCE">
        <w:rPr>
          <w:szCs w:val="20"/>
          <w:lang w:eastAsia="en-GB"/>
        </w:rPr>
        <w:t>that</w:t>
      </w:r>
      <w:r w:rsidR="00B05979" w:rsidRPr="00244CCE">
        <w:rPr>
          <w:szCs w:val="20"/>
          <w:lang w:eastAsia="en-GB"/>
        </w:rPr>
        <w:t xml:space="preserve"> had not been disclosed in response to the OFA</w:t>
      </w:r>
      <w:r w:rsidR="00D27A45" w:rsidRPr="00244CCE">
        <w:rPr>
          <w:szCs w:val="20"/>
          <w:lang w:eastAsia="en-GB"/>
        </w:rPr>
        <w:t> </w:t>
      </w:r>
      <w:r w:rsidR="00B05979" w:rsidRPr="00244CCE">
        <w:rPr>
          <w:szCs w:val="20"/>
          <w:lang w:eastAsia="en-GB"/>
        </w:rPr>
        <w:t>question</w:t>
      </w:r>
      <w:r w:rsidRPr="00244CCE">
        <w:rPr>
          <w:szCs w:val="20"/>
          <w:lang w:eastAsia="en-GB"/>
        </w:rPr>
        <w:t>.</w:t>
      </w:r>
      <w:r w:rsidRPr="00F97844">
        <w:rPr>
          <w:rStyle w:val="FootnoteReference"/>
        </w:rPr>
        <w:footnoteReference w:id="149"/>
      </w:r>
      <w:r w:rsidRPr="00F97844">
        <w:rPr>
          <w:szCs w:val="20"/>
          <w:lang w:eastAsia="en-GB"/>
        </w:rPr>
        <w:t xml:space="preserve"> Separately, Canada also claimed that the OFA</w:t>
      </w:r>
      <w:r w:rsidR="007643D6" w:rsidRPr="00F97844">
        <w:rPr>
          <w:szCs w:val="20"/>
          <w:lang w:eastAsia="en-GB"/>
        </w:rPr>
        <w:noBreakHyphen/>
      </w:r>
      <w:r w:rsidRPr="00244CCE">
        <w:rPr>
          <w:szCs w:val="20"/>
          <w:lang w:eastAsia="en-GB"/>
        </w:rPr>
        <w:t>AFA</w:t>
      </w:r>
      <w:r w:rsidR="007B4980">
        <w:rPr>
          <w:szCs w:val="20"/>
          <w:lang w:eastAsia="en-GB"/>
        </w:rPr>
        <w:t> </w:t>
      </w:r>
      <w:r w:rsidRPr="00244CCE">
        <w:rPr>
          <w:szCs w:val="20"/>
          <w:lang w:eastAsia="en-GB"/>
        </w:rPr>
        <w:t>measure, as an "ongoing conduct" measure, is inconsistent with Article 12.7 of the SCM Agreement because it eliminates the requirement for evidence and effectively replaces it with the assumptions of the USDOC during verification.</w:t>
      </w:r>
      <w:r w:rsidRPr="00F97844">
        <w:rPr>
          <w:rStyle w:val="FootnoteReference"/>
        </w:rPr>
        <w:footnoteReference w:id="150"/>
      </w:r>
      <w:r w:rsidRPr="00F97844">
        <w:rPr>
          <w:szCs w:val="20"/>
          <w:lang w:eastAsia="en-GB"/>
        </w:rPr>
        <w:t xml:space="preserve"> </w:t>
      </w:r>
      <w:bookmarkStart w:id="105" w:name="_Toc419297813"/>
      <w:bookmarkStart w:id="106" w:name="_Toc419795107"/>
      <w:bookmarkStart w:id="107" w:name="_Toc419795438"/>
      <w:bookmarkStart w:id="108" w:name="_Toc420591012"/>
      <w:bookmarkStart w:id="109" w:name="_Toc420592068"/>
      <w:bookmarkStart w:id="110" w:name="_Toc421114403"/>
      <w:bookmarkStart w:id="111" w:name="_Toc421176035"/>
      <w:bookmarkStart w:id="112" w:name="_Toc4508011"/>
      <w:bookmarkStart w:id="113" w:name="_Toc5704487"/>
    </w:p>
    <w:p w14:paraId="040CA79D" w14:textId="337B1C2A" w:rsidR="00B010B2" w:rsidRPr="00F97844" w:rsidRDefault="00B010B2" w:rsidP="00F73DD3">
      <w:pPr>
        <w:numPr>
          <w:ilvl w:val="6"/>
          <w:numId w:val="28"/>
        </w:numPr>
        <w:spacing w:after="240"/>
      </w:pPr>
      <w:r w:rsidRPr="00244CCE">
        <w:rPr>
          <w:szCs w:val="20"/>
          <w:lang w:eastAsia="en-GB"/>
        </w:rPr>
        <w:t xml:space="preserve">The Panel first examined the USDOC's use of "facts available" against Resolute in </w:t>
      </w:r>
      <w:r w:rsidR="00D5737C" w:rsidRPr="00244CCE">
        <w:rPr>
          <w:szCs w:val="20"/>
          <w:lang w:eastAsia="en-GB"/>
        </w:rPr>
        <w:t>s</w:t>
      </w:r>
      <w:r w:rsidRPr="00244CCE">
        <w:rPr>
          <w:szCs w:val="20"/>
          <w:lang w:eastAsia="en-GB"/>
        </w:rPr>
        <w:t>ection</w:t>
      </w:r>
      <w:r w:rsidR="005D3697" w:rsidRPr="00244CCE">
        <w:rPr>
          <w:szCs w:val="20"/>
          <w:lang w:eastAsia="en-GB"/>
        </w:rPr>
        <w:t> </w:t>
      </w:r>
      <w:r w:rsidRPr="00244CCE">
        <w:rPr>
          <w:szCs w:val="20"/>
          <w:lang w:eastAsia="en-GB"/>
        </w:rPr>
        <w:t>7.4.1.4 of the Panel</w:t>
      </w:r>
      <w:r w:rsidR="00062DDD" w:rsidRPr="00244CCE">
        <w:rPr>
          <w:szCs w:val="20"/>
          <w:lang w:eastAsia="en-GB"/>
        </w:rPr>
        <w:t> Report</w:t>
      </w:r>
      <w:r w:rsidRPr="00244CCE">
        <w:rPr>
          <w:szCs w:val="20"/>
          <w:lang w:eastAsia="en-GB"/>
        </w:rPr>
        <w:t xml:space="preserve">. The </w:t>
      </w:r>
      <w:r w:rsidRPr="00244CCE">
        <w:rPr>
          <w:szCs w:val="18"/>
          <w:lang w:eastAsia="en-GB"/>
        </w:rPr>
        <w:t>Panel</w:t>
      </w:r>
      <w:r w:rsidRPr="00244CCE">
        <w:rPr>
          <w:szCs w:val="20"/>
          <w:lang w:eastAsia="en-GB"/>
        </w:rPr>
        <w:t xml:space="preserve"> began by noting that the purpose of Article 12.7 of the SCM Agreement is to ensure that a lack of information does not hinder the ability of an investigating authority to conduct its investigation. This provision allows authorities to fill in the gaps by using "facts available" they deem relevant in order to </w:t>
      </w:r>
      <w:proofErr w:type="gramStart"/>
      <w:r w:rsidRPr="00244CCE">
        <w:rPr>
          <w:szCs w:val="20"/>
          <w:lang w:eastAsia="en-GB"/>
        </w:rPr>
        <w:t>make a determination</w:t>
      </w:r>
      <w:proofErr w:type="gramEnd"/>
      <w:r w:rsidRPr="00244CCE">
        <w:rPr>
          <w:szCs w:val="20"/>
          <w:lang w:eastAsia="en-GB"/>
        </w:rPr>
        <w:t>.</w:t>
      </w:r>
      <w:r w:rsidRPr="00F97844">
        <w:rPr>
          <w:rStyle w:val="FootnoteReference"/>
        </w:rPr>
        <w:footnoteReference w:id="151"/>
      </w:r>
      <w:r w:rsidRPr="00F97844">
        <w:rPr>
          <w:szCs w:val="20"/>
          <w:lang w:eastAsia="en-GB"/>
        </w:rPr>
        <w:t xml:space="preserve"> The Panel later </w:t>
      </w:r>
      <w:r w:rsidRPr="00F97844">
        <w:rPr>
          <w:szCs w:val="20"/>
          <w:lang w:eastAsia="en-GB"/>
        </w:rPr>
        <w:lastRenderedPageBreak/>
        <w:t>explained that this allowance is not boundless. An authority must use those "facts available" that reasonably replace the information that an interested party failed to provide, wi</w:t>
      </w:r>
      <w:r w:rsidRPr="00244CCE">
        <w:rPr>
          <w:szCs w:val="20"/>
          <w:lang w:eastAsia="en-GB"/>
        </w:rPr>
        <w:t>th a view to arriving at an accurate determination.</w:t>
      </w:r>
      <w:r w:rsidRPr="00F97844">
        <w:rPr>
          <w:rStyle w:val="FootnoteReference"/>
        </w:rPr>
        <w:footnoteReference w:id="152"/>
      </w:r>
      <w:r w:rsidRPr="00F97844">
        <w:rPr>
          <w:szCs w:val="20"/>
          <w:lang w:eastAsia="en-GB"/>
        </w:rPr>
        <w:t xml:space="preserve"> The "facts available" must be facts that are in the possession of the investigating authority and on its written record. To the Panel, an investigating authority cannot resort to non</w:t>
      </w:r>
      <w:r w:rsidR="007643D6" w:rsidRPr="00F97844">
        <w:rPr>
          <w:szCs w:val="20"/>
          <w:lang w:eastAsia="en-GB"/>
        </w:rPr>
        <w:noBreakHyphen/>
      </w:r>
      <w:r w:rsidRPr="00244CCE">
        <w:rPr>
          <w:szCs w:val="20"/>
          <w:lang w:eastAsia="en-GB"/>
        </w:rPr>
        <w:t xml:space="preserve">factual assumptions or speculations and must </w:t>
      </w:r>
      <w:proofErr w:type="gramStart"/>
      <w:r w:rsidRPr="00244CCE">
        <w:rPr>
          <w:szCs w:val="20"/>
          <w:lang w:eastAsia="en-GB"/>
        </w:rPr>
        <w:t>take into account</w:t>
      </w:r>
      <w:proofErr w:type="gramEnd"/>
      <w:r w:rsidRPr="00244CCE">
        <w:rPr>
          <w:szCs w:val="20"/>
          <w:lang w:eastAsia="en-GB"/>
        </w:rPr>
        <w:t xml:space="preserve"> all substantiated facts on the record.</w:t>
      </w:r>
      <w:r w:rsidRPr="00F97844">
        <w:rPr>
          <w:rStyle w:val="FootnoteReference"/>
        </w:rPr>
        <w:footnoteReference w:id="153"/>
      </w:r>
    </w:p>
    <w:p w14:paraId="7486DF84" w14:textId="77A4EE1E" w:rsidR="00B010B2" w:rsidRPr="00F97844" w:rsidRDefault="00B010B2" w:rsidP="00F73DD3">
      <w:pPr>
        <w:numPr>
          <w:ilvl w:val="6"/>
          <w:numId w:val="28"/>
        </w:numPr>
        <w:spacing w:after="240"/>
      </w:pPr>
      <w:r w:rsidRPr="00F97844">
        <w:rPr>
          <w:szCs w:val="20"/>
          <w:lang w:eastAsia="en-GB"/>
        </w:rPr>
        <w:t xml:space="preserve">The </w:t>
      </w:r>
      <w:r w:rsidRPr="00244CCE">
        <w:rPr>
          <w:szCs w:val="18"/>
          <w:lang w:eastAsia="en-GB"/>
        </w:rPr>
        <w:t>Panel</w:t>
      </w:r>
      <w:r w:rsidRPr="00244CCE">
        <w:rPr>
          <w:szCs w:val="20"/>
          <w:lang w:eastAsia="en-GB"/>
        </w:rPr>
        <w:t xml:space="preserve"> considered that the disagreement between the parties concerned "</w:t>
      </w:r>
      <w:proofErr w:type="spellStart"/>
      <w:r w:rsidRPr="00244CCE">
        <w:rPr>
          <w:szCs w:val="20"/>
          <w:lang w:eastAsia="en-GB"/>
        </w:rPr>
        <w:t>refus</w:t>
      </w:r>
      <w:proofErr w:type="spellEnd"/>
      <w:r w:rsidRPr="00244CCE">
        <w:rPr>
          <w:szCs w:val="20"/>
          <w:lang w:eastAsia="en-GB"/>
        </w:rPr>
        <w:t>[</w:t>
      </w:r>
      <w:proofErr w:type="spellStart"/>
      <w:r w:rsidRPr="00244CCE">
        <w:rPr>
          <w:szCs w:val="20"/>
          <w:lang w:eastAsia="en-GB"/>
        </w:rPr>
        <w:t>ing</w:t>
      </w:r>
      <w:proofErr w:type="spellEnd"/>
      <w:r w:rsidRPr="00244CCE">
        <w:rPr>
          <w:szCs w:val="20"/>
          <w:lang w:eastAsia="en-GB"/>
        </w:rPr>
        <w:t xml:space="preserve">] access to, or otherwise … not </w:t>
      </w:r>
      <w:proofErr w:type="spellStart"/>
      <w:r w:rsidRPr="00244CCE">
        <w:rPr>
          <w:szCs w:val="20"/>
          <w:lang w:eastAsia="en-GB"/>
        </w:rPr>
        <w:t>provid</w:t>
      </w:r>
      <w:proofErr w:type="spellEnd"/>
      <w:r w:rsidRPr="00244CCE">
        <w:rPr>
          <w:szCs w:val="20"/>
          <w:lang w:eastAsia="en-GB"/>
        </w:rPr>
        <w:t>[</w:t>
      </w:r>
      <w:proofErr w:type="spellStart"/>
      <w:r w:rsidRPr="00244CCE">
        <w:rPr>
          <w:szCs w:val="20"/>
          <w:lang w:eastAsia="en-GB"/>
        </w:rPr>
        <w:t>ing</w:t>
      </w:r>
      <w:proofErr w:type="spellEnd"/>
      <w:r w:rsidRPr="00244CCE">
        <w:rPr>
          <w:szCs w:val="20"/>
          <w:lang w:eastAsia="en-GB"/>
        </w:rPr>
        <w:t>], necessary information within a reasonable period", rather than "significantly imped[</w:t>
      </w:r>
      <w:proofErr w:type="spellStart"/>
      <w:r w:rsidRPr="00244CCE">
        <w:rPr>
          <w:szCs w:val="20"/>
          <w:lang w:eastAsia="en-GB"/>
        </w:rPr>
        <w:t>ing</w:t>
      </w:r>
      <w:proofErr w:type="spellEnd"/>
      <w:r w:rsidRPr="00244CCE">
        <w:rPr>
          <w:szCs w:val="20"/>
          <w:lang w:eastAsia="en-GB"/>
        </w:rPr>
        <w:t>] the investigation".</w:t>
      </w:r>
      <w:r w:rsidRPr="00F97844">
        <w:rPr>
          <w:rStyle w:val="FootnoteReference"/>
        </w:rPr>
        <w:footnoteReference w:id="154"/>
      </w:r>
      <w:r w:rsidRPr="00F97844">
        <w:rPr>
          <w:szCs w:val="20"/>
          <w:lang w:eastAsia="en-GB"/>
        </w:rPr>
        <w:t xml:space="preserve"> To the Panel, the term "necessary" in Article 12.7 of the SCM Agreement is "concerned with overcoming the absence of information required to complete a determination"</w:t>
      </w:r>
      <w:r w:rsidR="005D3697" w:rsidRPr="00F97844">
        <w:rPr>
          <w:szCs w:val="20"/>
          <w:lang w:eastAsia="en-GB"/>
        </w:rPr>
        <w:t>.</w:t>
      </w:r>
      <w:r w:rsidRPr="00F97844">
        <w:rPr>
          <w:rStyle w:val="FootnoteReference"/>
        </w:rPr>
        <w:footnoteReference w:id="155"/>
      </w:r>
      <w:r w:rsidRPr="00F97844">
        <w:rPr>
          <w:szCs w:val="20"/>
          <w:lang w:eastAsia="en-GB"/>
        </w:rPr>
        <w:t xml:space="preserve"> The Panel distinguished between "necessary" information and information </w:t>
      </w:r>
      <w:r w:rsidR="005D3697" w:rsidRPr="00244CCE">
        <w:rPr>
          <w:szCs w:val="20"/>
          <w:lang w:eastAsia="en-GB"/>
        </w:rPr>
        <w:t xml:space="preserve">that </w:t>
      </w:r>
      <w:r w:rsidRPr="00244CCE">
        <w:rPr>
          <w:szCs w:val="20"/>
          <w:lang w:eastAsia="en-GB"/>
        </w:rPr>
        <w:t>is merely "requested" or "required".</w:t>
      </w:r>
      <w:r w:rsidRPr="00F97844">
        <w:rPr>
          <w:rStyle w:val="FootnoteReference"/>
        </w:rPr>
        <w:footnoteReference w:id="156"/>
      </w:r>
      <w:r w:rsidRPr="00F97844">
        <w:rPr>
          <w:szCs w:val="20"/>
          <w:lang w:eastAsia="en-GB"/>
        </w:rPr>
        <w:t xml:space="preserve"> To the Panel, only a request for "necessary" information may justify use of "facts available".</w:t>
      </w:r>
      <w:r w:rsidRPr="00F97844">
        <w:rPr>
          <w:rStyle w:val="FootnoteReference"/>
        </w:rPr>
        <w:footnoteReference w:id="157"/>
      </w:r>
      <w:r w:rsidRPr="00F97844">
        <w:rPr>
          <w:szCs w:val="20"/>
          <w:lang w:eastAsia="en-GB"/>
        </w:rPr>
        <w:t xml:space="preserve"> </w:t>
      </w:r>
    </w:p>
    <w:p w14:paraId="7539AE9B" w14:textId="0D4FFB66" w:rsidR="00B010B2" w:rsidRPr="00F97844" w:rsidRDefault="00B010B2" w:rsidP="00F73DD3">
      <w:pPr>
        <w:numPr>
          <w:ilvl w:val="6"/>
          <w:numId w:val="28"/>
        </w:numPr>
        <w:spacing w:after="240"/>
      </w:pPr>
      <w:r w:rsidRPr="00244CCE">
        <w:rPr>
          <w:szCs w:val="20"/>
          <w:lang w:eastAsia="en-GB"/>
        </w:rPr>
        <w:t>In relation to Resolute, the Panel noted that Resolute and Canada had not indicated any other assistance in response to the OFA question.</w:t>
      </w:r>
      <w:r w:rsidRPr="00F97844">
        <w:rPr>
          <w:rStyle w:val="FootnoteReference"/>
        </w:rPr>
        <w:footnoteReference w:id="158"/>
      </w:r>
      <w:r w:rsidRPr="00F97844">
        <w:rPr>
          <w:szCs w:val="20"/>
          <w:lang w:eastAsia="en-GB"/>
        </w:rPr>
        <w:t xml:space="preserve"> The Panel also noted that, at the verification stage of the underlying investigation, the USDOC had discovered certain forms of assistance </w:t>
      </w:r>
      <w:r w:rsidR="005D3697" w:rsidRPr="00F97844">
        <w:rPr>
          <w:szCs w:val="20"/>
          <w:lang w:eastAsia="en-GB"/>
        </w:rPr>
        <w:t xml:space="preserve">that </w:t>
      </w:r>
      <w:r w:rsidRPr="00244CCE">
        <w:rPr>
          <w:szCs w:val="20"/>
          <w:lang w:eastAsia="en-GB"/>
        </w:rPr>
        <w:t>had not been disclosed in response to the OFA question.</w:t>
      </w:r>
      <w:r w:rsidRPr="00F97844">
        <w:rPr>
          <w:rStyle w:val="FootnoteReference"/>
        </w:rPr>
        <w:footnoteReference w:id="159"/>
      </w:r>
      <w:r w:rsidRPr="00F97844">
        <w:rPr>
          <w:szCs w:val="20"/>
          <w:lang w:eastAsia="en-GB"/>
        </w:rPr>
        <w:t xml:space="preserve"> The USDOC consequently determined that the use of </w:t>
      </w:r>
      <w:r w:rsidR="00222528" w:rsidRPr="00244CCE">
        <w:rPr>
          <w:szCs w:val="20"/>
          <w:lang w:eastAsia="en-GB"/>
        </w:rPr>
        <w:t>"</w:t>
      </w:r>
      <w:r w:rsidRPr="00244CCE">
        <w:rPr>
          <w:szCs w:val="20"/>
          <w:lang w:eastAsia="en-GB"/>
        </w:rPr>
        <w:t>facts available</w:t>
      </w:r>
      <w:r w:rsidR="00222528" w:rsidRPr="00244CCE">
        <w:rPr>
          <w:szCs w:val="20"/>
          <w:lang w:eastAsia="en-GB"/>
        </w:rPr>
        <w:t>"</w:t>
      </w:r>
      <w:r w:rsidRPr="00244CCE">
        <w:rPr>
          <w:szCs w:val="20"/>
          <w:lang w:eastAsia="en-GB"/>
        </w:rPr>
        <w:t xml:space="preserve"> was warranted with respect to Resolute and concluded that the discovered forms of assistance provided a financial contribution and were specific, and that a benefit had been conferred.</w:t>
      </w:r>
      <w:r w:rsidRPr="00F97844">
        <w:rPr>
          <w:rStyle w:val="FootnoteReference"/>
        </w:rPr>
        <w:footnoteReference w:id="160"/>
      </w:r>
    </w:p>
    <w:p w14:paraId="40EC60A0" w14:textId="506C2D54" w:rsidR="00B010B2" w:rsidRPr="00F97844" w:rsidRDefault="00B010B2" w:rsidP="00F73DD3">
      <w:pPr>
        <w:numPr>
          <w:ilvl w:val="6"/>
          <w:numId w:val="28"/>
        </w:numPr>
        <w:spacing w:after="240"/>
      </w:pPr>
      <w:r w:rsidRPr="00F97844">
        <w:rPr>
          <w:szCs w:val="20"/>
          <w:lang w:eastAsia="en-GB"/>
        </w:rPr>
        <w:t xml:space="preserve">The Panel stated that it is logical </w:t>
      </w:r>
      <w:r w:rsidRPr="00244CCE">
        <w:rPr>
          <w:szCs w:val="20"/>
          <w:lang w:eastAsia="en-GB"/>
        </w:rPr>
        <w:t>to postulate that information pertaining to the existence of as</w:t>
      </w:r>
      <w:r w:rsidR="007643D6" w:rsidRPr="00244CCE">
        <w:rPr>
          <w:szCs w:val="20"/>
          <w:lang w:eastAsia="en-GB"/>
        </w:rPr>
        <w:noBreakHyphen/>
      </w:r>
      <w:r w:rsidRPr="00244CCE">
        <w:rPr>
          <w:szCs w:val="20"/>
          <w:lang w:eastAsia="en-GB"/>
        </w:rPr>
        <w:t>of</w:t>
      </w:r>
      <w:r w:rsidR="007643D6" w:rsidRPr="00244CCE">
        <w:rPr>
          <w:szCs w:val="20"/>
          <w:lang w:eastAsia="en-GB"/>
        </w:rPr>
        <w:noBreakHyphen/>
      </w:r>
      <w:r w:rsidRPr="00244CCE">
        <w:rPr>
          <w:szCs w:val="20"/>
          <w:lang w:eastAsia="en-GB"/>
        </w:rPr>
        <w:t xml:space="preserve">yet unidentified subsidy programmes benefiting the product under investigation is necessary </w:t>
      </w:r>
      <w:r w:rsidRPr="00244CCE">
        <w:rPr>
          <w:szCs w:val="18"/>
          <w:lang w:eastAsia="en-GB"/>
        </w:rPr>
        <w:t>information</w:t>
      </w:r>
      <w:r w:rsidRPr="00244CCE">
        <w:rPr>
          <w:szCs w:val="20"/>
          <w:lang w:eastAsia="en-GB"/>
        </w:rPr>
        <w:t xml:space="preserve"> under Article 12.7 of the SCM Agreement.</w:t>
      </w:r>
      <w:r w:rsidRPr="00F97844">
        <w:rPr>
          <w:rStyle w:val="FootnoteReference"/>
        </w:rPr>
        <w:footnoteReference w:id="161"/>
      </w:r>
      <w:r w:rsidRPr="00F97844">
        <w:rPr>
          <w:szCs w:val="20"/>
          <w:lang w:eastAsia="en-GB"/>
        </w:rPr>
        <w:t xml:space="preserve"> In order to justify recourse to </w:t>
      </w:r>
      <w:r w:rsidR="00E479E9" w:rsidRPr="00F97844">
        <w:rPr>
          <w:szCs w:val="20"/>
          <w:lang w:eastAsia="en-GB"/>
        </w:rPr>
        <w:t>"</w:t>
      </w:r>
      <w:r w:rsidRPr="00244CCE">
        <w:rPr>
          <w:szCs w:val="20"/>
          <w:lang w:eastAsia="en-GB"/>
        </w:rPr>
        <w:t>facts available</w:t>
      </w:r>
      <w:r w:rsidR="00E479E9" w:rsidRPr="00244CCE">
        <w:rPr>
          <w:szCs w:val="20"/>
          <w:lang w:eastAsia="en-GB"/>
        </w:rPr>
        <w:t>"</w:t>
      </w:r>
      <w:r w:rsidRPr="00244CCE">
        <w:rPr>
          <w:szCs w:val="20"/>
          <w:lang w:eastAsia="en-GB"/>
        </w:rPr>
        <w:t xml:space="preserve"> on the grounds that such necessary information was refused access to or was otherwise not provided, </w:t>
      </w:r>
      <w:r w:rsidR="00B05979" w:rsidRPr="00244CCE">
        <w:rPr>
          <w:szCs w:val="20"/>
          <w:lang w:eastAsia="en-GB"/>
        </w:rPr>
        <w:t xml:space="preserve">however, </w:t>
      </w:r>
      <w:r w:rsidRPr="00244CCE">
        <w:rPr>
          <w:szCs w:val="20"/>
          <w:lang w:eastAsia="en-GB"/>
        </w:rPr>
        <w:t xml:space="preserve">the USDOC first needed to establish that the information </w:t>
      </w:r>
      <w:r w:rsidR="002E2176" w:rsidRPr="00244CCE">
        <w:rPr>
          <w:szCs w:val="20"/>
          <w:lang w:eastAsia="en-GB"/>
        </w:rPr>
        <w:t xml:space="preserve">about the </w:t>
      </w:r>
      <w:r w:rsidRPr="00244CCE">
        <w:rPr>
          <w:szCs w:val="20"/>
          <w:lang w:eastAsia="en-GB"/>
        </w:rPr>
        <w:t>discovered</w:t>
      </w:r>
      <w:r w:rsidR="002E2176" w:rsidRPr="00244CCE">
        <w:rPr>
          <w:szCs w:val="20"/>
          <w:lang w:eastAsia="en-GB"/>
        </w:rPr>
        <w:t xml:space="preserve"> assistance</w:t>
      </w:r>
      <w:r w:rsidRPr="00244CCE">
        <w:rPr>
          <w:szCs w:val="20"/>
          <w:lang w:eastAsia="en-GB"/>
        </w:rPr>
        <w:t xml:space="preserve"> was information necessary to complete a determination on subsidization of the product under consideration.</w:t>
      </w:r>
      <w:r w:rsidRPr="00F97844">
        <w:rPr>
          <w:rStyle w:val="FootnoteReference"/>
        </w:rPr>
        <w:footnoteReference w:id="162"/>
      </w:r>
      <w:r w:rsidRPr="00F97844">
        <w:rPr>
          <w:szCs w:val="20"/>
          <w:lang w:eastAsia="en-GB"/>
        </w:rPr>
        <w:t xml:space="preserve"> The Panel considered that the USDOC failed to do so. Instead, having found certain entries during verification, the USDOC inferred that these entries pertained to countervailable subsidization of </w:t>
      </w:r>
      <w:proofErr w:type="spellStart"/>
      <w:r w:rsidRPr="00F97844">
        <w:rPr>
          <w:szCs w:val="20"/>
          <w:lang w:eastAsia="en-GB"/>
        </w:rPr>
        <w:t>sup</w:t>
      </w:r>
      <w:r w:rsidRPr="00244CCE">
        <w:rPr>
          <w:szCs w:val="20"/>
          <w:lang w:eastAsia="en-GB"/>
        </w:rPr>
        <w:t>ercalendered</w:t>
      </w:r>
      <w:proofErr w:type="spellEnd"/>
      <w:r w:rsidRPr="00244CCE">
        <w:rPr>
          <w:szCs w:val="20"/>
          <w:lang w:eastAsia="en-GB"/>
        </w:rPr>
        <w:t xml:space="preserve"> paper, "without taking any further steps to confirm that this was in fact the case and providing a reasoned and adequate explanation to that effect"</w:t>
      </w:r>
      <w:r w:rsidR="005D3697" w:rsidRPr="00244CCE">
        <w:rPr>
          <w:szCs w:val="20"/>
          <w:lang w:eastAsia="en-GB"/>
        </w:rPr>
        <w:t>.</w:t>
      </w:r>
      <w:r w:rsidRPr="00F97844">
        <w:rPr>
          <w:rStyle w:val="FootnoteReference"/>
        </w:rPr>
        <w:footnoteReference w:id="163"/>
      </w:r>
    </w:p>
    <w:p w14:paraId="4743BEC1" w14:textId="5DA78D85" w:rsidR="00B010B2" w:rsidRPr="00F97844" w:rsidRDefault="00B010B2" w:rsidP="00F73DD3">
      <w:pPr>
        <w:numPr>
          <w:ilvl w:val="6"/>
          <w:numId w:val="28"/>
        </w:numPr>
        <w:spacing w:after="240"/>
      </w:pPr>
      <w:r w:rsidRPr="00F97844">
        <w:rPr>
          <w:szCs w:val="20"/>
          <w:lang w:eastAsia="en-GB"/>
        </w:rPr>
        <w:lastRenderedPageBreak/>
        <w:t xml:space="preserve">The </w:t>
      </w:r>
      <w:r w:rsidRPr="00244CCE">
        <w:rPr>
          <w:szCs w:val="18"/>
          <w:lang w:eastAsia="en-GB"/>
        </w:rPr>
        <w:t>Panel</w:t>
      </w:r>
      <w:r w:rsidRPr="00244CCE">
        <w:rPr>
          <w:szCs w:val="20"/>
          <w:lang w:eastAsia="en-GB"/>
        </w:rPr>
        <w:t xml:space="preserve"> acknowledged arguments by the United States in relation to the practical difficulties arising from the timing of verifications and the closing of the record of the USDOC's investigation. Nonetheless, the Panel held that it is the right of respondents that an investigating authority may only resort to "facts available" after properly determining that information necessary to complete a determination on additional subsidization of the product under investigation had been withheld.</w:t>
      </w:r>
      <w:r w:rsidRPr="00F97844">
        <w:rPr>
          <w:rStyle w:val="FootnoteReference"/>
        </w:rPr>
        <w:footnoteReference w:id="164"/>
      </w:r>
      <w:r w:rsidRPr="00F97844">
        <w:rPr>
          <w:szCs w:val="20"/>
          <w:lang w:eastAsia="en-GB"/>
        </w:rPr>
        <w:t xml:space="preserve"> The fact that it would have been inconvenient or impracti</w:t>
      </w:r>
      <w:r w:rsidRPr="00244CCE">
        <w:rPr>
          <w:szCs w:val="20"/>
          <w:lang w:eastAsia="en-GB"/>
        </w:rPr>
        <w:t xml:space="preserve">cal for the USDOC to take further steps to confirm the basic nature of the discovered </w:t>
      </w:r>
      <w:r w:rsidR="002E2176" w:rsidRPr="00244CCE">
        <w:rPr>
          <w:szCs w:val="20"/>
          <w:lang w:eastAsia="en-GB"/>
        </w:rPr>
        <w:t xml:space="preserve">assistance </w:t>
      </w:r>
      <w:r w:rsidRPr="00244CCE">
        <w:rPr>
          <w:szCs w:val="20"/>
          <w:lang w:eastAsia="en-GB"/>
        </w:rPr>
        <w:t>cannot outweigh the due process rights enshrined in the WTO Agreements.</w:t>
      </w:r>
      <w:r w:rsidRPr="00F97844">
        <w:rPr>
          <w:rStyle w:val="FootnoteReference"/>
        </w:rPr>
        <w:footnoteReference w:id="165"/>
      </w:r>
      <w:r w:rsidRPr="00F97844">
        <w:rPr>
          <w:szCs w:val="20"/>
          <w:lang w:eastAsia="en-GB"/>
        </w:rPr>
        <w:t xml:space="preserve"> The Panel explained that this is all the more applicable where an investigating author</w:t>
      </w:r>
      <w:r w:rsidRPr="00244CCE">
        <w:rPr>
          <w:szCs w:val="20"/>
          <w:lang w:eastAsia="en-GB"/>
        </w:rPr>
        <w:t>ity elects to add subsidy programmes to an ongoing investigation.</w:t>
      </w:r>
      <w:r w:rsidRPr="00F97844">
        <w:rPr>
          <w:rStyle w:val="FootnoteReference"/>
        </w:rPr>
        <w:footnoteReference w:id="166"/>
      </w:r>
      <w:r w:rsidRPr="00F97844">
        <w:rPr>
          <w:szCs w:val="20"/>
          <w:lang w:eastAsia="en-GB"/>
        </w:rPr>
        <w:t xml:space="preserve"> </w:t>
      </w:r>
    </w:p>
    <w:p w14:paraId="0CF9C9C8" w14:textId="77777777" w:rsidR="00B010B2" w:rsidRPr="00F97844" w:rsidRDefault="00B010B2" w:rsidP="00F73DD3">
      <w:pPr>
        <w:numPr>
          <w:ilvl w:val="6"/>
          <w:numId w:val="28"/>
        </w:numPr>
        <w:spacing w:after="240"/>
      </w:pPr>
      <w:r w:rsidRPr="00244CCE">
        <w:rPr>
          <w:szCs w:val="20"/>
          <w:lang w:eastAsia="en-GB"/>
        </w:rPr>
        <w:t>While recognizing that Canada does not contest the USDOC's right to ask the OFA question</w:t>
      </w:r>
      <w:r w:rsidRPr="00F97844">
        <w:rPr>
          <w:rStyle w:val="FootnoteReference"/>
        </w:rPr>
        <w:footnoteReference w:id="167"/>
      </w:r>
      <w:r w:rsidRPr="00F97844">
        <w:rPr>
          <w:szCs w:val="20"/>
          <w:lang w:eastAsia="en-GB"/>
        </w:rPr>
        <w:t>, the Panel noted that the OFA question is very broad. To the Panel, while the OFA question might p</w:t>
      </w:r>
      <w:r w:rsidRPr="00244CCE">
        <w:rPr>
          <w:szCs w:val="20"/>
          <w:lang w:eastAsia="en-GB"/>
        </w:rPr>
        <w:t xml:space="preserve">ertain to necessary information regarding additional subsidization of the product under </w:t>
      </w:r>
      <w:r w:rsidRPr="00244CCE">
        <w:rPr>
          <w:szCs w:val="18"/>
          <w:lang w:eastAsia="en-GB"/>
        </w:rPr>
        <w:t>investigation</w:t>
      </w:r>
      <w:r w:rsidRPr="00244CCE">
        <w:rPr>
          <w:szCs w:val="20"/>
          <w:lang w:eastAsia="en-GB"/>
        </w:rPr>
        <w:t>, it may also pertain to a much broader range of "assistance".</w:t>
      </w:r>
      <w:r w:rsidRPr="00F97844">
        <w:rPr>
          <w:rStyle w:val="FootnoteReference"/>
        </w:rPr>
        <w:footnoteReference w:id="168"/>
      </w:r>
      <w:r w:rsidRPr="00F97844">
        <w:rPr>
          <w:szCs w:val="20"/>
          <w:lang w:eastAsia="en-GB"/>
        </w:rPr>
        <w:t xml:space="preserve"> The Panel considered that, in these circumstances, the investigating authority may not infe</w:t>
      </w:r>
      <w:r w:rsidRPr="00244CCE">
        <w:rPr>
          <w:szCs w:val="20"/>
          <w:lang w:eastAsia="en-GB"/>
        </w:rPr>
        <w:t>r that a respondent's failure to respond fully to such a question resulted in a failure to provide information necessary to establish the existence of additional subsidization of the product under investigation. To the Panel, more is required of the investigating authority.</w:t>
      </w:r>
      <w:r w:rsidRPr="00F97844">
        <w:rPr>
          <w:rStyle w:val="FootnoteReference"/>
        </w:rPr>
        <w:footnoteReference w:id="169"/>
      </w:r>
      <w:r w:rsidRPr="00F97844">
        <w:rPr>
          <w:szCs w:val="20"/>
          <w:lang w:eastAsia="en-GB"/>
        </w:rPr>
        <w:t xml:space="preserve"> </w:t>
      </w:r>
    </w:p>
    <w:p w14:paraId="65BEC510" w14:textId="77777777" w:rsidR="00B010B2" w:rsidRPr="00F97844" w:rsidRDefault="00B010B2" w:rsidP="00F73DD3">
      <w:pPr>
        <w:numPr>
          <w:ilvl w:val="6"/>
          <w:numId w:val="28"/>
        </w:numPr>
        <w:spacing w:after="240"/>
      </w:pPr>
      <w:r w:rsidRPr="00F97844">
        <w:rPr>
          <w:szCs w:val="20"/>
          <w:lang w:eastAsia="en-GB"/>
        </w:rPr>
        <w:t xml:space="preserve">The Panel then examined the USDOC's decision to disregard the actual amounts discovered during verification when determining benefit. Instead of using the actual amounts from </w:t>
      </w:r>
      <w:proofErr w:type="spellStart"/>
      <w:r w:rsidRPr="00F97844">
        <w:rPr>
          <w:szCs w:val="20"/>
          <w:lang w:eastAsia="en-GB"/>
        </w:rPr>
        <w:t>Resolute's</w:t>
      </w:r>
      <w:proofErr w:type="spellEnd"/>
      <w:r w:rsidRPr="00F97844">
        <w:rPr>
          <w:szCs w:val="20"/>
          <w:lang w:eastAsia="en-GB"/>
        </w:rPr>
        <w:t xml:space="preserve"> company ledger, the USDOC relied on the rates cal</w:t>
      </w:r>
      <w:r w:rsidRPr="00244CCE">
        <w:rPr>
          <w:szCs w:val="20"/>
          <w:lang w:eastAsia="en-GB"/>
        </w:rPr>
        <w:t>culated in an unrelated investigation.</w:t>
      </w:r>
      <w:r w:rsidRPr="00F97844">
        <w:rPr>
          <w:rStyle w:val="FootnoteReference"/>
        </w:rPr>
        <w:footnoteReference w:id="170"/>
      </w:r>
      <w:r w:rsidRPr="00F97844">
        <w:rPr>
          <w:szCs w:val="20"/>
          <w:lang w:eastAsia="en-GB"/>
        </w:rPr>
        <w:t xml:space="preserve"> The Panel explained that reliance on such rates "over information found by the verification team in a respondent's own company ledger, without analysing that information, was not justified".</w:t>
      </w:r>
      <w:r w:rsidRPr="00F97844">
        <w:rPr>
          <w:rStyle w:val="FootnoteReference"/>
        </w:rPr>
        <w:footnoteReference w:id="171"/>
      </w:r>
      <w:r w:rsidRPr="00F97844">
        <w:rPr>
          <w:szCs w:val="20"/>
          <w:lang w:eastAsia="en-GB"/>
        </w:rPr>
        <w:t xml:space="preserve"> To the Panel, this was especially the case si</w:t>
      </w:r>
      <w:r w:rsidRPr="00244CCE">
        <w:rPr>
          <w:szCs w:val="20"/>
          <w:lang w:eastAsia="en-GB"/>
        </w:rPr>
        <w:t>nce the USDOC had already relied on information in that ledger to infer the existence of a countervailable subsidy. The Panel concluded that the USDOC's use of facts other than actual amounts present in the company ledger discovered at verification, without reasoned and adequate explanation, was inconsistent with Article 12.7 of the SCM Agreement.</w:t>
      </w:r>
      <w:r w:rsidRPr="00F97844">
        <w:rPr>
          <w:rStyle w:val="FootnoteReference"/>
        </w:rPr>
        <w:footnoteReference w:id="172"/>
      </w:r>
      <w:r w:rsidRPr="00F97844">
        <w:rPr>
          <w:szCs w:val="20"/>
          <w:lang w:eastAsia="en-GB"/>
        </w:rPr>
        <w:t xml:space="preserve"> </w:t>
      </w:r>
    </w:p>
    <w:p w14:paraId="629AD49F" w14:textId="5D8B63C6" w:rsidR="00B010B2" w:rsidRPr="00F97844" w:rsidRDefault="00B010B2" w:rsidP="00F73DD3">
      <w:pPr>
        <w:numPr>
          <w:ilvl w:val="6"/>
          <w:numId w:val="28"/>
        </w:numPr>
        <w:spacing w:after="240"/>
      </w:pPr>
      <w:r w:rsidRPr="00244CCE">
        <w:rPr>
          <w:szCs w:val="20"/>
          <w:lang w:eastAsia="en-GB"/>
        </w:rPr>
        <w:t>The Panel next considered Canada's claim that the OFA</w:t>
      </w:r>
      <w:r w:rsidR="007643D6" w:rsidRPr="00244CCE">
        <w:rPr>
          <w:szCs w:val="20"/>
          <w:lang w:eastAsia="en-GB"/>
        </w:rPr>
        <w:noBreakHyphen/>
      </w:r>
      <w:r w:rsidRPr="00244CCE">
        <w:rPr>
          <w:szCs w:val="20"/>
          <w:lang w:eastAsia="en-GB"/>
        </w:rPr>
        <w:t>AFA</w:t>
      </w:r>
      <w:r w:rsidR="007B4980">
        <w:rPr>
          <w:szCs w:val="20"/>
          <w:lang w:eastAsia="en-GB"/>
        </w:rPr>
        <w:t> </w:t>
      </w:r>
      <w:r w:rsidRPr="00244CCE">
        <w:rPr>
          <w:szCs w:val="20"/>
          <w:lang w:eastAsia="en-GB"/>
        </w:rPr>
        <w:t>measure, as an "ongoing conduct" measure, is inconsistent with Article 12.7 of the SCM Agreement</w:t>
      </w:r>
      <w:r w:rsidR="006816DD" w:rsidRPr="00244CCE">
        <w:rPr>
          <w:szCs w:val="20"/>
          <w:lang w:eastAsia="en-GB"/>
        </w:rPr>
        <w:t>.</w:t>
      </w:r>
      <w:r w:rsidRPr="00244CCE">
        <w:rPr>
          <w:szCs w:val="20"/>
          <w:lang w:eastAsia="en-GB"/>
        </w:rPr>
        <w:t xml:space="preserve"> Addressing this </w:t>
      </w:r>
      <w:r w:rsidR="006816DD" w:rsidRPr="00244CCE">
        <w:rPr>
          <w:szCs w:val="20"/>
          <w:lang w:eastAsia="en-GB"/>
        </w:rPr>
        <w:t>claim of inconsistency</w:t>
      </w:r>
      <w:r w:rsidRPr="00244CCE">
        <w:rPr>
          <w:szCs w:val="20"/>
          <w:lang w:eastAsia="en-GB"/>
        </w:rPr>
        <w:t xml:space="preserve"> in paragraph</w:t>
      </w:r>
      <w:r w:rsidR="006816DD" w:rsidRPr="00244CCE">
        <w:rPr>
          <w:szCs w:val="20"/>
          <w:lang w:eastAsia="en-GB"/>
        </w:rPr>
        <w:t> </w:t>
      </w:r>
      <w:r w:rsidRPr="00244CCE">
        <w:rPr>
          <w:szCs w:val="20"/>
          <w:lang w:eastAsia="en-GB"/>
        </w:rPr>
        <w:t xml:space="preserve">7.333, </w:t>
      </w:r>
      <w:r w:rsidR="000E0CD0" w:rsidRPr="00244CCE">
        <w:rPr>
          <w:szCs w:val="20"/>
          <w:lang w:eastAsia="en-GB"/>
        </w:rPr>
        <w:t>the Panel noted that</w:t>
      </w:r>
      <w:r w:rsidRPr="00244CCE">
        <w:rPr>
          <w:szCs w:val="20"/>
          <w:lang w:eastAsia="en-GB"/>
        </w:rPr>
        <w:t>, while a broad question such as the OFA question might pertain to necessary information regarding additional subsidization of the product under investigation, it may also pertain to a much broader range of "assistance".</w:t>
      </w:r>
      <w:r w:rsidRPr="00F97844">
        <w:rPr>
          <w:rStyle w:val="FootnoteReference"/>
        </w:rPr>
        <w:footnoteReference w:id="173"/>
      </w:r>
      <w:r w:rsidRPr="00F97844">
        <w:rPr>
          <w:szCs w:val="20"/>
          <w:lang w:eastAsia="en-GB"/>
        </w:rPr>
        <w:t xml:space="preserve"> As the Panel stated, in these circumstances, an investigating authority may not simply infer that a respondent's failure to respond fully to the OFA question resulted in a failure to provide information necessary to</w:t>
      </w:r>
      <w:r w:rsidRPr="00244CCE">
        <w:rPr>
          <w:szCs w:val="20"/>
          <w:lang w:eastAsia="en-GB"/>
        </w:rPr>
        <w:t xml:space="preserve"> establish the existence of additional subsidization of the product under investigation.</w:t>
      </w:r>
      <w:r w:rsidRPr="00F97844">
        <w:rPr>
          <w:rStyle w:val="FootnoteReference"/>
        </w:rPr>
        <w:footnoteReference w:id="174"/>
      </w:r>
      <w:r w:rsidRPr="00F97844">
        <w:rPr>
          <w:szCs w:val="20"/>
          <w:lang w:eastAsia="en-GB"/>
        </w:rPr>
        <w:t xml:space="preserve"> The Panel noted that, in light of the due process rights enjoyed by interested parties throughout an investigation, an investigating authority may only resort to </w:t>
      </w:r>
      <w:r w:rsidR="00E479E9" w:rsidRPr="00244CCE">
        <w:rPr>
          <w:szCs w:val="20"/>
          <w:lang w:eastAsia="en-GB"/>
        </w:rPr>
        <w:t>"</w:t>
      </w:r>
      <w:r w:rsidRPr="00244CCE">
        <w:rPr>
          <w:szCs w:val="20"/>
          <w:lang w:eastAsia="en-GB"/>
        </w:rPr>
        <w:t>facts available</w:t>
      </w:r>
      <w:r w:rsidR="00E479E9" w:rsidRPr="00244CCE">
        <w:rPr>
          <w:szCs w:val="20"/>
          <w:lang w:eastAsia="en-GB"/>
        </w:rPr>
        <w:t>"</w:t>
      </w:r>
      <w:r w:rsidRPr="00244CCE">
        <w:rPr>
          <w:szCs w:val="20"/>
          <w:lang w:eastAsia="en-GB"/>
        </w:rPr>
        <w:t xml:space="preserve"> after properly determining that information necessary to complete a determination on additional subsidization of the product under investigation had been withheld.</w:t>
      </w:r>
      <w:r w:rsidRPr="00F97844">
        <w:rPr>
          <w:rStyle w:val="FootnoteReference"/>
        </w:rPr>
        <w:footnoteReference w:id="175"/>
      </w:r>
      <w:r w:rsidRPr="00F97844">
        <w:rPr>
          <w:szCs w:val="20"/>
          <w:lang w:eastAsia="en-GB"/>
        </w:rPr>
        <w:t xml:space="preserve"> To the Panel, this is all the more applicable where an investigating authorit</w:t>
      </w:r>
      <w:r w:rsidRPr="00244CCE">
        <w:rPr>
          <w:szCs w:val="20"/>
          <w:lang w:eastAsia="en-GB"/>
        </w:rPr>
        <w:t>y elects to add subsidy programmes to an ongoing investigation, rather than investigating only the subsidies identified in the notice of initiation.</w:t>
      </w:r>
      <w:r w:rsidRPr="00F97844">
        <w:rPr>
          <w:rStyle w:val="FootnoteReference"/>
        </w:rPr>
        <w:footnoteReference w:id="176"/>
      </w:r>
      <w:r w:rsidR="006816DD" w:rsidRPr="00F97844">
        <w:rPr>
          <w:szCs w:val="20"/>
          <w:lang w:eastAsia="en-GB"/>
        </w:rPr>
        <w:t xml:space="preserve"> The Panel concluded that the challenged measure is inconsistent with Article 12.7 of the SCM Agreement. The </w:t>
      </w:r>
      <w:r w:rsidR="006816DD" w:rsidRPr="00F97844">
        <w:rPr>
          <w:szCs w:val="20"/>
          <w:lang w:eastAsia="en-GB"/>
        </w:rPr>
        <w:lastRenderedPageBreak/>
        <w:t xml:space="preserve">Panel noted that this </w:t>
      </w:r>
      <w:r w:rsidR="00D1730F" w:rsidRPr="00244CCE">
        <w:rPr>
          <w:szCs w:val="20"/>
          <w:lang w:eastAsia="en-GB"/>
        </w:rPr>
        <w:t xml:space="preserve">conclusion </w:t>
      </w:r>
      <w:r w:rsidR="006816DD" w:rsidRPr="00244CCE">
        <w:rPr>
          <w:szCs w:val="20"/>
          <w:lang w:eastAsia="en-GB"/>
        </w:rPr>
        <w:t xml:space="preserve">was in line with its findings in </w:t>
      </w:r>
      <w:r w:rsidR="0046558E" w:rsidRPr="00244CCE">
        <w:rPr>
          <w:szCs w:val="20"/>
          <w:lang w:eastAsia="en-GB"/>
        </w:rPr>
        <w:t>s</w:t>
      </w:r>
      <w:r w:rsidR="006816DD" w:rsidRPr="00244CCE">
        <w:rPr>
          <w:szCs w:val="20"/>
          <w:lang w:eastAsia="en-GB"/>
        </w:rPr>
        <w:t>ection 7.4.1.4 of the Panel</w:t>
      </w:r>
      <w:r w:rsidR="00062DDD" w:rsidRPr="00244CCE">
        <w:rPr>
          <w:szCs w:val="20"/>
          <w:lang w:eastAsia="en-GB"/>
        </w:rPr>
        <w:t> Report</w:t>
      </w:r>
      <w:r w:rsidR="006816DD" w:rsidRPr="00244CCE">
        <w:rPr>
          <w:szCs w:val="20"/>
          <w:lang w:eastAsia="en-GB"/>
        </w:rPr>
        <w:t xml:space="preserve"> relating to Resolute.</w:t>
      </w:r>
      <w:r w:rsidR="006816DD" w:rsidRPr="00F97844">
        <w:rPr>
          <w:rStyle w:val="FootnoteReference"/>
          <w:szCs w:val="20"/>
          <w:lang w:eastAsia="en-GB"/>
        </w:rPr>
        <w:footnoteReference w:id="177"/>
      </w:r>
    </w:p>
    <w:p w14:paraId="68DBC17C" w14:textId="77777777" w:rsidR="00B010B2" w:rsidRPr="00244CCE" w:rsidRDefault="00B010B2" w:rsidP="00F73DD3">
      <w:pPr>
        <w:pStyle w:val="Heading3"/>
      </w:pPr>
      <w:bookmarkStart w:id="114" w:name="_Toc30412741"/>
      <w:r w:rsidRPr="00F97844">
        <w:t>Whether the Panel erred under Article 12.7 of the DSU by failing to provide a "basic rationale"</w:t>
      </w:r>
      <w:bookmarkEnd w:id="105"/>
      <w:bookmarkEnd w:id="106"/>
      <w:bookmarkEnd w:id="107"/>
      <w:bookmarkEnd w:id="108"/>
      <w:bookmarkEnd w:id="109"/>
      <w:bookmarkEnd w:id="110"/>
      <w:bookmarkEnd w:id="111"/>
      <w:bookmarkEnd w:id="112"/>
      <w:bookmarkEnd w:id="113"/>
      <w:bookmarkEnd w:id="114"/>
    </w:p>
    <w:p w14:paraId="519A9733" w14:textId="32BAA7B9" w:rsidR="00B010B2" w:rsidRPr="00F97844" w:rsidRDefault="00B010B2" w:rsidP="00F73DD3">
      <w:pPr>
        <w:numPr>
          <w:ilvl w:val="6"/>
          <w:numId w:val="28"/>
        </w:numPr>
        <w:spacing w:after="240"/>
        <w:rPr>
          <w:szCs w:val="18"/>
        </w:rPr>
      </w:pPr>
      <w:r w:rsidRPr="00244CCE">
        <w:rPr>
          <w:szCs w:val="20"/>
          <w:lang w:eastAsia="en-GB"/>
        </w:rPr>
        <w:t xml:space="preserve">The United States claims that the Panel erred under Article 12.7 of the DSU by failing to provide a "basic </w:t>
      </w:r>
      <w:r w:rsidRPr="00244CCE">
        <w:rPr>
          <w:szCs w:val="18"/>
          <w:lang w:eastAsia="en-GB"/>
        </w:rPr>
        <w:t>rationale</w:t>
      </w:r>
      <w:r w:rsidRPr="00244CCE">
        <w:rPr>
          <w:szCs w:val="20"/>
          <w:lang w:eastAsia="en-GB"/>
        </w:rPr>
        <w:t>" for its finding that 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measure is inconsistent with Article 12.7 of the SCM Agreement.</w:t>
      </w:r>
      <w:r w:rsidRPr="00F97844">
        <w:rPr>
          <w:rStyle w:val="FootnoteReference"/>
        </w:rPr>
        <w:footnoteReference w:id="178"/>
      </w:r>
      <w:r w:rsidRPr="00F97844">
        <w:rPr>
          <w:szCs w:val="20"/>
          <w:lang w:eastAsia="en-GB"/>
        </w:rPr>
        <w:t xml:space="preserve"> Canada responds that the Panel met the minimum stand</w:t>
      </w:r>
      <w:r w:rsidRPr="00244CCE">
        <w:rPr>
          <w:szCs w:val="20"/>
          <w:lang w:eastAsia="en-GB"/>
        </w:rPr>
        <w:t xml:space="preserve">ard of providing a "basic rationale" in accordance with Article 12.7 </w:t>
      </w:r>
      <w:r w:rsidRPr="00244CCE">
        <w:rPr>
          <w:szCs w:val="18"/>
          <w:lang w:eastAsia="en-GB"/>
        </w:rPr>
        <w:t>of the DSU.</w:t>
      </w:r>
      <w:r w:rsidRPr="00F97844">
        <w:rPr>
          <w:rStyle w:val="FootnoteReference"/>
        </w:rPr>
        <w:footnoteReference w:id="179"/>
      </w:r>
      <w:r w:rsidRPr="00F97844">
        <w:rPr>
          <w:szCs w:val="18"/>
          <w:lang w:eastAsia="en-GB"/>
        </w:rPr>
        <w:t xml:space="preserve"> </w:t>
      </w:r>
    </w:p>
    <w:p w14:paraId="32A7619C" w14:textId="1183E255" w:rsidR="00B010B2" w:rsidRPr="00F97844" w:rsidRDefault="00B010B2" w:rsidP="00F73DD3">
      <w:pPr>
        <w:numPr>
          <w:ilvl w:val="6"/>
          <w:numId w:val="28"/>
        </w:numPr>
        <w:spacing w:after="240"/>
        <w:rPr>
          <w:szCs w:val="18"/>
        </w:rPr>
      </w:pPr>
      <w:bookmarkStart w:id="115" w:name="_Hlk24994114"/>
      <w:r w:rsidRPr="00244CCE">
        <w:rPr>
          <w:szCs w:val="18"/>
          <w:lang w:eastAsia="en-GB"/>
        </w:rPr>
        <w:t>Article 12.7 of the DSU provides, in relevant part, that the report of a panel shall set out the findings of fact, the applicability of relevant provisions</w:t>
      </w:r>
      <w:r w:rsidR="005066B2" w:rsidRPr="00244CCE">
        <w:rPr>
          <w:szCs w:val="18"/>
          <w:lang w:eastAsia="en-GB"/>
        </w:rPr>
        <w:t>,</w:t>
      </w:r>
      <w:r w:rsidRPr="00244CCE">
        <w:rPr>
          <w:szCs w:val="18"/>
          <w:lang w:eastAsia="en-GB"/>
        </w:rPr>
        <w:t xml:space="preserve"> and the basic rationale behind any findings and recommendations that it makes. The requirement to set out a "basic rationale" establishes a minimum standard for the reasoning that panels must provide in support of their findings and recommendations.</w:t>
      </w:r>
      <w:r w:rsidRPr="00F97844">
        <w:rPr>
          <w:rStyle w:val="FootnoteReference"/>
        </w:rPr>
        <w:footnoteReference w:id="180"/>
      </w:r>
      <w:r w:rsidRPr="00F97844">
        <w:rPr>
          <w:szCs w:val="18"/>
          <w:lang w:eastAsia="en-GB"/>
        </w:rPr>
        <w:t xml:space="preserve"> To meet this minimum </w:t>
      </w:r>
      <w:r w:rsidRPr="00244CCE">
        <w:rPr>
          <w:szCs w:val="18"/>
          <w:lang w:eastAsia="en-GB"/>
        </w:rPr>
        <w:t>standard, panels must provide explanations and reasons sufficient to disclose the essential, or fundamental, justification for those findings and recommendations.</w:t>
      </w:r>
      <w:bookmarkEnd w:id="115"/>
      <w:r w:rsidRPr="00F97844">
        <w:rPr>
          <w:rStyle w:val="FootnoteReference"/>
        </w:rPr>
        <w:footnoteReference w:id="181"/>
      </w:r>
      <w:r w:rsidRPr="00F97844">
        <w:rPr>
          <w:szCs w:val="18"/>
          <w:lang w:eastAsia="en-GB"/>
        </w:rPr>
        <w:t xml:space="preserve"> Whether a panel has articulated a "basic rationale" for its findings is determined on a case</w:t>
      </w:r>
      <w:r w:rsidR="007643D6" w:rsidRPr="00244CCE">
        <w:rPr>
          <w:szCs w:val="18"/>
          <w:lang w:eastAsia="en-GB"/>
        </w:rPr>
        <w:noBreakHyphen/>
      </w:r>
      <w:r w:rsidRPr="00244CCE">
        <w:rPr>
          <w:szCs w:val="18"/>
          <w:lang w:eastAsia="en-GB"/>
        </w:rPr>
        <w:t>by</w:t>
      </w:r>
      <w:r w:rsidR="007643D6" w:rsidRPr="00244CCE">
        <w:rPr>
          <w:szCs w:val="18"/>
          <w:lang w:eastAsia="en-GB"/>
        </w:rPr>
        <w:noBreakHyphen/>
      </w:r>
      <w:r w:rsidRPr="00244CCE">
        <w:rPr>
          <w:szCs w:val="18"/>
          <w:lang w:eastAsia="en-GB"/>
        </w:rPr>
        <w:t>case basis.</w:t>
      </w:r>
      <w:r w:rsidRPr="00F97844">
        <w:rPr>
          <w:rStyle w:val="FootnoteReference"/>
        </w:rPr>
        <w:footnoteReference w:id="182"/>
      </w:r>
      <w:r w:rsidRPr="00F97844">
        <w:rPr>
          <w:szCs w:val="18"/>
          <w:lang w:eastAsia="en-GB"/>
        </w:rPr>
        <w:t xml:space="preserve"> </w:t>
      </w:r>
      <w:r w:rsidR="00D658FC" w:rsidRPr="00F97844">
        <w:rPr>
          <w:szCs w:val="18"/>
          <w:lang w:eastAsia="en-GB"/>
        </w:rPr>
        <w:t xml:space="preserve">In order to determine whether a "basic rationale" has been provided, </w:t>
      </w:r>
      <w:r w:rsidR="000E0CD0" w:rsidRPr="00244CCE">
        <w:rPr>
          <w:szCs w:val="18"/>
          <w:lang w:eastAsia="en-GB"/>
        </w:rPr>
        <w:t>it</w:t>
      </w:r>
      <w:r w:rsidR="00D658FC" w:rsidRPr="00244CCE">
        <w:rPr>
          <w:szCs w:val="18"/>
          <w:lang w:eastAsia="en-GB"/>
        </w:rPr>
        <w:t xml:space="preserve"> is</w:t>
      </w:r>
      <w:r w:rsidR="000E0CD0" w:rsidRPr="00244CCE">
        <w:rPr>
          <w:szCs w:val="18"/>
          <w:lang w:eastAsia="en-GB"/>
        </w:rPr>
        <w:t xml:space="preserve"> appropriate </w:t>
      </w:r>
      <w:r w:rsidRPr="00244CCE">
        <w:rPr>
          <w:szCs w:val="18"/>
          <w:lang w:eastAsia="en-GB"/>
        </w:rPr>
        <w:t xml:space="preserve">to read the </w:t>
      </w:r>
      <w:r w:rsidR="00E06518" w:rsidRPr="00244CCE">
        <w:rPr>
          <w:szCs w:val="18"/>
          <w:lang w:eastAsia="en-GB"/>
        </w:rPr>
        <w:t>Panel Report</w:t>
      </w:r>
      <w:r w:rsidRPr="00244CCE">
        <w:rPr>
          <w:szCs w:val="18"/>
          <w:lang w:eastAsia="en-GB"/>
        </w:rPr>
        <w:t xml:space="preserve"> as a whole</w:t>
      </w:r>
      <w:r w:rsidR="00D658FC" w:rsidRPr="00244CCE">
        <w:rPr>
          <w:szCs w:val="18"/>
          <w:lang w:eastAsia="en-GB"/>
        </w:rPr>
        <w:t xml:space="preserve">. </w:t>
      </w:r>
      <w:r w:rsidR="00F15B59" w:rsidRPr="00244CCE">
        <w:rPr>
          <w:szCs w:val="18"/>
          <w:lang w:eastAsia="en-GB"/>
        </w:rPr>
        <w:t>In this respect, w</w:t>
      </w:r>
      <w:r w:rsidR="00D658FC" w:rsidRPr="00244CCE">
        <w:rPr>
          <w:szCs w:val="18"/>
          <w:lang w:eastAsia="en-GB"/>
        </w:rPr>
        <w:t>e</w:t>
      </w:r>
      <w:r w:rsidR="000E0CD0" w:rsidRPr="00244CCE">
        <w:rPr>
          <w:szCs w:val="18"/>
          <w:lang w:eastAsia="en-GB"/>
        </w:rPr>
        <w:t xml:space="preserve"> recall </w:t>
      </w:r>
      <w:r w:rsidRPr="00244CCE">
        <w:rPr>
          <w:szCs w:val="18"/>
          <w:lang w:eastAsia="en-GB"/>
        </w:rPr>
        <w:t>that panels are free to structure the order of their analysis as they see fit.</w:t>
      </w:r>
      <w:r w:rsidRPr="00F97844">
        <w:rPr>
          <w:szCs w:val="20"/>
          <w:vertAlign w:val="superscript"/>
          <w:lang w:eastAsia="en-GB"/>
        </w:rPr>
        <w:footnoteReference w:id="183"/>
      </w:r>
    </w:p>
    <w:p w14:paraId="5A586E98" w14:textId="5F642B71" w:rsidR="00B010B2" w:rsidRPr="00F97844" w:rsidRDefault="00B010B2" w:rsidP="00F73DD3">
      <w:pPr>
        <w:numPr>
          <w:ilvl w:val="6"/>
          <w:numId w:val="28"/>
        </w:numPr>
        <w:spacing w:after="240"/>
        <w:rPr>
          <w:szCs w:val="18"/>
        </w:rPr>
      </w:pPr>
      <w:r w:rsidRPr="00F97844">
        <w:rPr>
          <w:szCs w:val="18"/>
          <w:lang w:eastAsia="en-GB"/>
        </w:rPr>
        <w:t>The Unit</w:t>
      </w:r>
      <w:r w:rsidRPr="00244CCE">
        <w:rPr>
          <w:szCs w:val="18"/>
          <w:lang w:eastAsia="en-GB"/>
        </w:rPr>
        <w:t>ed States alleges that the Panel</w:t>
      </w:r>
      <w:r w:rsidRPr="00244CCE">
        <w:rPr>
          <w:szCs w:val="20"/>
          <w:lang w:eastAsia="en-GB"/>
        </w:rPr>
        <w:t xml:space="preserve"> did not incorporate the reasoning from </w:t>
      </w:r>
      <w:r w:rsidR="00D04F58" w:rsidRPr="00244CCE">
        <w:rPr>
          <w:szCs w:val="20"/>
          <w:lang w:eastAsia="en-GB"/>
        </w:rPr>
        <w:t>s</w:t>
      </w:r>
      <w:r w:rsidRPr="00244CCE">
        <w:rPr>
          <w:szCs w:val="20"/>
          <w:lang w:eastAsia="en-GB"/>
        </w:rPr>
        <w:t>ection 7.4.1.4</w:t>
      </w:r>
      <w:r w:rsidR="00653F8C" w:rsidRPr="00244CCE">
        <w:rPr>
          <w:szCs w:val="20"/>
          <w:lang w:eastAsia="en-GB"/>
        </w:rPr>
        <w:t xml:space="preserve"> of the Panel Report</w:t>
      </w:r>
      <w:r w:rsidRPr="00244CCE">
        <w:rPr>
          <w:szCs w:val="20"/>
          <w:lang w:eastAsia="en-GB"/>
        </w:rPr>
        <w:t>, which concerns Resolute, into the Panel's findings in relation to the OFA</w:t>
      </w:r>
      <w:r w:rsidR="007643D6" w:rsidRPr="00244CCE">
        <w:rPr>
          <w:szCs w:val="20"/>
          <w:lang w:eastAsia="en-GB"/>
        </w:rPr>
        <w:noBreakHyphen/>
      </w:r>
      <w:r w:rsidRPr="00244CCE">
        <w:rPr>
          <w:szCs w:val="20"/>
          <w:lang w:eastAsia="en-GB"/>
        </w:rPr>
        <w:t>AFA measure in paragraph 7.333 of the Panel</w:t>
      </w:r>
      <w:r w:rsidR="00062DDD" w:rsidRPr="00244CCE">
        <w:rPr>
          <w:szCs w:val="20"/>
          <w:lang w:eastAsia="en-GB"/>
        </w:rPr>
        <w:t> Report</w:t>
      </w:r>
      <w:r w:rsidRPr="00244CCE">
        <w:rPr>
          <w:szCs w:val="20"/>
          <w:lang w:eastAsia="en-GB"/>
        </w:rPr>
        <w:t xml:space="preserve">. To the United States, the only indication that the Panel may have intended to incorporate </w:t>
      </w:r>
      <w:r w:rsidR="00D04F58" w:rsidRPr="00244CCE">
        <w:rPr>
          <w:szCs w:val="20"/>
          <w:lang w:eastAsia="en-GB"/>
        </w:rPr>
        <w:t>s</w:t>
      </w:r>
      <w:r w:rsidRPr="00244CCE">
        <w:rPr>
          <w:szCs w:val="20"/>
          <w:lang w:eastAsia="en-GB"/>
        </w:rPr>
        <w:t>ection 7.4.1.4 is the phrase "in line with the findings in Section 7.4.1.4 above" at the beginning of paragraph 7.333.</w:t>
      </w:r>
      <w:r w:rsidRPr="00F97844">
        <w:rPr>
          <w:rStyle w:val="FootnoteReference"/>
        </w:rPr>
        <w:footnoteReference w:id="184"/>
      </w:r>
      <w:r w:rsidRPr="00F97844">
        <w:rPr>
          <w:szCs w:val="20"/>
          <w:lang w:eastAsia="en-GB"/>
        </w:rPr>
        <w:t xml:space="preserve"> In response, Canada observes that the similarity in wording betwee</w:t>
      </w:r>
      <w:r w:rsidRPr="00244CCE">
        <w:rPr>
          <w:szCs w:val="20"/>
          <w:lang w:eastAsia="en-GB"/>
        </w:rPr>
        <w:t xml:space="preserve">n paragraph 7.333 and </w:t>
      </w:r>
      <w:r w:rsidR="00D04F58" w:rsidRPr="00244CCE">
        <w:rPr>
          <w:szCs w:val="20"/>
          <w:lang w:eastAsia="en-GB"/>
        </w:rPr>
        <w:t>s</w:t>
      </w:r>
      <w:r w:rsidRPr="00244CCE">
        <w:rPr>
          <w:szCs w:val="20"/>
          <w:lang w:eastAsia="en-GB"/>
        </w:rPr>
        <w:t xml:space="preserve">ection 7.4.1.4 supports a view that the Panel intended to incorporate </w:t>
      </w:r>
      <w:r w:rsidR="00D04F58" w:rsidRPr="00244CCE">
        <w:rPr>
          <w:szCs w:val="20"/>
          <w:lang w:eastAsia="en-GB"/>
        </w:rPr>
        <w:t>s</w:t>
      </w:r>
      <w:r w:rsidRPr="00244CCE">
        <w:rPr>
          <w:szCs w:val="20"/>
          <w:lang w:eastAsia="en-GB"/>
        </w:rPr>
        <w:t>ection 7.4.1.4 into the "basic rationale" of paragraph 7.333.</w:t>
      </w:r>
      <w:r w:rsidRPr="00F97844">
        <w:rPr>
          <w:rStyle w:val="FootnoteReference"/>
        </w:rPr>
        <w:footnoteReference w:id="185"/>
      </w:r>
    </w:p>
    <w:p w14:paraId="0D979DA8" w14:textId="11B22AF4" w:rsidR="00B010B2" w:rsidRPr="00F97844" w:rsidRDefault="00D658FC" w:rsidP="00F73DD3">
      <w:pPr>
        <w:numPr>
          <w:ilvl w:val="6"/>
          <w:numId w:val="28"/>
        </w:numPr>
        <w:spacing w:after="240"/>
      </w:pPr>
      <w:r w:rsidRPr="00F97844">
        <w:rPr>
          <w:szCs w:val="18"/>
          <w:lang w:eastAsia="en-GB"/>
        </w:rPr>
        <w:t>At the outset</w:t>
      </w:r>
      <w:r w:rsidR="00F15B59" w:rsidRPr="00244CCE">
        <w:rPr>
          <w:szCs w:val="18"/>
          <w:lang w:eastAsia="en-GB"/>
        </w:rPr>
        <w:t>,</w:t>
      </w:r>
      <w:r w:rsidRPr="00244CCE">
        <w:rPr>
          <w:szCs w:val="18"/>
          <w:lang w:eastAsia="en-GB"/>
        </w:rPr>
        <w:t xml:space="preserve"> we note that paragraph</w:t>
      </w:r>
      <w:r w:rsidR="00235BF6" w:rsidRPr="00244CCE">
        <w:rPr>
          <w:szCs w:val="18"/>
          <w:lang w:eastAsia="en-GB"/>
        </w:rPr>
        <w:t> </w:t>
      </w:r>
      <w:r w:rsidRPr="00244CCE">
        <w:rPr>
          <w:szCs w:val="18"/>
          <w:lang w:eastAsia="en-GB"/>
        </w:rPr>
        <w:t>7.333 of the Panel</w:t>
      </w:r>
      <w:r w:rsidR="00062DDD" w:rsidRPr="00244CCE">
        <w:rPr>
          <w:szCs w:val="18"/>
          <w:lang w:eastAsia="en-GB"/>
        </w:rPr>
        <w:t> Report</w:t>
      </w:r>
      <w:r w:rsidRPr="00244CCE">
        <w:rPr>
          <w:szCs w:val="18"/>
          <w:lang w:eastAsia="en-GB"/>
        </w:rPr>
        <w:t xml:space="preserve"> contains an explanation of the Panel's findings in relation to the OFA</w:t>
      </w:r>
      <w:r w:rsidR="007643D6" w:rsidRPr="00244CCE">
        <w:rPr>
          <w:szCs w:val="18"/>
          <w:lang w:eastAsia="en-GB"/>
        </w:rPr>
        <w:noBreakHyphen/>
      </w:r>
      <w:r w:rsidRPr="00244CCE">
        <w:rPr>
          <w:szCs w:val="18"/>
          <w:lang w:eastAsia="en-GB"/>
        </w:rPr>
        <w:t xml:space="preserve">AFA measure that </w:t>
      </w:r>
      <w:r w:rsidR="00F15B59" w:rsidRPr="00244CCE">
        <w:rPr>
          <w:szCs w:val="18"/>
          <w:lang w:eastAsia="en-GB"/>
        </w:rPr>
        <w:t xml:space="preserve">follows </w:t>
      </w:r>
      <w:r w:rsidRPr="00244CCE">
        <w:rPr>
          <w:szCs w:val="18"/>
          <w:lang w:eastAsia="en-GB"/>
        </w:rPr>
        <w:t>the extensive preceding analysis of the nature of the OFA</w:t>
      </w:r>
      <w:r w:rsidR="007643D6" w:rsidRPr="00244CCE">
        <w:rPr>
          <w:szCs w:val="18"/>
          <w:lang w:eastAsia="en-GB"/>
        </w:rPr>
        <w:noBreakHyphen/>
      </w:r>
      <w:r w:rsidRPr="00244CCE">
        <w:rPr>
          <w:szCs w:val="18"/>
          <w:lang w:eastAsia="en-GB"/>
        </w:rPr>
        <w:t>AFA measure</w:t>
      </w:r>
      <w:r w:rsidR="00F15B59" w:rsidRPr="00244CCE">
        <w:rPr>
          <w:szCs w:val="18"/>
          <w:lang w:eastAsia="en-GB"/>
        </w:rPr>
        <w:t xml:space="preserve"> as an "ongoing conduct" measure</w:t>
      </w:r>
      <w:r w:rsidRPr="00244CCE">
        <w:rPr>
          <w:szCs w:val="18"/>
          <w:lang w:eastAsia="en-GB"/>
        </w:rPr>
        <w:t>.</w:t>
      </w:r>
      <w:r w:rsidRPr="00F97844">
        <w:rPr>
          <w:rStyle w:val="FootnoteReference"/>
          <w:szCs w:val="18"/>
          <w:lang w:eastAsia="en-GB"/>
        </w:rPr>
        <w:footnoteReference w:id="186"/>
      </w:r>
      <w:r w:rsidRPr="00F97844">
        <w:rPr>
          <w:szCs w:val="18"/>
          <w:lang w:eastAsia="en-GB"/>
        </w:rPr>
        <w:t xml:space="preserve"> </w:t>
      </w:r>
      <w:r w:rsidR="00627018" w:rsidRPr="00F97844">
        <w:rPr>
          <w:szCs w:val="18"/>
          <w:lang w:eastAsia="en-GB"/>
        </w:rPr>
        <w:t>In addition, w</w:t>
      </w:r>
      <w:r w:rsidR="00B010B2" w:rsidRPr="00244CCE">
        <w:rPr>
          <w:szCs w:val="18"/>
          <w:lang w:eastAsia="en-GB"/>
        </w:rPr>
        <w:t>e note that the first sentence of paragraph 7.333 explicitly refers to the Panel's earlier analysis by beginning with: "[</w:t>
      </w:r>
      <w:proofErr w:type="spellStart"/>
      <w:r w:rsidR="00B010B2" w:rsidRPr="00244CCE">
        <w:rPr>
          <w:szCs w:val="18"/>
          <w:lang w:eastAsia="en-GB"/>
        </w:rPr>
        <w:t>i</w:t>
      </w:r>
      <w:proofErr w:type="spellEnd"/>
      <w:r w:rsidR="00B010B2" w:rsidRPr="00244CCE">
        <w:rPr>
          <w:szCs w:val="18"/>
          <w:lang w:eastAsia="en-GB"/>
        </w:rPr>
        <w:t xml:space="preserve">]n line with our findings in Section 7.4.1.4 above". In addition, a comparison of the second, third, fourth, and final sentences of paragraph 7.333 with paragraphs 7.177 and 7.181 of </w:t>
      </w:r>
      <w:r w:rsidR="00D5737C" w:rsidRPr="00244CCE">
        <w:rPr>
          <w:szCs w:val="18"/>
          <w:lang w:eastAsia="en-GB"/>
        </w:rPr>
        <w:t>s</w:t>
      </w:r>
      <w:r w:rsidR="00B010B2" w:rsidRPr="00244CCE">
        <w:rPr>
          <w:szCs w:val="18"/>
          <w:lang w:eastAsia="en-GB"/>
        </w:rPr>
        <w:t xml:space="preserve">ection 7.4.1.4 shows that the language in paragraph 7.333 is substantially identical to the language of the earlier paragraphs. Moreover, the third sentence of paragraph 7.333 also directly refers to the Panel's earlier analysis. The third sentence states "[a]s we have said" and then repeats language substantially identical to the final sentence of paragraph 7.181 (from </w:t>
      </w:r>
      <w:r w:rsidR="00D5737C" w:rsidRPr="00244CCE">
        <w:rPr>
          <w:szCs w:val="18"/>
          <w:lang w:eastAsia="en-GB"/>
        </w:rPr>
        <w:t>s</w:t>
      </w:r>
      <w:r w:rsidR="00B010B2" w:rsidRPr="00244CCE">
        <w:rPr>
          <w:szCs w:val="18"/>
          <w:lang w:eastAsia="en-GB"/>
        </w:rPr>
        <w:t>ection 7.4.1.4).</w:t>
      </w:r>
      <w:r w:rsidR="00B010B2" w:rsidRPr="00F97844">
        <w:rPr>
          <w:szCs w:val="18"/>
          <w:vertAlign w:val="superscript"/>
          <w:lang w:eastAsia="en-GB"/>
        </w:rPr>
        <w:footnoteReference w:id="187"/>
      </w:r>
      <w:r w:rsidR="00B010B2" w:rsidRPr="00F97844">
        <w:rPr>
          <w:szCs w:val="18"/>
          <w:lang w:eastAsia="en-GB"/>
        </w:rPr>
        <w:t xml:space="preserve"> </w:t>
      </w:r>
      <w:r w:rsidR="00B010B2" w:rsidRPr="00F97844">
        <w:rPr>
          <w:szCs w:val="18"/>
          <w:lang w:eastAsia="en-GB"/>
        </w:rPr>
        <w:lastRenderedPageBreak/>
        <w:t xml:space="preserve">Furthermore, we note that the Appellate Body Report in </w:t>
      </w:r>
      <w:r w:rsidR="00B010B2" w:rsidRPr="00F97844">
        <w:rPr>
          <w:i/>
          <w:szCs w:val="18"/>
          <w:lang w:eastAsia="en-GB"/>
        </w:rPr>
        <w:t>EC – Tube or Pipe Fittings</w:t>
      </w:r>
      <w:r w:rsidR="00B010B2" w:rsidRPr="00F97844">
        <w:rPr>
          <w:szCs w:val="18"/>
          <w:vertAlign w:val="superscript"/>
          <w:lang w:eastAsia="en-GB"/>
        </w:rPr>
        <w:footnoteReference w:id="188"/>
      </w:r>
      <w:r w:rsidR="00B010B2" w:rsidRPr="00F97844">
        <w:rPr>
          <w:i/>
          <w:szCs w:val="18"/>
          <w:lang w:eastAsia="en-GB"/>
        </w:rPr>
        <w:t xml:space="preserve"> </w:t>
      </w:r>
      <w:r w:rsidR="00B010B2" w:rsidRPr="00F97844">
        <w:rPr>
          <w:szCs w:val="18"/>
          <w:lang w:eastAsia="en-GB"/>
        </w:rPr>
        <w:t>is quoted in paragraph 7.177</w:t>
      </w:r>
      <w:r w:rsidR="00B010B2" w:rsidRPr="00244CCE">
        <w:rPr>
          <w:szCs w:val="18"/>
          <w:lang w:eastAsia="en-GB"/>
        </w:rPr>
        <w:t xml:space="preserve"> and then cited for the same proposition in the fourth sentence of paragraph 7.333 of the Panel</w:t>
      </w:r>
      <w:r w:rsidR="00062DDD" w:rsidRPr="00244CCE">
        <w:rPr>
          <w:szCs w:val="18"/>
          <w:lang w:eastAsia="en-GB"/>
        </w:rPr>
        <w:t> Report</w:t>
      </w:r>
      <w:r w:rsidR="00B010B2" w:rsidRPr="00244CCE">
        <w:rPr>
          <w:szCs w:val="18"/>
          <w:lang w:eastAsia="en-GB"/>
        </w:rPr>
        <w:t xml:space="preserve">. </w:t>
      </w:r>
      <w:proofErr w:type="gramStart"/>
      <w:r w:rsidR="00B010B2" w:rsidRPr="00244CCE">
        <w:rPr>
          <w:szCs w:val="18"/>
          <w:lang w:eastAsia="en-GB"/>
        </w:rPr>
        <w:t>On the basis of</w:t>
      </w:r>
      <w:proofErr w:type="gramEnd"/>
      <w:r w:rsidR="00B010B2" w:rsidRPr="00244CCE">
        <w:rPr>
          <w:szCs w:val="18"/>
          <w:lang w:eastAsia="en-GB"/>
        </w:rPr>
        <w:t xml:space="preserve"> these textual connections, we consider that</w:t>
      </w:r>
      <w:r w:rsidR="00B010B2" w:rsidRPr="00244CCE">
        <w:rPr>
          <w:szCs w:val="20"/>
          <w:lang w:eastAsia="en-GB"/>
        </w:rPr>
        <w:t xml:space="preserve"> </w:t>
      </w:r>
      <w:r w:rsidR="00B010B2" w:rsidRPr="00244CCE">
        <w:rPr>
          <w:szCs w:val="18"/>
          <w:lang w:eastAsia="en-GB"/>
        </w:rPr>
        <w:t xml:space="preserve">the Panel incorporated </w:t>
      </w:r>
      <w:r w:rsidR="00D5737C" w:rsidRPr="00244CCE">
        <w:rPr>
          <w:szCs w:val="18"/>
          <w:lang w:eastAsia="en-GB"/>
        </w:rPr>
        <w:t>s</w:t>
      </w:r>
      <w:r w:rsidR="00B010B2" w:rsidRPr="00244CCE">
        <w:rPr>
          <w:szCs w:val="18"/>
          <w:lang w:eastAsia="en-GB"/>
        </w:rPr>
        <w:t>ection 7.4.1.4 into its analysis of the OFA</w:t>
      </w:r>
      <w:r w:rsidR="007643D6" w:rsidRPr="00244CCE">
        <w:rPr>
          <w:szCs w:val="18"/>
          <w:lang w:eastAsia="en-GB"/>
        </w:rPr>
        <w:noBreakHyphen/>
      </w:r>
      <w:r w:rsidR="00B010B2" w:rsidRPr="00244CCE">
        <w:rPr>
          <w:szCs w:val="18"/>
          <w:lang w:eastAsia="en-GB"/>
        </w:rPr>
        <w:t>AFA measure in paragraph 7.333.</w:t>
      </w:r>
      <w:r w:rsidR="00B010B2" w:rsidRPr="00F97844">
        <w:rPr>
          <w:rStyle w:val="FootnoteReference"/>
        </w:rPr>
        <w:footnoteReference w:id="189"/>
      </w:r>
      <w:r w:rsidR="00B010B2" w:rsidRPr="00F97844">
        <w:rPr>
          <w:szCs w:val="18"/>
          <w:lang w:eastAsia="en-GB"/>
        </w:rPr>
        <w:t xml:space="preserve"> </w:t>
      </w:r>
    </w:p>
    <w:p w14:paraId="0C87E0BE" w14:textId="5B2344D2" w:rsidR="00B010B2" w:rsidRPr="00F97844" w:rsidRDefault="00B010B2" w:rsidP="00F73DD3">
      <w:pPr>
        <w:numPr>
          <w:ilvl w:val="6"/>
          <w:numId w:val="28"/>
        </w:numPr>
        <w:spacing w:after="240"/>
      </w:pPr>
      <w:r w:rsidRPr="00244CCE">
        <w:rPr>
          <w:szCs w:val="20"/>
          <w:lang w:eastAsia="en-GB"/>
        </w:rPr>
        <w:t xml:space="preserve">The </w:t>
      </w:r>
      <w:r w:rsidRPr="00244CCE">
        <w:rPr>
          <w:szCs w:val="18"/>
          <w:lang w:eastAsia="en-GB"/>
        </w:rPr>
        <w:t>United</w:t>
      </w:r>
      <w:r w:rsidRPr="00244CCE">
        <w:rPr>
          <w:szCs w:val="20"/>
          <w:lang w:eastAsia="en-GB"/>
        </w:rPr>
        <w:t xml:space="preserve"> States also asserts that </w:t>
      </w:r>
      <w:r w:rsidR="00D5737C" w:rsidRPr="00244CCE">
        <w:rPr>
          <w:szCs w:val="20"/>
          <w:lang w:eastAsia="en-GB"/>
        </w:rPr>
        <w:t>s</w:t>
      </w:r>
      <w:r w:rsidRPr="00244CCE">
        <w:rPr>
          <w:szCs w:val="20"/>
          <w:lang w:eastAsia="en-GB"/>
        </w:rPr>
        <w:t xml:space="preserve">ection 7.4.1.4 cannot be incorporated into the "basic rationale" of paragraph 7.333 because the Panel's earlier analysis in </w:t>
      </w:r>
      <w:r w:rsidR="00D5737C" w:rsidRPr="00244CCE">
        <w:rPr>
          <w:szCs w:val="20"/>
          <w:lang w:eastAsia="en-GB"/>
        </w:rPr>
        <w:t>s</w:t>
      </w:r>
      <w:r w:rsidRPr="00244CCE">
        <w:rPr>
          <w:szCs w:val="20"/>
          <w:lang w:eastAsia="en-GB"/>
        </w:rPr>
        <w:t>ection 7.4.1.4 involved issues unrelated to 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measure.</w:t>
      </w:r>
      <w:r w:rsidRPr="00F97844">
        <w:rPr>
          <w:rStyle w:val="FootnoteReference"/>
        </w:rPr>
        <w:footnoteReference w:id="190"/>
      </w:r>
      <w:r w:rsidRPr="00F97844">
        <w:rPr>
          <w:szCs w:val="20"/>
          <w:lang w:eastAsia="en-GB"/>
        </w:rPr>
        <w:t xml:space="preserve"> Canada argues that this is unproblematic because a plain reading </w:t>
      </w:r>
      <w:r w:rsidRPr="00244CCE">
        <w:rPr>
          <w:szCs w:val="20"/>
          <w:lang w:eastAsia="en-GB"/>
        </w:rPr>
        <w:t>shows</w:t>
      </w:r>
      <w:r w:rsidR="00EC2777" w:rsidRPr="00244CCE">
        <w:rPr>
          <w:szCs w:val="20"/>
          <w:lang w:eastAsia="en-GB"/>
        </w:rPr>
        <w:t xml:space="preserve"> that</w:t>
      </w:r>
      <w:r w:rsidRPr="00244CCE">
        <w:rPr>
          <w:szCs w:val="20"/>
          <w:lang w:eastAsia="en-GB"/>
        </w:rPr>
        <w:t xml:space="preserve"> the Panel intended to incorporate only the relevant paragraphs.</w:t>
      </w:r>
      <w:r w:rsidRPr="00F97844">
        <w:rPr>
          <w:rStyle w:val="FootnoteReference"/>
        </w:rPr>
        <w:footnoteReference w:id="191"/>
      </w:r>
    </w:p>
    <w:p w14:paraId="53C5A107" w14:textId="7097BBF3" w:rsidR="00B010B2" w:rsidRPr="00244CCE" w:rsidRDefault="00B010B2" w:rsidP="00F73DD3">
      <w:pPr>
        <w:numPr>
          <w:ilvl w:val="6"/>
          <w:numId w:val="28"/>
        </w:numPr>
        <w:spacing w:after="240"/>
      </w:pPr>
      <w:r w:rsidRPr="00F97844">
        <w:rPr>
          <w:szCs w:val="20"/>
          <w:lang w:eastAsia="en-GB"/>
        </w:rPr>
        <w:t xml:space="preserve">We </w:t>
      </w:r>
      <w:r w:rsidRPr="00244CCE">
        <w:rPr>
          <w:szCs w:val="18"/>
          <w:lang w:eastAsia="en-GB"/>
        </w:rPr>
        <w:t>agree</w:t>
      </w:r>
      <w:r w:rsidRPr="00244CCE">
        <w:rPr>
          <w:szCs w:val="20"/>
          <w:lang w:eastAsia="en-GB"/>
        </w:rPr>
        <w:t xml:space="preserve"> with the United States that 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 xml:space="preserve">measure does not extend to the </w:t>
      </w:r>
      <w:r w:rsidR="00F77F1E" w:rsidRPr="00244CCE">
        <w:rPr>
          <w:szCs w:val="20"/>
          <w:lang w:eastAsia="en-GB"/>
        </w:rPr>
        <w:t xml:space="preserve">manner in which the </w:t>
      </w:r>
      <w:r w:rsidRPr="00244CCE">
        <w:rPr>
          <w:szCs w:val="20"/>
          <w:lang w:eastAsia="en-GB"/>
        </w:rPr>
        <w:t xml:space="preserve">USDOC </w:t>
      </w:r>
      <w:r w:rsidR="00F77F1E" w:rsidRPr="00244CCE">
        <w:rPr>
          <w:szCs w:val="20"/>
          <w:lang w:eastAsia="en-GB"/>
        </w:rPr>
        <w:t xml:space="preserve">selected </w:t>
      </w:r>
      <w:r w:rsidRPr="00244CCE">
        <w:rPr>
          <w:szCs w:val="20"/>
          <w:lang w:eastAsia="en-GB"/>
        </w:rPr>
        <w:t xml:space="preserve">facts available to determine the </w:t>
      </w:r>
      <w:r w:rsidRPr="00244CCE">
        <w:rPr>
          <w:i/>
          <w:szCs w:val="20"/>
          <w:lang w:eastAsia="en-GB"/>
        </w:rPr>
        <w:t>amount of benefit</w:t>
      </w:r>
      <w:r w:rsidRPr="00244CCE">
        <w:rPr>
          <w:szCs w:val="20"/>
          <w:lang w:eastAsia="en-GB"/>
        </w:rPr>
        <w:t xml:space="preserve"> attributable to the discovered assistance evaluated by the Panel in paragraphs 7.182</w:t>
      </w:r>
      <w:r w:rsidR="007643D6" w:rsidRPr="00244CCE">
        <w:rPr>
          <w:szCs w:val="20"/>
          <w:lang w:eastAsia="en-GB"/>
        </w:rPr>
        <w:noBreakHyphen/>
      </w:r>
      <w:r w:rsidRPr="00244CCE">
        <w:rPr>
          <w:szCs w:val="20"/>
          <w:lang w:eastAsia="en-GB"/>
        </w:rPr>
        <w:t xml:space="preserve">7.183 and 7.185 (in the context of </w:t>
      </w:r>
      <w:proofErr w:type="spellStart"/>
      <w:r w:rsidRPr="00244CCE">
        <w:rPr>
          <w:szCs w:val="20"/>
          <w:lang w:eastAsia="en-GB"/>
        </w:rPr>
        <w:t>Supercalendered</w:t>
      </w:r>
      <w:proofErr w:type="spellEnd"/>
      <w:r w:rsidRPr="00244CCE">
        <w:rPr>
          <w:szCs w:val="20"/>
          <w:lang w:eastAsia="en-GB"/>
        </w:rPr>
        <w:t xml:space="preserve"> Paper from Canada 2015).</w:t>
      </w:r>
      <w:r w:rsidRPr="00F97844">
        <w:rPr>
          <w:rStyle w:val="FootnoteReference"/>
        </w:rPr>
        <w:footnoteReference w:id="192"/>
      </w:r>
      <w:r w:rsidRPr="00F97844">
        <w:rPr>
          <w:szCs w:val="20"/>
          <w:lang w:eastAsia="en-GB"/>
        </w:rPr>
        <w:t xml:space="preserve"> This does not, </w:t>
      </w:r>
      <w:r w:rsidRPr="00F97844">
        <w:rPr>
          <w:szCs w:val="18"/>
          <w:lang w:eastAsia="en-GB"/>
        </w:rPr>
        <w:t xml:space="preserve">however, prevent the Panel from incorporating </w:t>
      </w:r>
      <w:r w:rsidR="00D1730F" w:rsidRPr="00244CCE">
        <w:rPr>
          <w:szCs w:val="18"/>
          <w:lang w:eastAsia="en-GB"/>
        </w:rPr>
        <w:t xml:space="preserve">the relevant parts of section 7.4.1.4 </w:t>
      </w:r>
      <w:r w:rsidRPr="00244CCE">
        <w:rPr>
          <w:szCs w:val="18"/>
          <w:lang w:eastAsia="en-GB"/>
        </w:rPr>
        <w:t>into paragraph 7.333. These are paragraphs 7.171</w:t>
      </w:r>
      <w:r w:rsidR="007643D6" w:rsidRPr="00244CCE">
        <w:rPr>
          <w:szCs w:val="18"/>
          <w:lang w:eastAsia="en-GB"/>
        </w:rPr>
        <w:noBreakHyphen/>
      </w:r>
      <w:r w:rsidRPr="00244CCE">
        <w:rPr>
          <w:szCs w:val="18"/>
          <w:lang w:eastAsia="en-GB"/>
        </w:rPr>
        <w:t>7.181 and 7.184</w:t>
      </w:r>
      <w:r w:rsidR="006E3D6F" w:rsidRPr="00244CCE">
        <w:rPr>
          <w:szCs w:val="18"/>
          <w:lang w:eastAsia="en-GB"/>
        </w:rPr>
        <w:t>,</w:t>
      </w:r>
      <w:r w:rsidRPr="00244CCE">
        <w:rPr>
          <w:szCs w:val="18"/>
          <w:lang w:eastAsia="en-GB"/>
        </w:rPr>
        <w:t xml:space="preserve"> where the Panel interprets Article 12.7 of the SCM Agreement and evaluates the USDOC's determination that the unreported assistance discovered during the verification of Resolute </w:t>
      </w:r>
      <w:r w:rsidRPr="00244CCE">
        <w:rPr>
          <w:i/>
          <w:szCs w:val="18"/>
          <w:lang w:eastAsia="en-GB"/>
        </w:rPr>
        <w:t>amounts to a countervailable subsidy</w:t>
      </w:r>
      <w:r w:rsidRPr="00244CCE">
        <w:rPr>
          <w:szCs w:val="20"/>
          <w:lang w:eastAsia="en-GB"/>
        </w:rPr>
        <w:t xml:space="preserve">. There is no indication that the Panel changed its understanding of Article 12.7 between </w:t>
      </w:r>
      <w:r w:rsidR="00D5737C" w:rsidRPr="00244CCE">
        <w:rPr>
          <w:szCs w:val="20"/>
          <w:lang w:eastAsia="en-GB"/>
        </w:rPr>
        <w:t>s</w:t>
      </w:r>
      <w:r w:rsidRPr="00244CCE">
        <w:rPr>
          <w:szCs w:val="20"/>
          <w:lang w:eastAsia="en-GB"/>
        </w:rPr>
        <w:t xml:space="preserve">ection 7.4.1.4 and paragraph 7.333. That the Panel sought to draw </w:t>
      </w:r>
      <w:r w:rsidR="006E3D6F" w:rsidRPr="00244CCE">
        <w:rPr>
          <w:szCs w:val="20"/>
          <w:lang w:eastAsia="en-GB"/>
        </w:rPr>
        <w:t xml:space="preserve">only </w:t>
      </w:r>
      <w:r w:rsidRPr="00244CCE">
        <w:rPr>
          <w:szCs w:val="20"/>
          <w:lang w:eastAsia="en-GB"/>
        </w:rPr>
        <w:t>on the relevant paragraphs is also confirmed by the fact that, as discussed above, the language of paragraph 7.333 of the Panel</w:t>
      </w:r>
      <w:r w:rsidR="00062DDD" w:rsidRPr="00244CCE">
        <w:rPr>
          <w:szCs w:val="20"/>
          <w:lang w:eastAsia="en-GB"/>
        </w:rPr>
        <w:t> Report</w:t>
      </w:r>
      <w:r w:rsidRPr="00244CCE">
        <w:rPr>
          <w:szCs w:val="20"/>
          <w:lang w:eastAsia="en-GB"/>
        </w:rPr>
        <w:t xml:space="preserve"> mirrors specific parts of the Panel's earlier analysis. </w:t>
      </w:r>
      <w:r w:rsidR="00D1730F" w:rsidRPr="00244CCE">
        <w:rPr>
          <w:szCs w:val="20"/>
          <w:lang w:eastAsia="en-GB"/>
        </w:rPr>
        <w:t>In our view</w:t>
      </w:r>
      <w:r w:rsidRPr="00244CCE">
        <w:rPr>
          <w:szCs w:val="20"/>
          <w:lang w:eastAsia="en-GB"/>
        </w:rPr>
        <w:t>, the Panel made it clear that paragraph 7.333 must be read in the context of the earlier analysis.</w:t>
      </w:r>
    </w:p>
    <w:p w14:paraId="04AE604D" w14:textId="081246E7" w:rsidR="001F3EC1" w:rsidRPr="00F97844" w:rsidRDefault="00B010B2" w:rsidP="00F73DD3">
      <w:pPr>
        <w:numPr>
          <w:ilvl w:val="6"/>
          <w:numId w:val="28"/>
        </w:numPr>
        <w:spacing w:after="240"/>
        <w:rPr>
          <w:szCs w:val="18"/>
        </w:rPr>
      </w:pPr>
      <w:r w:rsidRPr="00244CCE">
        <w:rPr>
          <w:szCs w:val="20"/>
          <w:lang w:eastAsia="en-GB"/>
        </w:rPr>
        <w:t xml:space="preserve">Finally, the United States argues that the reasoning in </w:t>
      </w:r>
      <w:r w:rsidR="00D5737C" w:rsidRPr="00244CCE">
        <w:rPr>
          <w:szCs w:val="20"/>
          <w:lang w:eastAsia="en-GB"/>
        </w:rPr>
        <w:t>s</w:t>
      </w:r>
      <w:r w:rsidRPr="00244CCE">
        <w:rPr>
          <w:szCs w:val="20"/>
          <w:lang w:eastAsia="en-GB"/>
        </w:rPr>
        <w:t xml:space="preserve">ection 7.4.1.4 cannot be incorporated into the </w:t>
      </w:r>
      <w:r w:rsidRPr="00244CCE">
        <w:rPr>
          <w:szCs w:val="18"/>
          <w:lang w:eastAsia="en-GB"/>
        </w:rPr>
        <w:t>Panel's</w:t>
      </w:r>
      <w:r w:rsidRPr="00244CCE">
        <w:rPr>
          <w:szCs w:val="20"/>
          <w:lang w:eastAsia="en-GB"/>
        </w:rPr>
        <w:t xml:space="preserve"> reasoning regarding 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measure because it would be erroneous to generalize from an "as applied" finding (concerning Resolute) to the OFA</w:t>
      </w:r>
      <w:r w:rsidR="007643D6" w:rsidRPr="00244CCE">
        <w:rPr>
          <w:szCs w:val="20"/>
          <w:lang w:eastAsia="en-GB"/>
        </w:rPr>
        <w:noBreakHyphen/>
      </w:r>
      <w:r w:rsidRPr="00244CCE">
        <w:rPr>
          <w:szCs w:val="20"/>
          <w:lang w:eastAsia="en-GB"/>
        </w:rPr>
        <w:t>AFA measure.</w:t>
      </w:r>
      <w:r w:rsidRPr="00F97844">
        <w:rPr>
          <w:rStyle w:val="FootnoteReference"/>
        </w:rPr>
        <w:footnoteReference w:id="193"/>
      </w:r>
      <w:r w:rsidRPr="00F97844">
        <w:rPr>
          <w:szCs w:val="20"/>
          <w:lang w:eastAsia="en-GB"/>
        </w:rPr>
        <w:t xml:space="preserve"> We agree with Canada that it was reasonable for the Panel to incorporate certain parts of its earlier analysis because the Panel had already considered the interpretation of Article 12.7 with respect to a specific application of 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measure.</w:t>
      </w:r>
      <w:r w:rsidRPr="00F97844">
        <w:rPr>
          <w:rStyle w:val="FootnoteReference"/>
        </w:rPr>
        <w:footnoteReference w:id="194"/>
      </w:r>
      <w:r w:rsidRPr="00F97844">
        <w:rPr>
          <w:szCs w:val="20"/>
          <w:lang w:eastAsia="en-GB"/>
        </w:rPr>
        <w:t xml:space="preserve"> Indeed, the conduct of the USDOC under consideration earlier by the Panel was a specific instance of the conduct described by 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measure.</w:t>
      </w:r>
      <w:r w:rsidRPr="00F97844">
        <w:rPr>
          <w:rStyle w:val="FootnoteReference"/>
        </w:rPr>
        <w:footnoteReference w:id="195"/>
      </w:r>
      <w:r w:rsidRPr="00F97844">
        <w:rPr>
          <w:szCs w:val="20"/>
          <w:lang w:eastAsia="en-GB"/>
        </w:rPr>
        <w:t xml:space="preserve"> </w:t>
      </w:r>
      <w:r w:rsidR="001F3EC1" w:rsidRPr="00F97844">
        <w:rPr>
          <w:szCs w:val="20"/>
          <w:lang w:eastAsia="en-GB"/>
        </w:rPr>
        <w:t xml:space="preserve">The Panel considered the USDOC CVD proceeding </w:t>
      </w:r>
      <w:proofErr w:type="spellStart"/>
      <w:r w:rsidR="001F3EC1" w:rsidRPr="00F97844">
        <w:rPr>
          <w:szCs w:val="20"/>
          <w:lang w:eastAsia="en-GB"/>
        </w:rPr>
        <w:t>Supercalendered</w:t>
      </w:r>
      <w:proofErr w:type="spellEnd"/>
      <w:r w:rsidR="001F3EC1" w:rsidRPr="00F97844">
        <w:rPr>
          <w:szCs w:val="20"/>
          <w:lang w:eastAsia="en-GB"/>
        </w:rPr>
        <w:t xml:space="preserve"> Paper from C</w:t>
      </w:r>
      <w:r w:rsidR="001F3EC1" w:rsidRPr="00244CCE">
        <w:rPr>
          <w:szCs w:val="20"/>
          <w:lang w:eastAsia="en-GB"/>
        </w:rPr>
        <w:t xml:space="preserve">anada 2015 </w:t>
      </w:r>
      <w:r w:rsidR="00D1730F" w:rsidRPr="00244CCE">
        <w:rPr>
          <w:szCs w:val="20"/>
          <w:lang w:eastAsia="en-GB"/>
        </w:rPr>
        <w:t xml:space="preserve">to be </w:t>
      </w:r>
      <w:r w:rsidR="001F3EC1" w:rsidRPr="00244CCE">
        <w:rPr>
          <w:szCs w:val="20"/>
          <w:lang w:eastAsia="en-GB"/>
        </w:rPr>
        <w:t>an example of the "ongoing conduct" measure challenged by Canada. In this respect, we recall that the Panel found that the relevant conduct</w:t>
      </w:r>
      <w:r w:rsidR="000B3FA8" w:rsidRPr="00244CCE">
        <w:rPr>
          <w:szCs w:val="20"/>
          <w:lang w:eastAsia="en-GB"/>
        </w:rPr>
        <w:t xml:space="preserve"> of </w:t>
      </w:r>
      <w:r w:rsidR="002E2176" w:rsidRPr="00244CCE">
        <w:rPr>
          <w:szCs w:val="20"/>
          <w:lang w:eastAsia="en-GB"/>
        </w:rPr>
        <w:t xml:space="preserve">the </w:t>
      </w:r>
      <w:r w:rsidR="000B3FA8" w:rsidRPr="00244CCE">
        <w:rPr>
          <w:szCs w:val="20"/>
          <w:lang w:eastAsia="en-GB"/>
        </w:rPr>
        <w:t>USDOC</w:t>
      </w:r>
      <w:r w:rsidR="001F3EC1" w:rsidRPr="00244CCE">
        <w:rPr>
          <w:szCs w:val="20"/>
          <w:lang w:eastAsia="en-GB"/>
        </w:rPr>
        <w:t xml:space="preserve"> remained the same in the examples examined by the Panel.</w:t>
      </w:r>
      <w:r w:rsidR="001F3EC1" w:rsidRPr="00F97844">
        <w:rPr>
          <w:rStyle w:val="FootnoteReference"/>
          <w:szCs w:val="20"/>
          <w:lang w:eastAsia="en-GB"/>
        </w:rPr>
        <w:footnoteReference w:id="196"/>
      </w:r>
    </w:p>
    <w:p w14:paraId="4F87B36A" w14:textId="057FCE17" w:rsidR="00B010B2" w:rsidRPr="00244CCE" w:rsidRDefault="00B010B2" w:rsidP="00F73DD3">
      <w:pPr>
        <w:numPr>
          <w:ilvl w:val="6"/>
          <w:numId w:val="28"/>
        </w:numPr>
        <w:spacing w:after="240"/>
        <w:rPr>
          <w:szCs w:val="18"/>
        </w:rPr>
      </w:pPr>
      <w:r w:rsidRPr="00F97844">
        <w:rPr>
          <w:szCs w:val="18"/>
          <w:lang w:eastAsia="en-GB"/>
        </w:rPr>
        <w:t xml:space="preserve">In summary, </w:t>
      </w:r>
      <w:bookmarkStart w:id="116" w:name="_Hlk24994232"/>
      <w:r w:rsidRPr="00F97844">
        <w:rPr>
          <w:szCs w:val="18"/>
          <w:lang w:eastAsia="en-GB"/>
        </w:rPr>
        <w:t>we consider t</w:t>
      </w:r>
      <w:r w:rsidRPr="00244CCE">
        <w:rPr>
          <w:szCs w:val="18"/>
          <w:lang w:eastAsia="en-GB"/>
        </w:rPr>
        <w:t xml:space="preserve">he Panel to have appropriately incorporated into paragraph 7.333 the relevant portions of its earlier analysis </w:t>
      </w:r>
      <w:r w:rsidRPr="00244CCE">
        <w:rPr>
          <w:szCs w:val="20"/>
          <w:lang w:eastAsia="en-GB"/>
        </w:rPr>
        <w:t xml:space="preserve">in </w:t>
      </w:r>
      <w:r w:rsidR="00D5737C" w:rsidRPr="00244CCE">
        <w:rPr>
          <w:szCs w:val="20"/>
          <w:lang w:eastAsia="en-GB"/>
        </w:rPr>
        <w:t>s</w:t>
      </w:r>
      <w:r w:rsidRPr="00244CCE">
        <w:rPr>
          <w:szCs w:val="20"/>
          <w:lang w:eastAsia="en-GB"/>
        </w:rPr>
        <w:t>ection 7.4.1.4. Through these paragraphs</w:t>
      </w:r>
      <w:r w:rsidRPr="00244CCE">
        <w:rPr>
          <w:szCs w:val="18"/>
          <w:lang w:eastAsia="en-GB"/>
        </w:rPr>
        <w:t>, the Panel provided an interpretation of Article 12.7 of the SCM Agreement, addressed pertinent factual aspects of the OFA</w:t>
      </w:r>
      <w:r w:rsidR="007643D6" w:rsidRPr="00244CCE">
        <w:rPr>
          <w:szCs w:val="18"/>
          <w:lang w:eastAsia="en-GB"/>
        </w:rPr>
        <w:noBreakHyphen/>
      </w:r>
      <w:r w:rsidRPr="00244CCE">
        <w:rPr>
          <w:szCs w:val="18"/>
          <w:lang w:eastAsia="en-GB"/>
        </w:rPr>
        <w:t>AFA</w:t>
      </w:r>
      <w:r w:rsidR="00F1107E" w:rsidRPr="00244CCE">
        <w:rPr>
          <w:szCs w:val="18"/>
          <w:lang w:eastAsia="en-GB"/>
        </w:rPr>
        <w:t> </w:t>
      </w:r>
      <w:r w:rsidRPr="00244CCE">
        <w:rPr>
          <w:szCs w:val="18"/>
          <w:lang w:eastAsia="en-GB"/>
        </w:rPr>
        <w:t xml:space="preserve">measure, and provided explanation </w:t>
      </w:r>
      <w:proofErr w:type="gramStart"/>
      <w:r w:rsidRPr="00244CCE">
        <w:rPr>
          <w:szCs w:val="18"/>
          <w:lang w:eastAsia="en-GB"/>
        </w:rPr>
        <w:t>sufficient</w:t>
      </w:r>
      <w:proofErr w:type="gramEnd"/>
      <w:r w:rsidRPr="00244CCE">
        <w:rPr>
          <w:szCs w:val="18"/>
          <w:lang w:eastAsia="en-GB"/>
        </w:rPr>
        <w:t xml:space="preserve"> to disclose the Panel's essential justification for its finding. Thus, </w:t>
      </w:r>
      <w:r w:rsidRPr="00244CCE">
        <w:rPr>
          <w:szCs w:val="20"/>
          <w:lang w:eastAsia="en-GB"/>
        </w:rPr>
        <w:t>we consider that the Panel did not err under Article 12.7 of the DSU by failing to provide a "basic rationale" for its finding that the OFA</w:t>
      </w:r>
      <w:r w:rsidR="007643D6" w:rsidRPr="00244CCE">
        <w:rPr>
          <w:szCs w:val="20"/>
          <w:lang w:eastAsia="en-GB"/>
        </w:rPr>
        <w:noBreakHyphen/>
      </w:r>
      <w:r w:rsidRPr="00244CCE">
        <w:rPr>
          <w:szCs w:val="20"/>
          <w:lang w:eastAsia="en-GB"/>
        </w:rPr>
        <w:t>AFA</w:t>
      </w:r>
      <w:r w:rsidR="007B4980">
        <w:rPr>
          <w:szCs w:val="20"/>
          <w:lang w:eastAsia="en-GB"/>
        </w:rPr>
        <w:t> </w:t>
      </w:r>
      <w:r w:rsidRPr="00244CCE">
        <w:rPr>
          <w:szCs w:val="20"/>
          <w:lang w:eastAsia="en-GB"/>
        </w:rPr>
        <w:t>measure is inconsistent with Article 12.7 of the SCM Agreement.</w:t>
      </w:r>
      <w:bookmarkEnd w:id="116"/>
    </w:p>
    <w:p w14:paraId="23FAD1A9" w14:textId="7C423971" w:rsidR="00B010B2" w:rsidRPr="00244CCE" w:rsidRDefault="00B010B2" w:rsidP="00F73DD3">
      <w:pPr>
        <w:pStyle w:val="Heading3"/>
      </w:pPr>
      <w:bookmarkStart w:id="117" w:name="_Toc30412742"/>
      <w:r w:rsidRPr="00244CCE">
        <w:t>Whether the Panel erred under Article 12.7 of the SCM Agreement by finding that the OFA</w:t>
      </w:r>
      <w:r w:rsidR="007643D6" w:rsidRPr="00244CCE">
        <w:noBreakHyphen/>
      </w:r>
      <w:r w:rsidRPr="00244CCE">
        <w:t>AFA measure is inconsistent with that provision</w:t>
      </w:r>
      <w:bookmarkEnd w:id="117"/>
      <w:r w:rsidRPr="00244CCE">
        <w:t xml:space="preserve"> </w:t>
      </w:r>
    </w:p>
    <w:p w14:paraId="684A064D" w14:textId="330856C9" w:rsidR="00B010B2" w:rsidRPr="00F97844" w:rsidRDefault="00B010B2" w:rsidP="00F73DD3">
      <w:pPr>
        <w:numPr>
          <w:ilvl w:val="6"/>
          <w:numId w:val="28"/>
        </w:numPr>
        <w:spacing w:after="240"/>
      </w:pPr>
      <w:r w:rsidRPr="00244CCE">
        <w:rPr>
          <w:szCs w:val="18"/>
          <w:lang w:eastAsia="en-GB"/>
        </w:rPr>
        <w:t>The United States claims that the Panel erred under Article 12.7 of the SCM Agreement by finding that the OFA</w:t>
      </w:r>
      <w:r w:rsidR="007643D6" w:rsidRPr="00244CCE">
        <w:rPr>
          <w:szCs w:val="18"/>
          <w:lang w:eastAsia="en-GB"/>
        </w:rPr>
        <w:noBreakHyphen/>
      </w:r>
      <w:r w:rsidRPr="00244CCE">
        <w:rPr>
          <w:szCs w:val="18"/>
          <w:lang w:eastAsia="en-GB"/>
        </w:rPr>
        <w:t>AFA</w:t>
      </w:r>
      <w:r w:rsidR="00F1107E" w:rsidRPr="00244CCE">
        <w:rPr>
          <w:szCs w:val="18"/>
          <w:lang w:eastAsia="en-GB"/>
        </w:rPr>
        <w:t> </w:t>
      </w:r>
      <w:r w:rsidRPr="00244CCE">
        <w:rPr>
          <w:szCs w:val="18"/>
          <w:lang w:eastAsia="en-GB"/>
        </w:rPr>
        <w:t>measure is inconsistent with that provision. This is because, in the United States' view: (</w:t>
      </w:r>
      <w:proofErr w:type="spellStart"/>
      <w:r w:rsidRPr="00244CCE">
        <w:rPr>
          <w:szCs w:val="18"/>
          <w:lang w:eastAsia="en-GB"/>
        </w:rPr>
        <w:t>i</w:t>
      </w:r>
      <w:proofErr w:type="spellEnd"/>
      <w:r w:rsidRPr="00244CCE">
        <w:rPr>
          <w:szCs w:val="18"/>
          <w:lang w:eastAsia="en-GB"/>
        </w:rPr>
        <w:t xml:space="preserve">) it was inappropriate for the Panel to have ignored the "significantly impedes" </w:t>
      </w:r>
      <w:r w:rsidRPr="00244CCE">
        <w:rPr>
          <w:szCs w:val="18"/>
          <w:lang w:eastAsia="en-GB"/>
        </w:rPr>
        <w:lastRenderedPageBreak/>
        <w:t>ground for using "facts available" under Article 12.7 of the SCM Agreement;</w:t>
      </w:r>
      <w:r w:rsidRPr="00F97844">
        <w:rPr>
          <w:rStyle w:val="FootnoteReference"/>
        </w:rPr>
        <w:footnoteReference w:id="197"/>
      </w:r>
      <w:r w:rsidRPr="00F97844">
        <w:rPr>
          <w:szCs w:val="18"/>
          <w:lang w:eastAsia="en-GB"/>
        </w:rPr>
        <w:t xml:space="preserve"> (ii) the Panel identified </w:t>
      </w:r>
      <w:r w:rsidRPr="00244CCE">
        <w:rPr>
          <w:szCs w:val="18"/>
          <w:lang w:eastAsia="en-GB"/>
        </w:rPr>
        <w:t>conduct that is not contained in the OFA</w:t>
      </w:r>
      <w:r w:rsidR="007643D6" w:rsidRPr="00244CCE">
        <w:rPr>
          <w:szCs w:val="18"/>
          <w:lang w:eastAsia="en-GB"/>
        </w:rPr>
        <w:noBreakHyphen/>
      </w:r>
      <w:r w:rsidRPr="00244CCE">
        <w:rPr>
          <w:szCs w:val="18"/>
          <w:lang w:eastAsia="en-GB"/>
        </w:rPr>
        <w:t>AFA</w:t>
      </w:r>
      <w:r w:rsidR="007B4980">
        <w:rPr>
          <w:szCs w:val="18"/>
          <w:lang w:eastAsia="en-GB"/>
        </w:rPr>
        <w:t> </w:t>
      </w:r>
      <w:r w:rsidRPr="00244CCE">
        <w:rPr>
          <w:szCs w:val="18"/>
          <w:lang w:eastAsia="en-GB"/>
        </w:rPr>
        <w:t>measure</w:t>
      </w:r>
      <w:r w:rsidR="00D1730F" w:rsidRPr="00244CCE">
        <w:rPr>
          <w:szCs w:val="18"/>
          <w:lang w:eastAsia="en-GB"/>
        </w:rPr>
        <w:t xml:space="preserve"> as WTO</w:t>
      </w:r>
      <w:r w:rsidR="00D1730F" w:rsidRPr="00244CCE">
        <w:rPr>
          <w:szCs w:val="18"/>
          <w:lang w:eastAsia="en-GB"/>
        </w:rPr>
        <w:noBreakHyphen/>
        <w:t>inconsistent</w:t>
      </w:r>
      <w:r w:rsidRPr="00244CCE">
        <w:rPr>
          <w:szCs w:val="18"/>
          <w:lang w:eastAsia="en-GB"/>
        </w:rPr>
        <w:t>;</w:t>
      </w:r>
      <w:r w:rsidRPr="00F97844">
        <w:rPr>
          <w:rStyle w:val="FootnoteReference"/>
        </w:rPr>
        <w:footnoteReference w:id="198"/>
      </w:r>
      <w:r w:rsidRPr="00F97844">
        <w:rPr>
          <w:szCs w:val="18"/>
          <w:lang w:eastAsia="en-GB"/>
        </w:rPr>
        <w:t xml:space="preserve"> and (iii) the Panel incorrectly found that the OFA question can never be a req</w:t>
      </w:r>
      <w:r w:rsidRPr="00244CCE">
        <w:rPr>
          <w:szCs w:val="18"/>
          <w:lang w:eastAsia="en-GB"/>
        </w:rPr>
        <w:t>uest for "necessary information" under Article 12.7 of the SCM Agreement.</w:t>
      </w:r>
      <w:r w:rsidRPr="00F97844">
        <w:rPr>
          <w:rStyle w:val="FootnoteReference"/>
        </w:rPr>
        <w:footnoteReference w:id="199"/>
      </w:r>
      <w:r w:rsidRPr="00F97844">
        <w:rPr>
          <w:szCs w:val="18"/>
          <w:lang w:eastAsia="en-GB"/>
        </w:rPr>
        <w:t xml:space="preserve"> We examine each of the United States' arguments below.</w:t>
      </w:r>
      <w:r w:rsidRPr="00F97844">
        <w:rPr>
          <w:rStyle w:val="FootnoteReference"/>
        </w:rPr>
        <w:footnoteReference w:id="200"/>
      </w:r>
    </w:p>
    <w:p w14:paraId="7AE0A3DE" w14:textId="59BB5418" w:rsidR="00B010B2" w:rsidRPr="00F97844" w:rsidRDefault="00B010B2" w:rsidP="00F73DD3">
      <w:pPr>
        <w:numPr>
          <w:ilvl w:val="6"/>
          <w:numId w:val="28"/>
        </w:numPr>
        <w:spacing w:after="240"/>
      </w:pPr>
      <w:r w:rsidRPr="00F97844">
        <w:rPr>
          <w:szCs w:val="18"/>
          <w:lang w:eastAsia="en-GB"/>
        </w:rPr>
        <w:t>First</w:t>
      </w:r>
      <w:r w:rsidRPr="00F97844">
        <w:rPr>
          <w:szCs w:val="20"/>
          <w:lang w:eastAsia="en-GB"/>
        </w:rPr>
        <w:t>, the United States argues that it was inappropriate for the Panel to have ignored the "s</w:t>
      </w:r>
      <w:r w:rsidRPr="00244CCE">
        <w:rPr>
          <w:szCs w:val="20"/>
          <w:lang w:eastAsia="en-GB"/>
        </w:rPr>
        <w:t>ignificantly impedes" ground for using "facts available" under Article 12.7 of the SCM Agreement.</w:t>
      </w:r>
      <w:r w:rsidRPr="00F97844">
        <w:rPr>
          <w:rStyle w:val="FootnoteReference"/>
        </w:rPr>
        <w:footnoteReference w:id="201"/>
      </w:r>
      <w:r w:rsidRPr="00F97844">
        <w:rPr>
          <w:szCs w:val="20"/>
          <w:lang w:eastAsia="en-GB"/>
        </w:rPr>
        <w:t xml:space="preserve"> Canada responds that the "significantly impedes" ground is not relevant because the OFA</w:t>
      </w:r>
      <w:r w:rsidR="007643D6" w:rsidRPr="00F97844">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 xml:space="preserve">measure concerns </w:t>
      </w:r>
      <w:r w:rsidR="004B6C5B" w:rsidRPr="00244CCE">
        <w:rPr>
          <w:szCs w:val="20"/>
          <w:lang w:eastAsia="en-GB"/>
        </w:rPr>
        <w:t xml:space="preserve">only </w:t>
      </w:r>
      <w:r w:rsidRPr="00244CCE">
        <w:rPr>
          <w:szCs w:val="20"/>
          <w:lang w:eastAsia="en-GB"/>
        </w:rPr>
        <w:t>a situation where a party fails to provide information and the USDOC either fails to assess whether such information is necessary or makes an unjustified assessment that such information is necessary.</w:t>
      </w:r>
      <w:r w:rsidRPr="00F97844">
        <w:rPr>
          <w:rStyle w:val="FootnoteReference"/>
        </w:rPr>
        <w:footnoteReference w:id="202"/>
      </w:r>
      <w:r w:rsidRPr="00F97844">
        <w:rPr>
          <w:szCs w:val="20"/>
          <w:lang w:eastAsia="en-GB"/>
        </w:rPr>
        <w:t xml:space="preserve"> </w:t>
      </w:r>
    </w:p>
    <w:p w14:paraId="16FB6B12" w14:textId="634280FF" w:rsidR="00B010B2" w:rsidRPr="00F97844" w:rsidRDefault="00B010B2" w:rsidP="00F73DD3">
      <w:pPr>
        <w:numPr>
          <w:ilvl w:val="6"/>
          <w:numId w:val="28"/>
        </w:numPr>
        <w:spacing w:after="240"/>
      </w:pPr>
      <w:r w:rsidRPr="00244CCE">
        <w:rPr>
          <w:szCs w:val="20"/>
          <w:lang w:eastAsia="en-GB"/>
        </w:rPr>
        <w:t xml:space="preserve">We note that, under Article 12.7 of the SCM Agreement, </w:t>
      </w:r>
      <w:r w:rsidRPr="00244CCE">
        <w:rPr>
          <w:szCs w:val="18"/>
          <w:lang w:eastAsia="en-GB"/>
        </w:rPr>
        <w:t>use of "facts available" may be based on three alternative grounds. These are when an interested party or interested Member: (</w:t>
      </w:r>
      <w:proofErr w:type="spellStart"/>
      <w:r w:rsidRPr="00244CCE">
        <w:rPr>
          <w:szCs w:val="18"/>
          <w:lang w:eastAsia="en-GB"/>
        </w:rPr>
        <w:t>i</w:t>
      </w:r>
      <w:proofErr w:type="spellEnd"/>
      <w:r w:rsidRPr="00244CCE">
        <w:rPr>
          <w:szCs w:val="18"/>
          <w:lang w:eastAsia="en-GB"/>
        </w:rPr>
        <w:t>) "</w:t>
      </w:r>
      <w:r w:rsidRPr="00244CCE">
        <w:rPr>
          <w:szCs w:val="20"/>
          <w:lang w:eastAsia="en-GB"/>
        </w:rPr>
        <w:t>refuses access to … necessary information within a reasonable period"</w:t>
      </w:r>
      <w:r w:rsidRPr="00244CCE">
        <w:rPr>
          <w:szCs w:val="18"/>
          <w:lang w:eastAsia="en-GB"/>
        </w:rPr>
        <w:t>; (ii) "</w:t>
      </w:r>
      <w:r w:rsidRPr="00244CCE">
        <w:rPr>
          <w:szCs w:val="20"/>
          <w:lang w:eastAsia="en-GB"/>
        </w:rPr>
        <w:t xml:space="preserve">otherwise does not provide … </w:t>
      </w:r>
      <w:r w:rsidRPr="00244CCE">
        <w:rPr>
          <w:szCs w:val="18"/>
          <w:lang w:eastAsia="en-GB"/>
        </w:rPr>
        <w:t>necessary</w:t>
      </w:r>
      <w:r w:rsidRPr="00244CCE">
        <w:rPr>
          <w:szCs w:val="20"/>
          <w:lang w:eastAsia="en-GB"/>
        </w:rPr>
        <w:t xml:space="preserve"> information within a reasonable period"</w:t>
      </w:r>
      <w:r w:rsidRPr="00244CCE">
        <w:rPr>
          <w:szCs w:val="18"/>
          <w:lang w:eastAsia="en-GB"/>
        </w:rPr>
        <w:t>; or (iii) </w:t>
      </w:r>
      <w:r w:rsidRPr="00244CCE">
        <w:rPr>
          <w:szCs w:val="20"/>
          <w:lang w:eastAsia="en-GB"/>
        </w:rPr>
        <w:t>"significantly impedes the investigation". We refer below to the first two grounds collectively as a situation where a party fails to provide necessary information.</w:t>
      </w:r>
      <w:r w:rsidRPr="00F97844">
        <w:rPr>
          <w:rStyle w:val="FootnoteReference"/>
        </w:rPr>
        <w:footnoteReference w:id="203"/>
      </w:r>
    </w:p>
    <w:p w14:paraId="464748E9" w14:textId="52B848BA" w:rsidR="00B010B2" w:rsidRPr="00F97844" w:rsidRDefault="00B010B2" w:rsidP="00F73DD3">
      <w:pPr>
        <w:numPr>
          <w:ilvl w:val="6"/>
          <w:numId w:val="28"/>
        </w:numPr>
        <w:spacing w:after="240"/>
      </w:pPr>
      <w:r w:rsidRPr="00F97844">
        <w:rPr>
          <w:szCs w:val="20"/>
          <w:lang w:eastAsia="en-GB"/>
        </w:rPr>
        <w:t>The United States contends that, to find 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 xml:space="preserve">measure inconsistent with Article 12.7 of the </w:t>
      </w:r>
      <w:r w:rsidRPr="00244CCE">
        <w:rPr>
          <w:szCs w:val="18"/>
          <w:lang w:eastAsia="en-GB"/>
        </w:rPr>
        <w:t>SCM</w:t>
      </w:r>
      <w:r w:rsidRPr="00244CCE">
        <w:rPr>
          <w:szCs w:val="20"/>
          <w:lang w:eastAsia="en-GB"/>
        </w:rPr>
        <w:t xml:space="preserve"> Agreement, the Panel would have had to conclude that none of the conditions triggering the use of </w:t>
      </w:r>
      <w:r w:rsidR="00E479E9" w:rsidRPr="00244CCE">
        <w:rPr>
          <w:szCs w:val="20"/>
          <w:lang w:eastAsia="en-GB"/>
        </w:rPr>
        <w:t>"</w:t>
      </w:r>
      <w:r w:rsidRPr="00244CCE">
        <w:rPr>
          <w:szCs w:val="20"/>
          <w:lang w:eastAsia="en-GB"/>
        </w:rPr>
        <w:t>facts available</w:t>
      </w:r>
      <w:r w:rsidR="00E479E9" w:rsidRPr="00244CCE">
        <w:rPr>
          <w:szCs w:val="20"/>
          <w:lang w:eastAsia="en-GB"/>
        </w:rPr>
        <w:t>"</w:t>
      </w:r>
      <w:r w:rsidRPr="00244CCE">
        <w:rPr>
          <w:szCs w:val="20"/>
          <w:lang w:eastAsia="en-GB"/>
        </w:rPr>
        <w:t xml:space="preserve"> could be present.</w:t>
      </w:r>
      <w:r w:rsidRPr="00F97844">
        <w:rPr>
          <w:rStyle w:val="FootnoteReference"/>
        </w:rPr>
        <w:footnoteReference w:id="204"/>
      </w:r>
      <w:r w:rsidRPr="00F97844">
        <w:rPr>
          <w:szCs w:val="20"/>
          <w:lang w:eastAsia="en-GB"/>
        </w:rPr>
        <w:t xml:space="preserve"> To the United States, a failure to answer the OFA question could well amount to significant impedance of the investigation.</w:t>
      </w:r>
      <w:r w:rsidRPr="00F97844">
        <w:rPr>
          <w:rStyle w:val="FootnoteReference"/>
        </w:rPr>
        <w:footnoteReference w:id="205"/>
      </w:r>
      <w:r w:rsidRPr="00F97844">
        <w:rPr>
          <w:szCs w:val="18"/>
          <w:lang w:eastAsia="en-GB"/>
        </w:rPr>
        <w:t xml:space="preserve"> </w:t>
      </w:r>
    </w:p>
    <w:p w14:paraId="37C4F567" w14:textId="3D168DEE" w:rsidR="00B010B2" w:rsidRPr="00F97844" w:rsidRDefault="00B010B2" w:rsidP="00F73DD3">
      <w:pPr>
        <w:numPr>
          <w:ilvl w:val="6"/>
          <w:numId w:val="28"/>
        </w:numPr>
        <w:spacing w:after="240"/>
      </w:pPr>
      <w:r w:rsidRPr="00244CCE">
        <w:rPr>
          <w:szCs w:val="18"/>
          <w:lang w:eastAsia="en-GB"/>
        </w:rPr>
        <w:t>We recall that the sequence of actions identified in the OFA</w:t>
      </w:r>
      <w:r w:rsidR="007643D6" w:rsidRPr="00244CCE">
        <w:rPr>
          <w:szCs w:val="18"/>
          <w:lang w:eastAsia="en-GB"/>
        </w:rPr>
        <w:noBreakHyphen/>
      </w:r>
      <w:r w:rsidRPr="00244CCE">
        <w:rPr>
          <w:szCs w:val="18"/>
          <w:lang w:eastAsia="en-GB"/>
        </w:rPr>
        <w:t>AFA</w:t>
      </w:r>
      <w:r w:rsidR="00F1107E" w:rsidRPr="00244CCE">
        <w:rPr>
          <w:szCs w:val="18"/>
          <w:lang w:eastAsia="en-GB"/>
        </w:rPr>
        <w:t> </w:t>
      </w:r>
      <w:r w:rsidRPr="00244CCE">
        <w:rPr>
          <w:szCs w:val="18"/>
          <w:lang w:eastAsia="en-GB"/>
        </w:rPr>
        <w:t>measure is entirely concerned with a failure by an interested party to provide necessary information. Specifically, the conduct described by the measure involves the USDOC discovering during verification assistance that the USDOC deems should have been reported in response to the OFA question, and then using AFA to determine that the discovered assistance is a countervailable subsidy.</w:t>
      </w:r>
      <w:r w:rsidRPr="00F97844">
        <w:rPr>
          <w:rStyle w:val="FootnoteReference"/>
        </w:rPr>
        <w:footnoteReference w:id="206"/>
      </w:r>
      <w:r w:rsidRPr="00F97844">
        <w:rPr>
          <w:szCs w:val="18"/>
          <w:lang w:eastAsia="en-GB"/>
        </w:rPr>
        <w:t xml:space="preserve"> The actions identified in the OFA</w:t>
      </w:r>
      <w:r w:rsidR="007643D6" w:rsidRPr="00F97844">
        <w:rPr>
          <w:szCs w:val="18"/>
          <w:lang w:eastAsia="en-GB"/>
        </w:rPr>
        <w:noBreakHyphen/>
      </w:r>
      <w:r w:rsidRPr="00244CCE">
        <w:rPr>
          <w:szCs w:val="18"/>
          <w:lang w:eastAsia="en-GB"/>
        </w:rPr>
        <w:t>AFA</w:t>
      </w:r>
      <w:r w:rsidR="00F1107E" w:rsidRPr="00244CCE">
        <w:rPr>
          <w:szCs w:val="18"/>
          <w:lang w:eastAsia="en-GB"/>
        </w:rPr>
        <w:t> </w:t>
      </w:r>
      <w:r w:rsidRPr="00244CCE">
        <w:rPr>
          <w:szCs w:val="18"/>
          <w:lang w:eastAsia="en-GB"/>
        </w:rPr>
        <w:t>measure do not involve the USDOC concluding that conduct by a party "significantly impede[d]" the investigation.</w:t>
      </w:r>
      <w:r w:rsidRPr="00F97844">
        <w:rPr>
          <w:rStyle w:val="FootnoteReference"/>
        </w:rPr>
        <w:footnoteReference w:id="207"/>
      </w:r>
      <w:r w:rsidRPr="00F97844">
        <w:rPr>
          <w:szCs w:val="18"/>
          <w:lang w:eastAsia="en-GB"/>
        </w:rPr>
        <w:t xml:space="preserve"> This is consistent with </w:t>
      </w:r>
      <w:r w:rsidRPr="00F97844">
        <w:rPr>
          <w:szCs w:val="20"/>
          <w:lang w:eastAsia="en-GB"/>
        </w:rPr>
        <w:t>Canada's characterization of the measure as limited to the use of "facts available" by the USDOC on the basis of a fai</w:t>
      </w:r>
      <w:r w:rsidRPr="00244CCE">
        <w:rPr>
          <w:szCs w:val="20"/>
          <w:lang w:eastAsia="en-GB"/>
        </w:rPr>
        <w:t>lure by a party to provide "necessary information".</w:t>
      </w:r>
      <w:r w:rsidRPr="00F97844">
        <w:rPr>
          <w:rStyle w:val="FootnoteReference"/>
        </w:rPr>
        <w:footnoteReference w:id="208"/>
      </w:r>
      <w:r w:rsidRPr="00F97844">
        <w:rPr>
          <w:szCs w:val="20"/>
          <w:lang w:eastAsia="en-GB"/>
        </w:rPr>
        <w:t xml:space="preserve"> </w:t>
      </w:r>
      <w:r w:rsidR="002D32D7" w:rsidRPr="00F97844">
        <w:rPr>
          <w:szCs w:val="20"/>
          <w:lang w:eastAsia="en-GB"/>
        </w:rPr>
        <w:t xml:space="preserve">Because </w:t>
      </w:r>
      <w:r w:rsidRPr="00244CCE">
        <w:rPr>
          <w:szCs w:val="20"/>
          <w:lang w:eastAsia="en-GB"/>
        </w:rPr>
        <w:t xml:space="preserve">Canada so characterized the measure, it was for the </w:t>
      </w:r>
      <w:r w:rsidRPr="00244CCE">
        <w:rPr>
          <w:szCs w:val="20"/>
          <w:lang w:eastAsia="en-GB"/>
        </w:rPr>
        <w:lastRenderedPageBreak/>
        <w:t xml:space="preserve">United States to show that the USDOC had relied instead on the "significantly impedes" ground in the determinations used </w:t>
      </w:r>
      <w:r w:rsidR="004B6C5B" w:rsidRPr="00244CCE">
        <w:rPr>
          <w:szCs w:val="20"/>
          <w:lang w:eastAsia="en-GB"/>
        </w:rPr>
        <w:t>as</w:t>
      </w:r>
      <w:r w:rsidRPr="00244CCE">
        <w:rPr>
          <w:szCs w:val="20"/>
          <w:lang w:eastAsia="en-GB"/>
        </w:rPr>
        <w:t xml:space="preserve"> evidence </w:t>
      </w:r>
      <w:r w:rsidR="004B6C5B" w:rsidRPr="00244CCE">
        <w:rPr>
          <w:szCs w:val="20"/>
          <w:lang w:eastAsia="en-GB"/>
        </w:rPr>
        <w:t xml:space="preserve">of </w:t>
      </w:r>
      <w:r w:rsidRPr="00244CCE">
        <w:rPr>
          <w:szCs w:val="20"/>
          <w:lang w:eastAsia="en-GB"/>
        </w:rPr>
        <w:t>the OFA</w:t>
      </w:r>
      <w:r w:rsidR="007643D6" w:rsidRPr="00244CCE">
        <w:rPr>
          <w:szCs w:val="20"/>
          <w:lang w:eastAsia="en-GB"/>
        </w:rPr>
        <w:noBreakHyphen/>
      </w:r>
      <w:r w:rsidRPr="00244CCE">
        <w:rPr>
          <w:szCs w:val="20"/>
          <w:lang w:eastAsia="en-GB"/>
        </w:rPr>
        <w:t>AFA</w:t>
      </w:r>
      <w:r w:rsidR="00F1107E" w:rsidRPr="00244CCE">
        <w:rPr>
          <w:szCs w:val="20"/>
          <w:lang w:eastAsia="en-GB"/>
        </w:rPr>
        <w:t> </w:t>
      </w:r>
      <w:r w:rsidRPr="00244CCE">
        <w:rPr>
          <w:szCs w:val="20"/>
          <w:lang w:eastAsia="en-GB"/>
        </w:rPr>
        <w:t xml:space="preserve">measure. The United States, however, failed to </w:t>
      </w:r>
      <w:r w:rsidR="00F61086" w:rsidRPr="00244CCE">
        <w:rPr>
          <w:szCs w:val="20"/>
          <w:lang w:eastAsia="en-GB"/>
        </w:rPr>
        <w:t xml:space="preserve">contend </w:t>
      </w:r>
      <w:r w:rsidRPr="00244CCE">
        <w:rPr>
          <w:szCs w:val="20"/>
          <w:lang w:eastAsia="en-GB"/>
        </w:rPr>
        <w:t>this in relation to the OFA</w:t>
      </w:r>
      <w:r w:rsidR="007643D6" w:rsidRPr="00244CCE">
        <w:rPr>
          <w:szCs w:val="20"/>
          <w:lang w:eastAsia="en-GB"/>
        </w:rPr>
        <w:noBreakHyphen/>
      </w:r>
      <w:r w:rsidRPr="00244CCE">
        <w:rPr>
          <w:szCs w:val="20"/>
          <w:lang w:eastAsia="en-GB"/>
        </w:rPr>
        <w:t>AFA</w:t>
      </w:r>
      <w:r w:rsidR="007B4980">
        <w:rPr>
          <w:szCs w:val="20"/>
          <w:lang w:eastAsia="en-GB"/>
        </w:rPr>
        <w:t> </w:t>
      </w:r>
      <w:r w:rsidRPr="00244CCE">
        <w:rPr>
          <w:szCs w:val="20"/>
          <w:lang w:eastAsia="en-GB"/>
        </w:rPr>
        <w:t>measure before the Panel and on appeal.</w:t>
      </w:r>
      <w:r w:rsidRPr="00F97844">
        <w:rPr>
          <w:rStyle w:val="FootnoteReference"/>
        </w:rPr>
        <w:footnoteReference w:id="209"/>
      </w:r>
    </w:p>
    <w:p w14:paraId="1A073355" w14:textId="0A200496" w:rsidR="00B010B2" w:rsidRPr="00244CCE" w:rsidRDefault="00B010B2" w:rsidP="00F73DD3">
      <w:pPr>
        <w:numPr>
          <w:ilvl w:val="6"/>
          <w:numId w:val="28"/>
        </w:numPr>
        <w:spacing w:after="240"/>
      </w:pPr>
      <w:r w:rsidRPr="00F97844">
        <w:rPr>
          <w:szCs w:val="18"/>
          <w:lang w:eastAsia="en-GB"/>
        </w:rPr>
        <w:t xml:space="preserve">Consequently, </w:t>
      </w:r>
      <w:bookmarkStart w:id="118" w:name="_Hlk24994488"/>
      <w:r w:rsidRPr="00F97844">
        <w:rPr>
          <w:szCs w:val="18"/>
          <w:lang w:eastAsia="en-GB"/>
        </w:rPr>
        <w:t xml:space="preserve">we consider that </w:t>
      </w:r>
      <w:r w:rsidRPr="00244CCE">
        <w:rPr>
          <w:szCs w:val="20"/>
          <w:lang w:eastAsia="en-GB"/>
        </w:rPr>
        <w:t>the OFA</w:t>
      </w:r>
      <w:r w:rsidR="007643D6" w:rsidRPr="00244CCE">
        <w:rPr>
          <w:szCs w:val="20"/>
          <w:lang w:eastAsia="en-GB"/>
        </w:rPr>
        <w:noBreakHyphen/>
      </w:r>
      <w:r w:rsidRPr="00244CCE">
        <w:rPr>
          <w:szCs w:val="20"/>
          <w:lang w:eastAsia="en-GB"/>
        </w:rPr>
        <w:t>AFA</w:t>
      </w:r>
      <w:r w:rsidR="004969B8" w:rsidRPr="00244CCE">
        <w:rPr>
          <w:szCs w:val="20"/>
          <w:lang w:eastAsia="en-GB"/>
        </w:rPr>
        <w:t> </w:t>
      </w:r>
      <w:r w:rsidRPr="00244CCE">
        <w:rPr>
          <w:szCs w:val="20"/>
          <w:lang w:eastAsia="en-GB"/>
        </w:rPr>
        <w:t xml:space="preserve">measure, as established by the Panel, is limited to circumstances where the USDOC uses "facts available" </w:t>
      </w:r>
      <w:proofErr w:type="gramStart"/>
      <w:r w:rsidRPr="00244CCE">
        <w:rPr>
          <w:szCs w:val="20"/>
          <w:lang w:eastAsia="en-GB"/>
        </w:rPr>
        <w:t>on the basis of</w:t>
      </w:r>
      <w:proofErr w:type="gramEnd"/>
      <w:r w:rsidRPr="00244CCE">
        <w:rPr>
          <w:szCs w:val="20"/>
          <w:lang w:eastAsia="en-GB"/>
        </w:rPr>
        <w:t xml:space="preserve"> a party's failure to provide "</w:t>
      </w:r>
      <w:r w:rsidRPr="00244CCE">
        <w:rPr>
          <w:szCs w:val="18"/>
          <w:lang w:eastAsia="en-GB"/>
        </w:rPr>
        <w:t>necessary</w:t>
      </w:r>
      <w:r w:rsidRPr="00244CCE">
        <w:rPr>
          <w:szCs w:val="20"/>
          <w:lang w:eastAsia="en-GB"/>
        </w:rPr>
        <w:t xml:space="preserve"> information". As a result, the findings concerning the OFA</w:t>
      </w:r>
      <w:r w:rsidR="007643D6" w:rsidRPr="00244CCE">
        <w:rPr>
          <w:szCs w:val="20"/>
          <w:lang w:eastAsia="en-GB"/>
        </w:rPr>
        <w:noBreakHyphen/>
      </w:r>
      <w:r w:rsidRPr="00244CCE">
        <w:rPr>
          <w:szCs w:val="20"/>
          <w:lang w:eastAsia="en-GB"/>
        </w:rPr>
        <w:t>AFA</w:t>
      </w:r>
      <w:r w:rsidR="004969B8" w:rsidRPr="00244CCE">
        <w:rPr>
          <w:szCs w:val="20"/>
          <w:lang w:eastAsia="en-GB"/>
        </w:rPr>
        <w:t> </w:t>
      </w:r>
      <w:r w:rsidRPr="00244CCE">
        <w:rPr>
          <w:szCs w:val="20"/>
          <w:lang w:eastAsia="en-GB"/>
        </w:rPr>
        <w:t>measure are also limited to these circumstances. These findings do not concern the USDOC's use of "facts available" where an interested party significantly impedes the investigation.</w:t>
      </w:r>
      <w:r w:rsidR="00985D08" w:rsidRPr="00F97844">
        <w:rPr>
          <w:rStyle w:val="FootnoteReference"/>
          <w:szCs w:val="20"/>
          <w:lang w:eastAsia="en-GB"/>
        </w:rPr>
        <w:footnoteReference w:id="210"/>
      </w:r>
      <w:r w:rsidRPr="00F97844">
        <w:rPr>
          <w:szCs w:val="20"/>
          <w:lang w:eastAsia="en-GB"/>
        </w:rPr>
        <w:t xml:space="preserve"> For these reasons, we do not consider that the Panel erred by not addressing the "significantly impedes" ground for the use of </w:t>
      </w:r>
      <w:r w:rsidR="00E479E9" w:rsidRPr="00F97844">
        <w:rPr>
          <w:szCs w:val="20"/>
          <w:lang w:eastAsia="en-GB"/>
        </w:rPr>
        <w:t>"</w:t>
      </w:r>
      <w:r w:rsidRPr="00244CCE">
        <w:rPr>
          <w:szCs w:val="20"/>
          <w:lang w:eastAsia="en-GB"/>
        </w:rPr>
        <w:t>facts available</w:t>
      </w:r>
      <w:r w:rsidR="00E479E9" w:rsidRPr="00244CCE">
        <w:rPr>
          <w:szCs w:val="20"/>
          <w:lang w:eastAsia="en-GB"/>
        </w:rPr>
        <w:t>"</w:t>
      </w:r>
      <w:r w:rsidRPr="00244CCE">
        <w:rPr>
          <w:szCs w:val="20"/>
          <w:lang w:eastAsia="en-GB"/>
        </w:rPr>
        <w:t xml:space="preserve"> under Article 12.7 of the SCM Agreement.</w:t>
      </w:r>
      <w:bookmarkEnd w:id="118"/>
      <w:r w:rsidRPr="00244CCE">
        <w:rPr>
          <w:szCs w:val="20"/>
          <w:lang w:eastAsia="en-GB"/>
        </w:rPr>
        <w:t xml:space="preserve"> </w:t>
      </w:r>
      <w:r w:rsidRPr="00244CCE">
        <w:rPr>
          <w:szCs w:val="18"/>
          <w:lang w:eastAsia="en-GB"/>
        </w:rPr>
        <w:t xml:space="preserve">This conclusion renders it unnecessary for us to </w:t>
      </w:r>
      <w:r w:rsidRPr="00244CCE">
        <w:rPr>
          <w:szCs w:val="16"/>
          <w:lang w:eastAsia="en-GB"/>
        </w:rPr>
        <w:t>interpret the "significantly impedes" ground under Article 12.7.</w:t>
      </w:r>
      <w:r w:rsidRPr="00244CCE">
        <w:rPr>
          <w:szCs w:val="18"/>
          <w:lang w:eastAsia="en-GB"/>
        </w:rPr>
        <w:t xml:space="preserve"> </w:t>
      </w:r>
    </w:p>
    <w:p w14:paraId="2148FF39" w14:textId="6E840C51" w:rsidR="00B010B2" w:rsidRPr="00F97844" w:rsidRDefault="00B010B2" w:rsidP="00F73DD3">
      <w:pPr>
        <w:numPr>
          <w:ilvl w:val="6"/>
          <w:numId w:val="28"/>
        </w:numPr>
        <w:spacing w:after="240"/>
      </w:pPr>
      <w:r w:rsidRPr="00244CCE">
        <w:rPr>
          <w:szCs w:val="20"/>
          <w:lang w:eastAsia="en-GB"/>
        </w:rPr>
        <w:t xml:space="preserve">The United States also claims that the Panel erred because the conduct it found to be inconsistent with Article 12.7 of the SCM Agreement </w:t>
      </w:r>
      <w:r w:rsidRPr="00244CCE">
        <w:rPr>
          <w:szCs w:val="18"/>
          <w:lang w:eastAsia="en-GB"/>
        </w:rPr>
        <w:t>is not contained in the OFA</w:t>
      </w:r>
      <w:r w:rsidR="007643D6" w:rsidRPr="00244CCE">
        <w:rPr>
          <w:szCs w:val="18"/>
          <w:lang w:eastAsia="en-GB"/>
        </w:rPr>
        <w:noBreakHyphen/>
      </w:r>
      <w:r w:rsidRPr="00244CCE">
        <w:rPr>
          <w:szCs w:val="18"/>
          <w:lang w:eastAsia="en-GB"/>
        </w:rPr>
        <w:t>AFA</w:t>
      </w:r>
      <w:r w:rsidR="004969B8" w:rsidRPr="00244CCE">
        <w:rPr>
          <w:szCs w:val="18"/>
          <w:lang w:eastAsia="en-GB"/>
        </w:rPr>
        <w:t> </w:t>
      </w:r>
      <w:r w:rsidRPr="00244CCE">
        <w:rPr>
          <w:szCs w:val="18"/>
          <w:lang w:eastAsia="en-GB"/>
        </w:rPr>
        <w:t>measure.</w:t>
      </w:r>
      <w:r w:rsidRPr="00F97844">
        <w:rPr>
          <w:rStyle w:val="FootnoteReference"/>
        </w:rPr>
        <w:footnoteReference w:id="211"/>
      </w:r>
      <w:r w:rsidRPr="00F97844">
        <w:rPr>
          <w:szCs w:val="18"/>
          <w:lang w:eastAsia="en-GB"/>
        </w:rPr>
        <w:t xml:space="preserve"> </w:t>
      </w:r>
      <w:r w:rsidRPr="00F97844">
        <w:rPr>
          <w:szCs w:val="20"/>
          <w:lang w:eastAsia="en-GB"/>
        </w:rPr>
        <w:t>In particular, in the United States' view, neither the OFA</w:t>
      </w:r>
      <w:r w:rsidR="007643D6" w:rsidRPr="00244CCE">
        <w:rPr>
          <w:szCs w:val="20"/>
          <w:lang w:eastAsia="en-GB"/>
        </w:rPr>
        <w:noBreakHyphen/>
      </w:r>
      <w:r w:rsidRPr="00244CCE">
        <w:rPr>
          <w:szCs w:val="20"/>
          <w:lang w:eastAsia="en-GB"/>
        </w:rPr>
        <w:t>AFA</w:t>
      </w:r>
      <w:r w:rsidR="004969B8" w:rsidRPr="00244CCE">
        <w:rPr>
          <w:szCs w:val="20"/>
          <w:lang w:eastAsia="en-GB"/>
        </w:rPr>
        <w:t> </w:t>
      </w:r>
      <w:r w:rsidRPr="00244CCE">
        <w:rPr>
          <w:szCs w:val="20"/>
          <w:lang w:eastAsia="en-GB"/>
        </w:rPr>
        <w:t xml:space="preserve">measure nor the underlying </w:t>
      </w:r>
      <w:r w:rsidRPr="00244CCE">
        <w:rPr>
          <w:szCs w:val="18"/>
          <w:lang w:eastAsia="en-GB"/>
        </w:rPr>
        <w:t>determinations</w:t>
      </w:r>
      <w:r w:rsidRPr="00244CCE">
        <w:rPr>
          <w:szCs w:val="20"/>
          <w:lang w:eastAsia="en-GB"/>
        </w:rPr>
        <w:t xml:space="preserve"> on the Panel record support a finding that </w:t>
      </w:r>
      <w:r w:rsidR="008D415C" w:rsidRPr="00244CCE">
        <w:rPr>
          <w:szCs w:val="20"/>
          <w:lang w:eastAsia="en-GB"/>
        </w:rPr>
        <w:t xml:space="preserve">the USDOC </w:t>
      </w:r>
      <w:r w:rsidRPr="00244CCE">
        <w:rPr>
          <w:szCs w:val="20"/>
          <w:lang w:eastAsia="en-GB"/>
        </w:rPr>
        <w:t>made an inference</w:t>
      </w:r>
      <w:r w:rsidR="008D415C" w:rsidRPr="00244CCE">
        <w:rPr>
          <w:szCs w:val="20"/>
          <w:lang w:eastAsia="en-GB"/>
        </w:rPr>
        <w:t xml:space="preserve"> that respondents failed to provide necessary information</w:t>
      </w:r>
      <w:r w:rsidRPr="00244CCE">
        <w:rPr>
          <w:szCs w:val="20"/>
          <w:lang w:eastAsia="en-GB"/>
        </w:rPr>
        <w:t>.</w:t>
      </w:r>
      <w:r w:rsidRPr="00F97844">
        <w:rPr>
          <w:rStyle w:val="FootnoteReference"/>
        </w:rPr>
        <w:footnoteReference w:id="212"/>
      </w:r>
      <w:r w:rsidRPr="00F97844">
        <w:rPr>
          <w:szCs w:val="20"/>
          <w:lang w:eastAsia="en-GB"/>
        </w:rPr>
        <w:t xml:space="preserve"> Rather, the United States alleges that in each determination the USDOC made a positive determination that the respondent failed to provide the necessary information. Having made that determination, the USDOC used an inference to fill in the gaps resulting from the missing necessary information.</w:t>
      </w:r>
      <w:r w:rsidRPr="00F97844">
        <w:rPr>
          <w:rStyle w:val="FootnoteReference"/>
        </w:rPr>
        <w:footnoteReference w:id="213"/>
      </w:r>
    </w:p>
    <w:p w14:paraId="08740228" w14:textId="2EE8E1EB" w:rsidR="00B010B2" w:rsidRPr="00F97844" w:rsidRDefault="00B010B2" w:rsidP="00F73DD3">
      <w:pPr>
        <w:numPr>
          <w:ilvl w:val="6"/>
          <w:numId w:val="28"/>
        </w:numPr>
        <w:spacing w:after="240"/>
      </w:pPr>
      <w:r w:rsidRPr="00F97844">
        <w:rPr>
          <w:szCs w:val="20"/>
          <w:lang w:eastAsia="en-GB"/>
        </w:rPr>
        <w:t>Canada responds that the OFA</w:t>
      </w:r>
      <w:r w:rsidR="007643D6" w:rsidRPr="00244CCE">
        <w:rPr>
          <w:szCs w:val="20"/>
          <w:lang w:eastAsia="en-GB"/>
        </w:rPr>
        <w:noBreakHyphen/>
      </w:r>
      <w:r w:rsidRPr="00244CCE">
        <w:rPr>
          <w:szCs w:val="20"/>
          <w:lang w:eastAsia="en-GB"/>
        </w:rPr>
        <w:t>AFA</w:t>
      </w:r>
      <w:r w:rsidR="004969B8" w:rsidRPr="00244CCE">
        <w:rPr>
          <w:szCs w:val="20"/>
          <w:lang w:eastAsia="en-GB"/>
        </w:rPr>
        <w:t> </w:t>
      </w:r>
      <w:r w:rsidRPr="00244CCE">
        <w:rPr>
          <w:szCs w:val="20"/>
          <w:lang w:eastAsia="en-GB"/>
        </w:rPr>
        <w:t>measure corresponds to the conduct discussed in paragraph 7.333 of the Panel</w:t>
      </w:r>
      <w:r w:rsidR="00062DDD" w:rsidRPr="00244CCE">
        <w:rPr>
          <w:szCs w:val="20"/>
          <w:lang w:eastAsia="en-GB"/>
        </w:rPr>
        <w:t> Report</w:t>
      </w:r>
      <w:r w:rsidRPr="00244CCE">
        <w:rPr>
          <w:szCs w:val="20"/>
          <w:lang w:eastAsia="en-GB"/>
        </w:rPr>
        <w:t>. To Canada, the Panel correctly concluded that the OFA</w:t>
      </w:r>
      <w:r w:rsidR="007643D6" w:rsidRPr="00244CCE">
        <w:rPr>
          <w:szCs w:val="20"/>
          <w:lang w:eastAsia="en-GB"/>
        </w:rPr>
        <w:noBreakHyphen/>
      </w:r>
      <w:r w:rsidRPr="00244CCE">
        <w:rPr>
          <w:szCs w:val="20"/>
          <w:lang w:eastAsia="en-GB"/>
        </w:rPr>
        <w:t>AFA</w:t>
      </w:r>
      <w:r w:rsidR="00585A47" w:rsidRPr="00244CCE">
        <w:rPr>
          <w:szCs w:val="20"/>
          <w:lang w:eastAsia="en-GB"/>
        </w:rPr>
        <w:t> </w:t>
      </w:r>
      <w:r w:rsidRPr="00244CCE">
        <w:rPr>
          <w:szCs w:val="20"/>
          <w:lang w:eastAsia="en-GB"/>
        </w:rPr>
        <w:t>measure is inconsistent with Article 12.7 of the SCM Agreement because, when discovering information during verification, the USDOC uses inferences to assume that the discovered information constitutes a countervailable subsidy.</w:t>
      </w:r>
      <w:r w:rsidRPr="00F97844">
        <w:rPr>
          <w:rStyle w:val="FootnoteReference"/>
        </w:rPr>
        <w:footnoteReference w:id="214"/>
      </w:r>
      <w:r w:rsidRPr="00F97844">
        <w:rPr>
          <w:szCs w:val="20"/>
          <w:lang w:eastAsia="en-GB"/>
        </w:rPr>
        <w:t xml:space="preserve"> Canada </w:t>
      </w:r>
      <w:r w:rsidR="008D415C" w:rsidRPr="00F97844">
        <w:rPr>
          <w:szCs w:val="20"/>
          <w:lang w:eastAsia="en-GB"/>
        </w:rPr>
        <w:t xml:space="preserve">also </w:t>
      </w:r>
      <w:r w:rsidRPr="00244CCE">
        <w:rPr>
          <w:szCs w:val="20"/>
          <w:lang w:eastAsia="en-GB"/>
        </w:rPr>
        <w:t>observes that the Panel's use of the term "infer" derived from the USDOC's own descriptions of its practice.</w:t>
      </w:r>
      <w:r w:rsidRPr="00F97844">
        <w:rPr>
          <w:szCs w:val="20"/>
          <w:vertAlign w:val="superscript"/>
          <w:lang w:eastAsia="en-GB"/>
        </w:rPr>
        <w:footnoteReference w:id="215"/>
      </w:r>
    </w:p>
    <w:p w14:paraId="658360D7" w14:textId="4200A744" w:rsidR="00B010B2" w:rsidRPr="00244CCE" w:rsidRDefault="00B010B2" w:rsidP="00F73DD3">
      <w:pPr>
        <w:numPr>
          <w:ilvl w:val="6"/>
          <w:numId w:val="28"/>
        </w:numPr>
        <w:spacing w:after="240"/>
        <w:rPr>
          <w:szCs w:val="18"/>
        </w:rPr>
      </w:pPr>
      <w:r w:rsidRPr="00F97844">
        <w:rPr>
          <w:szCs w:val="18"/>
          <w:lang w:eastAsia="en-GB"/>
        </w:rPr>
        <w:lastRenderedPageBreak/>
        <w:t>We turn to the conduct considered by the Panel to be inconsistent with Article 12.7 of the SCM Agreement and examine whether it is part of the OFA</w:t>
      </w:r>
      <w:r w:rsidR="007643D6" w:rsidRPr="00244CCE">
        <w:rPr>
          <w:szCs w:val="18"/>
          <w:lang w:eastAsia="en-GB"/>
        </w:rPr>
        <w:noBreakHyphen/>
      </w:r>
      <w:r w:rsidRPr="00244CCE">
        <w:rPr>
          <w:szCs w:val="18"/>
          <w:lang w:eastAsia="en-GB"/>
        </w:rPr>
        <w:t>AFA</w:t>
      </w:r>
      <w:r w:rsidR="004969B8" w:rsidRPr="00244CCE">
        <w:rPr>
          <w:szCs w:val="18"/>
          <w:lang w:eastAsia="en-GB"/>
        </w:rPr>
        <w:t> </w:t>
      </w:r>
      <w:r w:rsidRPr="00244CCE">
        <w:rPr>
          <w:szCs w:val="18"/>
          <w:lang w:eastAsia="en-GB"/>
        </w:rPr>
        <w:t>measure</w:t>
      </w:r>
      <w:r w:rsidRPr="00244CCE">
        <w:rPr>
          <w:szCs w:val="20"/>
          <w:lang w:eastAsia="en-GB"/>
        </w:rPr>
        <w:t>.</w:t>
      </w:r>
      <w:r w:rsidRPr="00244CCE">
        <w:rPr>
          <w:szCs w:val="18"/>
          <w:lang w:eastAsia="en-GB"/>
        </w:rPr>
        <w:t xml:space="preserve"> In this respect, the </w:t>
      </w:r>
      <w:r w:rsidRPr="00244CCE">
        <w:rPr>
          <w:szCs w:val="20"/>
          <w:lang w:eastAsia="en-GB"/>
        </w:rPr>
        <w:t xml:space="preserve">Panel's </w:t>
      </w:r>
      <w:r w:rsidRPr="00244CCE">
        <w:rPr>
          <w:szCs w:val="18"/>
          <w:lang w:eastAsia="en-GB"/>
        </w:rPr>
        <w:t>explanation</w:t>
      </w:r>
      <w:r w:rsidRPr="00244CCE">
        <w:rPr>
          <w:szCs w:val="20"/>
          <w:lang w:eastAsia="en-GB"/>
        </w:rPr>
        <w:t xml:space="preserve"> of the Article 12.7 inconsistency must be read </w:t>
      </w:r>
      <w:proofErr w:type="gramStart"/>
      <w:r w:rsidRPr="00244CCE">
        <w:rPr>
          <w:szCs w:val="20"/>
          <w:lang w:eastAsia="en-GB"/>
        </w:rPr>
        <w:t>in light of</w:t>
      </w:r>
      <w:proofErr w:type="gramEnd"/>
      <w:r w:rsidRPr="00244CCE">
        <w:rPr>
          <w:szCs w:val="20"/>
          <w:lang w:eastAsia="en-GB"/>
        </w:rPr>
        <w:t xml:space="preserve"> the relevant measure at issue before the Panel. We recall that </w:t>
      </w:r>
      <w:r w:rsidRPr="00244CCE">
        <w:rPr>
          <w:szCs w:val="18"/>
          <w:lang w:eastAsia="en-GB"/>
        </w:rPr>
        <w:t>the OFA</w:t>
      </w:r>
      <w:r w:rsidR="007643D6" w:rsidRPr="00244CCE">
        <w:rPr>
          <w:szCs w:val="18"/>
          <w:lang w:eastAsia="en-GB"/>
        </w:rPr>
        <w:noBreakHyphen/>
      </w:r>
      <w:r w:rsidRPr="00244CCE">
        <w:rPr>
          <w:szCs w:val="18"/>
          <w:lang w:eastAsia="en-GB"/>
        </w:rPr>
        <w:t>AFA</w:t>
      </w:r>
      <w:r w:rsidR="004969B8" w:rsidRPr="00244CCE">
        <w:rPr>
          <w:szCs w:val="18"/>
          <w:lang w:eastAsia="en-GB"/>
        </w:rPr>
        <w:t> </w:t>
      </w:r>
      <w:r w:rsidRPr="00244CCE">
        <w:rPr>
          <w:szCs w:val="18"/>
          <w:lang w:eastAsia="en-GB"/>
        </w:rPr>
        <w:t>measure provides for the following steps: (</w:t>
      </w:r>
      <w:proofErr w:type="spellStart"/>
      <w:r w:rsidRPr="00244CCE">
        <w:rPr>
          <w:szCs w:val="18"/>
          <w:lang w:eastAsia="en-GB"/>
        </w:rPr>
        <w:t>i</w:t>
      </w:r>
      <w:proofErr w:type="spellEnd"/>
      <w:r w:rsidRPr="00244CCE">
        <w:rPr>
          <w:szCs w:val="18"/>
          <w:lang w:eastAsia="en-GB"/>
        </w:rPr>
        <w:t>) the USDOC asks the OFA</w:t>
      </w:r>
      <w:r w:rsidR="004969B8" w:rsidRPr="00244CCE">
        <w:rPr>
          <w:szCs w:val="18"/>
          <w:lang w:eastAsia="en-GB"/>
        </w:rPr>
        <w:t> </w:t>
      </w:r>
      <w:r w:rsidRPr="00244CCE">
        <w:rPr>
          <w:szCs w:val="18"/>
          <w:lang w:eastAsia="en-GB"/>
        </w:rPr>
        <w:t xml:space="preserve">question; (ii) the USDOC discovers, during verification, </w:t>
      </w:r>
      <w:r w:rsidR="002D047A" w:rsidRPr="00244CCE">
        <w:rPr>
          <w:szCs w:val="18"/>
          <w:lang w:eastAsia="en-GB"/>
        </w:rPr>
        <w:t>information</w:t>
      </w:r>
      <w:r w:rsidRPr="00244CCE">
        <w:rPr>
          <w:szCs w:val="18"/>
          <w:lang w:eastAsia="en-GB"/>
        </w:rPr>
        <w:t xml:space="preserve"> that it deems should have been </w:t>
      </w:r>
      <w:r w:rsidR="000E0CD0" w:rsidRPr="00244CCE">
        <w:rPr>
          <w:szCs w:val="18"/>
          <w:lang w:eastAsia="en-GB"/>
        </w:rPr>
        <w:t>reported</w:t>
      </w:r>
      <w:r w:rsidRPr="00244CCE">
        <w:rPr>
          <w:szCs w:val="18"/>
          <w:lang w:eastAsia="en-GB"/>
        </w:rPr>
        <w:t xml:space="preserve"> in response to the OFA question; and (iii) the USDOC applies AFA to determine that the discovered information amounts to countervailable subsidies.</w:t>
      </w:r>
      <w:r w:rsidRPr="00F97844">
        <w:rPr>
          <w:rStyle w:val="FootnoteReference"/>
        </w:rPr>
        <w:footnoteReference w:id="216"/>
      </w:r>
      <w:r w:rsidRPr="00F97844">
        <w:rPr>
          <w:szCs w:val="18"/>
          <w:lang w:eastAsia="en-GB"/>
        </w:rPr>
        <w:t xml:space="preserve"> In the final st</w:t>
      </w:r>
      <w:r w:rsidRPr="00244CCE">
        <w:rPr>
          <w:szCs w:val="18"/>
          <w:lang w:eastAsia="en-GB"/>
        </w:rPr>
        <w:t>age of the OFA</w:t>
      </w:r>
      <w:r w:rsidR="007643D6" w:rsidRPr="00244CCE">
        <w:rPr>
          <w:szCs w:val="18"/>
          <w:lang w:eastAsia="en-GB"/>
        </w:rPr>
        <w:noBreakHyphen/>
      </w:r>
      <w:r w:rsidRPr="00244CCE">
        <w:rPr>
          <w:szCs w:val="18"/>
          <w:lang w:eastAsia="en-GB"/>
        </w:rPr>
        <w:t>AFA</w:t>
      </w:r>
      <w:r w:rsidR="004969B8" w:rsidRPr="00244CCE">
        <w:rPr>
          <w:szCs w:val="18"/>
          <w:lang w:eastAsia="en-GB"/>
        </w:rPr>
        <w:t> </w:t>
      </w:r>
      <w:r w:rsidRPr="00244CCE">
        <w:rPr>
          <w:szCs w:val="18"/>
          <w:lang w:eastAsia="en-GB"/>
        </w:rPr>
        <w:t>measure, the USDOC refuses to accept additional information from the respondents and instead relies on AFA to determine that each discovered assistance provided a financial contribution, conferred a benefit, and was specific</w:t>
      </w:r>
      <w:r w:rsidR="00580BA8" w:rsidRPr="00244CCE">
        <w:rPr>
          <w:szCs w:val="18"/>
          <w:lang w:eastAsia="en-GB"/>
        </w:rPr>
        <w:t>,</w:t>
      </w:r>
      <w:r w:rsidRPr="00244CCE">
        <w:rPr>
          <w:szCs w:val="18"/>
          <w:lang w:eastAsia="en-GB"/>
        </w:rPr>
        <w:t xml:space="preserve"> all </w:t>
      </w:r>
      <w:r w:rsidR="00580BA8" w:rsidRPr="00244CCE">
        <w:rPr>
          <w:szCs w:val="18"/>
          <w:lang w:eastAsia="en-GB"/>
        </w:rPr>
        <w:t xml:space="preserve">of which are </w:t>
      </w:r>
      <w:r w:rsidRPr="00244CCE">
        <w:rPr>
          <w:szCs w:val="18"/>
          <w:lang w:eastAsia="en-GB"/>
        </w:rPr>
        <w:t>necessary elements of a countervailable subsidy.</w:t>
      </w:r>
      <w:r w:rsidRPr="00F97844">
        <w:rPr>
          <w:rStyle w:val="FootnoteReference"/>
        </w:rPr>
        <w:footnoteReference w:id="217"/>
      </w:r>
      <w:r w:rsidRPr="00F97844">
        <w:rPr>
          <w:szCs w:val="18"/>
          <w:lang w:eastAsia="en-GB"/>
        </w:rPr>
        <w:t xml:space="preserve"> Against this background, the </w:t>
      </w:r>
      <w:r w:rsidRPr="00F97844">
        <w:rPr>
          <w:szCs w:val="20"/>
          <w:lang w:eastAsia="en-GB"/>
        </w:rPr>
        <w:t xml:space="preserve">Panel found the following conduct </w:t>
      </w:r>
      <w:r w:rsidR="00580BA8" w:rsidRPr="00244CCE">
        <w:rPr>
          <w:szCs w:val="20"/>
          <w:lang w:eastAsia="en-GB"/>
        </w:rPr>
        <w:t xml:space="preserve">to be </w:t>
      </w:r>
      <w:r w:rsidRPr="00244CCE">
        <w:rPr>
          <w:szCs w:val="20"/>
          <w:lang w:eastAsia="en-GB"/>
        </w:rPr>
        <w:t>inconsistent with Article 12.7:</w:t>
      </w:r>
    </w:p>
    <w:p w14:paraId="7C270DAA" w14:textId="372FBD81" w:rsidR="00B010B2" w:rsidRPr="00F97844" w:rsidRDefault="00B010B2" w:rsidP="00F73DD3">
      <w:pPr>
        <w:spacing w:after="240"/>
        <w:ind w:left="567"/>
      </w:pPr>
      <w:r w:rsidRPr="00244CCE">
        <w:rPr>
          <w:szCs w:val="20"/>
          <w:lang w:eastAsia="en-GB"/>
        </w:rPr>
        <w:t xml:space="preserve">[A]n investigating authority may not simply </w:t>
      </w:r>
      <w:r w:rsidRPr="00244CCE">
        <w:rPr>
          <w:i/>
          <w:szCs w:val="20"/>
          <w:lang w:eastAsia="en-GB"/>
        </w:rPr>
        <w:t>infer</w:t>
      </w:r>
      <w:r w:rsidRPr="00244CCE">
        <w:rPr>
          <w:szCs w:val="20"/>
          <w:lang w:eastAsia="en-GB"/>
        </w:rPr>
        <w:t xml:space="preserve"> that a respondent's failure to respond fully to the </w:t>
      </w:r>
      <w:r w:rsidR="00D1730F" w:rsidRPr="00244CCE">
        <w:rPr>
          <w:szCs w:val="20"/>
          <w:lang w:eastAsia="en-GB"/>
        </w:rPr>
        <w:t>[OFA]</w:t>
      </w:r>
      <w:r w:rsidRPr="00244CCE">
        <w:rPr>
          <w:szCs w:val="20"/>
          <w:lang w:eastAsia="en-GB"/>
        </w:rPr>
        <w:t xml:space="preserve"> question resulted in a failure to provide information necessary to establish the existence of additional subsidization of the product under investigation.</w:t>
      </w:r>
      <w:r w:rsidRPr="00F97844">
        <w:rPr>
          <w:rStyle w:val="FootnoteReference"/>
        </w:rPr>
        <w:footnoteReference w:id="218"/>
      </w:r>
    </w:p>
    <w:p w14:paraId="014432BD" w14:textId="3D85BC21" w:rsidR="00B010B2" w:rsidRPr="00F97844" w:rsidRDefault="00B010B2" w:rsidP="00F73DD3">
      <w:pPr>
        <w:numPr>
          <w:ilvl w:val="6"/>
          <w:numId w:val="28"/>
        </w:numPr>
        <w:spacing w:after="240"/>
        <w:rPr>
          <w:szCs w:val="18"/>
        </w:rPr>
      </w:pPr>
      <w:bookmarkStart w:id="119" w:name="_Hlk24994793"/>
      <w:r w:rsidRPr="00F97844">
        <w:rPr>
          <w:szCs w:val="18"/>
          <w:lang w:eastAsia="en-GB"/>
        </w:rPr>
        <w:t xml:space="preserve">We understand </w:t>
      </w:r>
      <w:r w:rsidRPr="00244CCE">
        <w:rPr>
          <w:szCs w:val="18"/>
          <w:lang w:eastAsia="en-GB"/>
        </w:rPr>
        <w:t>the Panel to have faulted the USDOC for</w:t>
      </w:r>
      <w:r w:rsidR="008D415C" w:rsidRPr="00244CCE">
        <w:rPr>
          <w:szCs w:val="18"/>
          <w:lang w:eastAsia="en-GB"/>
        </w:rPr>
        <w:t xml:space="preserve"> </w:t>
      </w:r>
      <w:r w:rsidRPr="00244CCE">
        <w:rPr>
          <w:szCs w:val="18"/>
          <w:lang w:eastAsia="en-GB"/>
        </w:rPr>
        <w:t xml:space="preserve">mechanically concluding, without any further steps, that necessary information had not been provided and that the discovered </w:t>
      </w:r>
      <w:r w:rsidR="002E2176" w:rsidRPr="00244CCE">
        <w:rPr>
          <w:szCs w:val="18"/>
          <w:lang w:eastAsia="en-GB"/>
        </w:rPr>
        <w:t xml:space="preserve">assistance </w:t>
      </w:r>
      <w:r w:rsidRPr="00244CCE">
        <w:rPr>
          <w:szCs w:val="18"/>
          <w:lang w:eastAsia="en-GB"/>
        </w:rPr>
        <w:t>amounted to a countervailable subsidy</w:t>
      </w:r>
      <w:r w:rsidR="008D415C" w:rsidRPr="00244CCE">
        <w:rPr>
          <w:szCs w:val="18"/>
          <w:lang w:eastAsia="en-GB"/>
        </w:rPr>
        <w:t>, when the USDOC discovers unreported assistance</w:t>
      </w:r>
      <w:bookmarkEnd w:id="119"/>
      <w:r w:rsidR="008D415C" w:rsidRPr="00244CCE">
        <w:rPr>
          <w:szCs w:val="18"/>
          <w:lang w:eastAsia="en-GB"/>
        </w:rPr>
        <w:t xml:space="preserve"> during verification</w:t>
      </w:r>
      <w:r w:rsidR="00BC5D2F" w:rsidRPr="00244CCE">
        <w:rPr>
          <w:szCs w:val="18"/>
          <w:lang w:eastAsia="en-GB"/>
        </w:rPr>
        <w:t>s</w:t>
      </w:r>
      <w:r w:rsidR="008D415C" w:rsidRPr="00244CCE">
        <w:rPr>
          <w:szCs w:val="18"/>
        </w:rPr>
        <w:t>.</w:t>
      </w:r>
      <w:r w:rsidRPr="00244CCE">
        <w:rPr>
          <w:szCs w:val="18"/>
          <w:lang w:eastAsia="en-GB"/>
        </w:rPr>
        <w:t xml:space="preserve"> The USDOC's conclusion extends beyond an assessment as to whether a respondent </w:t>
      </w:r>
      <w:r w:rsidRPr="00244CCE">
        <w:rPr>
          <w:szCs w:val="20"/>
          <w:lang w:eastAsia="en-GB"/>
        </w:rPr>
        <w:t xml:space="preserve">"refuses access to, or otherwise does not provide, necessary information" </w:t>
      </w:r>
      <w:r w:rsidR="0031311B" w:rsidRPr="00244CCE">
        <w:rPr>
          <w:szCs w:val="20"/>
          <w:lang w:eastAsia="en-GB"/>
        </w:rPr>
        <w:t>under</w:t>
      </w:r>
      <w:r w:rsidRPr="00244CCE">
        <w:rPr>
          <w:szCs w:val="20"/>
          <w:lang w:eastAsia="en-GB"/>
        </w:rPr>
        <w:t xml:space="preserve"> Article 12.7 of the SCM Agreement</w:t>
      </w:r>
      <w:r w:rsidRPr="00244CCE">
        <w:rPr>
          <w:szCs w:val="18"/>
          <w:lang w:eastAsia="en-GB"/>
        </w:rPr>
        <w:t>.</w:t>
      </w:r>
      <w:r w:rsidRPr="00F97844">
        <w:rPr>
          <w:rStyle w:val="FootnoteReference"/>
        </w:rPr>
        <w:footnoteReference w:id="219"/>
      </w:r>
      <w:r w:rsidRPr="00F97844">
        <w:rPr>
          <w:szCs w:val="18"/>
          <w:lang w:eastAsia="en-GB"/>
        </w:rPr>
        <w:t xml:space="preserve"> The inference</w:t>
      </w:r>
      <w:r w:rsidRPr="00F97844">
        <w:rPr>
          <w:rStyle w:val="FootnoteReference"/>
        </w:rPr>
        <w:footnoteReference w:id="220"/>
      </w:r>
      <w:r w:rsidRPr="00F97844">
        <w:rPr>
          <w:szCs w:val="18"/>
          <w:lang w:eastAsia="en-GB"/>
        </w:rPr>
        <w:t xml:space="preserve"> that the information is necessary to "establish the existence of add</w:t>
      </w:r>
      <w:r w:rsidRPr="00244CCE">
        <w:rPr>
          <w:szCs w:val="18"/>
          <w:lang w:eastAsia="en-GB"/>
        </w:rPr>
        <w:t>itional subsidization" refers to the conclusion by the USDOC in the final stage of the OFA</w:t>
      </w:r>
      <w:r w:rsidR="007643D6" w:rsidRPr="00244CCE">
        <w:rPr>
          <w:szCs w:val="18"/>
          <w:lang w:eastAsia="en-GB"/>
        </w:rPr>
        <w:noBreakHyphen/>
      </w:r>
      <w:r w:rsidRPr="00244CCE">
        <w:rPr>
          <w:szCs w:val="18"/>
          <w:lang w:eastAsia="en-GB"/>
        </w:rPr>
        <w:t>AFA</w:t>
      </w:r>
      <w:r w:rsidR="00585A47" w:rsidRPr="00244CCE">
        <w:rPr>
          <w:szCs w:val="18"/>
          <w:lang w:eastAsia="en-GB"/>
        </w:rPr>
        <w:t> </w:t>
      </w:r>
      <w:r w:rsidRPr="00244CCE">
        <w:rPr>
          <w:szCs w:val="18"/>
          <w:lang w:eastAsia="en-GB"/>
        </w:rPr>
        <w:t>measure that the discovered assistance amounts to a countervailable subsidy.</w:t>
      </w:r>
      <w:r w:rsidRPr="00F97844">
        <w:rPr>
          <w:szCs w:val="18"/>
          <w:vertAlign w:val="superscript"/>
          <w:lang w:eastAsia="en-GB"/>
        </w:rPr>
        <w:footnoteReference w:id="221"/>
      </w:r>
      <w:r w:rsidRPr="00F97844">
        <w:rPr>
          <w:szCs w:val="18"/>
          <w:lang w:eastAsia="en-GB"/>
        </w:rPr>
        <w:t xml:space="preserve"> This is confirmed by the next sentence of paragraph 7.333, where the Panel refers </w:t>
      </w:r>
      <w:r w:rsidRPr="00244CCE">
        <w:rPr>
          <w:szCs w:val="18"/>
          <w:lang w:eastAsia="en-GB"/>
        </w:rPr>
        <w:t>to due process rights in relation to information necessary "to complete a determination on additional subsidization of the product under investigation". Furthermore, the Panel continued in the final sentence of paragraph 7.333 that this is "all the more applicable where an investigating authority elects to add subsidy programmes to an ongoing investigation". These two subsequent sentences in paragraph 7.333 concern the USDOC's conclusion that the discovered assistance is a countervailable subsidy to be included in the investigation.</w:t>
      </w:r>
      <w:r w:rsidRPr="00F97844">
        <w:rPr>
          <w:rStyle w:val="FootnoteReference"/>
        </w:rPr>
        <w:footnoteReference w:id="222"/>
      </w:r>
    </w:p>
    <w:p w14:paraId="305B396E" w14:textId="5DFF6BD5" w:rsidR="00B010B2" w:rsidRPr="00244CCE" w:rsidRDefault="00B010B2" w:rsidP="00F73DD3">
      <w:pPr>
        <w:numPr>
          <w:ilvl w:val="6"/>
          <w:numId w:val="28"/>
        </w:numPr>
        <w:spacing w:after="240"/>
        <w:rPr>
          <w:szCs w:val="18"/>
        </w:rPr>
      </w:pPr>
      <w:r w:rsidRPr="00F97844">
        <w:rPr>
          <w:szCs w:val="20"/>
          <w:lang w:eastAsia="en-GB"/>
        </w:rPr>
        <w:lastRenderedPageBreak/>
        <w:t>Thus, i</w:t>
      </w:r>
      <w:r w:rsidRPr="00244CCE">
        <w:rPr>
          <w:szCs w:val="18"/>
          <w:lang w:eastAsia="en-GB"/>
        </w:rPr>
        <w:t xml:space="preserve">n paragraph 7.333, the Panel ties the discovery of the unreported assistance to the USDOC's application of AFA to conclude that the discovered assistance amounts to a countervailable subsidy. This is because the USDOC treats the failure to respond fully to the OFA question as a </w:t>
      </w:r>
      <w:proofErr w:type="gramStart"/>
      <w:r w:rsidRPr="00244CCE">
        <w:rPr>
          <w:szCs w:val="18"/>
          <w:lang w:eastAsia="en-GB"/>
        </w:rPr>
        <w:t>sufficient</w:t>
      </w:r>
      <w:proofErr w:type="gramEnd"/>
      <w:r w:rsidRPr="00244CCE">
        <w:rPr>
          <w:szCs w:val="18"/>
          <w:lang w:eastAsia="en-GB"/>
        </w:rPr>
        <w:t xml:space="preserve"> basis to mechanically conclude that a party failed to provide "necessary information" and that, as AFA, the discovered assistance is a countervailable subsidy. </w:t>
      </w:r>
      <w:bookmarkStart w:id="120" w:name="_Hlk24994833"/>
      <w:r w:rsidRPr="00244CCE">
        <w:rPr>
          <w:szCs w:val="20"/>
          <w:lang w:eastAsia="en-GB"/>
        </w:rPr>
        <w:t>As this process reflects the precise content of the OFA</w:t>
      </w:r>
      <w:r w:rsidR="007643D6" w:rsidRPr="00244CCE">
        <w:rPr>
          <w:szCs w:val="20"/>
          <w:lang w:eastAsia="en-GB"/>
        </w:rPr>
        <w:noBreakHyphen/>
      </w:r>
      <w:r w:rsidRPr="00244CCE">
        <w:rPr>
          <w:szCs w:val="20"/>
          <w:lang w:eastAsia="en-GB"/>
        </w:rPr>
        <w:t>AFA</w:t>
      </w:r>
      <w:r w:rsidR="004969B8" w:rsidRPr="00244CCE">
        <w:rPr>
          <w:szCs w:val="20"/>
          <w:lang w:eastAsia="en-GB"/>
        </w:rPr>
        <w:t> </w:t>
      </w:r>
      <w:r w:rsidRPr="00244CCE">
        <w:rPr>
          <w:szCs w:val="20"/>
          <w:lang w:eastAsia="en-GB"/>
        </w:rPr>
        <w:t xml:space="preserve">measure, we consider </w:t>
      </w:r>
      <w:r w:rsidRPr="00244CCE">
        <w:rPr>
          <w:szCs w:val="18"/>
          <w:lang w:eastAsia="en-GB"/>
        </w:rPr>
        <w:t>the conduct examined by the Panel in paragraph 7.333 to be part of the OFA</w:t>
      </w:r>
      <w:r w:rsidR="007643D6" w:rsidRPr="00244CCE">
        <w:rPr>
          <w:szCs w:val="18"/>
          <w:lang w:eastAsia="en-GB"/>
        </w:rPr>
        <w:noBreakHyphen/>
      </w:r>
      <w:r w:rsidRPr="00244CCE">
        <w:rPr>
          <w:szCs w:val="18"/>
          <w:lang w:eastAsia="en-GB"/>
        </w:rPr>
        <w:t>AFA</w:t>
      </w:r>
      <w:r w:rsidR="004969B8" w:rsidRPr="00244CCE">
        <w:rPr>
          <w:szCs w:val="18"/>
          <w:lang w:eastAsia="en-GB"/>
        </w:rPr>
        <w:t> </w:t>
      </w:r>
      <w:r w:rsidRPr="00244CCE">
        <w:rPr>
          <w:szCs w:val="18"/>
          <w:lang w:eastAsia="en-GB"/>
        </w:rPr>
        <w:t>measure.</w:t>
      </w:r>
      <w:bookmarkEnd w:id="120"/>
      <w:r w:rsidRPr="00244CCE">
        <w:rPr>
          <w:szCs w:val="18"/>
          <w:lang w:eastAsia="en-GB"/>
        </w:rPr>
        <w:t xml:space="preserve"> </w:t>
      </w:r>
    </w:p>
    <w:p w14:paraId="36B6F05A" w14:textId="590051E3" w:rsidR="00B010B2" w:rsidRPr="00F97844" w:rsidRDefault="00B010B2" w:rsidP="00F73DD3">
      <w:pPr>
        <w:numPr>
          <w:ilvl w:val="6"/>
          <w:numId w:val="28"/>
        </w:numPr>
        <w:spacing w:after="240"/>
        <w:rPr>
          <w:szCs w:val="18"/>
        </w:rPr>
      </w:pPr>
      <w:r w:rsidRPr="00244CCE">
        <w:rPr>
          <w:szCs w:val="18"/>
          <w:lang w:eastAsia="en-GB"/>
        </w:rPr>
        <w:t>In addition, we do not consider that the Panel erred in finding that the OFA</w:t>
      </w:r>
      <w:r w:rsidR="007643D6" w:rsidRPr="00244CCE">
        <w:rPr>
          <w:szCs w:val="18"/>
          <w:lang w:eastAsia="en-GB"/>
        </w:rPr>
        <w:noBreakHyphen/>
      </w:r>
      <w:r w:rsidRPr="00244CCE">
        <w:rPr>
          <w:szCs w:val="18"/>
          <w:lang w:eastAsia="en-GB"/>
        </w:rPr>
        <w:t>AFA</w:t>
      </w:r>
      <w:r w:rsidR="004969B8" w:rsidRPr="00244CCE">
        <w:rPr>
          <w:szCs w:val="18"/>
          <w:lang w:eastAsia="en-GB"/>
        </w:rPr>
        <w:t> </w:t>
      </w:r>
      <w:r w:rsidRPr="00244CCE">
        <w:rPr>
          <w:szCs w:val="18"/>
          <w:lang w:eastAsia="en-GB"/>
        </w:rPr>
        <w:t>measure is inconsistent with Article 12.7 of the SCM Agreement. We agree with the Panel that the USDOC's mechanical response to the discovery of unreported assistance during verification is inconsistent with Article 12.7 for two reasons.</w:t>
      </w:r>
      <w:r w:rsidRPr="00F97844">
        <w:rPr>
          <w:rStyle w:val="FootnoteReference"/>
        </w:rPr>
        <w:footnoteReference w:id="223"/>
      </w:r>
    </w:p>
    <w:p w14:paraId="232F854D" w14:textId="4E8F15A7" w:rsidR="00B010B2" w:rsidRPr="00F97844" w:rsidRDefault="00B010B2" w:rsidP="00F73DD3">
      <w:pPr>
        <w:numPr>
          <w:ilvl w:val="6"/>
          <w:numId w:val="28"/>
        </w:numPr>
        <w:spacing w:after="240"/>
        <w:rPr>
          <w:szCs w:val="18"/>
        </w:rPr>
      </w:pPr>
      <w:r w:rsidRPr="00F97844">
        <w:rPr>
          <w:szCs w:val="18"/>
          <w:lang w:eastAsia="en-GB"/>
        </w:rPr>
        <w:t>First, the USDOC uses "facts available", on the basis of a failure to provide "necessary information", without taking any additional steps to clarify the nature of the unreported assistance and whether the missing information is "necessary" under A</w:t>
      </w:r>
      <w:r w:rsidRPr="00244CCE">
        <w:rPr>
          <w:szCs w:val="18"/>
          <w:lang w:eastAsia="en-GB"/>
        </w:rPr>
        <w:t>rticle 12.7 of the SCM Agreement.</w:t>
      </w:r>
      <w:r w:rsidRPr="00F97844">
        <w:rPr>
          <w:rStyle w:val="FootnoteReference"/>
        </w:rPr>
        <w:footnoteReference w:id="224"/>
      </w:r>
      <w:r w:rsidRPr="00F97844">
        <w:rPr>
          <w:szCs w:val="18"/>
          <w:lang w:eastAsia="en-GB"/>
        </w:rPr>
        <w:t xml:space="preserve"> T</w:t>
      </w:r>
      <w:r w:rsidRPr="00F97844">
        <w:rPr>
          <w:szCs w:val="20"/>
          <w:lang w:eastAsia="en-GB"/>
        </w:rPr>
        <w:t>he United States cont</w:t>
      </w:r>
      <w:r w:rsidRPr="00244CCE">
        <w:rPr>
          <w:szCs w:val="20"/>
          <w:lang w:eastAsia="en-GB"/>
        </w:rPr>
        <w:t>ends that</w:t>
      </w:r>
      <w:r w:rsidRPr="00244CCE">
        <w:rPr>
          <w:szCs w:val="18"/>
          <w:lang w:eastAsia="en-GB"/>
        </w:rPr>
        <w:t xml:space="preserve"> the investigating authority is in the best position to assess what information is "necessary" and that the OFA question relates to "necessary information" because it </w:t>
      </w:r>
      <w:r w:rsidRPr="00244CCE">
        <w:rPr>
          <w:szCs w:val="20"/>
          <w:lang w:eastAsia="en-GB"/>
        </w:rPr>
        <w:t>serves to identify possible assistance for which the application of countervailing duties may be appropriate.</w:t>
      </w:r>
      <w:r w:rsidRPr="00F97844">
        <w:rPr>
          <w:rStyle w:val="FootnoteReference"/>
        </w:rPr>
        <w:footnoteReference w:id="225"/>
      </w:r>
      <w:r w:rsidRPr="00F97844">
        <w:rPr>
          <w:szCs w:val="20"/>
          <w:lang w:eastAsia="en-GB"/>
        </w:rPr>
        <w:t xml:space="preserve"> </w:t>
      </w:r>
      <w:r w:rsidRPr="00F97844">
        <w:rPr>
          <w:szCs w:val="18"/>
          <w:lang w:eastAsia="en-GB"/>
        </w:rPr>
        <w:t xml:space="preserve">The United States refers to the panel's view in </w:t>
      </w:r>
      <w:r w:rsidRPr="00244CCE">
        <w:rPr>
          <w:i/>
          <w:szCs w:val="20"/>
          <w:lang w:eastAsia="en-GB"/>
        </w:rPr>
        <w:t>EC – Countervailing Measures on DRAM Chips</w:t>
      </w:r>
      <w:r w:rsidRPr="00244CCE">
        <w:rPr>
          <w:szCs w:val="20"/>
          <w:lang w:eastAsia="en-GB"/>
        </w:rPr>
        <w:t xml:space="preserve"> that information is "necessary" if an investigating authority "reasonably consider[s]" it so.</w:t>
      </w:r>
      <w:r w:rsidRPr="00F97844">
        <w:rPr>
          <w:rStyle w:val="FootnoteReference"/>
        </w:rPr>
        <w:footnoteReference w:id="226"/>
      </w:r>
      <w:r w:rsidRPr="00F97844">
        <w:rPr>
          <w:szCs w:val="20"/>
          <w:lang w:eastAsia="en-GB"/>
        </w:rPr>
        <w:t xml:space="preserve"> We consider, however, that the use of "reasonably" by </w:t>
      </w:r>
      <w:r w:rsidR="00BD217F" w:rsidRPr="00244CCE">
        <w:rPr>
          <w:szCs w:val="20"/>
          <w:lang w:eastAsia="en-GB"/>
        </w:rPr>
        <w:t xml:space="preserve">the </w:t>
      </w:r>
      <w:r w:rsidRPr="00244CCE">
        <w:rPr>
          <w:szCs w:val="20"/>
          <w:lang w:eastAsia="en-GB"/>
        </w:rPr>
        <w:t xml:space="preserve">panel itself indicates that </w:t>
      </w:r>
      <w:r w:rsidRPr="00244CCE">
        <w:rPr>
          <w:szCs w:val="18"/>
          <w:lang w:eastAsia="en-GB"/>
        </w:rPr>
        <w:t>an investigating authority is not entirely unconstrained in its identification of "necessary information". Indeed, in our view, the investigating authority must make a reasonable assessment based on evidence and cannot simply infer, without further clarification</w:t>
      </w:r>
      <w:r w:rsidRPr="00F97844">
        <w:rPr>
          <w:rStyle w:val="FootnoteReference"/>
        </w:rPr>
        <w:footnoteReference w:id="227"/>
      </w:r>
      <w:r w:rsidRPr="00F97844">
        <w:rPr>
          <w:szCs w:val="18"/>
          <w:lang w:eastAsia="en-GB"/>
        </w:rPr>
        <w:t>, that the missing information is "necessary" within the meaning of Article 12.7. We agree with the Panel that the fact that it would have been inconvenient or impractical for the USDOC to take fur</w:t>
      </w:r>
      <w:r w:rsidRPr="00244CCE">
        <w:rPr>
          <w:szCs w:val="18"/>
          <w:lang w:eastAsia="en-GB"/>
        </w:rPr>
        <w:t>ther steps to confirm the basic nature of the discovered information cannot outweigh the due process rights in the WTO Agreements.</w:t>
      </w:r>
      <w:r w:rsidRPr="00F97844">
        <w:rPr>
          <w:rStyle w:val="FootnoteReference"/>
        </w:rPr>
        <w:footnoteReference w:id="228"/>
      </w:r>
      <w:r w:rsidRPr="00F97844">
        <w:rPr>
          <w:szCs w:val="18"/>
          <w:lang w:eastAsia="en-GB"/>
        </w:rPr>
        <w:t xml:space="preserve"> </w:t>
      </w:r>
    </w:p>
    <w:p w14:paraId="7119999C" w14:textId="15F7C780" w:rsidR="00B010B2" w:rsidRPr="00244CCE" w:rsidRDefault="00B010B2" w:rsidP="00F73DD3">
      <w:pPr>
        <w:numPr>
          <w:ilvl w:val="6"/>
          <w:numId w:val="28"/>
        </w:numPr>
        <w:spacing w:after="240"/>
        <w:rPr>
          <w:szCs w:val="18"/>
        </w:rPr>
      </w:pPr>
      <w:r w:rsidRPr="00244CCE">
        <w:rPr>
          <w:szCs w:val="18"/>
          <w:lang w:eastAsia="en-GB"/>
        </w:rPr>
        <w:t xml:space="preserve">Second, the USDOC concludes, as AFA, that the unreported assistance amounts to a countervailable subsidy. </w:t>
      </w:r>
      <w:r w:rsidRPr="00244CCE">
        <w:rPr>
          <w:szCs w:val="20"/>
          <w:lang w:eastAsia="en-GB"/>
        </w:rPr>
        <w:t xml:space="preserve">As described by the USDOC itself, the USDOC simply asserts "as AFA" that the discovered assistance provides a financial contribution, </w:t>
      </w:r>
      <w:r w:rsidR="00F61086" w:rsidRPr="00244CCE">
        <w:rPr>
          <w:szCs w:val="20"/>
          <w:lang w:eastAsia="en-GB"/>
        </w:rPr>
        <w:t>confers a benefit</w:t>
      </w:r>
      <w:r w:rsidRPr="00244CCE">
        <w:rPr>
          <w:szCs w:val="20"/>
          <w:lang w:eastAsia="en-GB"/>
        </w:rPr>
        <w:t>, and</w:t>
      </w:r>
      <w:r w:rsidR="00F61086" w:rsidRPr="00244CCE">
        <w:rPr>
          <w:szCs w:val="20"/>
          <w:lang w:eastAsia="en-GB"/>
        </w:rPr>
        <w:t xml:space="preserve"> is specific</w:t>
      </w:r>
      <w:r w:rsidRPr="00244CCE">
        <w:rPr>
          <w:szCs w:val="20"/>
          <w:lang w:eastAsia="en-GB"/>
        </w:rPr>
        <w:t>. Such a finding is made without regard to any facts on the record.</w:t>
      </w:r>
      <w:r w:rsidRPr="00F97844">
        <w:rPr>
          <w:rStyle w:val="FootnoteReference"/>
        </w:rPr>
        <w:footnoteReference w:id="229"/>
      </w:r>
      <w:r w:rsidRPr="00F97844">
        <w:rPr>
          <w:szCs w:val="20"/>
          <w:lang w:eastAsia="en-GB"/>
        </w:rPr>
        <w:t xml:space="preserve"> We consider, however, that procedural </w:t>
      </w:r>
      <w:r w:rsidRPr="00F97844">
        <w:rPr>
          <w:szCs w:val="20"/>
          <w:lang w:eastAsia="en-GB"/>
        </w:rPr>
        <w:lastRenderedPageBreak/>
        <w:t>circumstances and any resulting inferences may not alone form the basis of a determination. This is because, pursuant to Article 12.7 of the SCM Agreemen</w:t>
      </w:r>
      <w:r w:rsidRPr="00244CCE">
        <w:rPr>
          <w:szCs w:val="20"/>
          <w:lang w:eastAsia="en-GB"/>
        </w:rPr>
        <w:t>t, determinations must be made on the basis of "facts" available</w:t>
      </w:r>
      <w:r w:rsidRPr="00F97844">
        <w:rPr>
          <w:rStyle w:val="FootnoteReference"/>
        </w:rPr>
        <w:footnoteReference w:id="230"/>
      </w:r>
      <w:r w:rsidRPr="00F97844">
        <w:rPr>
          <w:szCs w:val="20"/>
          <w:lang w:eastAsia="en-GB"/>
        </w:rPr>
        <w:t>, and not "on the basis of non</w:t>
      </w:r>
      <w:r w:rsidR="007643D6" w:rsidRPr="00244CCE">
        <w:rPr>
          <w:szCs w:val="20"/>
          <w:lang w:eastAsia="en-GB"/>
        </w:rPr>
        <w:noBreakHyphen/>
      </w:r>
      <w:r w:rsidRPr="00244CCE">
        <w:rPr>
          <w:szCs w:val="20"/>
          <w:lang w:eastAsia="en-GB"/>
        </w:rPr>
        <w:t>factual assumptions or speculation".</w:t>
      </w:r>
      <w:r w:rsidRPr="00F97844">
        <w:rPr>
          <w:szCs w:val="20"/>
          <w:vertAlign w:val="superscript"/>
          <w:lang w:eastAsia="en-GB"/>
        </w:rPr>
        <w:footnoteReference w:id="231"/>
      </w:r>
      <w:r w:rsidRPr="00F97844">
        <w:rPr>
          <w:szCs w:val="20"/>
          <w:lang w:eastAsia="en-GB"/>
        </w:rPr>
        <w:t xml:space="preserve"> </w:t>
      </w:r>
      <w:r w:rsidRPr="00F97844">
        <w:rPr>
          <w:szCs w:val="18"/>
          <w:lang w:eastAsia="en-GB"/>
        </w:rPr>
        <w:t xml:space="preserve">For these reasons, </w:t>
      </w:r>
      <w:bookmarkStart w:id="121" w:name="_Hlk24994895"/>
      <w:r w:rsidRPr="00F97844">
        <w:rPr>
          <w:szCs w:val="18"/>
          <w:lang w:eastAsia="en-GB"/>
        </w:rPr>
        <w:t>we agree with the Panel that the USDOC cannot simply reach conclusions without further analysis and reg</w:t>
      </w:r>
      <w:r w:rsidRPr="00244CCE">
        <w:rPr>
          <w:szCs w:val="18"/>
          <w:lang w:eastAsia="en-GB"/>
        </w:rPr>
        <w:t>ard to the facts available on the record and the due process rights of interested parties.</w:t>
      </w:r>
      <w:bookmarkEnd w:id="121"/>
      <w:r w:rsidRPr="00F97844">
        <w:rPr>
          <w:rStyle w:val="FootnoteReference"/>
        </w:rPr>
        <w:footnoteReference w:id="232"/>
      </w:r>
      <w:r w:rsidRPr="00F97844">
        <w:rPr>
          <w:szCs w:val="18"/>
          <w:lang w:eastAsia="en-GB"/>
        </w:rPr>
        <w:t xml:space="preserve"> </w:t>
      </w:r>
      <w:r w:rsidRPr="00F97844">
        <w:rPr>
          <w:szCs w:val="20"/>
          <w:lang w:eastAsia="en-GB"/>
        </w:rPr>
        <w:t>To be clear, in arriving at this conclusion, we make no finding about the manner in which the USDOC should have selected facts available in the circumstances of thi</w:t>
      </w:r>
      <w:r w:rsidRPr="00244CCE">
        <w:rPr>
          <w:szCs w:val="20"/>
          <w:lang w:eastAsia="en-GB"/>
        </w:rPr>
        <w:t xml:space="preserve">s case. We simply note that determinations must be made </w:t>
      </w:r>
      <w:proofErr w:type="gramStart"/>
      <w:r w:rsidRPr="00244CCE">
        <w:rPr>
          <w:szCs w:val="20"/>
          <w:lang w:eastAsia="en-GB"/>
        </w:rPr>
        <w:t>on the basis of</w:t>
      </w:r>
      <w:proofErr w:type="gramEnd"/>
      <w:r w:rsidRPr="00244CCE">
        <w:rPr>
          <w:szCs w:val="20"/>
          <w:lang w:eastAsia="en-GB"/>
        </w:rPr>
        <w:t xml:space="preserve"> "facts" available, and in the circumstances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 the USDOC instead relies on non</w:t>
      </w:r>
      <w:r w:rsidR="007643D6" w:rsidRPr="00244CCE">
        <w:rPr>
          <w:szCs w:val="20"/>
          <w:lang w:eastAsia="en-GB"/>
        </w:rPr>
        <w:noBreakHyphen/>
      </w:r>
      <w:r w:rsidRPr="00244CCE">
        <w:rPr>
          <w:szCs w:val="20"/>
          <w:lang w:eastAsia="en-GB"/>
        </w:rPr>
        <w:t>factual assumptions or speculation.</w:t>
      </w:r>
    </w:p>
    <w:p w14:paraId="7E26F02D" w14:textId="5DAD3CDC" w:rsidR="00B010B2" w:rsidRPr="00F97844" w:rsidRDefault="00B010B2" w:rsidP="00F73DD3">
      <w:pPr>
        <w:numPr>
          <w:ilvl w:val="6"/>
          <w:numId w:val="28"/>
        </w:numPr>
        <w:spacing w:after="240"/>
      </w:pPr>
      <w:bookmarkStart w:id="122" w:name="_Hlk24994960"/>
      <w:r w:rsidRPr="00244CCE">
        <w:rPr>
          <w:szCs w:val="18"/>
          <w:lang w:eastAsia="en-GB"/>
        </w:rPr>
        <w:t xml:space="preserve">Finally, </w:t>
      </w:r>
      <w:r w:rsidRPr="00244CCE">
        <w:rPr>
          <w:szCs w:val="20"/>
          <w:lang w:eastAsia="en-GB"/>
        </w:rPr>
        <w:t xml:space="preserve">the United States claims that the Panel erred because it implied that </w:t>
      </w:r>
      <w:r w:rsidRPr="00244CCE">
        <w:rPr>
          <w:szCs w:val="18"/>
          <w:lang w:eastAsia="en-GB"/>
        </w:rPr>
        <w:t>the OFA question used by the USDOC can never be a request for "necessary information" under Article 12.7 of the SCM Agreement.</w:t>
      </w:r>
      <w:r w:rsidRPr="00F97844">
        <w:rPr>
          <w:rStyle w:val="FootnoteReference"/>
        </w:rPr>
        <w:footnoteReference w:id="233"/>
      </w:r>
      <w:r w:rsidRPr="00F97844">
        <w:rPr>
          <w:szCs w:val="18"/>
          <w:lang w:eastAsia="en-GB"/>
        </w:rPr>
        <w:t xml:space="preserve"> We note, however, that the Panel explicitly observed that the OFA question "might pertain to necessary information regarding additional subsidization of the product under</w:t>
      </w:r>
      <w:r w:rsidRPr="00244CCE">
        <w:rPr>
          <w:szCs w:val="18"/>
          <w:lang w:eastAsia="en-GB"/>
        </w:rPr>
        <w:t xml:space="preserve"> investigation"</w:t>
      </w:r>
      <w:bookmarkEnd w:id="122"/>
      <w:r w:rsidR="001902DB" w:rsidRPr="00244CCE">
        <w:rPr>
          <w:szCs w:val="18"/>
          <w:lang w:eastAsia="en-GB"/>
        </w:rPr>
        <w:t>.</w:t>
      </w:r>
      <w:r w:rsidRPr="00F97844">
        <w:rPr>
          <w:rStyle w:val="FootnoteReference"/>
        </w:rPr>
        <w:footnoteReference w:id="234"/>
      </w:r>
      <w:r w:rsidRPr="00F97844">
        <w:rPr>
          <w:szCs w:val="18"/>
          <w:lang w:eastAsia="en-GB"/>
        </w:rPr>
        <w:t xml:space="preserve"> For this reason, we are unable to agree with the United States that the Panel found that the OFA question can never be a request for "necessary information".</w:t>
      </w:r>
      <w:r w:rsidRPr="00F97844">
        <w:rPr>
          <w:rStyle w:val="FootnoteReference"/>
        </w:rPr>
        <w:footnoteReference w:id="235"/>
      </w:r>
      <w:r w:rsidRPr="00F97844">
        <w:rPr>
          <w:szCs w:val="18"/>
          <w:lang w:eastAsia="en-GB"/>
        </w:rPr>
        <w:t xml:space="preserve"> Thus, we do not consider that the Panel erred in this regard.</w:t>
      </w:r>
    </w:p>
    <w:p w14:paraId="36D8EDF4" w14:textId="0C680A79" w:rsidR="00B010B2" w:rsidRPr="00244CCE" w:rsidRDefault="00B010B2" w:rsidP="00F73DD3">
      <w:pPr>
        <w:pStyle w:val="Heading3"/>
        <w:numPr>
          <w:ilvl w:val="2"/>
          <w:numId w:val="28"/>
        </w:numPr>
      </w:pPr>
      <w:bookmarkStart w:id="123" w:name="_Toc30412743"/>
      <w:r w:rsidRPr="00244CCE">
        <w:t>Conclusion</w:t>
      </w:r>
      <w:bookmarkEnd w:id="123"/>
    </w:p>
    <w:p w14:paraId="3B2D6A01" w14:textId="4DDDC788" w:rsidR="00B010B2" w:rsidRPr="00244CCE" w:rsidRDefault="00B010B2" w:rsidP="00F73DD3">
      <w:pPr>
        <w:numPr>
          <w:ilvl w:val="6"/>
          <w:numId w:val="28"/>
        </w:numPr>
        <w:spacing w:after="240"/>
      </w:pPr>
      <w:r w:rsidRPr="00244CCE">
        <w:rPr>
          <w:szCs w:val="18"/>
        </w:rPr>
        <w:t xml:space="preserve">For the reasons stated above, we </w:t>
      </w:r>
      <w:r w:rsidRPr="00244CCE">
        <w:rPr>
          <w:szCs w:val="18"/>
          <w:u w:val="single"/>
        </w:rPr>
        <w:t>find</w:t>
      </w:r>
      <w:r w:rsidRPr="00244CCE">
        <w:rPr>
          <w:szCs w:val="18"/>
        </w:rPr>
        <w:t xml:space="preserve"> that </w:t>
      </w:r>
      <w:r w:rsidRPr="00244CCE">
        <w:t xml:space="preserve">the Panel did not err under Article 12.7 of the DSU by failing to </w:t>
      </w:r>
      <w:r w:rsidRPr="00244CCE">
        <w:rPr>
          <w:szCs w:val="18"/>
        </w:rPr>
        <w:t>provide</w:t>
      </w:r>
      <w:r w:rsidRPr="00244CCE">
        <w:t xml:space="preserve"> a "basic rationale" for its finding that the OFA</w:t>
      </w:r>
      <w:r w:rsidR="007643D6" w:rsidRPr="00244CCE">
        <w:noBreakHyphen/>
      </w:r>
      <w:r w:rsidRPr="00244CCE">
        <w:t>AFA</w:t>
      </w:r>
      <w:r w:rsidR="00F133F7" w:rsidRPr="00244CCE">
        <w:t> </w:t>
      </w:r>
      <w:r w:rsidRPr="00244CCE">
        <w:t>measure is inconsistent with Article 12.7 of the SCM Agreement.</w:t>
      </w:r>
      <w:r w:rsidRPr="00244CCE">
        <w:rPr>
          <w:szCs w:val="20"/>
          <w:lang w:eastAsia="en-GB"/>
        </w:rPr>
        <w:t xml:space="preserve"> Furthermore, we </w:t>
      </w:r>
      <w:r w:rsidRPr="00244CCE">
        <w:rPr>
          <w:szCs w:val="20"/>
          <w:u w:val="single"/>
          <w:lang w:eastAsia="en-GB"/>
        </w:rPr>
        <w:t>find</w:t>
      </w:r>
      <w:r w:rsidRPr="00244CCE">
        <w:rPr>
          <w:szCs w:val="20"/>
          <w:lang w:eastAsia="en-GB"/>
        </w:rPr>
        <w:t xml:space="preserve"> that the </w:t>
      </w:r>
      <w:r w:rsidR="00D658FC" w:rsidRPr="00244CCE">
        <w:rPr>
          <w:szCs w:val="20"/>
          <w:lang w:eastAsia="en-GB"/>
        </w:rPr>
        <w:t>United</w:t>
      </w:r>
      <w:r w:rsidR="00CF40A8" w:rsidRPr="00244CCE">
        <w:rPr>
          <w:szCs w:val="20"/>
          <w:lang w:eastAsia="en-GB"/>
        </w:rPr>
        <w:t> States</w:t>
      </w:r>
      <w:r w:rsidR="00D658FC" w:rsidRPr="00244CCE">
        <w:rPr>
          <w:szCs w:val="20"/>
          <w:lang w:eastAsia="en-GB"/>
        </w:rPr>
        <w:t xml:space="preserve"> has not demonstrated that the </w:t>
      </w:r>
      <w:r w:rsidRPr="00244CCE">
        <w:rPr>
          <w:szCs w:val="20"/>
          <w:lang w:eastAsia="en-GB"/>
        </w:rPr>
        <w:t>Panel err</w:t>
      </w:r>
      <w:r w:rsidR="00D658FC" w:rsidRPr="00244CCE">
        <w:rPr>
          <w:szCs w:val="20"/>
          <w:lang w:eastAsia="en-GB"/>
        </w:rPr>
        <w:t>ed</w:t>
      </w:r>
      <w:r w:rsidRPr="00244CCE">
        <w:rPr>
          <w:szCs w:val="20"/>
          <w:lang w:eastAsia="en-GB"/>
        </w:rPr>
        <w:t xml:space="preserve"> </w:t>
      </w:r>
      <w:r w:rsidR="00DE4A7A" w:rsidRPr="00244CCE">
        <w:rPr>
          <w:szCs w:val="20"/>
          <w:lang w:eastAsia="en-GB"/>
        </w:rPr>
        <w:t xml:space="preserve">in making its finding </w:t>
      </w:r>
      <w:r w:rsidRPr="00244CCE">
        <w:rPr>
          <w:szCs w:val="20"/>
          <w:lang w:eastAsia="en-GB"/>
        </w:rPr>
        <w:t>under Article 12.7 of the SCM Agreement.</w:t>
      </w:r>
    </w:p>
    <w:p w14:paraId="58488353" w14:textId="5831EBC0" w:rsidR="00B010B2" w:rsidRPr="00F97844" w:rsidRDefault="00B010B2" w:rsidP="00F73DD3">
      <w:pPr>
        <w:numPr>
          <w:ilvl w:val="6"/>
          <w:numId w:val="28"/>
        </w:numPr>
        <w:spacing w:after="240"/>
        <w:rPr>
          <w:lang w:eastAsia="zh-CN"/>
        </w:rPr>
      </w:pPr>
      <w:r w:rsidRPr="00244CCE">
        <w:rPr>
          <w:szCs w:val="18"/>
          <w:lang w:eastAsia="en-GB"/>
        </w:rPr>
        <w:t>Consequently</w:t>
      </w:r>
      <w:r w:rsidRPr="00244CCE">
        <w:rPr>
          <w:szCs w:val="20"/>
          <w:lang w:eastAsia="en-GB"/>
        </w:rPr>
        <w:t xml:space="preserve">, we </w:t>
      </w:r>
      <w:r w:rsidRPr="00244CCE">
        <w:rPr>
          <w:szCs w:val="20"/>
          <w:u w:val="single"/>
          <w:lang w:eastAsia="en-GB"/>
        </w:rPr>
        <w:t>uphold</w:t>
      </w:r>
      <w:r w:rsidRPr="00244CCE">
        <w:rPr>
          <w:szCs w:val="20"/>
          <w:lang w:eastAsia="en-GB"/>
        </w:rPr>
        <w:t xml:space="preserve"> the Panel's finding</w:t>
      </w:r>
      <w:r w:rsidR="002C3E84" w:rsidRPr="00244CCE">
        <w:rPr>
          <w:szCs w:val="20"/>
          <w:lang w:eastAsia="en-GB"/>
        </w:rPr>
        <w:t>,</w:t>
      </w:r>
      <w:r w:rsidRPr="00244CCE">
        <w:rPr>
          <w:szCs w:val="20"/>
          <w:lang w:eastAsia="en-GB"/>
        </w:rPr>
        <w:t xml:space="preserve"> in paragraph 7.333 of the Panel</w:t>
      </w:r>
      <w:r w:rsidR="00062DDD" w:rsidRPr="00244CCE">
        <w:rPr>
          <w:szCs w:val="20"/>
          <w:lang w:eastAsia="en-GB"/>
        </w:rPr>
        <w:t> Report</w:t>
      </w:r>
      <w:r w:rsidR="002C3E84" w:rsidRPr="00244CCE">
        <w:rPr>
          <w:szCs w:val="20"/>
          <w:lang w:eastAsia="en-GB"/>
        </w:rPr>
        <w:t>,</w:t>
      </w:r>
      <w:r w:rsidRPr="00244CCE">
        <w:rPr>
          <w:szCs w:val="20"/>
          <w:lang w:eastAsia="en-GB"/>
        </w:rPr>
        <w:t xml:space="preserve"> that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 is inconsistent with Article 12.7 of the SCM Agreement.</w:t>
      </w:r>
      <w:r w:rsidR="00F61086" w:rsidRPr="00F97844">
        <w:rPr>
          <w:rStyle w:val="FootnoteReference"/>
          <w:szCs w:val="20"/>
          <w:lang w:eastAsia="en-GB"/>
        </w:rPr>
        <w:footnoteReference w:id="236"/>
      </w:r>
    </w:p>
    <w:p w14:paraId="13BF7904" w14:textId="2A420724" w:rsidR="005C209F" w:rsidRPr="00244CCE" w:rsidRDefault="005C209F" w:rsidP="00F73DD3">
      <w:pPr>
        <w:pStyle w:val="Heading2"/>
        <w:numPr>
          <w:ilvl w:val="1"/>
          <w:numId w:val="28"/>
        </w:numPr>
        <w:rPr>
          <w:szCs w:val="18"/>
        </w:rPr>
      </w:pPr>
      <w:bookmarkStart w:id="124" w:name="_Toc30412744"/>
      <w:r w:rsidRPr="00F97844">
        <w:rPr>
          <w:szCs w:val="18"/>
        </w:rPr>
        <w:t>Separate opinion of one Appellate</w:t>
      </w:r>
      <w:r w:rsidR="00E06518" w:rsidRPr="00244CCE">
        <w:rPr>
          <w:szCs w:val="18"/>
        </w:rPr>
        <w:t> Body</w:t>
      </w:r>
      <w:r w:rsidRPr="00244CCE">
        <w:rPr>
          <w:szCs w:val="18"/>
        </w:rPr>
        <w:t xml:space="preserve"> Division Member</w:t>
      </w:r>
      <w:bookmarkEnd w:id="124"/>
    </w:p>
    <w:p w14:paraId="339249CC" w14:textId="77777777" w:rsidR="005C209F" w:rsidRPr="00244CCE" w:rsidRDefault="005C209F" w:rsidP="00F73DD3">
      <w:pPr>
        <w:pStyle w:val="Heading3"/>
        <w:numPr>
          <w:ilvl w:val="2"/>
          <w:numId w:val="28"/>
        </w:numPr>
        <w:rPr>
          <w:szCs w:val="18"/>
          <w:u w:val="single"/>
        </w:rPr>
      </w:pPr>
      <w:bookmarkStart w:id="125" w:name="_Toc30412745"/>
      <w:r w:rsidRPr="00244CCE">
        <w:rPr>
          <w:szCs w:val="18"/>
        </w:rPr>
        <w:t>Introduction</w:t>
      </w:r>
      <w:bookmarkEnd w:id="125"/>
    </w:p>
    <w:p w14:paraId="0E25EB8F" w14:textId="5A04A913" w:rsidR="005C209F" w:rsidRPr="00244CCE" w:rsidRDefault="005C209F" w:rsidP="00F73DD3">
      <w:pPr>
        <w:pStyle w:val="BodyText"/>
        <w:numPr>
          <w:ilvl w:val="6"/>
          <w:numId w:val="28"/>
        </w:numPr>
        <w:rPr>
          <w:szCs w:val="18"/>
        </w:rPr>
      </w:pPr>
      <w:r w:rsidRPr="00244CCE">
        <w:rPr>
          <w:szCs w:val="18"/>
        </w:rPr>
        <w:t>"Ongoing conduct" is not a treaty term found in WTO</w:t>
      </w:r>
      <w:r w:rsidR="00E06518" w:rsidRPr="00244CCE">
        <w:rPr>
          <w:szCs w:val="18"/>
        </w:rPr>
        <w:t> Agreement</w:t>
      </w:r>
      <w:r w:rsidRPr="00244CCE">
        <w:rPr>
          <w:szCs w:val="18"/>
        </w:rPr>
        <w:t>s; it is a descriptive term first</w:t>
      </w:r>
      <w:r w:rsidR="005E0F0F" w:rsidRPr="00244CCE">
        <w:rPr>
          <w:szCs w:val="18"/>
        </w:rPr>
        <w:t> </w:t>
      </w:r>
      <w:r w:rsidRPr="00244CCE">
        <w:rPr>
          <w:szCs w:val="18"/>
        </w:rPr>
        <w:t>used in the Appellate</w:t>
      </w:r>
      <w:r w:rsidR="00E06518" w:rsidRPr="00244CCE">
        <w:rPr>
          <w:szCs w:val="18"/>
        </w:rPr>
        <w:t> Body</w:t>
      </w:r>
      <w:r w:rsidRPr="00244CCE">
        <w:rPr>
          <w:szCs w:val="18"/>
        </w:rPr>
        <w:t xml:space="preserve"> Report in </w:t>
      </w:r>
      <w:r w:rsidRPr="00244CCE">
        <w:rPr>
          <w:i/>
          <w:szCs w:val="18"/>
        </w:rPr>
        <w:t>US – Continued Zeroing</w:t>
      </w:r>
      <w:r w:rsidRPr="00244CCE">
        <w:rPr>
          <w:szCs w:val="18"/>
        </w:rPr>
        <w:t xml:space="preserve"> with respect to the </w:t>
      </w:r>
      <w:proofErr w:type="gramStart"/>
      <w:r w:rsidRPr="00244CCE">
        <w:rPr>
          <w:szCs w:val="18"/>
        </w:rPr>
        <w:t>particular circumstances</w:t>
      </w:r>
      <w:proofErr w:type="gramEnd"/>
      <w:r w:rsidRPr="00244CCE">
        <w:rPr>
          <w:szCs w:val="18"/>
        </w:rPr>
        <w:t xml:space="preserve">, arguments, and evidence in that case. In this case, the Panel and the majority have gone beyond </w:t>
      </w:r>
      <w:r w:rsidRPr="00244CCE">
        <w:rPr>
          <w:i/>
          <w:szCs w:val="18"/>
        </w:rPr>
        <w:t>US – Continued Zeroing</w:t>
      </w:r>
      <w:r w:rsidRPr="00244CCE">
        <w:rPr>
          <w:szCs w:val="18"/>
        </w:rPr>
        <w:t xml:space="preserve"> to enhance and broaden the concept of "ongoing conduct" into something akin to a "rule or norm of general and prospective application", only vaguer and less disciplined in its requirements.</w:t>
      </w:r>
    </w:p>
    <w:p w14:paraId="5FCA7542" w14:textId="7FD71FFB" w:rsidR="005C209F" w:rsidRPr="00244CCE" w:rsidRDefault="005C209F" w:rsidP="00F73DD3">
      <w:pPr>
        <w:pStyle w:val="BodyText"/>
        <w:numPr>
          <w:ilvl w:val="6"/>
          <w:numId w:val="28"/>
        </w:numPr>
        <w:rPr>
          <w:szCs w:val="18"/>
        </w:rPr>
      </w:pPr>
      <w:r w:rsidRPr="00244CCE">
        <w:rPr>
          <w:szCs w:val="18"/>
        </w:rPr>
        <w:t xml:space="preserve">I also consider relevant the fact that </w:t>
      </w:r>
      <w:proofErr w:type="spellStart"/>
      <w:r w:rsidRPr="00244CCE">
        <w:rPr>
          <w:szCs w:val="18"/>
        </w:rPr>
        <w:t>Supercalendered</w:t>
      </w:r>
      <w:proofErr w:type="spellEnd"/>
      <w:r w:rsidRPr="00244CCE">
        <w:rPr>
          <w:szCs w:val="18"/>
        </w:rPr>
        <w:t xml:space="preserve"> Paper from Canada 2015, the underlying CVD proceeding at issue in this case, has been revoked retroactively to its beginning. To me, this means that no real dispute remains to be resolved regarding any "ongoing conduct" that may or may not continue with respect to the proceeding at issue here. It follows that further addressing this matter could be characterized as an advisory opinion based on, and pertaining mainly to, cases involving other countries </w:t>
      </w:r>
      <w:r w:rsidR="00BD23BB" w:rsidRPr="00244CCE">
        <w:rPr>
          <w:szCs w:val="18"/>
        </w:rPr>
        <w:t xml:space="preserve">that </w:t>
      </w:r>
      <w:r w:rsidRPr="00244CCE">
        <w:rPr>
          <w:szCs w:val="18"/>
        </w:rPr>
        <w:t xml:space="preserve">are not complainants and in which key facts and circumstances may differ from those present in this case. Consequently, I think the Division could </w:t>
      </w:r>
      <w:r w:rsidRPr="00244CCE">
        <w:rPr>
          <w:szCs w:val="18"/>
        </w:rPr>
        <w:lastRenderedPageBreak/>
        <w:t xml:space="preserve">and should have mooted the relevant findings of the Panel. In lieu of that, I suggest that this decision and its interpretations should be confined to the particulars of this case. </w:t>
      </w:r>
    </w:p>
    <w:p w14:paraId="75015A89" w14:textId="7AF2D777" w:rsidR="005C209F" w:rsidRPr="00244CCE" w:rsidRDefault="005C209F" w:rsidP="00F73DD3">
      <w:pPr>
        <w:pStyle w:val="Heading3"/>
        <w:numPr>
          <w:ilvl w:val="2"/>
          <w:numId w:val="28"/>
        </w:numPr>
        <w:rPr>
          <w:szCs w:val="18"/>
        </w:rPr>
      </w:pPr>
      <w:bookmarkStart w:id="126" w:name="_Toc30412746"/>
      <w:r w:rsidRPr="00244CCE">
        <w:rPr>
          <w:szCs w:val="18"/>
        </w:rPr>
        <w:t xml:space="preserve">Ongoing </w:t>
      </w:r>
      <w:r w:rsidR="00BD23BB" w:rsidRPr="00244CCE">
        <w:rPr>
          <w:szCs w:val="18"/>
        </w:rPr>
        <w:t>c</w:t>
      </w:r>
      <w:r w:rsidRPr="00244CCE">
        <w:rPr>
          <w:szCs w:val="18"/>
        </w:rPr>
        <w:t>onduct</w:t>
      </w:r>
      <w:bookmarkEnd w:id="126"/>
    </w:p>
    <w:p w14:paraId="4FFB39BF" w14:textId="65CD0444" w:rsidR="005C209F" w:rsidRPr="00244CCE" w:rsidRDefault="005C209F" w:rsidP="00F73DD3">
      <w:pPr>
        <w:pStyle w:val="BodyText"/>
        <w:numPr>
          <w:ilvl w:val="6"/>
          <w:numId w:val="28"/>
        </w:numPr>
        <w:rPr>
          <w:szCs w:val="18"/>
        </w:rPr>
      </w:pPr>
      <w:r w:rsidRPr="00244CCE">
        <w:rPr>
          <w:szCs w:val="18"/>
        </w:rPr>
        <w:t>The Panel started with the criteria that had been used previously for finding an "ongoing conduct" measure: attribution to a WTO Member, precise content, repeated application, and likelihood of continued application. The Panel found that these criteria were met in this case by the USDOC asking the OFA</w:t>
      </w:r>
      <w:r w:rsidR="00F133F7" w:rsidRPr="00244CCE">
        <w:rPr>
          <w:szCs w:val="18"/>
        </w:rPr>
        <w:t> </w:t>
      </w:r>
      <w:r w:rsidRPr="00244CCE">
        <w:rPr>
          <w:szCs w:val="18"/>
        </w:rPr>
        <w:t>question, discovering during verification information it deems should have been provided in response to that question, and applying AFA to determine that the discovered information amounts to countervailable subsidies.</w:t>
      </w:r>
    </w:p>
    <w:p w14:paraId="73E33784" w14:textId="77777777" w:rsidR="005C209F" w:rsidRPr="00244CCE" w:rsidRDefault="005C209F" w:rsidP="00F73DD3">
      <w:pPr>
        <w:pStyle w:val="BodyText"/>
        <w:numPr>
          <w:ilvl w:val="6"/>
          <w:numId w:val="28"/>
        </w:numPr>
        <w:rPr>
          <w:szCs w:val="18"/>
        </w:rPr>
      </w:pPr>
      <w:r w:rsidRPr="00244CCE">
        <w:rPr>
          <w:szCs w:val="18"/>
        </w:rPr>
        <w:t>The majority has upheld the Panel's finding. I disagree and believe the Panel committed legal errors, both by characterizing the USDOC's alleged "ongoing" conduct in an unacceptably vague manner, and, having done that, by employing inadequate and improper evidentiary standards for identifying precise content, repeated application, and likelihood of continued application. In other words, the Panel defined the alleged conduct vaguely and used inapt evidence to fit its vague definitions.</w:t>
      </w:r>
    </w:p>
    <w:p w14:paraId="6ED5A8B4" w14:textId="095B8D47" w:rsidR="005C209F" w:rsidRPr="00244CCE" w:rsidRDefault="005C209F" w:rsidP="00F73DD3">
      <w:pPr>
        <w:pStyle w:val="BodyText"/>
        <w:numPr>
          <w:ilvl w:val="6"/>
          <w:numId w:val="28"/>
        </w:numPr>
        <w:rPr>
          <w:szCs w:val="18"/>
        </w:rPr>
      </w:pPr>
      <w:r w:rsidRPr="00244CCE">
        <w:rPr>
          <w:szCs w:val="18"/>
        </w:rPr>
        <w:t xml:space="preserve">This is illustrated by the differences between this case and </w:t>
      </w:r>
      <w:r w:rsidRPr="00244CCE">
        <w:rPr>
          <w:i/>
          <w:szCs w:val="18"/>
        </w:rPr>
        <w:t>US – Continued Zeroing</w:t>
      </w:r>
      <w:r w:rsidRPr="00244CCE">
        <w:rPr>
          <w:szCs w:val="18"/>
        </w:rPr>
        <w:t>, the case principally relied on by the Panel. That case involved a particular calculation methodology, used automatically "in a string of connected and sequential determinations, in each of the 18 cases</w:t>
      </w:r>
      <w:r w:rsidR="008448CE" w:rsidRPr="00244CCE">
        <w:rPr>
          <w:szCs w:val="18"/>
        </w:rPr>
        <w:t xml:space="preserve"> … </w:t>
      </w:r>
      <w:r w:rsidRPr="00244CCE">
        <w:rPr>
          <w:szCs w:val="18"/>
        </w:rPr>
        <w:t xml:space="preserve"> by which duties are maintained over a period of time".</w:t>
      </w:r>
      <w:r w:rsidRPr="00F97844">
        <w:rPr>
          <w:rStyle w:val="FootnoteReference"/>
          <w:szCs w:val="18"/>
        </w:rPr>
        <w:footnoteReference w:id="237"/>
      </w:r>
      <w:r w:rsidRPr="00F97844">
        <w:rPr>
          <w:szCs w:val="18"/>
        </w:rPr>
        <w:t xml:space="preserve"> By contrast, the "ongoing conduct" in this case is not a particular calculation methodology, but instead involves a series of administrative decisions about such things as the nature of the discovered information, the timing a</w:t>
      </w:r>
      <w:r w:rsidRPr="00244CCE">
        <w:rPr>
          <w:szCs w:val="18"/>
        </w:rPr>
        <w:t>nd circumstances of its discovery, the relevance of the discovered information, and the use that is made of it.</w:t>
      </w:r>
    </w:p>
    <w:p w14:paraId="15B5F502" w14:textId="77777777" w:rsidR="005C209F" w:rsidRPr="00244CCE" w:rsidRDefault="005C209F" w:rsidP="00F73DD3">
      <w:pPr>
        <w:pStyle w:val="BodyText"/>
        <w:numPr>
          <w:ilvl w:val="6"/>
          <w:numId w:val="28"/>
        </w:numPr>
        <w:rPr>
          <w:szCs w:val="18"/>
        </w:rPr>
      </w:pPr>
      <w:r w:rsidRPr="00244CCE">
        <w:rPr>
          <w:szCs w:val="18"/>
        </w:rPr>
        <w:t xml:space="preserve">In the present case, the Panel found the alleged ongoing conduct to exist as a result of several USDOC CVD proceedings involving China and one CVD proceeding involving India, in addition to </w:t>
      </w:r>
      <w:proofErr w:type="spellStart"/>
      <w:r w:rsidRPr="00244CCE">
        <w:rPr>
          <w:szCs w:val="18"/>
        </w:rPr>
        <w:t>Supercalendered</w:t>
      </w:r>
      <w:proofErr w:type="spellEnd"/>
      <w:r w:rsidRPr="00244CCE">
        <w:rPr>
          <w:szCs w:val="18"/>
        </w:rPr>
        <w:t xml:space="preserve"> Paper from Canada 2015. In some of those cited proceedings, the USDOC's conduct differed from the challenged conduct in the current case. And for others, the Panel did not have, or examine, important evidence regarding the comparability of those cited proceedings with the challenged case – such as the circumstances of the information's non-provision and discovery (e.g. hidden, resisted, or volunteered), the timing of the discovery in the case schedule, the use made by the USDOC of all or parts of the relevant evidence, or the nature of the respondent entity and its relationship with the government.</w:t>
      </w:r>
    </w:p>
    <w:p w14:paraId="00850BB2" w14:textId="0590075C" w:rsidR="005C209F" w:rsidRPr="00244CCE" w:rsidRDefault="005C209F" w:rsidP="00F73DD3">
      <w:pPr>
        <w:pStyle w:val="BodyText"/>
        <w:numPr>
          <w:ilvl w:val="6"/>
          <w:numId w:val="28"/>
        </w:numPr>
        <w:rPr>
          <w:szCs w:val="18"/>
        </w:rPr>
      </w:pPr>
      <w:r w:rsidRPr="00244CCE">
        <w:rPr>
          <w:szCs w:val="18"/>
        </w:rPr>
        <w:t xml:space="preserve">These known and unknown differences undermine the "precise content" element of the Panel's alleged "ongoing conduct" </w:t>
      </w:r>
      <w:proofErr w:type="gramStart"/>
      <w:r w:rsidRPr="00244CCE">
        <w:rPr>
          <w:szCs w:val="18"/>
        </w:rPr>
        <w:t>measure, and</w:t>
      </w:r>
      <w:proofErr w:type="gramEnd"/>
      <w:r w:rsidRPr="00244CCE">
        <w:rPr>
          <w:szCs w:val="18"/>
        </w:rPr>
        <w:t xml:space="preserve"> illustrate how vague and imprecise that version of the alleged measure is. They also bring into question the "repeated application" and "likelihood of continued application" of the alleged measure as formulated by the Panel, by begging the question: repetition and likely continuation of what, exactly?</w:t>
      </w:r>
    </w:p>
    <w:p w14:paraId="0B1E6776" w14:textId="1847A181" w:rsidR="005C209F" w:rsidRPr="00F97844" w:rsidRDefault="005C209F" w:rsidP="00F73DD3">
      <w:pPr>
        <w:pStyle w:val="BodyText"/>
        <w:numPr>
          <w:ilvl w:val="6"/>
          <w:numId w:val="28"/>
        </w:numPr>
        <w:rPr>
          <w:szCs w:val="18"/>
        </w:rPr>
      </w:pPr>
      <w:r w:rsidRPr="00244CCE">
        <w:rPr>
          <w:szCs w:val="18"/>
        </w:rPr>
        <w:t xml:space="preserve">Finally, as noted above, the CVD order in </w:t>
      </w:r>
      <w:proofErr w:type="spellStart"/>
      <w:r w:rsidRPr="00244CCE">
        <w:rPr>
          <w:szCs w:val="18"/>
        </w:rPr>
        <w:t>Supercalendered</w:t>
      </w:r>
      <w:proofErr w:type="spellEnd"/>
      <w:r w:rsidRPr="00244CCE">
        <w:rPr>
          <w:szCs w:val="18"/>
        </w:rPr>
        <w:t xml:space="preserve"> Paper from Canada 2015 has been revoked retroactively to its beginning. As a result, there is no real dispute remaining to be resolved between Canada and the United</w:t>
      </w:r>
      <w:r w:rsidR="00E06518" w:rsidRPr="00244CCE">
        <w:rPr>
          <w:szCs w:val="18"/>
        </w:rPr>
        <w:t> States</w:t>
      </w:r>
      <w:r w:rsidRPr="00244CCE">
        <w:rPr>
          <w:szCs w:val="18"/>
        </w:rPr>
        <w:t xml:space="preserve"> as to any "ongoing conduct" that may or may not continue with respect to the proceeding at issue here. For this decision not to be at risk of being considered </w:t>
      </w:r>
      <w:r w:rsidRPr="00244CCE">
        <w:rPr>
          <w:i/>
          <w:szCs w:val="18"/>
        </w:rPr>
        <w:t>obiter dicta</w:t>
      </w:r>
      <w:r w:rsidRPr="00244CCE">
        <w:rPr>
          <w:szCs w:val="18"/>
        </w:rPr>
        <w:t>, or, applied in the future so as to blur the lines between "ongoing conduct" and rules or norms of general and prospective application, or both, it is hoped that its effects will be limited to the particulars of this case.</w:t>
      </w:r>
      <w:r w:rsidRPr="00F97844">
        <w:rPr>
          <w:rStyle w:val="FootnoteReference"/>
          <w:szCs w:val="18"/>
        </w:rPr>
        <w:footnoteReference w:id="238"/>
      </w:r>
    </w:p>
    <w:p w14:paraId="2873CB66" w14:textId="77777777" w:rsidR="005C209F" w:rsidRPr="00244CCE" w:rsidRDefault="005C209F" w:rsidP="00F73DD3">
      <w:pPr>
        <w:pStyle w:val="Heading3"/>
        <w:numPr>
          <w:ilvl w:val="2"/>
          <w:numId w:val="28"/>
        </w:numPr>
        <w:rPr>
          <w:szCs w:val="18"/>
          <w:u w:val="single"/>
        </w:rPr>
      </w:pPr>
      <w:bookmarkStart w:id="127" w:name="_Toc30412747"/>
      <w:r w:rsidRPr="00F97844">
        <w:rPr>
          <w:szCs w:val="18"/>
        </w:rPr>
        <w:lastRenderedPageBreak/>
        <w:t>Conclusion</w:t>
      </w:r>
      <w:bookmarkEnd w:id="127"/>
    </w:p>
    <w:p w14:paraId="7D4EC980" w14:textId="77777777" w:rsidR="005C209F" w:rsidRPr="00244CCE" w:rsidRDefault="005C209F" w:rsidP="00F73DD3">
      <w:pPr>
        <w:pStyle w:val="BodyText"/>
        <w:numPr>
          <w:ilvl w:val="6"/>
          <w:numId w:val="28"/>
        </w:numPr>
        <w:rPr>
          <w:szCs w:val="18"/>
        </w:rPr>
      </w:pPr>
      <w:r w:rsidRPr="00244CCE">
        <w:rPr>
          <w:szCs w:val="18"/>
        </w:rPr>
        <w:t>I do not address the Panel's and majority's findings regarding Article 12.7 of the SCM Agreement because, in my view, those findings should have been rendered moot either by the Division's considering the Panel's findings as a whole as mooted by the revocation of the underlying CVD investigation, or by the findings regarding the alleged "ongoing conduct" that I suggest above.</w:t>
      </w:r>
    </w:p>
    <w:p w14:paraId="4AAB9898" w14:textId="7286A94E" w:rsidR="005C209F" w:rsidRPr="00244CCE" w:rsidRDefault="005C209F" w:rsidP="00F73DD3">
      <w:pPr>
        <w:pStyle w:val="BodyText"/>
        <w:numPr>
          <w:ilvl w:val="6"/>
          <w:numId w:val="28"/>
        </w:numPr>
        <w:rPr>
          <w:szCs w:val="18"/>
        </w:rPr>
      </w:pPr>
      <w:r w:rsidRPr="00244CCE">
        <w:rPr>
          <w:szCs w:val="18"/>
        </w:rPr>
        <w:t>I offer these views with the hope that any future consideration of these issues will take this separate opinion into account, as well as that of the majority.</w:t>
      </w:r>
    </w:p>
    <w:p w14:paraId="70E2F49F" w14:textId="5FAF244F" w:rsidR="00B010B2" w:rsidRPr="00244CCE" w:rsidRDefault="00B010B2" w:rsidP="00F73DD3">
      <w:pPr>
        <w:pStyle w:val="Heading1"/>
        <w:numPr>
          <w:ilvl w:val="0"/>
          <w:numId w:val="11"/>
        </w:numPr>
      </w:pPr>
      <w:bookmarkStart w:id="128" w:name="_Toc30412748"/>
      <w:r w:rsidRPr="00244CCE">
        <w:t>Findings and Conclusions</w:t>
      </w:r>
      <w:bookmarkEnd w:id="86"/>
      <w:bookmarkEnd w:id="87"/>
      <w:bookmarkEnd w:id="88"/>
      <w:bookmarkEnd w:id="89"/>
      <w:bookmarkEnd w:id="90"/>
      <w:bookmarkEnd w:id="91"/>
      <w:bookmarkEnd w:id="128"/>
    </w:p>
    <w:p w14:paraId="4DCF6010" w14:textId="05DAB9BE" w:rsidR="00B010B2" w:rsidRPr="00244CCE" w:rsidRDefault="00B010B2" w:rsidP="00F73DD3">
      <w:pPr>
        <w:numPr>
          <w:ilvl w:val="6"/>
          <w:numId w:val="28"/>
        </w:numPr>
        <w:spacing w:after="240"/>
      </w:pPr>
      <w:r w:rsidRPr="00244CCE">
        <w:rPr>
          <w:szCs w:val="20"/>
          <w:lang w:eastAsia="zh-CN"/>
        </w:rPr>
        <w:t xml:space="preserve">For the reasons set out in this Report, the Appellate Body </w:t>
      </w:r>
      <w:r w:rsidR="00DE4A7A" w:rsidRPr="00244CCE">
        <w:rPr>
          <w:szCs w:val="20"/>
          <w:lang w:eastAsia="zh-CN"/>
        </w:rPr>
        <w:t xml:space="preserve">reaches </w:t>
      </w:r>
      <w:r w:rsidRPr="00244CCE">
        <w:rPr>
          <w:szCs w:val="20"/>
          <w:lang w:eastAsia="zh-CN"/>
        </w:rPr>
        <w:t>the following findings and conclusions:</w:t>
      </w:r>
    </w:p>
    <w:p w14:paraId="27A519A9" w14:textId="35315ECD" w:rsidR="00B010B2" w:rsidRPr="00244CCE" w:rsidRDefault="00B010B2" w:rsidP="00F73DD3">
      <w:pPr>
        <w:pStyle w:val="Heading2"/>
        <w:numPr>
          <w:ilvl w:val="1"/>
          <w:numId w:val="46"/>
        </w:numPr>
      </w:pPr>
      <w:bookmarkStart w:id="129" w:name="_Toc30412749"/>
      <w:r w:rsidRPr="00244CCE">
        <w:t>OFA</w:t>
      </w:r>
      <w:r w:rsidR="007643D6" w:rsidRPr="00244CCE">
        <w:noBreakHyphen/>
      </w:r>
      <w:r w:rsidRPr="00244CCE">
        <w:t xml:space="preserve">AFA </w:t>
      </w:r>
      <w:r w:rsidR="003B0DBE" w:rsidRPr="00244CCE">
        <w:t>m</w:t>
      </w:r>
      <w:r w:rsidRPr="00244CCE">
        <w:t>easure</w:t>
      </w:r>
      <w:bookmarkEnd w:id="129"/>
    </w:p>
    <w:p w14:paraId="03D625B1" w14:textId="0EBC2725" w:rsidR="00B010B2" w:rsidRPr="00244CCE" w:rsidRDefault="00B010B2" w:rsidP="00F73DD3">
      <w:pPr>
        <w:numPr>
          <w:ilvl w:val="6"/>
          <w:numId w:val="28"/>
        </w:numPr>
        <w:spacing w:after="240"/>
      </w:pPr>
      <w:r w:rsidRPr="00244CCE">
        <w:rPr>
          <w:szCs w:val="20"/>
          <w:lang w:eastAsia="en-GB"/>
        </w:rPr>
        <w:t xml:space="preserve">The consistency or inconsistency of a fact or set of facts with the requirements of a given treaty provision or the application of rules to facts </w:t>
      </w:r>
      <w:r w:rsidR="008A15F3" w:rsidRPr="00244CCE">
        <w:rPr>
          <w:szCs w:val="20"/>
          <w:lang w:eastAsia="en-GB"/>
        </w:rPr>
        <w:t xml:space="preserve">is a </w:t>
      </w:r>
      <w:r w:rsidRPr="00244CCE">
        <w:rPr>
          <w:szCs w:val="20"/>
          <w:lang w:eastAsia="en-GB"/>
        </w:rPr>
        <w:t>legal characterization</w:t>
      </w:r>
      <w:r w:rsidR="002C3E84" w:rsidRPr="00244CCE">
        <w:rPr>
          <w:szCs w:val="20"/>
          <w:lang w:eastAsia="en-GB"/>
        </w:rPr>
        <w:t xml:space="preserve"> that</w:t>
      </w:r>
      <w:r w:rsidRPr="00244CCE">
        <w:rPr>
          <w:szCs w:val="20"/>
          <w:lang w:eastAsia="en-GB"/>
        </w:rPr>
        <w:t xml:space="preserve"> </w:t>
      </w:r>
      <w:r w:rsidR="008A15F3" w:rsidRPr="00244CCE">
        <w:rPr>
          <w:szCs w:val="20"/>
          <w:lang w:eastAsia="en-GB"/>
        </w:rPr>
        <w:t xml:space="preserve">is </w:t>
      </w:r>
      <w:r w:rsidRPr="00244CCE">
        <w:rPr>
          <w:szCs w:val="20"/>
          <w:lang w:eastAsia="en-GB"/>
        </w:rPr>
        <w:t>subject to appellate</w:t>
      </w:r>
      <w:r w:rsidR="005E0F0F" w:rsidRPr="00244CCE">
        <w:rPr>
          <w:szCs w:val="20"/>
          <w:lang w:eastAsia="en-GB"/>
        </w:rPr>
        <w:t> </w:t>
      </w:r>
      <w:r w:rsidRPr="00244CCE">
        <w:rPr>
          <w:szCs w:val="20"/>
          <w:lang w:eastAsia="en-GB"/>
        </w:rPr>
        <w:t xml:space="preserve">review under Article 17.6 of the DSU. The United States' claim of error on appeal concerns the Panel's understanding and application of the legal standard for "ongoing conduct" </w:t>
      </w:r>
      <w:r w:rsidR="00622E32" w:rsidRPr="00244CCE">
        <w:rPr>
          <w:szCs w:val="20"/>
          <w:lang w:eastAsia="en-GB"/>
        </w:rPr>
        <w:t xml:space="preserve">as a </w:t>
      </w:r>
      <w:r w:rsidRPr="00244CCE">
        <w:rPr>
          <w:szCs w:val="20"/>
          <w:lang w:eastAsia="en-GB"/>
        </w:rPr>
        <w:t>measure</w:t>
      </w:r>
      <w:r w:rsidR="00DE4A7A" w:rsidRPr="00244CCE">
        <w:rPr>
          <w:szCs w:val="20"/>
          <w:lang w:eastAsia="en-GB"/>
        </w:rPr>
        <w:t xml:space="preserve"> that can be challenged in WTO dispute settlement </w:t>
      </w:r>
      <w:r w:rsidR="0070106B" w:rsidRPr="00244CCE">
        <w:rPr>
          <w:szCs w:val="20"/>
          <w:lang w:eastAsia="en-GB"/>
        </w:rPr>
        <w:t>under the DSU</w:t>
      </w:r>
      <w:r w:rsidRPr="00244CCE">
        <w:rPr>
          <w:szCs w:val="20"/>
          <w:lang w:eastAsia="en-GB"/>
        </w:rPr>
        <w:t xml:space="preserve">. In our view, the United States' claim concerns </w:t>
      </w:r>
      <w:r w:rsidR="00BC5D2F" w:rsidRPr="00244CCE">
        <w:rPr>
          <w:szCs w:val="20"/>
          <w:lang w:eastAsia="en-GB"/>
        </w:rPr>
        <w:t>issues of law covered in the Panel</w:t>
      </w:r>
      <w:r w:rsidR="00062DDD" w:rsidRPr="00244CCE">
        <w:rPr>
          <w:szCs w:val="20"/>
          <w:lang w:eastAsia="en-GB"/>
        </w:rPr>
        <w:t> Report</w:t>
      </w:r>
      <w:r w:rsidR="00BC5D2F" w:rsidRPr="00244CCE">
        <w:rPr>
          <w:szCs w:val="20"/>
          <w:lang w:eastAsia="en-GB"/>
        </w:rPr>
        <w:t xml:space="preserve"> and legal interpretations developed by the Panel</w:t>
      </w:r>
      <w:r w:rsidR="008D4264" w:rsidRPr="00244CCE">
        <w:rPr>
          <w:szCs w:val="20"/>
          <w:lang w:eastAsia="en-GB"/>
        </w:rPr>
        <w:t xml:space="preserve">, and thus </w:t>
      </w:r>
      <w:r w:rsidRPr="00244CCE">
        <w:rPr>
          <w:szCs w:val="20"/>
          <w:lang w:eastAsia="en-GB"/>
        </w:rPr>
        <w:t>falls within the scope of appellate review. For these reasons, we dismiss Canada's assertion that the United States' claim on appeal falls outside the scope of appellate review.</w:t>
      </w:r>
    </w:p>
    <w:p w14:paraId="49709ABE" w14:textId="5B9005A7" w:rsidR="00B010B2" w:rsidRPr="00244CCE" w:rsidRDefault="00B010B2" w:rsidP="00F73DD3">
      <w:pPr>
        <w:numPr>
          <w:ilvl w:val="6"/>
          <w:numId w:val="28"/>
        </w:numPr>
        <w:spacing w:after="240"/>
      </w:pPr>
      <w:r w:rsidRPr="00244CCE">
        <w:rPr>
          <w:szCs w:val="20"/>
          <w:lang w:eastAsia="en-GB"/>
        </w:rPr>
        <w:t>In order to prove the existence of an "ongoing conduct" measure, a complainant must clearly establish</w:t>
      </w:r>
      <w:r w:rsidR="00FB138B" w:rsidRPr="00244CCE">
        <w:rPr>
          <w:szCs w:val="20"/>
          <w:lang w:eastAsia="en-GB"/>
        </w:rPr>
        <w:t>:</w:t>
      </w:r>
      <w:r w:rsidRPr="00244CCE">
        <w:rPr>
          <w:szCs w:val="20"/>
          <w:lang w:eastAsia="en-GB"/>
        </w:rPr>
        <w:t xml:space="preserve"> </w:t>
      </w:r>
      <w:r w:rsidR="003A700E" w:rsidRPr="00244CCE">
        <w:rPr>
          <w:szCs w:val="20"/>
          <w:lang w:eastAsia="en-GB"/>
        </w:rPr>
        <w:t>(</w:t>
      </w:r>
      <w:proofErr w:type="spellStart"/>
      <w:r w:rsidR="003A700E" w:rsidRPr="00244CCE">
        <w:rPr>
          <w:szCs w:val="20"/>
          <w:lang w:eastAsia="en-GB"/>
        </w:rPr>
        <w:t>i</w:t>
      </w:r>
      <w:proofErr w:type="spellEnd"/>
      <w:r w:rsidR="003A700E" w:rsidRPr="00244CCE">
        <w:rPr>
          <w:szCs w:val="20"/>
          <w:lang w:eastAsia="en-GB"/>
        </w:rPr>
        <w:t>)</w:t>
      </w:r>
      <w:r w:rsidR="00F83995" w:rsidRPr="00244CCE">
        <w:rPr>
          <w:szCs w:val="20"/>
          <w:lang w:eastAsia="en-GB"/>
        </w:rPr>
        <w:t> </w:t>
      </w:r>
      <w:r w:rsidRPr="00244CCE">
        <w:rPr>
          <w:szCs w:val="20"/>
          <w:lang w:eastAsia="en-GB"/>
        </w:rPr>
        <w:t>that the alleged measure is attributable to the responding Member</w:t>
      </w:r>
      <w:r w:rsidR="00611414" w:rsidRPr="00244CCE">
        <w:rPr>
          <w:szCs w:val="20"/>
          <w:lang w:eastAsia="en-GB"/>
        </w:rPr>
        <w:t>;</w:t>
      </w:r>
      <w:r w:rsidRPr="00244CCE">
        <w:rPr>
          <w:szCs w:val="20"/>
          <w:lang w:eastAsia="en-GB"/>
        </w:rPr>
        <w:t xml:space="preserve"> </w:t>
      </w:r>
      <w:r w:rsidR="003A700E" w:rsidRPr="00244CCE">
        <w:rPr>
          <w:szCs w:val="20"/>
          <w:lang w:eastAsia="en-GB"/>
        </w:rPr>
        <w:t>(ii)</w:t>
      </w:r>
      <w:r w:rsidR="00F83995" w:rsidRPr="00244CCE">
        <w:rPr>
          <w:szCs w:val="20"/>
          <w:lang w:eastAsia="en-GB"/>
        </w:rPr>
        <w:t> </w:t>
      </w:r>
      <w:r w:rsidRPr="00244CCE">
        <w:rPr>
          <w:szCs w:val="20"/>
          <w:lang w:eastAsia="en-GB"/>
        </w:rPr>
        <w:t>its precise content</w:t>
      </w:r>
      <w:r w:rsidR="00611414" w:rsidRPr="00244CCE">
        <w:rPr>
          <w:szCs w:val="20"/>
          <w:lang w:eastAsia="en-GB"/>
        </w:rPr>
        <w:t>;</w:t>
      </w:r>
      <w:r w:rsidRPr="00244CCE">
        <w:rPr>
          <w:szCs w:val="20"/>
          <w:lang w:eastAsia="en-GB"/>
        </w:rPr>
        <w:t xml:space="preserve"> </w:t>
      </w:r>
      <w:r w:rsidR="003A700E" w:rsidRPr="00244CCE">
        <w:rPr>
          <w:szCs w:val="20"/>
          <w:lang w:eastAsia="en-GB"/>
        </w:rPr>
        <w:t>(iii)</w:t>
      </w:r>
      <w:r w:rsidR="00F83995" w:rsidRPr="00244CCE">
        <w:rPr>
          <w:szCs w:val="20"/>
          <w:lang w:eastAsia="en-GB"/>
        </w:rPr>
        <w:t> </w:t>
      </w:r>
      <w:r w:rsidRPr="00244CCE">
        <w:rPr>
          <w:szCs w:val="20"/>
          <w:lang w:eastAsia="en-GB"/>
        </w:rPr>
        <w:t>its repeated application</w:t>
      </w:r>
      <w:r w:rsidR="00611414" w:rsidRPr="00244CCE">
        <w:rPr>
          <w:szCs w:val="20"/>
          <w:lang w:eastAsia="en-GB"/>
        </w:rPr>
        <w:t>;</w:t>
      </w:r>
      <w:r w:rsidRPr="00244CCE">
        <w:rPr>
          <w:szCs w:val="20"/>
          <w:lang w:eastAsia="en-GB"/>
        </w:rPr>
        <w:t xml:space="preserve"> and </w:t>
      </w:r>
      <w:r w:rsidR="003A700E" w:rsidRPr="00244CCE">
        <w:rPr>
          <w:szCs w:val="20"/>
          <w:lang w:eastAsia="en-GB"/>
        </w:rPr>
        <w:t>(</w:t>
      </w:r>
      <w:r w:rsidR="00F83995" w:rsidRPr="00244CCE">
        <w:rPr>
          <w:szCs w:val="20"/>
          <w:lang w:eastAsia="en-GB"/>
        </w:rPr>
        <w:t>iv</w:t>
      </w:r>
      <w:r w:rsidR="003A700E" w:rsidRPr="00244CCE">
        <w:rPr>
          <w:szCs w:val="20"/>
          <w:lang w:eastAsia="en-GB"/>
        </w:rPr>
        <w:t>)</w:t>
      </w:r>
      <w:r w:rsidR="00F83995" w:rsidRPr="00244CCE">
        <w:rPr>
          <w:szCs w:val="20"/>
          <w:lang w:eastAsia="en-GB"/>
        </w:rPr>
        <w:t> </w:t>
      </w:r>
      <w:r w:rsidR="005139F8" w:rsidRPr="00244CCE">
        <w:rPr>
          <w:szCs w:val="20"/>
          <w:lang w:eastAsia="en-GB"/>
        </w:rPr>
        <w:t xml:space="preserve">its likelihood </w:t>
      </w:r>
      <w:r w:rsidR="003A700E" w:rsidRPr="00244CCE">
        <w:rPr>
          <w:szCs w:val="20"/>
          <w:lang w:eastAsia="en-GB"/>
        </w:rPr>
        <w:t>of continued application</w:t>
      </w:r>
      <w:r w:rsidRPr="00244CCE">
        <w:rPr>
          <w:szCs w:val="20"/>
          <w:lang w:eastAsia="en-GB"/>
        </w:rPr>
        <w:t>. We note that, as before the Panel, the United States does not challenge the attribution of the alleged measure on appeal. We consider that the Panel was correct to focus on the substance of the USDOC's conduct for each element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 xml:space="preserve">measure, as evidenced by the examples before the Panel. We agree with the Panel that the variations referred to by the United States in these examples do not detract from the fact that the substance of the USDOC's conduct </w:t>
      </w:r>
      <w:r w:rsidR="008D4264" w:rsidRPr="00244CCE">
        <w:rPr>
          <w:szCs w:val="20"/>
          <w:lang w:eastAsia="en-GB"/>
        </w:rPr>
        <w:t xml:space="preserve">remained </w:t>
      </w:r>
      <w:r w:rsidRPr="00244CCE">
        <w:rPr>
          <w:szCs w:val="20"/>
          <w:lang w:eastAsia="en-GB"/>
        </w:rPr>
        <w:t>the same in relation to the elements of the measure challenged by Canada.</w:t>
      </w:r>
    </w:p>
    <w:p w14:paraId="7FED41A3" w14:textId="62F98022" w:rsidR="00B010B2" w:rsidRPr="00244CCE" w:rsidRDefault="00B010B2" w:rsidP="00F73DD3">
      <w:pPr>
        <w:numPr>
          <w:ilvl w:val="7"/>
          <w:numId w:val="28"/>
        </w:numPr>
        <w:spacing w:after="240"/>
      </w:pPr>
      <w:r w:rsidRPr="00244CCE">
        <w:rPr>
          <w:szCs w:val="20"/>
          <w:lang w:eastAsia="en-GB"/>
        </w:rPr>
        <w:t xml:space="preserve">For these reasons, we </w:t>
      </w:r>
      <w:r w:rsidRPr="00244CCE">
        <w:rPr>
          <w:szCs w:val="20"/>
          <w:u w:val="single"/>
          <w:lang w:eastAsia="en-GB"/>
        </w:rPr>
        <w:t>find</w:t>
      </w:r>
      <w:r w:rsidRPr="00244CCE">
        <w:rPr>
          <w:szCs w:val="20"/>
          <w:lang w:eastAsia="en-GB"/>
        </w:rPr>
        <w:t xml:space="preserve"> that the Panel did not err in finding that Canada had established the precise content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 xml:space="preserve">measure as </w:t>
      </w:r>
      <w:r w:rsidR="00591889" w:rsidRPr="00244CCE">
        <w:t>the USDOC asking the OFA</w:t>
      </w:r>
      <w:r w:rsidR="00F83995" w:rsidRPr="00244CCE">
        <w:t> </w:t>
      </w:r>
      <w:r w:rsidR="00591889" w:rsidRPr="00244CCE">
        <w:t>question and</w:t>
      </w:r>
      <w:r w:rsidR="00A2459A" w:rsidRPr="00244CCE">
        <w:t>,</w:t>
      </w:r>
      <w:r w:rsidR="00591889" w:rsidRPr="00244CCE">
        <w:t xml:space="preserve"> where </w:t>
      </w:r>
      <w:r w:rsidRPr="00244CCE">
        <w:rPr>
          <w:szCs w:val="20"/>
          <w:lang w:eastAsia="en-GB"/>
        </w:rPr>
        <w:t xml:space="preserve">the USDOC discovers information during verification that it deems should have been provided in response to the OFA question, </w:t>
      </w:r>
      <w:r w:rsidR="00C775A0" w:rsidRPr="00244CCE">
        <w:rPr>
          <w:szCs w:val="20"/>
          <w:lang w:eastAsia="en-GB"/>
        </w:rPr>
        <w:t xml:space="preserve">applying </w:t>
      </w:r>
      <w:r w:rsidRPr="00244CCE">
        <w:rPr>
          <w:szCs w:val="20"/>
          <w:lang w:eastAsia="en-GB"/>
        </w:rPr>
        <w:t xml:space="preserve">AFA to determine that such information amounts to countervailable subsidies. </w:t>
      </w:r>
    </w:p>
    <w:p w14:paraId="4BFC0985" w14:textId="034BF8D2" w:rsidR="00B010B2" w:rsidRPr="00244CCE" w:rsidRDefault="00B010B2" w:rsidP="00F73DD3">
      <w:pPr>
        <w:numPr>
          <w:ilvl w:val="6"/>
          <w:numId w:val="28"/>
        </w:numPr>
        <w:spacing w:after="240"/>
      </w:pPr>
      <w:r w:rsidRPr="00244CCE">
        <w:rPr>
          <w:szCs w:val="20"/>
          <w:lang w:eastAsia="en-GB"/>
        </w:rPr>
        <w:t>Concerning repeated application, we consider that the Panel's analysis appropriately reflects Canada's characterization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 focus</w:t>
      </w:r>
      <w:r w:rsidR="009A0849" w:rsidRPr="00244CCE">
        <w:rPr>
          <w:szCs w:val="20"/>
          <w:lang w:eastAsia="en-GB"/>
        </w:rPr>
        <w:t>ing</w:t>
      </w:r>
      <w:r w:rsidRPr="00244CCE">
        <w:rPr>
          <w:szCs w:val="20"/>
          <w:lang w:eastAsia="en-GB"/>
        </w:rPr>
        <w:t xml:space="preserve"> on the repetition of the elements identified by Canada that form part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 xml:space="preserve">measure. Thus, we consider that the Panel did not err in examining "repeated application" by reference to the elements of the measure in this dispute. We are also not convinced by the United States' </w:t>
      </w:r>
      <w:r w:rsidR="000B3FA8" w:rsidRPr="00244CCE">
        <w:rPr>
          <w:szCs w:val="20"/>
          <w:lang w:eastAsia="en-GB"/>
        </w:rPr>
        <w:t xml:space="preserve">assertion </w:t>
      </w:r>
      <w:r w:rsidRPr="00244CCE">
        <w:rPr>
          <w:szCs w:val="20"/>
          <w:lang w:eastAsia="en-GB"/>
        </w:rPr>
        <w:t>that certain examples on the Panel record show that the USDOC did not apply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w:t>
      </w:r>
    </w:p>
    <w:p w14:paraId="1F05FE2C" w14:textId="3BD45935" w:rsidR="00B010B2" w:rsidRPr="00244CCE" w:rsidRDefault="00B010B2" w:rsidP="00F73DD3">
      <w:pPr>
        <w:numPr>
          <w:ilvl w:val="7"/>
          <w:numId w:val="28"/>
        </w:numPr>
        <w:spacing w:after="240"/>
      </w:pPr>
      <w:r w:rsidRPr="00244CCE">
        <w:rPr>
          <w:szCs w:val="20"/>
          <w:lang w:eastAsia="en-GB"/>
        </w:rPr>
        <w:t xml:space="preserve">For these reasons, we </w:t>
      </w:r>
      <w:r w:rsidRPr="00244CCE">
        <w:rPr>
          <w:szCs w:val="20"/>
          <w:u w:val="single"/>
          <w:lang w:eastAsia="en-GB"/>
        </w:rPr>
        <w:t>find</w:t>
      </w:r>
      <w:r w:rsidRPr="00244CCE">
        <w:rPr>
          <w:szCs w:val="20"/>
          <w:lang w:eastAsia="en-GB"/>
        </w:rPr>
        <w:t xml:space="preserve"> that the Panel did not err in finding that Canada had established the repeated application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w:t>
      </w:r>
    </w:p>
    <w:p w14:paraId="43F4A311" w14:textId="3F40DB90" w:rsidR="00B010B2" w:rsidRPr="00244CCE" w:rsidRDefault="00B010B2" w:rsidP="00F73DD3">
      <w:pPr>
        <w:numPr>
          <w:ilvl w:val="6"/>
          <w:numId w:val="28"/>
        </w:numPr>
        <w:spacing w:after="240"/>
      </w:pPr>
      <w:r w:rsidRPr="00244CCE">
        <w:rPr>
          <w:szCs w:val="20"/>
          <w:lang w:eastAsia="en-GB"/>
        </w:rPr>
        <w:t xml:space="preserve">In relation to likelihood of continued application, a complaining Member need not rely on a formal </w:t>
      </w:r>
      <w:r w:rsidR="006816DD" w:rsidRPr="00244CCE">
        <w:rPr>
          <w:szCs w:val="20"/>
          <w:lang w:eastAsia="en-GB"/>
        </w:rPr>
        <w:t>decision</w:t>
      </w:r>
      <w:r w:rsidRPr="00244CCE">
        <w:rPr>
          <w:szCs w:val="20"/>
          <w:lang w:eastAsia="en-GB"/>
        </w:rPr>
        <w:t xml:space="preserve"> by the responding Member to demonstrate the existence of "ongoing conduct". Rather, we consider that likelihood of continued application may be demonstrated through </w:t>
      </w:r>
      <w:proofErr w:type="gramStart"/>
      <w:r w:rsidRPr="00244CCE">
        <w:rPr>
          <w:szCs w:val="20"/>
          <w:lang w:eastAsia="en-GB"/>
        </w:rPr>
        <w:t>a number of</w:t>
      </w:r>
      <w:proofErr w:type="gramEnd"/>
      <w:r w:rsidRPr="00244CCE">
        <w:rPr>
          <w:szCs w:val="20"/>
          <w:lang w:eastAsia="en-GB"/>
        </w:rPr>
        <w:t xml:space="preserve"> factors. We agree with the Panel that the consistent manner in which the USDOC refers to the OFA</w:t>
      </w:r>
      <w:r w:rsidR="007643D6" w:rsidRPr="00244CCE">
        <w:rPr>
          <w:szCs w:val="20"/>
          <w:lang w:eastAsia="en-GB"/>
        </w:rPr>
        <w:noBreakHyphen/>
      </w:r>
      <w:r w:rsidRPr="00244CCE">
        <w:rPr>
          <w:szCs w:val="20"/>
          <w:lang w:eastAsia="en-GB"/>
        </w:rPr>
        <w:t xml:space="preserve">AFA measure, the frequent reference to previous applications of the measure in USDOC determinations, the fact that the USDOC refers to the measure as its "practice", and the USDOC's characterization of a departure from the measure as an "inadvertent error" </w:t>
      </w:r>
      <w:r w:rsidR="001C300E" w:rsidRPr="00244CCE">
        <w:rPr>
          <w:szCs w:val="20"/>
          <w:lang w:eastAsia="en-GB"/>
        </w:rPr>
        <w:t xml:space="preserve">all </w:t>
      </w:r>
      <w:r w:rsidRPr="00244CCE">
        <w:rPr>
          <w:szCs w:val="20"/>
          <w:lang w:eastAsia="en-GB"/>
        </w:rPr>
        <w:t>support the conclusion that the measure is likely to continue to be applied.</w:t>
      </w:r>
    </w:p>
    <w:p w14:paraId="1B20AF26" w14:textId="2BC8446F" w:rsidR="00B010B2" w:rsidRPr="00244CCE" w:rsidRDefault="00B010B2" w:rsidP="00F73DD3">
      <w:pPr>
        <w:numPr>
          <w:ilvl w:val="7"/>
          <w:numId w:val="28"/>
        </w:numPr>
        <w:spacing w:after="240"/>
      </w:pPr>
      <w:r w:rsidRPr="00244CCE">
        <w:rPr>
          <w:szCs w:val="20"/>
          <w:lang w:eastAsia="en-GB"/>
        </w:rPr>
        <w:lastRenderedPageBreak/>
        <w:t xml:space="preserve">For these reasons, we </w:t>
      </w:r>
      <w:r w:rsidRPr="00244CCE">
        <w:rPr>
          <w:szCs w:val="20"/>
          <w:u w:val="single"/>
          <w:lang w:eastAsia="en-GB"/>
        </w:rPr>
        <w:t>find</w:t>
      </w:r>
      <w:r w:rsidRPr="00244CCE">
        <w:rPr>
          <w:szCs w:val="20"/>
          <w:lang w:eastAsia="en-GB"/>
        </w:rPr>
        <w:t xml:space="preserve"> that the Panel did not err in finding that Canada had established that the OFA</w:t>
      </w:r>
      <w:r w:rsidR="007643D6" w:rsidRPr="00244CCE">
        <w:rPr>
          <w:szCs w:val="20"/>
          <w:lang w:eastAsia="en-GB"/>
        </w:rPr>
        <w:noBreakHyphen/>
      </w:r>
      <w:r w:rsidRPr="00244CCE">
        <w:rPr>
          <w:szCs w:val="20"/>
          <w:lang w:eastAsia="en-GB"/>
        </w:rPr>
        <w:t>AFA</w:t>
      </w:r>
      <w:r w:rsidR="001F288B">
        <w:rPr>
          <w:szCs w:val="20"/>
          <w:lang w:eastAsia="en-GB"/>
        </w:rPr>
        <w:t> </w:t>
      </w:r>
      <w:r w:rsidRPr="00244CCE">
        <w:rPr>
          <w:szCs w:val="20"/>
          <w:lang w:eastAsia="en-GB"/>
        </w:rPr>
        <w:t xml:space="preserve">measure is likely to continue to be applied in the future. </w:t>
      </w:r>
    </w:p>
    <w:p w14:paraId="4FEC14D4" w14:textId="2E152B8E" w:rsidR="00B010B2" w:rsidRPr="00244CCE" w:rsidRDefault="00B010B2" w:rsidP="00F73DD3">
      <w:pPr>
        <w:numPr>
          <w:ilvl w:val="7"/>
          <w:numId w:val="28"/>
        </w:numPr>
        <w:spacing w:after="240"/>
      </w:pPr>
      <w:r w:rsidRPr="00244CCE">
        <w:rPr>
          <w:szCs w:val="20"/>
          <w:lang w:eastAsia="en-GB"/>
        </w:rPr>
        <w:t xml:space="preserve">Consequently, we </w:t>
      </w:r>
      <w:r w:rsidRPr="00244CCE">
        <w:rPr>
          <w:szCs w:val="20"/>
          <w:u w:val="single"/>
          <w:lang w:eastAsia="en-GB"/>
        </w:rPr>
        <w:t>uphold</w:t>
      </w:r>
      <w:r w:rsidRPr="00244CCE">
        <w:rPr>
          <w:szCs w:val="20"/>
          <w:lang w:eastAsia="en-GB"/>
        </w:rPr>
        <w:t xml:space="preserve"> the Panel's finding, in paragraphs 7.332 and 8.4.a of </w:t>
      </w:r>
      <w:r w:rsidR="00CE4D2D" w:rsidRPr="00244CCE">
        <w:rPr>
          <w:szCs w:val="20"/>
          <w:lang w:eastAsia="en-GB"/>
        </w:rPr>
        <w:t>the Panel</w:t>
      </w:r>
      <w:r w:rsidR="00062DDD" w:rsidRPr="00244CCE">
        <w:rPr>
          <w:szCs w:val="20"/>
          <w:lang w:eastAsia="en-GB"/>
        </w:rPr>
        <w:t> Report</w:t>
      </w:r>
      <w:r w:rsidR="00CE4D2D" w:rsidRPr="00244CCE">
        <w:rPr>
          <w:szCs w:val="20"/>
          <w:lang w:eastAsia="en-GB"/>
        </w:rPr>
        <w:t>,</w:t>
      </w:r>
      <w:r w:rsidRPr="00244CCE">
        <w:rPr>
          <w:szCs w:val="20"/>
          <w:lang w:eastAsia="en-GB"/>
        </w:rPr>
        <w:t xml:space="preserve"> that Canada established the existence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 as "ongoing conduct".</w:t>
      </w:r>
    </w:p>
    <w:p w14:paraId="2EE7E28E" w14:textId="77777777" w:rsidR="00B010B2" w:rsidRPr="00244CCE" w:rsidRDefault="00B010B2" w:rsidP="00F73DD3">
      <w:pPr>
        <w:pStyle w:val="Heading2"/>
      </w:pPr>
      <w:bookmarkStart w:id="130" w:name="_Toc30412750"/>
      <w:r w:rsidRPr="00244CCE">
        <w:t>Article 12.7 of the SCM Agreement</w:t>
      </w:r>
      <w:bookmarkEnd w:id="130"/>
    </w:p>
    <w:p w14:paraId="10EB3DC0" w14:textId="3F35C73D" w:rsidR="00B010B2" w:rsidRPr="00244CCE" w:rsidRDefault="00B010B2" w:rsidP="00F73DD3">
      <w:pPr>
        <w:numPr>
          <w:ilvl w:val="6"/>
          <w:numId w:val="28"/>
        </w:numPr>
        <w:spacing w:after="240"/>
        <w:rPr>
          <w:szCs w:val="18"/>
        </w:rPr>
      </w:pPr>
      <w:r w:rsidRPr="00244CCE">
        <w:rPr>
          <w:szCs w:val="20"/>
          <w:lang w:eastAsia="en-GB"/>
        </w:rPr>
        <w:t xml:space="preserve">Pursuant to the requirement to set out a "basic rationale" </w:t>
      </w:r>
      <w:r w:rsidR="008A15F3" w:rsidRPr="00244CCE">
        <w:rPr>
          <w:szCs w:val="20"/>
          <w:lang w:eastAsia="en-GB"/>
        </w:rPr>
        <w:t xml:space="preserve">for findings and recommendations </w:t>
      </w:r>
      <w:r w:rsidRPr="00244CCE">
        <w:rPr>
          <w:szCs w:val="20"/>
          <w:lang w:eastAsia="en-GB"/>
        </w:rPr>
        <w:t xml:space="preserve">in Article 12.7 of the DSU, panels must provide explanations and reasons </w:t>
      </w:r>
      <w:proofErr w:type="gramStart"/>
      <w:r w:rsidRPr="00244CCE">
        <w:rPr>
          <w:szCs w:val="20"/>
          <w:lang w:eastAsia="en-GB"/>
        </w:rPr>
        <w:t>sufficient</w:t>
      </w:r>
      <w:proofErr w:type="gramEnd"/>
      <w:r w:rsidRPr="00244CCE">
        <w:rPr>
          <w:szCs w:val="20"/>
          <w:lang w:eastAsia="en-GB"/>
        </w:rPr>
        <w:t xml:space="preserve"> to disclose the essential justification for those findings and recommendations. In our view, </w:t>
      </w:r>
      <w:r w:rsidRPr="00244CCE">
        <w:rPr>
          <w:szCs w:val="18"/>
          <w:lang w:eastAsia="en-GB"/>
        </w:rPr>
        <w:t>the Panel appropriately incorporated into its examination of the OFA</w:t>
      </w:r>
      <w:r w:rsidR="007643D6" w:rsidRPr="00244CCE">
        <w:rPr>
          <w:szCs w:val="18"/>
          <w:lang w:eastAsia="en-GB"/>
        </w:rPr>
        <w:noBreakHyphen/>
      </w:r>
      <w:r w:rsidRPr="00244CCE">
        <w:rPr>
          <w:szCs w:val="18"/>
          <w:lang w:eastAsia="en-GB"/>
        </w:rPr>
        <w:t>AFA</w:t>
      </w:r>
      <w:r w:rsidR="00F133F7" w:rsidRPr="00244CCE">
        <w:rPr>
          <w:szCs w:val="18"/>
          <w:lang w:eastAsia="en-GB"/>
        </w:rPr>
        <w:t> </w:t>
      </w:r>
      <w:r w:rsidRPr="00244CCE">
        <w:rPr>
          <w:szCs w:val="18"/>
          <w:lang w:eastAsia="en-GB"/>
        </w:rPr>
        <w:t>measure (in paragraph 7.333 of the Panel</w:t>
      </w:r>
      <w:r w:rsidR="00062DDD" w:rsidRPr="00244CCE">
        <w:rPr>
          <w:szCs w:val="18"/>
          <w:lang w:eastAsia="en-GB"/>
        </w:rPr>
        <w:t> Report</w:t>
      </w:r>
      <w:r w:rsidRPr="00244CCE">
        <w:rPr>
          <w:szCs w:val="18"/>
          <w:lang w:eastAsia="en-GB"/>
        </w:rPr>
        <w:t xml:space="preserve">) the relevant portions of its earlier analysis concerning Article 12.7 of the SCM Agreement (in </w:t>
      </w:r>
      <w:r w:rsidR="00D5737C" w:rsidRPr="00244CCE">
        <w:rPr>
          <w:szCs w:val="18"/>
          <w:lang w:eastAsia="en-GB"/>
        </w:rPr>
        <w:t>s</w:t>
      </w:r>
      <w:r w:rsidRPr="00244CCE">
        <w:rPr>
          <w:szCs w:val="20"/>
          <w:lang w:eastAsia="en-GB"/>
        </w:rPr>
        <w:t>ection 7.4.1.4 of the Panel</w:t>
      </w:r>
      <w:r w:rsidR="00062DDD" w:rsidRPr="00244CCE">
        <w:rPr>
          <w:szCs w:val="20"/>
          <w:lang w:eastAsia="en-GB"/>
        </w:rPr>
        <w:t> Report</w:t>
      </w:r>
      <w:r w:rsidRPr="00244CCE">
        <w:rPr>
          <w:szCs w:val="20"/>
          <w:lang w:eastAsia="en-GB"/>
        </w:rPr>
        <w:t>)</w:t>
      </w:r>
      <w:r w:rsidRPr="00244CCE">
        <w:rPr>
          <w:szCs w:val="18"/>
          <w:lang w:eastAsia="en-GB"/>
        </w:rPr>
        <w:t xml:space="preserve">. </w:t>
      </w:r>
      <w:r w:rsidRPr="00244CCE">
        <w:rPr>
          <w:szCs w:val="20"/>
          <w:lang w:eastAsia="en-GB"/>
        </w:rPr>
        <w:t>Through these paragraphs</w:t>
      </w:r>
      <w:r w:rsidRPr="00244CCE">
        <w:rPr>
          <w:szCs w:val="18"/>
          <w:lang w:eastAsia="en-GB"/>
        </w:rPr>
        <w:t>, the Panel provided an interpretation of Article 12.7 of the SCM Agreement, addressed pertinent factual aspects of the OFA</w:t>
      </w:r>
      <w:r w:rsidR="007643D6" w:rsidRPr="00244CCE">
        <w:rPr>
          <w:szCs w:val="18"/>
          <w:lang w:eastAsia="en-GB"/>
        </w:rPr>
        <w:noBreakHyphen/>
      </w:r>
      <w:r w:rsidRPr="00244CCE">
        <w:rPr>
          <w:szCs w:val="18"/>
          <w:lang w:eastAsia="en-GB"/>
        </w:rPr>
        <w:t>AFA</w:t>
      </w:r>
      <w:r w:rsidR="00F133F7" w:rsidRPr="00244CCE">
        <w:rPr>
          <w:szCs w:val="18"/>
          <w:lang w:eastAsia="en-GB"/>
        </w:rPr>
        <w:t> </w:t>
      </w:r>
      <w:r w:rsidRPr="00244CCE">
        <w:rPr>
          <w:szCs w:val="18"/>
          <w:lang w:eastAsia="en-GB"/>
        </w:rPr>
        <w:t xml:space="preserve">measure, and provided explanation </w:t>
      </w:r>
      <w:proofErr w:type="gramStart"/>
      <w:r w:rsidRPr="00244CCE">
        <w:rPr>
          <w:szCs w:val="18"/>
          <w:lang w:eastAsia="en-GB"/>
        </w:rPr>
        <w:t>sufficient</w:t>
      </w:r>
      <w:proofErr w:type="gramEnd"/>
      <w:r w:rsidRPr="00244CCE">
        <w:rPr>
          <w:szCs w:val="18"/>
          <w:lang w:eastAsia="en-GB"/>
        </w:rPr>
        <w:t xml:space="preserve"> to disclose the Panel's essential justification for its finding. </w:t>
      </w:r>
    </w:p>
    <w:p w14:paraId="2BACB243" w14:textId="6BFADD28" w:rsidR="00B010B2" w:rsidRPr="00244CCE" w:rsidRDefault="00B010B2" w:rsidP="00F73DD3">
      <w:pPr>
        <w:numPr>
          <w:ilvl w:val="7"/>
          <w:numId w:val="28"/>
        </w:numPr>
        <w:spacing w:after="240"/>
      </w:pPr>
      <w:r w:rsidRPr="00244CCE">
        <w:rPr>
          <w:szCs w:val="18"/>
          <w:lang w:eastAsia="en-GB"/>
        </w:rPr>
        <w:t xml:space="preserve">For these reasons, we </w:t>
      </w:r>
      <w:r w:rsidRPr="00244CCE">
        <w:rPr>
          <w:szCs w:val="18"/>
          <w:u w:val="single"/>
          <w:lang w:eastAsia="en-GB"/>
        </w:rPr>
        <w:t>find</w:t>
      </w:r>
      <w:r w:rsidRPr="00244CCE">
        <w:rPr>
          <w:szCs w:val="18"/>
          <w:lang w:eastAsia="en-GB"/>
        </w:rPr>
        <w:t xml:space="preserve"> that </w:t>
      </w:r>
      <w:r w:rsidRPr="00244CCE">
        <w:rPr>
          <w:szCs w:val="20"/>
          <w:lang w:eastAsia="en-GB"/>
        </w:rPr>
        <w:t xml:space="preserve">the Panel did not err under Article 12.7 of the DSU by failing to </w:t>
      </w:r>
      <w:r w:rsidRPr="00244CCE">
        <w:rPr>
          <w:szCs w:val="18"/>
          <w:lang w:eastAsia="en-GB"/>
        </w:rPr>
        <w:t>provide</w:t>
      </w:r>
      <w:r w:rsidRPr="00244CCE">
        <w:rPr>
          <w:szCs w:val="20"/>
          <w:lang w:eastAsia="en-GB"/>
        </w:rPr>
        <w:t xml:space="preserve"> a "basic rationale" for its finding that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 is inconsistent with Article 12.7 of the SCM Agreement.</w:t>
      </w:r>
    </w:p>
    <w:p w14:paraId="1B3F8112" w14:textId="0BF5100C" w:rsidR="00B010B2" w:rsidRPr="00244CCE" w:rsidRDefault="00B010B2" w:rsidP="00F73DD3">
      <w:pPr>
        <w:numPr>
          <w:ilvl w:val="6"/>
          <w:numId w:val="28"/>
        </w:numPr>
        <w:spacing w:after="240"/>
      </w:pPr>
      <w:r w:rsidRPr="00244CCE">
        <w:rPr>
          <w:szCs w:val="20"/>
          <w:lang w:eastAsia="en-GB"/>
        </w:rPr>
        <w:t>In relation to the Panel's analysis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 under Article 12.7 of the SCM </w:t>
      </w:r>
      <w:r w:rsidRPr="00244CCE">
        <w:rPr>
          <w:szCs w:val="18"/>
          <w:lang w:eastAsia="en-GB"/>
        </w:rPr>
        <w:t>Agreement</w:t>
      </w:r>
      <w:r w:rsidRPr="00244CCE">
        <w:rPr>
          <w:szCs w:val="20"/>
          <w:lang w:eastAsia="en-GB"/>
        </w:rPr>
        <w:t xml:space="preserve">, </w:t>
      </w:r>
      <w:r w:rsidRPr="00244CCE">
        <w:rPr>
          <w:szCs w:val="18"/>
          <w:lang w:eastAsia="en-GB"/>
        </w:rPr>
        <w:t xml:space="preserve">we consider that </w:t>
      </w:r>
      <w:r w:rsidRPr="00244CCE">
        <w:rPr>
          <w:szCs w:val="20"/>
          <w:lang w:eastAsia="en-GB"/>
        </w:rPr>
        <w:t>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 xml:space="preserve">measure, as established by the Panel, is limited to circumstances where the USDOC uses "facts available" on the basis of a party's failure to provide "necessary information". </w:t>
      </w:r>
    </w:p>
    <w:p w14:paraId="6E474303" w14:textId="017709C6" w:rsidR="00B010B2" w:rsidRPr="00244CCE" w:rsidRDefault="00B010B2" w:rsidP="00F73DD3">
      <w:pPr>
        <w:numPr>
          <w:ilvl w:val="6"/>
          <w:numId w:val="28"/>
        </w:numPr>
        <w:spacing w:after="240"/>
        <w:rPr>
          <w:szCs w:val="18"/>
        </w:rPr>
      </w:pPr>
      <w:r w:rsidRPr="00244CCE">
        <w:rPr>
          <w:szCs w:val="20"/>
          <w:lang w:eastAsia="en-GB"/>
        </w:rPr>
        <w:t>In addition, w</w:t>
      </w:r>
      <w:r w:rsidRPr="00244CCE">
        <w:rPr>
          <w:szCs w:val="18"/>
          <w:lang w:eastAsia="en-GB"/>
        </w:rPr>
        <w:t xml:space="preserve">e understand the Panel to have faulted the USDOC for mechanically concluding, without any further steps, that necessary information had not been provided and that the discovered </w:t>
      </w:r>
      <w:r w:rsidR="002E2176" w:rsidRPr="00244CCE">
        <w:rPr>
          <w:szCs w:val="18"/>
          <w:lang w:eastAsia="en-GB"/>
        </w:rPr>
        <w:t xml:space="preserve">assistance </w:t>
      </w:r>
      <w:r w:rsidRPr="00244CCE">
        <w:rPr>
          <w:szCs w:val="18"/>
          <w:lang w:eastAsia="en-GB"/>
        </w:rPr>
        <w:t>amounted to a countervailable subsidy</w:t>
      </w:r>
      <w:r w:rsidR="00BC5D2F" w:rsidRPr="00244CCE">
        <w:rPr>
          <w:szCs w:val="18"/>
          <w:lang w:eastAsia="en-GB"/>
        </w:rPr>
        <w:t>, when the USDOC discovers unreported assistance during verifications.</w:t>
      </w:r>
      <w:r w:rsidRPr="00244CCE">
        <w:rPr>
          <w:szCs w:val="18"/>
          <w:lang w:eastAsia="en-GB"/>
        </w:rPr>
        <w:t xml:space="preserve"> </w:t>
      </w:r>
      <w:r w:rsidRPr="00244CCE">
        <w:rPr>
          <w:szCs w:val="20"/>
          <w:lang w:eastAsia="en-GB"/>
        </w:rPr>
        <w:t>As this process reflects the precise content of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 xml:space="preserve">measure, we consider that </w:t>
      </w:r>
      <w:r w:rsidRPr="00244CCE">
        <w:rPr>
          <w:szCs w:val="18"/>
          <w:lang w:eastAsia="en-GB"/>
        </w:rPr>
        <w:t>the conduct examined by the Panel in paragraph 7.333 is part of the OFA</w:t>
      </w:r>
      <w:r w:rsidR="007643D6" w:rsidRPr="00244CCE">
        <w:rPr>
          <w:szCs w:val="18"/>
          <w:lang w:eastAsia="en-GB"/>
        </w:rPr>
        <w:noBreakHyphen/>
      </w:r>
      <w:r w:rsidRPr="00244CCE">
        <w:rPr>
          <w:szCs w:val="18"/>
          <w:lang w:eastAsia="en-GB"/>
        </w:rPr>
        <w:t>AFA</w:t>
      </w:r>
      <w:r w:rsidR="00F133F7" w:rsidRPr="00244CCE">
        <w:rPr>
          <w:szCs w:val="18"/>
          <w:lang w:eastAsia="en-GB"/>
        </w:rPr>
        <w:t> </w:t>
      </w:r>
      <w:r w:rsidRPr="00244CCE">
        <w:rPr>
          <w:szCs w:val="18"/>
          <w:lang w:eastAsia="en-GB"/>
        </w:rPr>
        <w:t>measure. We also agree with the Panel that the USDOC cannot simply reach conclusions without further analysis and regard to the facts available on the record and the due process rights of interested parties.</w:t>
      </w:r>
    </w:p>
    <w:p w14:paraId="3EE2C220" w14:textId="6CDBF67F" w:rsidR="00B010B2" w:rsidRPr="00244CCE" w:rsidRDefault="00B010B2" w:rsidP="00F73DD3">
      <w:pPr>
        <w:numPr>
          <w:ilvl w:val="6"/>
          <w:numId w:val="28"/>
        </w:numPr>
        <w:spacing w:after="240"/>
      </w:pPr>
      <w:r w:rsidRPr="00244CCE">
        <w:rPr>
          <w:szCs w:val="18"/>
          <w:lang w:eastAsia="en-GB"/>
        </w:rPr>
        <w:t>Finally, we disagree with the United States' view that the Panel found that the OFA question can never be a request for "necessary information" under Article 12.7 of the SCM Agreement. Rather, the Panel explicitly observed that the OFA</w:t>
      </w:r>
      <w:r w:rsidR="00C07012" w:rsidRPr="00244CCE">
        <w:rPr>
          <w:szCs w:val="18"/>
          <w:lang w:eastAsia="en-GB"/>
        </w:rPr>
        <w:t> </w:t>
      </w:r>
      <w:r w:rsidRPr="00244CCE">
        <w:rPr>
          <w:szCs w:val="18"/>
          <w:lang w:eastAsia="en-GB"/>
        </w:rPr>
        <w:t>question might pertain to necessary information regarding additional subsidization of the product under investigation.</w:t>
      </w:r>
    </w:p>
    <w:p w14:paraId="1C3E1F2B" w14:textId="3EBB8CB4" w:rsidR="00B010B2" w:rsidRPr="00244CCE" w:rsidRDefault="00B010B2" w:rsidP="00F73DD3">
      <w:pPr>
        <w:numPr>
          <w:ilvl w:val="7"/>
          <w:numId w:val="28"/>
        </w:numPr>
        <w:spacing w:after="240"/>
      </w:pPr>
      <w:r w:rsidRPr="00244CCE">
        <w:rPr>
          <w:szCs w:val="20"/>
          <w:lang w:eastAsia="en-GB"/>
        </w:rPr>
        <w:t xml:space="preserve">For </w:t>
      </w:r>
      <w:r w:rsidRPr="00244CCE">
        <w:rPr>
          <w:szCs w:val="18"/>
          <w:lang w:eastAsia="en-GB"/>
        </w:rPr>
        <w:t>these</w:t>
      </w:r>
      <w:r w:rsidRPr="00244CCE">
        <w:rPr>
          <w:szCs w:val="20"/>
          <w:lang w:eastAsia="en-GB"/>
        </w:rPr>
        <w:t xml:space="preserve"> reasons, we </w:t>
      </w:r>
      <w:r w:rsidRPr="00244CCE">
        <w:rPr>
          <w:szCs w:val="20"/>
          <w:u w:val="single"/>
          <w:lang w:eastAsia="en-GB"/>
        </w:rPr>
        <w:t>find</w:t>
      </w:r>
      <w:r w:rsidRPr="00244CCE">
        <w:rPr>
          <w:szCs w:val="20"/>
          <w:lang w:eastAsia="en-GB"/>
        </w:rPr>
        <w:t xml:space="preserve"> that the </w:t>
      </w:r>
      <w:r w:rsidR="00D658FC" w:rsidRPr="00244CCE">
        <w:rPr>
          <w:szCs w:val="20"/>
          <w:lang w:eastAsia="en-GB"/>
        </w:rPr>
        <w:t>United</w:t>
      </w:r>
      <w:r w:rsidR="00CF40A8" w:rsidRPr="00244CCE">
        <w:rPr>
          <w:szCs w:val="20"/>
          <w:lang w:eastAsia="en-GB"/>
        </w:rPr>
        <w:t> States</w:t>
      </w:r>
      <w:r w:rsidR="00D658FC" w:rsidRPr="00244CCE">
        <w:rPr>
          <w:szCs w:val="20"/>
          <w:lang w:eastAsia="en-GB"/>
        </w:rPr>
        <w:t xml:space="preserve"> has not demonstrated that the </w:t>
      </w:r>
      <w:r w:rsidRPr="00244CCE">
        <w:rPr>
          <w:szCs w:val="20"/>
          <w:lang w:eastAsia="en-GB"/>
        </w:rPr>
        <w:t>Panel err</w:t>
      </w:r>
      <w:r w:rsidR="00D658FC" w:rsidRPr="00244CCE">
        <w:rPr>
          <w:szCs w:val="20"/>
          <w:lang w:eastAsia="en-GB"/>
        </w:rPr>
        <w:t>ed</w:t>
      </w:r>
      <w:r w:rsidRPr="00244CCE">
        <w:rPr>
          <w:szCs w:val="20"/>
          <w:lang w:eastAsia="en-GB"/>
        </w:rPr>
        <w:t xml:space="preserve"> </w:t>
      </w:r>
      <w:r w:rsidR="00DE4A7A" w:rsidRPr="00244CCE">
        <w:rPr>
          <w:szCs w:val="20"/>
          <w:lang w:eastAsia="en-GB"/>
        </w:rPr>
        <w:t xml:space="preserve">in making its finding </w:t>
      </w:r>
      <w:r w:rsidRPr="00244CCE">
        <w:rPr>
          <w:szCs w:val="20"/>
          <w:lang w:eastAsia="en-GB"/>
        </w:rPr>
        <w:t>under Article 12.7 of the SCM Agreement.</w:t>
      </w:r>
    </w:p>
    <w:p w14:paraId="163E6A6C" w14:textId="1FF2323F" w:rsidR="00B010B2" w:rsidRPr="00244CCE" w:rsidRDefault="00B010B2" w:rsidP="00F73DD3">
      <w:pPr>
        <w:numPr>
          <w:ilvl w:val="7"/>
          <w:numId w:val="28"/>
        </w:numPr>
        <w:spacing w:after="240"/>
      </w:pPr>
      <w:r w:rsidRPr="00244CCE">
        <w:rPr>
          <w:szCs w:val="18"/>
          <w:lang w:eastAsia="en-GB"/>
        </w:rPr>
        <w:t>Consequently</w:t>
      </w:r>
      <w:r w:rsidRPr="00244CCE">
        <w:rPr>
          <w:szCs w:val="20"/>
          <w:lang w:eastAsia="en-GB"/>
        </w:rPr>
        <w:t xml:space="preserve">, we </w:t>
      </w:r>
      <w:r w:rsidRPr="00244CCE">
        <w:rPr>
          <w:szCs w:val="20"/>
          <w:u w:val="single"/>
          <w:lang w:eastAsia="en-GB"/>
        </w:rPr>
        <w:t>uphold</w:t>
      </w:r>
      <w:r w:rsidRPr="00244CCE">
        <w:rPr>
          <w:szCs w:val="20"/>
          <w:lang w:eastAsia="en-GB"/>
        </w:rPr>
        <w:t xml:space="preserve"> the Panel's finding</w:t>
      </w:r>
      <w:r w:rsidR="00CE4D2D" w:rsidRPr="00244CCE">
        <w:rPr>
          <w:szCs w:val="20"/>
          <w:lang w:eastAsia="en-GB"/>
        </w:rPr>
        <w:t>,</w:t>
      </w:r>
      <w:r w:rsidRPr="00244CCE">
        <w:rPr>
          <w:szCs w:val="20"/>
          <w:lang w:eastAsia="en-GB"/>
        </w:rPr>
        <w:t xml:space="preserve"> in paragraph 7.333 of the Panel</w:t>
      </w:r>
      <w:r w:rsidR="00062DDD" w:rsidRPr="00244CCE">
        <w:rPr>
          <w:szCs w:val="20"/>
          <w:lang w:eastAsia="en-GB"/>
        </w:rPr>
        <w:t> Report</w:t>
      </w:r>
      <w:r w:rsidR="00CE4D2D" w:rsidRPr="00244CCE">
        <w:rPr>
          <w:szCs w:val="20"/>
          <w:lang w:eastAsia="en-GB"/>
        </w:rPr>
        <w:t>,</w:t>
      </w:r>
      <w:r w:rsidRPr="00244CCE">
        <w:rPr>
          <w:szCs w:val="20"/>
          <w:lang w:eastAsia="en-GB"/>
        </w:rPr>
        <w:t xml:space="preserve"> that the OFA</w:t>
      </w:r>
      <w:r w:rsidR="007643D6" w:rsidRPr="00244CCE">
        <w:rPr>
          <w:szCs w:val="20"/>
          <w:lang w:eastAsia="en-GB"/>
        </w:rPr>
        <w:noBreakHyphen/>
      </w:r>
      <w:r w:rsidRPr="00244CCE">
        <w:rPr>
          <w:szCs w:val="20"/>
          <w:lang w:eastAsia="en-GB"/>
        </w:rPr>
        <w:t>AFA</w:t>
      </w:r>
      <w:r w:rsidR="00F133F7" w:rsidRPr="00244CCE">
        <w:rPr>
          <w:szCs w:val="20"/>
          <w:lang w:eastAsia="en-GB"/>
        </w:rPr>
        <w:t> </w:t>
      </w:r>
      <w:r w:rsidRPr="00244CCE">
        <w:rPr>
          <w:szCs w:val="20"/>
          <w:lang w:eastAsia="en-GB"/>
        </w:rPr>
        <w:t>measure is inconsistent with Article 12.7 of the SCM Agreement.</w:t>
      </w:r>
    </w:p>
    <w:p w14:paraId="738574BE" w14:textId="6E92BDCB" w:rsidR="00B010B2" w:rsidRPr="00244CCE" w:rsidRDefault="00B010B2" w:rsidP="00F73DD3">
      <w:pPr>
        <w:pStyle w:val="Heading2"/>
      </w:pPr>
      <w:bookmarkStart w:id="131" w:name="_Toc30412751"/>
      <w:r w:rsidRPr="00244CCE">
        <w:t>Recommendation</w:t>
      </w:r>
      <w:bookmarkEnd w:id="131"/>
    </w:p>
    <w:p w14:paraId="61DC901D" w14:textId="12B1043A" w:rsidR="00B010B2" w:rsidRPr="00244CCE" w:rsidRDefault="00B010B2" w:rsidP="00F73DD3">
      <w:pPr>
        <w:numPr>
          <w:ilvl w:val="6"/>
          <w:numId w:val="28"/>
        </w:numPr>
        <w:spacing w:after="240"/>
      </w:pPr>
      <w:r w:rsidRPr="00244CCE">
        <w:rPr>
          <w:szCs w:val="20"/>
          <w:lang w:eastAsia="en-GB"/>
        </w:rPr>
        <w:t xml:space="preserve">The Appellate Body recommends that the DSB request the United States to bring its measures, </w:t>
      </w:r>
      <w:r w:rsidR="0040362D" w:rsidRPr="00244CCE">
        <w:rPr>
          <w:szCs w:val="20"/>
          <w:lang w:eastAsia="en-GB"/>
        </w:rPr>
        <w:t xml:space="preserve">as </w:t>
      </w:r>
      <w:r w:rsidRPr="00244CCE">
        <w:rPr>
          <w:szCs w:val="20"/>
          <w:lang w:eastAsia="en-GB"/>
        </w:rPr>
        <w:t>found in this Report, and in the Panel</w:t>
      </w:r>
      <w:r w:rsidR="00062DDD" w:rsidRPr="00244CCE">
        <w:rPr>
          <w:szCs w:val="20"/>
          <w:lang w:eastAsia="en-GB"/>
        </w:rPr>
        <w:t> Report</w:t>
      </w:r>
      <w:r w:rsidRPr="00244CCE">
        <w:rPr>
          <w:szCs w:val="20"/>
          <w:lang w:eastAsia="en-GB"/>
        </w:rPr>
        <w:t xml:space="preserve"> as upheld by this Report, to be inconsistent with the SCM Agreement and the GATT 1994, into conformity with its obligations under those Agreements. </w:t>
      </w:r>
    </w:p>
    <w:p w14:paraId="6591825F" w14:textId="330AB323" w:rsidR="00B010B2" w:rsidRPr="00244CCE" w:rsidRDefault="00B010B2" w:rsidP="00F73DD3">
      <w:pPr>
        <w:jc w:val="left"/>
      </w:pPr>
    </w:p>
    <w:p w14:paraId="1A436E8D" w14:textId="12D4DF9F" w:rsidR="00B010B2" w:rsidRPr="00F97844" w:rsidRDefault="00B010B2" w:rsidP="00F73DD3">
      <w:r w:rsidRPr="00244CCE">
        <w:t xml:space="preserve">Signed in the original in Geneva this </w:t>
      </w:r>
      <w:r w:rsidR="005E0F0F" w:rsidRPr="00F97844">
        <w:t xml:space="preserve">10th </w:t>
      </w:r>
      <w:r w:rsidRPr="00F97844">
        <w:t xml:space="preserve">day of </w:t>
      </w:r>
      <w:r w:rsidR="005E0F0F" w:rsidRPr="00244CCE">
        <w:t>December</w:t>
      </w:r>
      <w:r w:rsidR="00075944">
        <w:t xml:space="preserve"> 2019 </w:t>
      </w:r>
      <w:r w:rsidRPr="00F97844">
        <w:t xml:space="preserve">by: </w:t>
      </w:r>
    </w:p>
    <w:p w14:paraId="27F4CA40" w14:textId="7B038318" w:rsidR="00B010B2" w:rsidRDefault="00B010B2" w:rsidP="00F73DD3">
      <w:pPr>
        <w:jc w:val="center"/>
      </w:pPr>
    </w:p>
    <w:p w14:paraId="50C92EF2" w14:textId="77777777" w:rsidR="001B5E79" w:rsidRPr="001B5E79" w:rsidRDefault="001B5E79" w:rsidP="00F73DD3">
      <w:pPr>
        <w:jc w:val="center"/>
        <w:rPr>
          <w:szCs w:val="18"/>
        </w:rPr>
      </w:pPr>
    </w:p>
    <w:p w14:paraId="27B1DDB0" w14:textId="77777777" w:rsidR="001B5E79" w:rsidRPr="001B5E79" w:rsidRDefault="001B5E79" w:rsidP="001B5E79">
      <w:pPr>
        <w:jc w:val="center"/>
        <w:rPr>
          <w:szCs w:val="18"/>
        </w:rPr>
      </w:pPr>
    </w:p>
    <w:p w14:paraId="6D92604F" w14:textId="77777777" w:rsidR="001B5E79" w:rsidRPr="001B5E79" w:rsidRDefault="001B5E79" w:rsidP="001B5E79">
      <w:pPr>
        <w:jc w:val="center"/>
        <w:rPr>
          <w:szCs w:val="18"/>
        </w:rPr>
      </w:pPr>
    </w:p>
    <w:p w14:paraId="23859975" w14:textId="77777777" w:rsidR="001B5E79" w:rsidRPr="001B5E79" w:rsidRDefault="001B5E79" w:rsidP="001B5E79">
      <w:pPr>
        <w:jc w:val="center"/>
        <w:rPr>
          <w:szCs w:val="18"/>
        </w:rPr>
      </w:pPr>
    </w:p>
    <w:p w14:paraId="575CE090" w14:textId="77777777" w:rsidR="001B5E79" w:rsidRPr="001B5E79" w:rsidRDefault="001B5E79" w:rsidP="001B5E79">
      <w:pPr>
        <w:jc w:val="center"/>
        <w:rPr>
          <w:szCs w:val="18"/>
        </w:rPr>
      </w:pPr>
    </w:p>
    <w:p w14:paraId="211FE3F5" w14:textId="77777777" w:rsidR="001B5E79" w:rsidRDefault="001B5E79" w:rsidP="001B5E79">
      <w:pPr>
        <w:jc w:val="center"/>
        <w:rPr>
          <w:b/>
        </w:rPr>
      </w:pPr>
      <w:r>
        <w:rPr>
          <w:b/>
        </w:rPr>
        <w:t>_________________________</w:t>
      </w:r>
    </w:p>
    <w:p w14:paraId="5F78FA34" w14:textId="08BECB85" w:rsidR="001B5E79" w:rsidRDefault="001B5E79" w:rsidP="001B5E79">
      <w:pPr>
        <w:jc w:val="center"/>
      </w:pPr>
      <w:proofErr w:type="spellStart"/>
      <w:r>
        <w:t>Ujal</w:t>
      </w:r>
      <w:proofErr w:type="spellEnd"/>
      <w:r>
        <w:t xml:space="preserve"> Singh Bhatia</w:t>
      </w:r>
    </w:p>
    <w:p w14:paraId="3F2392AE" w14:textId="77777777" w:rsidR="001B5E79" w:rsidRDefault="001B5E79" w:rsidP="001B5E79">
      <w:pPr>
        <w:jc w:val="center"/>
      </w:pPr>
      <w:r>
        <w:t>Presiding Member</w:t>
      </w:r>
    </w:p>
    <w:p w14:paraId="52BEE55E" w14:textId="77777777" w:rsidR="001B5E79" w:rsidRDefault="001B5E79" w:rsidP="001B5E79">
      <w:pPr>
        <w:jc w:val="center"/>
        <w:rPr>
          <w:sz w:val="15"/>
          <w:szCs w:val="15"/>
        </w:rPr>
      </w:pPr>
    </w:p>
    <w:p w14:paraId="00721DEB" w14:textId="77777777" w:rsidR="001B5E79" w:rsidRDefault="001B5E79" w:rsidP="001B5E79">
      <w:pPr>
        <w:jc w:val="center"/>
        <w:rPr>
          <w:sz w:val="15"/>
          <w:szCs w:val="15"/>
        </w:rPr>
      </w:pPr>
    </w:p>
    <w:p w14:paraId="34F280E3" w14:textId="77777777" w:rsidR="001B5E79" w:rsidRDefault="001B5E79" w:rsidP="001B5E79">
      <w:pPr>
        <w:jc w:val="center"/>
        <w:rPr>
          <w:sz w:val="15"/>
          <w:szCs w:val="15"/>
        </w:rPr>
      </w:pPr>
    </w:p>
    <w:p w14:paraId="56474700" w14:textId="77777777" w:rsidR="001B5E79" w:rsidRDefault="001B5E79" w:rsidP="001B5E79">
      <w:pPr>
        <w:jc w:val="center"/>
        <w:rPr>
          <w:sz w:val="15"/>
          <w:szCs w:val="15"/>
        </w:rPr>
      </w:pPr>
    </w:p>
    <w:p w14:paraId="077BBBBC" w14:textId="77777777" w:rsidR="001B5E79" w:rsidRDefault="001B5E79" w:rsidP="001B5E79">
      <w:pPr>
        <w:jc w:val="center"/>
        <w:rPr>
          <w:sz w:val="15"/>
          <w:szCs w:val="15"/>
        </w:rPr>
      </w:pPr>
    </w:p>
    <w:p w14:paraId="30DDC64F" w14:textId="77777777" w:rsidR="001B5E79" w:rsidRDefault="001B5E79" w:rsidP="001B5E79">
      <w:pPr>
        <w:jc w:val="center"/>
        <w:rPr>
          <w:sz w:val="15"/>
          <w:szCs w:val="15"/>
        </w:rPr>
      </w:pPr>
    </w:p>
    <w:p w14:paraId="470D8237" w14:textId="77777777" w:rsidR="001B5E79" w:rsidRDefault="001B5E79" w:rsidP="001B5E79">
      <w:pPr>
        <w:jc w:val="center"/>
        <w:rPr>
          <w:sz w:val="15"/>
          <w:szCs w:val="15"/>
        </w:rPr>
      </w:pPr>
    </w:p>
    <w:p w14:paraId="6C4956B0" w14:textId="77777777" w:rsidR="001B5E79" w:rsidRDefault="001B5E79" w:rsidP="001B5E79">
      <w:pPr>
        <w:jc w:val="center"/>
        <w:rPr>
          <w:sz w:val="15"/>
          <w:szCs w:val="15"/>
        </w:rPr>
      </w:pPr>
    </w:p>
    <w:p w14:paraId="548F8E8E" w14:textId="77777777" w:rsidR="001B5E79" w:rsidRDefault="001B5E79" w:rsidP="001B5E79">
      <w:pPr>
        <w:tabs>
          <w:tab w:val="center" w:pos="1701"/>
          <w:tab w:val="center" w:pos="7230"/>
        </w:tabs>
        <w:jc w:val="left"/>
        <w:rPr>
          <w:sz w:val="15"/>
          <w:szCs w:val="15"/>
        </w:rPr>
      </w:pPr>
      <w:r>
        <w:rPr>
          <w:szCs w:val="18"/>
        </w:rPr>
        <w:tab/>
      </w:r>
      <w:r>
        <w:rPr>
          <w:b/>
          <w:sz w:val="15"/>
          <w:szCs w:val="15"/>
        </w:rPr>
        <w:t>_________________________</w:t>
      </w:r>
      <w:r>
        <w:rPr>
          <w:sz w:val="15"/>
          <w:szCs w:val="15"/>
        </w:rPr>
        <w:tab/>
      </w:r>
      <w:r>
        <w:rPr>
          <w:b/>
          <w:sz w:val="15"/>
          <w:szCs w:val="15"/>
        </w:rPr>
        <w:t>_________________________</w:t>
      </w:r>
    </w:p>
    <w:p w14:paraId="225CB7BA" w14:textId="02ABE817" w:rsidR="001B5E79" w:rsidRDefault="001B5E79" w:rsidP="001B5E79">
      <w:pPr>
        <w:tabs>
          <w:tab w:val="center" w:pos="1701"/>
          <w:tab w:val="center" w:pos="7230"/>
        </w:tabs>
        <w:jc w:val="left"/>
      </w:pPr>
      <w:r>
        <w:rPr>
          <w:szCs w:val="18"/>
        </w:rPr>
        <w:tab/>
      </w:r>
      <w:r>
        <w:t>Hong Zhao</w:t>
      </w:r>
      <w:r>
        <w:tab/>
        <w:t>Thomas R. Graham</w:t>
      </w:r>
    </w:p>
    <w:p w14:paraId="5A0121C0" w14:textId="77777777" w:rsidR="001B5E79" w:rsidRDefault="001B5E79" w:rsidP="001B5E79">
      <w:pPr>
        <w:tabs>
          <w:tab w:val="center" w:pos="1701"/>
          <w:tab w:val="center" w:pos="7230"/>
        </w:tabs>
        <w:jc w:val="left"/>
      </w:pPr>
      <w:r>
        <w:rPr>
          <w:szCs w:val="18"/>
        </w:rPr>
        <w:tab/>
      </w:r>
      <w:r>
        <w:t>Member</w:t>
      </w:r>
      <w:r>
        <w:tab/>
      </w:r>
      <w:proofErr w:type="spellStart"/>
      <w:r>
        <w:t>Member</w:t>
      </w:r>
      <w:proofErr w:type="spellEnd"/>
    </w:p>
    <w:p w14:paraId="7878B204" w14:textId="77777777" w:rsidR="001B5E79" w:rsidRDefault="001B5E79" w:rsidP="001B5E79">
      <w:pPr>
        <w:jc w:val="left"/>
        <w:rPr>
          <w:sz w:val="15"/>
          <w:szCs w:val="15"/>
        </w:rPr>
      </w:pPr>
    </w:p>
    <w:p w14:paraId="4952398A" w14:textId="77777777" w:rsidR="001B5E79" w:rsidRDefault="001B5E79" w:rsidP="001B5E79">
      <w:pPr>
        <w:jc w:val="left"/>
        <w:rPr>
          <w:sz w:val="15"/>
          <w:szCs w:val="15"/>
        </w:rPr>
      </w:pPr>
    </w:p>
    <w:p w14:paraId="72764729" w14:textId="77777777" w:rsidR="001B5E79" w:rsidRDefault="001B5E79" w:rsidP="001B5E79">
      <w:pPr>
        <w:rPr>
          <w:b/>
          <w:lang w:eastAsia="en-GB"/>
        </w:rPr>
      </w:pPr>
    </w:p>
    <w:p w14:paraId="3E94DC8A" w14:textId="77777777" w:rsidR="001B5E79" w:rsidRDefault="001B5E79" w:rsidP="001B5E79">
      <w:pPr>
        <w:jc w:val="center"/>
        <w:rPr>
          <w:lang w:eastAsia="en-GB"/>
        </w:rPr>
      </w:pPr>
      <w:r>
        <w:rPr>
          <w:b/>
          <w:lang w:eastAsia="en-GB"/>
        </w:rPr>
        <w:t>__________</w:t>
      </w:r>
    </w:p>
    <w:p w14:paraId="32B99DB9" w14:textId="7456D004" w:rsidR="00F73DD3" w:rsidRDefault="00F73DD3" w:rsidP="00F73DD3">
      <w:pPr>
        <w:jc w:val="center"/>
      </w:pPr>
    </w:p>
    <w:sectPr w:rsidR="00F73DD3" w:rsidSect="00F33D5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C778" w14:textId="77777777" w:rsidR="007D7CB3" w:rsidRDefault="007D7CB3" w:rsidP="00ED54E0">
      <w:r>
        <w:separator/>
      </w:r>
    </w:p>
  </w:endnote>
  <w:endnote w:type="continuationSeparator" w:id="0">
    <w:p w14:paraId="2F91248D" w14:textId="77777777" w:rsidR="007D7CB3" w:rsidRDefault="007D7CB3" w:rsidP="00ED54E0">
      <w:r>
        <w:continuationSeparator/>
      </w:r>
    </w:p>
  </w:endnote>
  <w:endnote w:type="continuationNotice" w:id="1">
    <w:p w14:paraId="5CB17BD0" w14:textId="77777777" w:rsidR="007D7CB3" w:rsidRDefault="007D7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51FE" w14:textId="77777777" w:rsidR="00F73DD3" w:rsidRPr="001437DD" w:rsidRDefault="00F73DD3" w:rsidP="001437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5EB9" w14:textId="77777777" w:rsidR="00F73DD3" w:rsidRPr="001437DD" w:rsidRDefault="00F73DD3" w:rsidP="001437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3D7B" w14:textId="77777777" w:rsidR="00F73DD3" w:rsidRPr="001437DD" w:rsidRDefault="00F73DD3" w:rsidP="001437D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1A86" w14:textId="77777777" w:rsidR="007D7CB3" w:rsidRDefault="007D7CB3" w:rsidP="00ED54E0">
      <w:r>
        <w:separator/>
      </w:r>
    </w:p>
  </w:footnote>
  <w:footnote w:type="continuationSeparator" w:id="0">
    <w:p w14:paraId="2768513F" w14:textId="77777777" w:rsidR="007D7CB3" w:rsidRDefault="007D7CB3" w:rsidP="00ED54E0">
      <w:r>
        <w:continuationSeparator/>
      </w:r>
    </w:p>
  </w:footnote>
  <w:footnote w:type="continuationNotice" w:id="1">
    <w:p w14:paraId="2376BD51" w14:textId="77777777" w:rsidR="007D7CB3" w:rsidRDefault="007D7CB3"/>
  </w:footnote>
  <w:footnote w:id="2">
    <w:p w14:paraId="798B7E87" w14:textId="30A2CB21" w:rsidR="00F73DD3" w:rsidRPr="005E0F0F" w:rsidRDefault="00F73DD3" w:rsidP="00DA0AF4">
      <w:pPr>
        <w:pStyle w:val="FootnoteText"/>
      </w:pPr>
      <w:r w:rsidRPr="005E0F0F">
        <w:rPr>
          <w:rStyle w:val="FootnoteReference"/>
        </w:rPr>
        <w:footnoteRef/>
      </w:r>
      <w:r w:rsidRPr="005E0F0F">
        <w:t xml:space="preserve"> WT/DS505/R, 5 July 2018.</w:t>
      </w:r>
    </w:p>
  </w:footnote>
  <w:footnote w:id="3">
    <w:p w14:paraId="7781ECF0" w14:textId="7CA098B9" w:rsidR="00F73DD3" w:rsidRPr="00244CCE" w:rsidRDefault="00F73DD3" w:rsidP="00DA0AF4">
      <w:pPr>
        <w:pStyle w:val="FootnoteText"/>
      </w:pPr>
      <w:r w:rsidRPr="005E0F0F">
        <w:rPr>
          <w:rStyle w:val="FootnoteReference"/>
        </w:rPr>
        <w:footnoteRef/>
      </w:r>
      <w:r w:rsidRPr="005E0F0F">
        <w:t xml:space="preserve"> </w:t>
      </w:r>
      <w:r w:rsidRPr="00F97844">
        <w:t>Minutes of the Dispute Settlement Body meeting held on 21</w:t>
      </w:r>
      <w:r w:rsidRPr="00244CCE">
        <w:t> July 2016, WT/DSB/M/383, para. 6.4.</w:t>
      </w:r>
    </w:p>
  </w:footnote>
  <w:footnote w:id="4">
    <w:p w14:paraId="4E6BA29B" w14:textId="58F17CC3" w:rsidR="00F73DD3" w:rsidRPr="00244CCE" w:rsidRDefault="00F73DD3" w:rsidP="00DA0AF4">
      <w:pPr>
        <w:pStyle w:val="FootnoteText"/>
      </w:pPr>
      <w:r w:rsidRPr="00F97844">
        <w:rPr>
          <w:rStyle w:val="FootnoteReference"/>
        </w:rPr>
        <w:footnoteRef/>
      </w:r>
      <w:r w:rsidRPr="00F97844">
        <w:t xml:space="preserve"> Panel Report, para. 1.4; </w:t>
      </w:r>
      <w:r w:rsidRPr="00244CCE">
        <w:t>Request for the Establishment of a Panel by Canada, WT/DS505/2 (Canada's panel request).</w:t>
      </w:r>
    </w:p>
  </w:footnote>
  <w:footnote w:id="5">
    <w:p w14:paraId="1249F20C" w14:textId="380FE6EC" w:rsidR="00F73DD3" w:rsidRPr="00244CCE" w:rsidRDefault="00F73DD3" w:rsidP="00DA0AF4">
      <w:pPr>
        <w:pStyle w:val="FootnoteText"/>
      </w:pPr>
      <w:r w:rsidRPr="00F97844">
        <w:rPr>
          <w:rStyle w:val="FootnoteReference"/>
        </w:rPr>
        <w:footnoteRef/>
      </w:r>
      <w:r w:rsidRPr="00F97844">
        <w:t xml:space="preserve"> The challenged OFA</w:t>
      </w:r>
      <w:r w:rsidRPr="00F97844">
        <w:noBreakHyphen/>
        <w:t>AFA measure was referred to by the Panel as the "Other Forms of Assistance–AFA measure". (Panel Report, paras. 2.2 and 7.1)</w:t>
      </w:r>
    </w:p>
  </w:footnote>
  <w:footnote w:id="6">
    <w:p w14:paraId="39D772C1" w14:textId="64AE2F04" w:rsidR="00F73DD3" w:rsidRPr="00F97844" w:rsidRDefault="00F73DD3" w:rsidP="00DA0AF4">
      <w:pPr>
        <w:pStyle w:val="FootnoteText"/>
      </w:pPr>
      <w:r w:rsidRPr="00F97844">
        <w:rPr>
          <w:rStyle w:val="FootnoteReference"/>
        </w:rPr>
        <w:footnoteRef/>
      </w:r>
      <w:r w:rsidRPr="00F97844">
        <w:t xml:space="preserve"> Panel Report, para. 3.1.</w:t>
      </w:r>
    </w:p>
  </w:footnote>
  <w:footnote w:id="7">
    <w:p w14:paraId="195A1907" w14:textId="388B71AC" w:rsidR="00F73DD3" w:rsidRPr="00F97844" w:rsidRDefault="00F73DD3" w:rsidP="00DA0AF4">
      <w:pPr>
        <w:pStyle w:val="FootnoteText"/>
      </w:pPr>
      <w:r w:rsidRPr="00F97844">
        <w:rPr>
          <w:rStyle w:val="FootnoteReference"/>
        </w:rPr>
        <w:footnoteRef/>
      </w:r>
      <w:r w:rsidRPr="00F97844">
        <w:t xml:space="preserve"> Annex C</w:t>
      </w:r>
      <w:r w:rsidRPr="00F97844">
        <w:noBreakHyphen/>
        <w:t>1 of the Panel Report, para. 1.</w:t>
      </w:r>
    </w:p>
  </w:footnote>
  <w:footnote w:id="8">
    <w:p w14:paraId="36A0B903" w14:textId="7EC76D86" w:rsidR="00F73DD3" w:rsidRPr="00244CCE" w:rsidRDefault="00F73DD3">
      <w:pPr>
        <w:pStyle w:val="FootnoteText"/>
      </w:pPr>
      <w:r w:rsidRPr="00F97844">
        <w:rPr>
          <w:rStyle w:val="FootnoteReference"/>
        </w:rPr>
        <w:footnoteRef/>
      </w:r>
      <w:r w:rsidRPr="00F97844">
        <w:t xml:space="preserve"> Panel Report, para</w:t>
      </w:r>
      <w:r w:rsidRPr="00244CCE">
        <w:t>s. 8.5</w:t>
      </w:r>
      <w:r w:rsidRPr="00244CCE">
        <w:noBreakHyphen/>
        <w:t>8.6.</w:t>
      </w:r>
    </w:p>
  </w:footnote>
  <w:footnote w:id="9">
    <w:p w14:paraId="0DECC4EA" w14:textId="2FAFFF8F" w:rsidR="00F73DD3" w:rsidRPr="00F97844" w:rsidRDefault="00F73DD3" w:rsidP="00DA0AF4">
      <w:pPr>
        <w:pStyle w:val="FootnoteText"/>
      </w:pPr>
      <w:r w:rsidRPr="00F97844">
        <w:rPr>
          <w:rStyle w:val="FootnoteReference"/>
        </w:rPr>
        <w:footnoteRef/>
      </w:r>
      <w:r w:rsidRPr="00F97844">
        <w:t xml:space="preserve"> WT/DS505/6</w:t>
      </w:r>
      <w:r w:rsidRPr="00F97844">
        <w:rPr>
          <w:szCs w:val="16"/>
        </w:rPr>
        <w:t>.</w:t>
      </w:r>
    </w:p>
  </w:footnote>
  <w:footnote w:id="10">
    <w:p w14:paraId="4F4AED52" w14:textId="02F9AF82" w:rsidR="00F73DD3" w:rsidRPr="00244CCE" w:rsidRDefault="00F73DD3" w:rsidP="00DA0AF4">
      <w:pPr>
        <w:pStyle w:val="FootnoteText"/>
      </w:pPr>
      <w:r w:rsidRPr="00F97844">
        <w:rPr>
          <w:rStyle w:val="FootnoteReference"/>
        </w:rPr>
        <w:footnoteRef/>
      </w:r>
      <w:r w:rsidRPr="00F97844">
        <w:t xml:space="preserve"> Pursuant to Rule 24(1) of the Working Procedur</w:t>
      </w:r>
      <w:r w:rsidRPr="00244CCE">
        <w:t>es.</w:t>
      </w:r>
    </w:p>
  </w:footnote>
  <w:footnote w:id="11">
    <w:p w14:paraId="087F31FE" w14:textId="77B3A18A" w:rsidR="00F73DD3" w:rsidRPr="00244CCE" w:rsidRDefault="00F73DD3" w:rsidP="00DA0AF4">
      <w:pPr>
        <w:pStyle w:val="FootnoteText"/>
      </w:pPr>
      <w:r w:rsidRPr="00F97844">
        <w:rPr>
          <w:rStyle w:val="FootnoteReference"/>
        </w:rPr>
        <w:footnoteRef/>
      </w:r>
      <w:r w:rsidRPr="00F97844">
        <w:t xml:space="preserve"> Pursuant to Rule 24(</w:t>
      </w:r>
      <w:r w:rsidRPr="00244CCE">
        <w:t>2) of the Working Procedures.</w:t>
      </w:r>
    </w:p>
  </w:footnote>
  <w:footnote w:id="12">
    <w:p w14:paraId="12AD9087" w14:textId="4B5DB481" w:rsidR="00F73DD3" w:rsidRPr="00244CCE" w:rsidRDefault="00F73DD3" w:rsidP="00DA0AF4">
      <w:pPr>
        <w:pStyle w:val="FootnoteText"/>
      </w:pPr>
      <w:r w:rsidRPr="00F97844">
        <w:rPr>
          <w:rStyle w:val="FootnoteReference"/>
        </w:rPr>
        <w:footnoteRef/>
      </w:r>
      <w:r w:rsidRPr="00F97844">
        <w:t xml:space="preserve"> On 31 October 2019 and 1 November 201</w:t>
      </w:r>
      <w:r w:rsidRPr="00244CCE">
        <w:t>9, respectively, Turkey and Korea each submitted their delegation list for the hearing to the Appellate Body Secretariat. We have interpreted these actions as a notification to attend the hearing pursuant to Rule 24(4) of the Working Procedures.</w:t>
      </w:r>
    </w:p>
  </w:footnote>
  <w:footnote w:id="13">
    <w:p w14:paraId="278E47D0" w14:textId="78FA9037" w:rsidR="00F73DD3" w:rsidRPr="00244CCE" w:rsidRDefault="00F73DD3" w:rsidP="00DA0AF4">
      <w:pPr>
        <w:pStyle w:val="FootnoteText"/>
      </w:pPr>
      <w:r w:rsidRPr="00F97844">
        <w:rPr>
          <w:rStyle w:val="FootnoteReference"/>
        </w:rPr>
        <w:footnoteRef/>
      </w:r>
      <w:r w:rsidRPr="00F97844">
        <w:t xml:space="preserve"> </w:t>
      </w:r>
      <w:r w:rsidRPr="00F97844">
        <w:rPr>
          <w:szCs w:val="16"/>
        </w:rPr>
        <w:t>The Procedural Ruling of 13 September </w:t>
      </w:r>
      <w:r w:rsidRPr="00244CCE">
        <w:rPr>
          <w:szCs w:val="16"/>
        </w:rPr>
        <w:t>2018 is contained in Annex D-1 of the Addendum to this Report, WT/DS505/AB/R/Add.1.</w:t>
      </w:r>
    </w:p>
  </w:footnote>
  <w:footnote w:id="14">
    <w:p w14:paraId="3EC40C64" w14:textId="7A410204" w:rsidR="00F73DD3" w:rsidRPr="00244CCE" w:rsidRDefault="00F73DD3" w:rsidP="00104C58">
      <w:pPr>
        <w:pStyle w:val="FootnoteText"/>
      </w:pPr>
      <w:r w:rsidRPr="00F97844">
        <w:rPr>
          <w:rStyle w:val="FootnoteReference"/>
        </w:rPr>
        <w:footnoteRef/>
      </w:r>
      <w:r w:rsidRPr="00F97844">
        <w:t xml:space="preserve"> The Chair of the Appellate Body explained that this was due to a number of factors, including the complex issues appealed, the backlog of appeals pending before the Appellate Body, and the overlap in </w:t>
      </w:r>
      <w:r w:rsidRPr="00244CCE">
        <w:t xml:space="preserve">the composition of all Divisions resulting in part from </w:t>
      </w:r>
      <w:r w:rsidRPr="00244CCE">
        <w:rPr>
          <w:rFonts w:eastAsia="Times New Roman" w:cs="Arial"/>
          <w:bCs/>
          <w:color w:val="000000"/>
          <w:spacing w:val="-2"/>
        </w:rPr>
        <w:t>the reduced number of Appellate Body Members</w:t>
      </w:r>
      <w:r w:rsidRPr="00244CCE">
        <w:t>. Although this appeal was initiated on 27 August 2018, appeal work could only begin in mid-September 2019. (WT/DS505/7)</w:t>
      </w:r>
    </w:p>
  </w:footnote>
  <w:footnote w:id="15">
    <w:p w14:paraId="021C3DEF" w14:textId="7CEF7607" w:rsidR="00F73DD3" w:rsidRPr="00244CCE" w:rsidRDefault="00F73DD3" w:rsidP="00104C58">
      <w:pPr>
        <w:pStyle w:val="FootnoteText"/>
      </w:pPr>
      <w:r w:rsidRPr="00F97844">
        <w:rPr>
          <w:rStyle w:val="FootnoteReference"/>
        </w:rPr>
        <w:footnoteRef/>
      </w:r>
      <w:r w:rsidRPr="00F97844">
        <w:t xml:space="preserve"> WT/DS505/</w:t>
      </w:r>
      <w:r w:rsidRPr="00244CCE">
        <w:t>8.</w:t>
      </w:r>
    </w:p>
  </w:footnote>
  <w:footnote w:id="16">
    <w:p w14:paraId="1865B5F4" w14:textId="56D13EE9" w:rsidR="00F73DD3" w:rsidRPr="00244CCE" w:rsidRDefault="00F73DD3" w:rsidP="00DA0AF4">
      <w:pPr>
        <w:pStyle w:val="FootnoteText"/>
      </w:pPr>
      <w:r w:rsidRPr="00F97844">
        <w:rPr>
          <w:rStyle w:val="FootnoteReference"/>
        </w:rPr>
        <w:footnoteRef/>
      </w:r>
      <w:r w:rsidRPr="00F97844">
        <w:t xml:space="preserve"> </w:t>
      </w:r>
      <w:r w:rsidRPr="00F97844">
        <w:rPr>
          <w:szCs w:val="16"/>
        </w:rPr>
        <w:t>The Procedural Ruling of 28 </w:t>
      </w:r>
      <w:r w:rsidRPr="00244CCE">
        <w:rPr>
          <w:szCs w:val="16"/>
        </w:rPr>
        <w:t>March 2019 is contained in Annex </w:t>
      </w:r>
      <w:r w:rsidRPr="00244CCE">
        <w:t>D-2</w:t>
      </w:r>
      <w:r w:rsidRPr="00244CCE">
        <w:rPr>
          <w:szCs w:val="16"/>
        </w:rPr>
        <w:t xml:space="preserve"> of the Addendum to this Report, WT/DS505/AB/R/Add.1.</w:t>
      </w:r>
    </w:p>
  </w:footnote>
  <w:footnote w:id="17">
    <w:p w14:paraId="11021EBF" w14:textId="034C6457" w:rsidR="00F73DD3" w:rsidRPr="00244CCE" w:rsidRDefault="00F73DD3" w:rsidP="00DA0AF4">
      <w:pPr>
        <w:pStyle w:val="FootnoteText"/>
      </w:pPr>
      <w:r w:rsidRPr="00F97844">
        <w:rPr>
          <w:rStyle w:val="FootnoteReference"/>
        </w:rPr>
        <w:footnoteRef/>
      </w:r>
      <w:r w:rsidRPr="00F97844">
        <w:t xml:space="preserve"> </w:t>
      </w:r>
      <w:r w:rsidRPr="00F97844">
        <w:rPr>
          <w:szCs w:val="16"/>
        </w:rPr>
        <w:t>The Procedural Ruling of 2 July 2019 is</w:t>
      </w:r>
      <w:r w:rsidRPr="00244CCE">
        <w:rPr>
          <w:szCs w:val="16"/>
        </w:rPr>
        <w:t xml:space="preserve"> contained in Annex </w:t>
      </w:r>
      <w:r w:rsidRPr="00244CCE">
        <w:t>D-3</w:t>
      </w:r>
      <w:r w:rsidRPr="00244CCE">
        <w:rPr>
          <w:szCs w:val="16"/>
        </w:rPr>
        <w:t xml:space="preserve"> of the Addendum to this Report, WT/DS505/AB/R/Add.1.</w:t>
      </w:r>
    </w:p>
  </w:footnote>
  <w:footnote w:id="18">
    <w:p w14:paraId="0F3BBE52" w14:textId="11720EA6" w:rsidR="00F73DD3" w:rsidRDefault="00F73DD3">
      <w:pPr>
        <w:pStyle w:val="FootnoteText"/>
      </w:pPr>
      <w:r>
        <w:rPr>
          <w:rStyle w:val="FootnoteReference"/>
        </w:rPr>
        <w:footnoteRef/>
      </w:r>
      <w:r>
        <w:t xml:space="preserve"> WT/DSB/79.</w:t>
      </w:r>
    </w:p>
  </w:footnote>
  <w:footnote w:id="19">
    <w:p w14:paraId="19091325" w14:textId="1D0E06E8" w:rsidR="00F73DD3" w:rsidRPr="00244CCE" w:rsidRDefault="00F73DD3" w:rsidP="00540E6E">
      <w:pPr>
        <w:pStyle w:val="FootnoteText"/>
      </w:pPr>
      <w:r w:rsidRPr="00F97844">
        <w:rPr>
          <w:rStyle w:val="FootnoteReference"/>
        </w:rPr>
        <w:footnoteRef/>
      </w:r>
      <w:r w:rsidRPr="00F97844">
        <w:t xml:space="preserve"> Pursuant to WT/AB/23, 11 March 2015.</w:t>
      </w:r>
    </w:p>
  </w:footnote>
  <w:footnote w:id="20">
    <w:p w14:paraId="2326558E" w14:textId="10393768" w:rsidR="00F73DD3" w:rsidRPr="00F97844" w:rsidRDefault="00F73DD3" w:rsidP="0000638F">
      <w:pPr>
        <w:pStyle w:val="FootnoteText"/>
      </w:pPr>
      <w:r w:rsidRPr="00F97844">
        <w:rPr>
          <w:rStyle w:val="FootnoteReference"/>
        </w:rPr>
        <w:footnoteRef/>
      </w:r>
      <w:r w:rsidRPr="00F97844">
        <w:t xml:space="preserve"> Pursuant to WT/AB/23, 11 March 2015.</w:t>
      </w:r>
    </w:p>
  </w:footnote>
  <w:footnote w:id="21">
    <w:p w14:paraId="777C9CFF" w14:textId="4DE5CD8D" w:rsidR="00F73DD3" w:rsidRPr="00244CCE" w:rsidRDefault="00F73DD3" w:rsidP="00DA0AF4">
      <w:pPr>
        <w:pStyle w:val="FootnoteText"/>
      </w:pPr>
      <w:r w:rsidRPr="00F97844">
        <w:rPr>
          <w:rStyle w:val="FootnoteReference"/>
        </w:rPr>
        <w:footnoteRef/>
      </w:r>
      <w:r w:rsidRPr="00F97844">
        <w:t xml:space="preserve"> United States' Notice of Appeal, para. </w:t>
      </w:r>
      <w:r w:rsidRPr="00244CCE">
        <w:t>2; appellant's submission, paras. 1, 3, and 6</w:t>
      </w:r>
      <w:r w:rsidRPr="00244CCE">
        <w:noBreakHyphen/>
        <w:t>32.</w:t>
      </w:r>
    </w:p>
  </w:footnote>
  <w:footnote w:id="22">
    <w:p w14:paraId="029FDE92" w14:textId="708A1F27" w:rsidR="00F73DD3" w:rsidRPr="00F97844" w:rsidRDefault="00F73DD3" w:rsidP="00DA0AF4">
      <w:pPr>
        <w:pStyle w:val="FootnoteText"/>
      </w:pPr>
      <w:r w:rsidRPr="00F97844">
        <w:rPr>
          <w:rStyle w:val="FootnoteReference"/>
        </w:rPr>
        <w:footnoteRef/>
      </w:r>
      <w:r w:rsidRPr="00F97844">
        <w:t xml:space="preserve"> United States' appellant's submission, paras. 5, 15, 32, and 80. </w:t>
      </w:r>
    </w:p>
  </w:footnote>
  <w:footnote w:id="23">
    <w:p w14:paraId="4A2A4B4C" w14:textId="4830C74F" w:rsidR="00F73DD3" w:rsidRPr="00244CCE" w:rsidRDefault="00F73DD3" w:rsidP="00DA0AF4">
      <w:pPr>
        <w:pStyle w:val="FootnoteText"/>
      </w:pPr>
      <w:r w:rsidRPr="00F97844">
        <w:rPr>
          <w:rStyle w:val="FootnoteReference"/>
        </w:rPr>
        <w:footnoteRef/>
      </w:r>
      <w:r w:rsidRPr="00F97844">
        <w:t xml:space="preserve"> Canada's appellee's submission, paras. 34</w:t>
      </w:r>
      <w:r w:rsidRPr="00F97844">
        <w:noBreakHyphen/>
        <w:t>42.</w:t>
      </w:r>
    </w:p>
  </w:footnote>
  <w:footnote w:id="24">
    <w:p w14:paraId="53978EA8" w14:textId="1662ED3A" w:rsidR="00F73DD3" w:rsidRPr="00244CCE" w:rsidRDefault="00F73DD3" w:rsidP="00DA0AF4">
      <w:pPr>
        <w:pStyle w:val="FootnoteText"/>
      </w:pPr>
      <w:r w:rsidRPr="00F97844">
        <w:rPr>
          <w:rStyle w:val="FootnoteReference"/>
        </w:rPr>
        <w:footnoteRef/>
      </w:r>
      <w:r w:rsidRPr="00F97844">
        <w:t xml:space="preserve"> Canada's appellee's submission, paras. 14</w:t>
      </w:r>
      <w:r w:rsidRPr="00F97844">
        <w:noBreakHyphen/>
        <w:t>33 and 43</w:t>
      </w:r>
      <w:r w:rsidRPr="00244CCE">
        <w:noBreakHyphen/>
        <w:t>60.</w:t>
      </w:r>
    </w:p>
  </w:footnote>
  <w:footnote w:id="25">
    <w:p w14:paraId="7848B106" w14:textId="77777777" w:rsidR="00F73DD3" w:rsidRPr="00F97844" w:rsidRDefault="00F73DD3" w:rsidP="00DA0AF4">
      <w:pPr>
        <w:pStyle w:val="FootnoteText"/>
      </w:pPr>
      <w:r w:rsidRPr="00F97844">
        <w:rPr>
          <w:rStyle w:val="FootnoteReference"/>
        </w:rPr>
        <w:footnoteRef/>
      </w:r>
      <w:r w:rsidRPr="00F97844">
        <w:t xml:space="preserve"> Canada's appellee's submission, para. 128.</w:t>
      </w:r>
    </w:p>
  </w:footnote>
  <w:footnote w:id="26">
    <w:p w14:paraId="17BC25E6" w14:textId="692C8827" w:rsidR="00F73DD3" w:rsidRPr="00244CCE" w:rsidRDefault="00F73DD3" w:rsidP="00DA0AF4">
      <w:pPr>
        <w:pStyle w:val="FootnoteText"/>
      </w:pPr>
      <w:r w:rsidRPr="00F97844">
        <w:rPr>
          <w:rStyle w:val="FootnoteReference"/>
        </w:rPr>
        <w:footnoteRef/>
      </w:r>
      <w:r w:rsidRPr="00F97844">
        <w:t xml:space="preserve"> Panel Report, para. </w:t>
      </w:r>
      <w:r w:rsidRPr="00244CCE">
        <w:t>7.301. According to the Panel, the alleged OFA</w:t>
      </w:r>
      <w:r w:rsidRPr="00244CCE">
        <w:noBreakHyphen/>
        <w:t>AFA measure challenged by Canada consisted of the USDOC applying AFA to subsidy programmes discovered during verification in a CVD proceeding that were not reported by respondent companies in response to the OFA question. (Ibid., para. 7.295)</w:t>
      </w:r>
    </w:p>
  </w:footnote>
  <w:footnote w:id="27">
    <w:p w14:paraId="28069FA1" w14:textId="55601223" w:rsidR="00F73DD3" w:rsidRPr="00244CCE" w:rsidRDefault="00F73DD3" w:rsidP="00DA0AF4">
      <w:pPr>
        <w:pStyle w:val="FootnoteText"/>
      </w:pPr>
      <w:r w:rsidRPr="00F97844">
        <w:rPr>
          <w:rStyle w:val="FootnoteReference"/>
        </w:rPr>
        <w:footnoteRef/>
      </w:r>
      <w:r w:rsidRPr="00F97844">
        <w:t xml:space="preserve"> Panel Report, para. </w:t>
      </w:r>
      <w:r w:rsidRPr="00244CCE">
        <w:t xml:space="preserve">7.302 (quoting Appellate Body Reports, </w:t>
      </w:r>
      <w:r w:rsidRPr="00244CCE">
        <w:rPr>
          <w:i/>
        </w:rPr>
        <w:t>US – Corrosion</w:t>
      </w:r>
      <w:r w:rsidRPr="00244CCE">
        <w:rPr>
          <w:i/>
        </w:rPr>
        <w:noBreakHyphen/>
        <w:t>Resistant Steel Sunset Review</w:t>
      </w:r>
      <w:r w:rsidRPr="00244CCE">
        <w:t xml:space="preserve">, para. 81; </w:t>
      </w:r>
      <w:r w:rsidRPr="00244CCE">
        <w:rPr>
          <w:i/>
        </w:rPr>
        <w:t>EC and certain member States – Large Civil Aircraft</w:t>
      </w:r>
      <w:r w:rsidRPr="00244CCE">
        <w:t xml:space="preserve">, para. 794; </w:t>
      </w:r>
      <w:r w:rsidRPr="00244CCE">
        <w:rPr>
          <w:i/>
          <w:iCs/>
        </w:rPr>
        <w:t>US – Zeroing (EC)</w:t>
      </w:r>
      <w:r w:rsidRPr="00244CCE">
        <w:t>, paras. 196</w:t>
      </w:r>
      <w:r w:rsidRPr="00244CCE">
        <w:noBreakHyphen/>
        <w:t xml:space="preserve">198; referring to Appellate Body Reports, </w:t>
      </w:r>
      <w:r w:rsidRPr="00244CCE">
        <w:rPr>
          <w:i/>
        </w:rPr>
        <w:t>US – Softwood Lumber IV (Article 21.5 – Canada)</w:t>
      </w:r>
      <w:r w:rsidRPr="00244CCE">
        <w:t xml:space="preserve">, para. 67; </w:t>
      </w:r>
      <w:r w:rsidRPr="00244CCE">
        <w:rPr>
          <w:i/>
        </w:rPr>
        <w:t>US – Anti</w:t>
      </w:r>
      <w:r w:rsidRPr="00244CCE">
        <w:rPr>
          <w:i/>
        </w:rPr>
        <w:noBreakHyphen/>
        <w:t>Dumping Methodologies (China)</w:t>
      </w:r>
      <w:r w:rsidRPr="00244CCE">
        <w:t xml:space="preserve">, para. 5.122; </w:t>
      </w:r>
      <w:r w:rsidRPr="00244CCE">
        <w:rPr>
          <w:i/>
        </w:rPr>
        <w:t>Guatemala – Cement I</w:t>
      </w:r>
      <w:r w:rsidRPr="00244CCE">
        <w:t xml:space="preserve">, fn 47 to para. 69; </w:t>
      </w:r>
      <w:r w:rsidRPr="00244CCE">
        <w:rPr>
          <w:i/>
        </w:rPr>
        <w:t>Argentina – Import Measures</w:t>
      </w:r>
      <w:r w:rsidRPr="00244CCE">
        <w:t>, paras. 5.106 and 5.109).</w:t>
      </w:r>
    </w:p>
  </w:footnote>
  <w:footnote w:id="28">
    <w:p w14:paraId="2126AA5F" w14:textId="5B1DD19E" w:rsidR="00F73DD3" w:rsidRPr="00244CCE" w:rsidRDefault="00F73DD3" w:rsidP="00DA0AF4">
      <w:pPr>
        <w:pStyle w:val="FootnoteText"/>
      </w:pPr>
      <w:r w:rsidRPr="00F97844">
        <w:rPr>
          <w:rStyle w:val="FootnoteReference"/>
        </w:rPr>
        <w:footnoteRef/>
      </w:r>
      <w:r w:rsidRPr="00F97844">
        <w:t xml:space="preserve"> Panel Report, para. </w:t>
      </w:r>
      <w:r w:rsidRPr="00244CCE">
        <w:t xml:space="preserve">7.303 (referring to Appellate Body Reports, </w:t>
      </w:r>
      <w:r w:rsidRPr="00244CCE">
        <w:rPr>
          <w:i/>
        </w:rPr>
        <w:t>Argentina – Import Measures</w:t>
      </w:r>
      <w:r w:rsidRPr="00244CCE">
        <w:t>, para. 5.110).</w:t>
      </w:r>
    </w:p>
  </w:footnote>
  <w:footnote w:id="29">
    <w:p w14:paraId="6362D1E8" w14:textId="29A58F38" w:rsidR="00F73DD3" w:rsidRPr="00244CCE" w:rsidRDefault="00F73DD3" w:rsidP="00DA0AF4">
      <w:pPr>
        <w:pStyle w:val="FootnoteText"/>
      </w:pPr>
      <w:r w:rsidRPr="00F97844">
        <w:rPr>
          <w:rStyle w:val="FootnoteReference"/>
        </w:rPr>
        <w:footnoteRef/>
      </w:r>
      <w:r w:rsidRPr="00F97844">
        <w:t xml:space="preserve"> Panel Report, para.</w:t>
      </w:r>
      <w:r w:rsidRPr="00244CCE">
        <w:t xml:space="preserve"> 7.304 (referring to Appellate Body Reports, </w:t>
      </w:r>
      <w:r w:rsidRPr="00244CCE">
        <w:rPr>
          <w:i/>
        </w:rPr>
        <w:t>US – Continued Zeroing</w:t>
      </w:r>
      <w:r w:rsidRPr="00244CCE">
        <w:t xml:space="preserve">, paras. 181 and 191; </w:t>
      </w:r>
      <w:r w:rsidRPr="00244CCE">
        <w:rPr>
          <w:i/>
        </w:rPr>
        <w:t>Argentina – Import Measures</w:t>
      </w:r>
      <w:r w:rsidRPr="00244CCE">
        <w:t>, paras. 5.105 and 5.108).</w:t>
      </w:r>
    </w:p>
  </w:footnote>
  <w:footnote w:id="30">
    <w:p w14:paraId="611B917D" w14:textId="6C702D09" w:rsidR="00F73DD3" w:rsidRPr="00244CCE" w:rsidRDefault="00F73DD3" w:rsidP="00DA0AF4">
      <w:pPr>
        <w:pStyle w:val="FootnoteText"/>
      </w:pPr>
      <w:r w:rsidRPr="00F97844">
        <w:rPr>
          <w:rStyle w:val="FootnoteReference"/>
        </w:rPr>
        <w:footnoteRef/>
      </w:r>
      <w:r w:rsidRPr="00F97844">
        <w:t xml:space="preserve"> Panel Report, paras. </w:t>
      </w:r>
      <w:r w:rsidRPr="00244CCE">
        <w:t>7.307</w:t>
      </w:r>
      <w:r w:rsidRPr="00244CCE">
        <w:noBreakHyphen/>
        <w:t>7.317. The Panel noted that the United States did not contest attribution of the alleged OFA</w:t>
      </w:r>
      <w:r w:rsidRPr="00244CCE">
        <w:noBreakHyphen/>
        <w:t>AFA measure to the United States. (Panel Report, para. 7.305 (referring to Canada's first written submission to the Panel, para. 407; second written submission to the Panel, para. 160))</w:t>
      </w:r>
    </w:p>
  </w:footnote>
  <w:footnote w:id="31">
    <w:p w14:paraId="79A94AF0" w14:textId="29ACB780" w:rsidR="00F73DD3" w:rsidRPr="00244CCE" w:rsidRDefault="00F73DD3" w:rsidP="00DA0AF4">
      <w:pPr>
        <w:pStyle w:val="FootnoteText"/>
      </w:pPr>
      <w:r w:rsidRPr="00F97844">
        <w:rPr>
          <w:rStyle w:val="FootnoteReference"/>
        </w:rPr>
        <w:footnoteRef/>
      </w:r>
      <w:r w:rsidRPr="00F97844">
        <w:t xml:space="preserve"> Panel Report, paras</w:t>
      </w:r>
      <w:r w:rsidRPr="00244CCE">
        <w:t>. 7.309 and 7.312.</w:t>
      </w:r>
    </w:p>
  </w:footnote>
  <w:footnote w:id="32">
    <w:p w14:paraId="6EACD3EB" w14:textId="03C1CA22" w:rsidR="00F73DD3" w:rsidRPr="00244CCE" w:rsidRDefault="00F73DD3" w:rsidP="00DA0AF4">
      <w:pPr>
        <w:pStyle w:val="FootnoteText"/>
      </w:pPr>
      <w:r w:rsidRPr="00F97844">
        <w:rPr>
          <w:rStyle w:val="FootnoteReference"/>
        </w:rPr>
        <w:footnoteRef/>
      </w:r>
      <w:r w:rsidRPr="00F97844">
        <w:t xml:space="preserve"> Panel Report, para. </w:t>
      </w:r>
      <w:r w:rsidRPr="00244CCE">
        <w:t xml:space="preserve">7.309 (referring to Solar Cells from China 2012, Shrimp from China 2013, Solar Cells from China 2014, Solar Cells from China 2015, Supercalendered Paper from Canada 2015, PET Resin from China 2016, and Stainless Pressure Pipe from India 2016). </w:t>
      </w:r>
    </w:p>
  </w:footnote>
  <w:footnote w:id="33">
    <w:p w14:paraId="774ACC96" w14:textId="4275C1D5" w:rsidR="00F73DD3" w:rsidRPr="00244CCE" w:rsidRDefault="00F73DD3" w:rsidP="00DA0AF4">
      <w:pPr>
        <w:pStyle w:val="FootnoteText"/>
      </w:pPr>
      <w:r w:rsidRPr="00F97844">
        <w:rPr>
          <w:rStyle w:val="FootnoteReference"/>
        </w:rPr>
        <w:footnoteRef/>
      </w:r>
      <w:r w:rsidRPr="00F97844">
        <w:t xml:space="preserve"> Panel Report, paras. </w:t>
      </w:r>
      <w:r w:rsidRPr="00244CCE">
        <w:t>7.312</w:t>
      </w:r>
      <w:r w:rsidRPr="00244CCE">
        <w:noBreakHyphen/>
        <w:t xml:space="preserve">7.313. </w:t>
      </w:r>
    </w:p>
  </w:footnote>
  <w:footnote w:id="34">
    <w:p w14:paraId="40E143BE" w14:textId="4703294A" w:rsidR="00F73DD3" w:rsidRPr="00F97844" w:rsidRDefault="00F73DD3">
      <w:pPr>
        <w:pStyle w:val="FootnoteText"/>
      </w:pPr>
      <w:r w:rsidRPr="00F97844">
        <w:rPr>
          <w:rStyle w:val="FootnoteReference"/>
        </w:rPr>
        <w:footnoteRef/>
      </w:r>
      <w:r w:rsidRPr="00F97844">
        <w:t xml:space="preserve"> Panel Report, para. 7.316. </w:t>
      </w:r>
    </w:p>
  </w:footnote>
  <w:footnote w:id="35">
    <w:p w14:paraId="0B979E31" w14:textId="3750A358" w:rsidR="00F73DD3" w:rsidRPr="00244CCE" w:rsidRDefault="00F73DD3" w:rsidP="00DA0AF4">
      <w:pPr>
        <w:pStyle w:val="FootnoteText"/>
      </w:pPr>
      <w:r w:rsidRPr="00F97844">
        <w:rPr>
          <w:rStyle w:val="FootnoteReference"/>
        </w:rPr>
        <w:footnoteRef/>
      </w:r>
      <w:r w:rsidRPr="00F97844">
        <w:t xml:space="preserve"> Panel Report, para. </w:t>
      </w:r>
      <w:r w:rsidRPr="00244CCE">
        <w:t xml:space="preserve">7.316. Specifically, the Panel found that the variations in wording appeared mainly to be due to the different circumstances of a given investigation (such as the interested parties and dates), but the object of the OFA question remained the same. The Panel also found that the substance of the USDOC's reactions remained the same: where the USDOC discovered information upon verification that it deemed should have been reported in response to the OFA question, the USDOC applied AFA to find countervailable subsidies. (Ibid.) </w:t>
      </w:r>
    </w:p>
  </w:footnote>
  <w:footnote w:id="36">
    <w:p w14:paraId="529C6F7A" w14:textId="019E3915" w:rsidR="00F73DD3" w:rsidRPr="00244CCE" w:rsidRDefault="00F73DD3" w:rsidP="00DA0AF4">
      <w:pPr>
        <w:pStyle w:val="FootnoteText"/>
      </w:pPr>
      <w:r w:rsidRPr="00F97844">
        <w:rPr>
          <w:rStyle w:val="FootnoteReference"/>
        </w:rPr>
        <w:footnoteRef/>
      </w:r>
      <w:r w:rsidRPr="00F97844">
        <w:t xml:space="preserve"> Panel Report, para. </w:t>
      </w:r>
      <w:r w:rsidRPr="00244CCE">
        <w:t>7.316. The Panel noted that this description of the alleged OFA</w:t>
      </w:r>
      <w:r w:rsidRPr="00244CCE">
        <w:noBreakHyphen/>
        <w:t xml:space="preserve">AFA measure appears to be in line with the USDOC's description of the alleged measure in a NAFTA Chapter 19 proceeding. (Ibid., para. 7.317 (quoting </w:t>
      </w:r>
      <w:r w:rsidRPr="00244CCE">
        <w:rPr>
          <w:szCs w:val="16"/>
        </w:rPr>
        <w:t>USDOC, Rule 57(2) Brief (NAFTA) in Supercalendered Paper from Canada: Final Affirmative Countervailing Duty Determination (5 July 2016) (</w:t>
      </w:r>
      <w:r w:rsidRPr="00244CCE">
        <w:t>USDOC NAFTA Brief) (Panel Exhibit CAN</w:t>
      </w:r>
      <w:r w:rsidRPr="00244CCE">
        <w:noBreakHyphen/>
        <w:t>76), pp. 147</w:t>
      </w:r>
      <w:r w:rsidRPr="00244CCE">
        <w:noBreakHyphen/>
        <w:t xml:space="preserve">149)) See also Panel Report, para. 7.308. </w:t>
      </w:r>
    </w:p>
  </w:footnote>
  <w:footnote w:id="37">
    <w:p w14:paraId="566D8591" w14:textId="219C6B3A" w:rsidR="00F73DD3" w:rsidRPr="00244CCE" w:rsidRDefault="00F73DD3" w:rsidP="00DA0AF4">
      <w:pPr>
        <w:pStyle w:val="FootnoteText"/>
      </w:pPr>
      <w:r w:rsidRPr="00F97844">
        <w:rPr>
          <w:rStyle w:val="FootnoteReference"/>
        </w:rPr>
        <w:footnoteRef/>
      </w:r>
      <w:r w:rsidRPr="00F97844">
        <w:t xml:space="preserve"> Panel Report, paras. </w:t>
      </w:r>
      <w:r w:rsidRPr="00244CCE">
        <w:t>7.318</w:t>
      </w:r>
      <w:r w:rsidRPr="00244CCE">
        <w:noBreakHyphen/>
        <w:t>7.332. As Canada's arguments relied to a great extent on the same evidence for these requirements, the Panel addressed them together. (Ibid., para. 7.318)</w:t>
      </w:r>
    </w:p>
  </w:footnote>
  <w:footnote w:id="38">
    <w:p w14:paraId="42A9FB3F" w14:textId="267CAF8D" w:rsidR="00F73DD3" w:rsidRPr="00244CCE" w:rsidRDefault="00F73DD3" w:rsidP="00DA0AF4">
      <w:pPr>
        <w:pStyle w:val="FootnoteText"/>
      </w:pPr>
      <w:r w:rsidRPr="00F97844">
        <w:rPr>
          <w:rStyle w:val="FootnoteReference"/>
        </w:rPr>
        <w:footnoteRef/>
      </w:r>
      <w:r w:rsidRPr="00F97844">
        <w:t xml:space="preserve"> Panel Report, paras.</w:t>
      </w:r>
      <w:r w:rsidRPr="00244CCE">
        <w:t> 7.320</w:t>
      </w:r>
      <w:r w:rsidRPr="00244CCE">
        <w:noBreakHyphen/>
        <w:t>7.321, tables 3 and 4. These tables refer to Shrimp from China 2013, Solar Cells from China 2014, Solar Cells from China 2015, Supercalendered Paper from Canada 2015, PET Resin from China 2016, Stainless Pressure Pipe from India 2016, Truck and Bus Tires from China 2016, and Stainless Steel Sheet and Strip from China 2017.</w:t>
      </w:r>
    </w:p>
  </w:footnote>
  <w:footnote w:id="39">
    <w:p w14:paraId="0E186520" w14:textId="46DD4FFF" w:rsidR="00F73DD3" w:rsidRPr="00244CCE" w:rsidRDefault="00F73DD3" w:rsidP="00DA0AF4">
      <w:pPr>
        <w:pStyle w:val="FootnoteText"/>
      </w:pPr>
      <w:r w:rsidRPr="00F97844">
        <w:rPr>
          <w:rStyle w:val="FootnoteReference"/>
        </w:rPr>
        <w:footnoteRef/>
      </w:r>
      <w:r w:rsidRPr="00F97844">
        <w:t xml:space="preserve"> Panel Report, para. </w:t>
      </w:r>
      <w:r w:rsidRPr="00244CCE">
        <w:t xml:space="preserve">7.324. </w:t>
      </w:r>
    </w:p>
  </w:footnote>
  <w:footnote w:id="40">
    <w:p w14:paraId="58EC29CE" w14:textId="3BB3DE88" w:rsidR="00F73DD3" w:rsidRPr="00244CCE" w:rsidRDefault="00F73DD3" w:rsidP="00DA0AF4">
      <w:pPr>
        <w:pStyle w:val="FootnoteText"/>
      </w:pPr>
      <w:r w:rsidRPr="00F97844">
        <w:rPr>
          <w:rStyle w:val="FootnoteReference"/>
        </w:rPr>
        <w:footnoteRef/>
      </w:r>
      <w:r w:rsidRPr="00F97844">
        <w:t xml:space="preserve"> The Panel noted that in Washers from Korea 2012, which had been issued within two months of Solar Cells</w:t>
      </w:r>
      <w:r w:rsidRPr="00244CCE">
        <w:t xml:space="preserve"> from China 2012, the USDOC did not countervail certain grants discovered at verification as they were deemed to not be tied to the subject merchandise. Nonetheless, the Panel considered Canada's claim related to the USDOC's post</w:t>
      </w:r>
      <w:r w:rsidRPr="00244CCE">
        <w:noBreakHyphen/>
        <w:t xml:space="preserve">2012 practice. The Panel observed that the United States had not provided evidence of any instance subsequent to 2012 where "the USDOC did not apply AFA to a respondent on the basis of the [OFA] question." (Panel Report, para. 7.326 (referring to </w:t>
      </w:r>
      <w:r w:rsidRPr="00244CCE">
        <w:rPr>
          <w:szCs w:val="16"/>
        </w:rPr>
        <w:t>USDOC, Issues and Decision Memorandum for the Final Determination in the Countervailing Duty Investigation of Large Residential Washers from the Republic of Korea (18 December 2012) (Panel Exhibit USA</w:t>
      </w:r>
      <w:r w:rsidRPr="00244CCE">
        <w:rPr>
          <w:szCs w:val="16"/>
        </w:rPr>
        <w:noBreakHyphen/>
        <w:t>19))</w:t>
      </w:r>
      <w:r w:rsidRPr="00244CCE">
        <w:t>) Furthermore, to the Panel, the USDOC's reference to Washers from Korea 2012 in Supercalendered Paper from Canada 2015 pertained to past practice, and thus did not undermine Canada's showing of repeated application of the alleged OFA</w:t>
      </w:r>
      <w:r w:rsidRPr="00244CCE">
        <w:noBreakHyphen/>
        <w:t>AFA</w:t>
      </w:r>
      <w:r>
        <w:t> </w:t>
      </w:r>
      <w:r w:rsidRPr="00244CCE">
        <w:t xml:space="preserve">measure. (Panel Report, para. 7.326 (referring to </w:t>
      </w:r>
      <w:r w:rsidRPr="00244CCE">
        <w:rPr>
          <w:szCs w:val="16"/>
        </w:rPr>
        <w:t>USDOC, Issues and Decision Memorandum for the Final Determination in the Countervailing Duty Investigation of Supercalendered Paper from Canada (13 October 2015) (Supercalendered Paper from Canada 2015, I&amp;D Memo) (Panel Exhibit CAN</w:t>
      </w:r>
      <w:r w:rsidRPr="00244CCE">
        <w:rPr>
          <w:szCs w:val="16"/>
        </w:rPr>
        <w:noBreakHyphen/>
        <w:t>37)</w:t>
      </w:r>
      <w:r w:rsidRPr="00244CCE">
        <w:t>))</w:t>
      </w:r>
    </w:p>
  </w:footnote>
  <w:footnote w:id="41">
    <w:p w14:paraId="770CB1FA" w14:textId="74D1C4D7" w:rsidR="00F73DD3" w:rsidRPr="00244CCE" w:rsidRDefault="00F73DD3" w:rsidP="00DA0AF4">
      <w:pPr>
        <w:pStyle w:val="FootnoteText"/>
      </w:pPr>
      <w:r w:rsidRPr="00F97844">
        <w:rPr>
          <w:rStyle w:val="FootnoteReference"/>
        </w:rPr>
        <w:footnoteRef/>
      </w:r>
      <w:r w:rsidRPr="00F97844">
        <w:t xml:space="preserve"> Panel Report, para. </w:t>
      </w:r>
      <w:r w:rsidRPr="00244CCE">
        <w:t xml:space="preserve">7.325 (referring to </w:t>
      </w:r>
      <w:r w:rsidRPr="00244CCE">
        <w:rPr>
          <w:szCs w:val="16"/>
        </w:rPr>
        <w:t>USDOC, Countervailing Duty Investigation of Welded Stainless Pressure Pipe from India: Final Calculation Memorandum for Steamline Industries Limited (22 September 2016) (</w:t>
      </w:r>
      <w:r w:rsidRPr="00244CCE">
        <w:t>Stainless Pressure Pipe from India 2016, Final Calculation Memo) (Panel Exhibit CAN</w:t>
      </w:r>
      <w:r w:rsidRPr="00244CCE">
        <w:noBreakHyphen/>
        <w:t>148), fn 3).</w:t>
      </w:r>
    </w:p>
  </w:footnote>
  <w:footnote w:id="42">
    <w:p w14:paraId="3D14C479" w14:textId="2E79583A" w:rsidR="00F73DD3" w:rsidRPr="00244CCE" w:rsidRDefault="00F73DD3" w:rsidP="00DA0AF4">
      <w:pPr>
        <w:pStyle w:val="FootnoteText"/>
      </w:pPr>
      <w:r w:rsidRPr="00F97844">
        <w:rPr>
          <w:rStyle w:val="FootnoteReference"/>
        </w:rPr>
        <w:footnoteRef/>
      </w:r>
      <w:r w:rsidRPr="00F97844">
        <w:t xml:space="preserve"> Panel Report, para. 7.328. The Panel considered that Canada was not require</w:t>
      </w:r>
      <w:r w:rsidRPr="00244CCE">
        <w:t xml:space="preserve">d to prove certainty of future application; rather, to the Panel, Canada needed to prove likelihood of continued application. (Panel Report, para. 7.329 (quoting Appellate Body Report, </w:t>
      </w:r>
      <w:r w:rsidRPr="00244CCE">
        <w:rPr>
          <w:i/>
        </w:rPr>
        <w:t>US – Anti</w:t>
      </w:r>
      <w:r w:rsidRPr="00244CCE">
        <w:rPr>
          <w:i/>
        </w:rPr>
        <w:noBreakHyphen/>
        <w:t>Dumping Methodologies (China)</w:t>
      </w:r>
      <w:r w:rsidRPr="00244CCE">
        <w:t>, para. 5.132))</w:t>
      </w:r>
    </w:p>
  </w:footnote>
  <w:footnote w:id="43">
    <w:p w14:paraId="60C22B26" w14:textId="10A192FB" w:rsidR="00F73DD3" w:rsidRPr="00244CCE" w:rsidRDefault="00F73DD3" w:rsidP="00DA0AF4">
      <w:pPr>
        <w:pStyle w:val="FootnoteText"/>
      </w:pPr>
      <w:r w:rsidRPr="00F97844">
        <w:rPr>
          <w:rStyle w:val="FootnoteReference"/>
        </w:rPr>
        <w:footnoteRef/>
      </w:r>
      <w:r w:rsidRPr="00F97844">
        <w:t xml:space="preserve"> Panel Report, para.</w:t>
      </w:r>
      <w:r w:rsidRPr="00244CCE">
        <w:t> 7.328.</w:t>
      </w:r>
    </w:p>
  </w:footnote>
  <w:footnote w:id="44">
    <w:p w14:paraId="13FE3ECD" w14:textId="640E0DDD" w:rsidR="00F73DD3" w:rsidRPr="0011007F" w:rsidRDefault="00F73DD3" w:rsidP="00DA0AF4">
      <w:pPr>
        <w:pStyle w:val="FootnoteText"/>
      </w:pPr>
      <w:r w:rsidRPr="00F97844">
        <w:rPr>
          <w:rStyle w:val="FootnoteReference"/>
        </w:rPr>
        <w:footnoteRef/>
      </w:r>
      <w:r w:rsidRPr="00F97844">
        <w:t xml:space="preserve"> Panel Report, para. </w:t>
      </w:r>
      <w:r w:rsidRPr="00244CCE">
        <w:t xml:space="preserve">7.328 (quoting </w:t>
      </w:r>
      <w:r w:rsidRPr="00244CCE">
        <w:rPr>
          <w:szCs w:val="16"/>
        </w:rPr>
        <w:t>USDOC, Issues and Decision Memorandum for the Final Determination in the Countervailing Duty Investigation of Certain Crystalline Silicon Photovoltaic Products from the People's Republic of China (15 December 2014) (</w:t>
      </w:r>
      <w:r w:rsidRPr="00244CCE">
        <w:t>Solar Cells from China 2014, I&amp;D Memo) (Panel Exhibit CAN</w:t>
      </w:r>
      <w:r w:rsidRPr="00244CCE">
        <w:noBreakHyphen/>
        <w:t xml:space="preserve">121), p. 88; </w:t>
      </w:r>
      <w:r w:rsidRPr="00244CCE">
        <w:rPr>
          <w:szCs w:val="16"/>
        </w:rPr>
        <w:t xml:space="preserve">USDOC, Issues and Decision Memorandum for the Final Results of the Countervailing Duty Administrative Review: Crystalline Silicon Photovoltaic Cells, Whether or Not Assembled into Modules, from China (7 July 2015) </w:t>
      </w:r>
      <w:r w:rsidRPr="00244CCE">
        <w:t>(Solar Cells from China 2015, I&amp;D Memo) (Panel Exhibit USA</w:t>
      </w:r>
      <w:r w:rsidRPr="00244CCE">
        <w:noBreakHyphen/>
        <w:t>8), p. 58). The Panel also stated that similar language was used in the "other determinations with either specific reference to the word 'practice' or to precedents" where the alleged OFA</w:t>
      </w:r>
      <w:r w:rsidRPr="00244CCE">
        <w:noBreakHyphen/>
        <w:t>AFA measure was applied. (Panel Report, para. 7.328) While the Panel acknowledged the parties' disagreement as to whether the alleged OFA</w:t>
      </w:r>
      <w:r w:rsidRPr="00244CCE">
        <w:noBreakHyphen/>
        <w:t>AFA measure constituted a "practice" under United States law, the Panel considered it was not determinative as to the likelihood of continued application of the alleged OFA</w:t>
      </w:r>
      <w:r w:rsidRPr="00244CCE">
        <w:noBreakHyphen/>
        <w:t>AFA measure. Thus, the Panel did not express a view on the characterization of the alleged measure under United States law. (Panel Report, para. 7.329 and fn 613 thereto)</w:t>
      </w:r>
    </w:p>
  </w:footnote>
  <w:footnote w:id="45">
    <w:p w14:paraId="1BBC0AD4" w14:textId="37AF300F" w:rsidR="00F73DD3" w:rsidRPr="00244CCE" w:rsidRDefault="00F73DD3" w:rsidP="00DA0AF4">
      <w:pPr>
        <w:pStyle w:val="FootnoteText"/>
      </w:pPr>
      <w:r w:rsidRPr="00F97844">
        <w:rPr>
          <w:rStyle w:val="FootnoteReference"/>
        </w:rPr>
        <w:footnoteRef/>
      </w:r>
      <w:r w:rsidRPr="00F97844">
        <w:t xml:space="preserve"> Panel Report, para. </w:t>
      </w:r>
      <w:r w:rsidRPr="00244CCE">
        <w:t>7.328 (quoting Stainless Pressure Pipe from India 2016, Final Calculation Memo (Panel Exhibit CAN</w:t>
      </w:r>
      <w:r w:rsidRPr="00244CCE">
        <w:noBreakHyphen/>
        <w:t>148), fn 3). The Panel also found that Canada had not established that the Trade Preferences Extension Act evidenced the likelihood of continued application of the alleged OFA</w:t>
      </w:r>
      <w:r w:rsidRPr="00244CCE">
        <w:noBreakHyphen/>
        <w:t>AFA measure. (Panel Report, paras. 7.330</w:t>
      </w:r>
      <w:r w:rsidRPr="00244CCE">
        <w:noBreakHyphen/>
        <w:t>7.331)</w:t>
      </w:r>
    </w:p>
  </w:footnote>
  <w:footnote w:id="46">
    <w:p w14:paraId="17F81E04" w14:textId="560CE124" w:rsidR="00F73DD3" w:rsidRPr="00244CCE" w:rsidRDefault="00F73DD3" w:rsidP="00DA0AF4">
      <w:pPr>
        <w:pStyle w:val="FootnoteText"/>
      </w:pPr>
      <w:r w:rsidRPr="00F97844">
        <w:rPr>
          <w:rStyle w:val="FootnoteReference"/>
        </w:rPr>
        <w:footnoteRef/>
      </w:r>
      <w:r w:rsidRPr="00F97844">
        <w:t xml:space="preserve"> Panel Report, para. </w:t>
      </w:r>
      <w:r w:rsidRPr="00244CCE">
        <w:t>7.332.</w:t>
      </w:r>
    </w:p>
  </w:footnote>
  <w:footnote w:id="47">
    <w:p w14:paraId="24A43F5E" w14:textId="7F5D2F10" w:rsidR="00F73DD3" w:rsidRPr="00F97844" w:rsidRDefault="00F73DD3" w:rsidP="00DA0AF4">
      <w:pPr>
        <w:pStyle w:val="FootnoteText"/>
      </w:pPr>
      <w:r w:rsidRPr="00F97844">
        <w:rPr>
          <w:rStyle w:val="FootnoteReference"/>
        </w:rPr>
        <w:footnoteRef/>
      </w:r>
      <w:r w:rsidRPr="00F97844">
        <w:t xml:space="preserve"> Canada's appellee's submission, paras. 34</w:t>
      </w:r>
      <w:r w:rsidRPr="00F97844">
        <w:noBreakHyphen/>
        <w:t>41.</w:t>
      </w:r>
    </w:p>
  </w:footnote>
  <w:footnote w:id="48">
    <w:p w14:paraId="4C1FD0AA" w14:textId="66FEDD2B" w:rsidR="00F73DD3" w:rsidRPr="00F97844" w:rsidRDefault="00F73DD3" w:rsidP="00DA0AF4">
      <w:pPr>
        <w:pStyle w:val="FootnoteText"/>
      </w:pPr>
      <w:r w:rsidRPr="00F97844">
        <w:rPr>
          <w:rStyle w:val="FootnoteReference"/>
        </w:rPr>
        <w:footnoteRef/>
      </w:r>
      <w:r w:rsidRPr="00F97844">
        <w:t xml:space="preserve"> Canada's appellee's submission, paras. 34 and 39. </w:t>
      </w:r>
    </w:p>
  </w:footnote>
  <w:footnote w:id="49">
    <w:p w14:paraId="7B94E996" w14:textId="4726080E" w:rsidR="00F73DD3" w:rsidRPr="00244CCE" w:rsidRDefault="00F73DD3" w:rsidP="00DA0AF4">
      <w:pPr>
        <w:pStyle w:val="FootnoteText"/>
      </w:pPr>
      <w:r w:rsidRPr="00F97844">
        <w:rPr>
          <w:rStyle w:val="FootnoteReference"/>
        </w:rPr>
        <w:footnoteRef/>
      </w:r>
      <w:r w:rsidRPr="00F97844">
        <w:t xml:space="preserve"> Canada's appellee's submission, paras. 38</w:t>
      </w:r>
      <w:r w:rsidRPr="00F97844">
        <w:noBreakHyphen/>
      </w:r>
      <w:r w:rsidRPr="00244CCE">
        <w:t xml:space="preserve">40. Canada relies on Appellate Body Report, </w:t>
      </w:r>
      <w:r w:rsidRPr="00244CCE">
        <w:rPr>
          <w:i/>
        </w:rPr>
        <w:t xml:space="preserve">US – Zeroing (Japan) </w:t>
      </w:r>
      <w:r w:rsidRPr="00244CCE">
        <w:t>as</w:t>
      </w:r>
      <w:r w:rsidRPr="00244CCE">
        <w:rPr>
          <w:i/>
        </w:rPr>
        <w:t xml:space="preserve"> </w:t>
      </w:r>
      <w:r w:rsidRPr="00244CCE">
        <w:t xml:space="preserve">confirming that the existence of a measure is a factual determination. (Ibid., para. 41 (referring to Appellate Body Report, </w:t>
      </w:r>
      <w:r w:rsidRPr="00244CCE">
        <w:rPr>
          <w:i/>
        </w:rPr>
        <w:t>US – Zeroing (Japan)</w:t>
      </w:r>
      <w:r w:rsidRPr="00244CCE">
        <w:t>, paras. 82 and 88)) Canada considers that the United States' arguments do not concern legal interpretation, evidenced by the fact that the United States does not cite treaty provisions in its arguments. (Ibid., para. 40)</w:t>
      </w:r>
    </w:p>
  </w:footnote>
  <w:footnote w:id="50">
    <w:p w14:paraId="1AD22BE9" w14:textId="7C519745" w:rsidR="00F73DD3" w:rsidRPr="00244CCE" w:rsidRDefault="00F73DD3" w:rsidP="00DA0AF4">
      <w:pPr>
        <w:pStyle w:val="FootnoteText"/>
      </w:pPr>
      <w:r w:rsidRPr="00F97844">
        <w:rPr>
          <w:rStyle w:val="FootnoteReference"/>
        </w:rPr>
        <w:footnoteRef/>
      </w:r>
      <w:r w:rsidRPr="00F97844">
        <w:t xml:space="preserve"> Canada's appellee's submission, paras. 38</w:t>
      </w:r>
      <w:r w:rsidRPr="00F97844">
        <w:noBreakHyphen/>
        <w:t>39</w:t>
      </w:r>
      <w:r w:rsidRPr="00244CCE">
        <w:t xml:space="preserve">. </w:t>
      </w:r>
    </w:p>
  </w:footnote>
  <w:footnote w:id="51">
    <w:p w14:paraId="0BEB4C69" w14:textId="6AE0F491" w:rsidR="00F73DD3" w:rsidRPr="00244CCE" w:rsidRDefault="00F73DD3" w:rsidP="00DA0AF4">
      <w:pPr>
        <w:pStyle w:val="FootnoteText"/>
      </w:pPr>
      <w:r w:rsidRPr="00F97844">
        <w:rPr>
          <w:rStyle w:val="FootnoteReference"/>
        </w:rPr>
        <w:footnoteRef/>
      </w:r>
      <w:r w:rsidRPr="00F97844">
        <w:t xml:space="preserve"> United States' appellant's submission, paras. 6</w:t>
      </w:r>
      <w:r w:rsidRPr="00244CCE">
        <w:noBreakHyphen/>
        <w:t>32; opening statement at the oral hearing, para. 16; response to questioning at the oral hearing.</w:t>
      </w:r>
    </w:p>
  </w:footnote>
  <w:footnote w:id="52">
    <w:p w14:paraId="5CDF058D" w14:textId="4C0F06E9" w:rsidR="00F73DD3" w:rsidRPr="0011007F" w:rsidRDefault="00F73DD3" w:rsidP="00DA0AF4">
      <w:pPr>
        <w:pStyle w:val="FootnoteText"/>
      </w:pPr>
      <w:r w:rsidRPr="00F97844">
        <w:rPr>
          <w:rStyle w:val="FootnoteReference"/>
        </w:rPr>
        <w:footnoteRef/>
      </w:r>
      <w:r w:rsidRPr="00F97844">
        <w:t xml:space="preserve"> Appellate Body Report, </w:t>
      </w:r>
      <w:r w:rsidRPr="00F97844">
        <w:rPr>
          <w:i/>
        </w:rPr>
        <w:t>EC – Hormones</w:t>
      </w:r>
      <w:r w:rsidRPr="00244CCE">
        <w:t xml:space="preserve">, para. 132. Whether a panel has made an objective assessment of the facts before it, as required by Article 11 of the DSU, is a legal question which, if properly raised on appeal, would fall within the scope of appellate review. </w:t>
      </w:r>
      <w:r w:rsidRPr="0011007F">
        <w:t>(Ibid.)</w:t>
      </w:r>
    </w:p>
  </w:footnote>
  <w:footnote w:id="53">
    <w:p w14:paraId="72E4CEE8" w14:textId="40AE4371" w:rsidR="00F73DD3" w:rsidRPr="00244CCE" w:rsidRDefault="00F73DD3" w:rsidP="00DA0AF4">
      <w:pPr>
        <w:pStyle w:val="FootnoteText"/>
      </w:pPr>
      <w:r w:rsidRPr="00F97844">
        <w:rPr>
          <w:rStyle w:val="FootnoteReference"/>
        </w:rPr>
        <w:footnoteRef/>
      </w:r>
      <w:r w:rsidRPr="0011007F">
        <w:t xml:space="preserve"> Appellate Body Reports, </w:t>
      </w:r>
      <w:r w:rsidRPr="0011007F">
        <w:rPr>
          <w:i/>
        </w:rPr>
        <w:t>EC – Hormones</w:t>
      </w:r>
      <w:r w:rsidRPr="0011007F">
        <w:t>, para. 132</w:t>
      </w:r>
      <w:r w:rsidRPr="00244CCE">
        <w:t xml:space="preserve">. </w:t>
      </w:r>
    </w:p>
  </w:footnote>
  <w:footnote w:id="54">
    <w:p w14:paraId="4EE28E92" w14:textId="785E0DB7" w:rsidR="00F73DD3" w:rsidRPr="00244CCE" w:rsidRDefault="00F73DD3" w:rsidP="00DA0AF4">
      <w:pPr>
        <w:pStyle w:val="FootnoteText"/>
      </w:pPr>
      <w:r w:rsidRPr="00F97844">
        <w:rPr>
          <w:rStyle w:val="FootnoteReference"/>
        </w:rPr>
        <w:footnoteRef/>
      </w:r>
      <w:r w:rsidRPr="00F97844">
        <w:t xml:space="preserve"> United States' </w:t>
      </w:r>
      <w:r w:rsidRPr="00244CCE">
        <w:t>appellant's submission, paras. 6</w:t>
      </w:r>
      <w:r w:rsidRPr="00244CCE">
        <w:noBreakHyphen/>
        <w:t>15.</w:t>
      </w:r>
    </w:p>
  </w:footnote>
  <w:footnote w:id="55">
    <w:p w14:paraId="217AD81D" w14:textId="14E37138" w:rsidR="00F73DD3" w:rsidRPr="00244CCE" w:rsidRDefault="00F73DD3">
      <w:pPr>
        <w:pStyle w:val="FootnoteText"/>
      </w:pPr>
      <w:r w:rsidRPr="00F97844">
        <w:rPr>
          <w:rStyle w:val="FootnoteReference"/>
        </w:rPr>
        <w:footnoteRef/>
      </w:r>
      <w:r w:rsidRPr="00F97844">
        <w:t xml:space="preserve"> Specifically, the United States argues on appeal that the variations in the examples relied on by the Panel as evidence precluded the Panel from identifying the precise content of the alleged OFA</w:t>
      </w:r>
      <w:r w:rsidRPr="00244CCE">
        <w:noBreakHyphen/>
        <w:t>AFA</w:t>
      </w:r>
      <w:r>
        <w:t> </w:t>
      </w:r>
      <w:r w:rsidRPr="00244CCE">
        <w:t>measure, any instance of non</w:t>
      </w:r>
      <w:r w:rsidRPr="00244CCE">
        <w:noBreakHyphen/>
        <w:t>application is sufficient to preclude a finding of repeated application, the Panel erred in characterizing certain examples as repeated applications, and likelihood of continued application requires an adopted decision regarding future conduct. (United States' appellant's submission, paras. 20</w:t>
      </w:r>
      <w:r w:rsidRPr="00244CCE">
        <w:noBreakHyphen/>
        <w:t>31)</w:t>
      </w:r>
    </w:p>
  </w:footnote>
  <w:footnote w:id="56">
    <w:p w14:paraId="42959F9E" w14:textId="349BC742" w:rsidR="00F73DD3" w:rsidRPr="00244CCE" w:rsidRDefault="00F73DD3" w:rsidP="00DA0AF4">
      <w:pPr>
        <w:pStyle w:val="FootnoteText"/>
      </w:pPr>
      <w:r w:rsidRPr="00F97844">
        <w:rPr>
          <w:rStyle w:val="FootnoteReference"/>
        </w:rPr>
        <w:footnoteRef/>
      </w:r>
      <w:r w:rsidRPr="00F97844">
        <w:t xml:space="preserve"> We note that the United States has not made any claim of error under Article 11 of the DSU. Our analysis is limited to the Panel's understanding of the legal standard for "ongoing conduct" measures and the application of that standard to the facts in this appeal as found by the Panel.</w:t>
      </w:r>
    </w:p>
  </w:footnote>
  <w:footnote w:id="57">
    <w:p w14:paraId="01194FC9" w14:textId="7BB245B6" w:rsidR="00F73DD3" w:rsidRPr="00244CCE" w:rsidRDefault="00F73DD3" w:rsidP="00DA0AF4">
      <w:pPr>
        <w:pStyle w:val="FootnoteText"/>
      </w:pPr>
      <w:r w:rsidRPr="00F97844">
        <w:rPr>
          <w:rStyle w:val="FootnoteReference"/>
        </w:rPr>
        <w:footnoteRef/>
      </w:r>
      <w:r w:rsidRPr="00F97844">
        <w:t xml:space="preserve"> United States' appellant's submission, paras. </w:t>
      </w:r>
      <w:r w:rsidRPr="00244CCE">
        <w:t>1, 3, and 6</w:t>
      </w:r>
      <w:r w:rsidRPr="00244CCE">
        <w:noBreakHyphen/>
        <w:t xml:space="preserve">32. </w:t>
      </w:r>
    </w:p>
  </w:footnote>
  <w:footnote w:id="58">
    <w:p w14:paraId="43168E43" w14:textId="27A651F4" w:rsidR="00F73DD3" w:rsidRPr="00244CCE" w:rsidRDefault="00F73DD3" w:rsidP="00DA0AF4">
      <w:pPr>
        <w:pStyle w:val="FootnoteText"/>
      </w:pPr>
      <w:r w:rsidRPr="00F97844">
        <w:rPr>
          <w:rStyle w:val="FootnoteReference"/>
        </w:rPr>
        <w:footnoteRef/>
      </w:r>
      <w:r w:rsidRPr="00F97844">
        <w:t xml:space="preserve"> United States' appellant's submission, paras. 20</w:t>
      </w:r>
      <w:r w:rsidRPr="00F97844">
        <w:noBreakHyphen/>
      </w:r>
      <w:r w:rsidRPr="00244CCE">
        <w:t>31.</w:t>
      </w:r>
    </w:p>
  </w:footnote>
  <w:footnote w:id="59">
    <w:p w14:paraId="535C7BAE" w14:textId="4B412EE6" w:rsidR="00F73DD3" w:rsidRPr="00244CCE" w:rsidRDefault="00F73DD3" w:rsidP="00DA0AF4">
      <w:pPr>
        <w:pStyle w:val="FootnoteText"/>
      </w:pPr>
      <w:r w:rsidRPr="00F97844">
        <w:rPr>
          <w:rStyle w:val="FootnoteReference"/>
        </w:rPr>
        <w:footnoteRef/>
      </w:r>
      <w:r w:rsidRPr="00F97844">
        <w:t xml:space="preserve"> Canada's appellee's submission, paras. 17</w:t>
      </w:r>
      <w:r w:rsidRPr="00F97844">
        <w:noBreakHyphen/>
      </w:r>
      <w:r w:rsidRPr="00244CCE">
        <w:t>20 and 26 (referring to Panel Report, paras. 7.302</w:t>
      </w:r>
      <w:r w:rsidRPr="00244CCE">
        <w:noBreakHyphen/>
        <w:t xml:space="preserve">7.304; Appellate Body Reports, </w:t>
      </w:r>
      <w:r w:rsidRPr="00244CCE">
        <w:rPr>
          <w:i/>
        </w:rPr>
        <w:t>Argentina – Import Measures</w:t>
      </w:r>
      <w:r w:rsidRPr="00244CCE">
        <w:t xml:space="preserve">, paras. 5.108 and 5.110; </w:t>
      </w:r>
      <w:r w:rsidRPr="00244CCE">
        <w:rPr>
          <w:i/>
        </w:rPr>
        <w:t>US – Continued Zeroing</w:t>
      </w:r>
      <w:r w:rsidRPr="00244CCE">
        <w:t xml:space="preserve">, para. 191). </w:t>
      </w:r>
    </w:p>
  </w:footnote>
  <w:footnote w:id="60">
    <w:p w14:paraId="1E019143" w14:textId="1532B4ED" w:rsidR="00F73DD3" w:rsidRPr="00244CCE" w:rsidRDefault="00F73DD3" w:rsidP="00DA0AF4">
      <w:pPr>
        <w:pStyle w:val="FootnoteText"/>
      </w:pPr>
      <w:r w:rsidRPr="00F97844">
        <w:rPr>
          <w:rStyle w:val="FootnoteReference"/>
        </w:rPr>
        <w:footnoteRef/>
      </w:r>
      <w:r w:rsidRPr="00F97844">
        <w:t xml:space="preserve"> Canada's appellee's submission, para. 30. Canada states it was not limited to submitting the same type of evidence as the European</w:t>
      </w:r>
      <w:r w:rsidRPr="00244CCE">
        <w:t xml:space="preserve"> Communities in </w:t>
      </w:r>
      <w:r w:rsidRPr="00244CCE">
        <w:rPr>
          <w:i/>
        </w:rPr>
        <w:t>US – Continued Zeroing</w:t>
      </w:r>
      <w:r w:rsidRPr="00244CCE">
        <w:t xml:space="preserve">. (Ibid. (referring to Appellate Body Reports, </w:t>
      </w:r>
      <w:r w:rsidRPr="00244CCE">
        <w:rPr>
          <w:i/>
        </w:rPr>
        <w:t>Argentina – Import Measures</w:t>
      </w:r>
      <w:r w:rsidRPr="00244CCE">
        <w:t>, para. 5.110))</w:t>
      </w:r>
    </w:p>
  </w:footnote>
  <w:footnote w:id="61">
    <w:p w14:paraId="3D2E8305" w14:textId="3344DB68" w:rsidR="00F73DD3" w:rsidRPr="00244CCE" w:rsidRDefault="00F73DD3" w:rsidP="00DA0AF4">
      <w:pPr>
        <w:pStyle w:val="FootnoteText"/>
      </w:pPr>
      <w:r w:rsidRPr="00F97844">
        <w:rPr>
          <w:rStyle w:val="FootnoteReference"/>
        </w:rPr>
        <w:footnoteRef/>
      </w:r>
      <w:r w:rsidRPr="00F97844">
        <w:t xml:space="preserve"> Canada's appellee's submission, paras. 33, 44</w:t>
      </w:r>
      <w:r w:rsidRPr="00F97844">
        <w:noBreakHyphen/>
      </w:r>
      <w:r w:rsidRPr="00244CCE">
        <w:t>48, and 50</w:t>
      </w:r>
      <w:r w:rsidRPr="00244CCE">
        <w:noBreakHyphen/>
        <w:t>60.</w:t>
      </w:r>
    </w:p>
  </w:footnote>
  <w:footnote w:id="62">
    <w:p w14:paraId="3C651BD3" w14:textId="1EB10C7E" w:rsidR="00F73DD3" w:rsidRPr="00244CCE" w:rsidRDefault="00F73DD3" w:rsidP="00DA0AF4">
      <w:pPr>
        <w:pStyle w:val="FootnoteText"/>
      </w:pPr>
      <w:r w:rsidRPr="00F97844">
        <w:rPr>
          <w:rStyle w:val="FootnoteReference"/>
        </w:rPr>
        <w:footnoteRef/>
      </w:r>
      <w:r w:rsidRPr="00F97844">
        <w:t xml:space="preserve"> Article 3.3 of the DSU refers to benefits accruing to a Member </w:t>
      </w:r>
      <w:r w:rsidRPr="00244CCE">
        <w:t xml:space="preserve">that are being "impaired by measures taken by another Member". Further, Article 6.2 of the DSU requires Members to "identify the specific measures at issue" in a panel request. This is one of two requirements under Article 6.2, which together comprise the "matter referred to the DSB". This matter then forms the basis for a panel's terms of reference under Article 7.1 of the DSU. (Appellate Body Report, </w:t>
      </w:r>
      <w:r w:rsidRPr="00244CCE">
        <w:rPr>
          <w:i/>
        </w:rPr>
        <w:t>US – Carbon Steel</w:t>
      </w:r>
      <w:r w:rsidRPr="00244CCE">
        <w:t xml:space="preserve">, para. 125 (referring to Appellate Body Report, </w:t>
      </w:r>
      <w:r w:rsidRPr="00244CCE">
        <w:rPr>
          <w:i/>
        </w:rPr>
        <w:t>Guatemala – Cement I</w:t>
      </w:r>
      <w:r w:rsidRPr="00244CCE">
        <w:t>, paras. 69</w:t>
      </w:r>
      <w:r w:rsidRPr="00244CCE">
        <w:noBreakHyphen/>
        <w:t>76))</w:t>
      </w:r>
    </w:p>
  </w:footnote>
  <w:footnote w:id="63">
    <w:p w14:paraId="0DE952A9" w14:textId="69580CBD" w:rsidR="00F73DD3" w:rsidRPr="00244CCE" w:rsidRDefault="00F73DD3" w:rsidP="00DA0AF4">
      <w:pPr>
        <w:pStyle w:val="FootnoteText"/>
      </w:pPr>
      <w:r w:rsidRPr="00F97844">
        <w:rPr>
          <w:rStyle w:val="FootnoteReference"/>
        </w:rPr>
        <w:footnoteRef/>
      </w:r>
      <w:r w:rsidRPr="00F97844">
        <w:t xml:space="preserve"> Appellate Body Reports</w:t>
      </w:r>
      <w:r w:rsidRPr="00244CCE">
        <w:t xml:space="preserve">, </w:t>
      </w:r>
      <w:r w:rsidRPr="00244CCE">
        <w:rPr>
          <w:i/>
        </w:rPr>
        <w:t>US – Anti</w:t>
      </w:r>
      <w:r w:rsidRPr="00244CCE">
        <w:rPr>
          <w:i/>
        </w:rPr>
        <w:noBreakHyphen/>
        <w:t>Dumping Methodologies (China)</w:t>
      </w:r>
      <w:r w:rsidRPr="00244CCE">
        <w:t xml:space="preserve">, para. 5.122; </w:t>
      </w:r>
      <w:r w:rsidRPr="00244CCE">
        <w:rPr>
          <w:i/>
        </w:rPr>
        <w:t>US – Corrosion</w:t>
      </w:r>
      <w:r w:rsidRPr="00244CCE">
        <w:rPr>
          <w:i/>
        </w:rPr>
        <w:noBreakHyphen/>
        <w:t>Resistant Steel Sunset Review</w:t>
      </w:r>
      <w:r w:rsidRPr="00244CCE">
        <w:t xml:space="preserve">, para. 81; </w:t>
      </w:r>
      <w:r w:rsidRPr="00244CCE">
        <w:rPr>
          <w:i/>
        </w:rPr>
        <w:t>Argentina – Import Measures</w:t>
      </w:r>
      <w:r w:rsidRPr="00244CCE">
        <w:t>, para. 5.100.</w:t>
      </w:r>
    </w:p>
  </w:footnote>
  <w:footnote w:id="64">
    <w:p w14:paraId="4B14CB2D" w14:textId="5DD5EFCF" w:rsidR="00F73DD3" w:rsidRPr="00244CCE" w:rsidRDefault="00F73DD3" w:rsidP="00DA0AF4">
      <w:pPr>
        <w:pStyle w:val="FootnoteText"/>
      </w:pPr>
      <w:r w:rsidRPr="00F97844">
        <w:rPr>
          <w:rStyle w:val="FootnoteReference"/>
        </w:rPr>
        <w:footnoteRef/>
      </w:r>
      <w:r w:rsidRPr="00F97844">
        <w:t xml:space="preserve"> See Appellate Body Reports, </w:t>
      </w:r>
      <w:r w:rsidRPr="00F97844">
        <w:rPr>
          <w:i/>
        </w:rPr>
        <w:t>US – Anti</w:t>
      </w:r>
      <w:r w:rsidRPr="00244CCE">
        <w:rPr>
          <w:i/>
        </w:rPr>
        <w:noBreakHyphen/>
        <w:t>Dumping Methodologies (China)</w:t>
      </w:r>
      <w:r w:rsidRPr="00244CCE">
        <w:t xml:space="preserve">, para. 5.122; </w:t>
      </w:r>
      <w:r w:rsidRPr="00244CCE">
        <w:br/>
      </w:r>
      <w:r w:rsidRPr="00244CCE">
        <w:rPr>
          <w:i/>
        </w:rPr>
        <w:t>Guatemala – Cement I</w:t>
      </w:r>
      <w:r w:rsidRPr="00244CCE">
        <w:t xml:space="preserve">, fn 47 to para. 69; </w:t>
      </w:r>
      <w:r w:rsidRPr="00244CCE">
        <w:rPr>
          <w:i/>
          <w:iCs/>
          <w:kern w:val="28"/>
        </w:rPr>
        <w:t>EC and certain member States – Large Civil Aircraft</w:t>
      </w:r>
      <w:r w:rsidRPr="00244CCE">
        <w:t xml:space="preserve">, para. 794; </w:t>
      </w:r>
      <w:r w:rsidRPr="00244CCE">
        <w:rPr>
          <w:i/>
        </w:rPr>
        <w:t>Argentina – Import Measures</w:t>
      </w:r>
      <w:r w:rsidRPr="00244CCE">
        <w:t>, paras. 5.106 and 5.109.</w:t>
      </w:r>
    </w:p>
  </w:footnote>
  <w:footnote w:id="65">
    <w:p w14:paraId="77C35682" w14:textId="2F7DBF39" w:rsidR="00F73DD3" w:rsidRPr="00244CCE" w:rsidRDefault="00F73DD3" w:rsidP="00DA0AF4">
      <w:pPr>
        <w:pStyle w:val="FootnoteText"/>
      </w:pPr>
      <w:r w:rsidRPr="00F97844">
        <w:rPr>
          <w:rStyle w:val="FootnoteReference"/>
        </w:rPr>
        <w:footnoteRef/>
      </w:r>
      <w:r w:rsidRPr="00F97844">
        <w:t xml:space="preserve"> We recall that the distinction between "as such" and "as applied" challenges neither governs the definition of a measure for purposes of WTO dispute settlement, nor defines exhaustively the types of measures susceptible to challenge. Rather, this distinction serves as an analytical tool to facilitate the understanding</w:t>
      </w:r>
      <w:r w:rsidRPr="00244CCE">
        <w:t xml:space="preserve"> of the nature of a measure at issue. Measures need not fit squarely within one of these two categories in order to be susceptible to challenge in WTO dispute settlement. (Appellate Body Reports, </w:t>
      </w:r>
      <w:r w:rsidRPr="00244CCE">
        <w:br/>
      </w:r>
      <w:r w:rsidRPr="00244CCE">
        <w:rPr>
          <w:i/>
        </w:rPr>
        <w:t>US – Anti</w:t>
      </w:r>
      <w:r w:rsidRPr="00244CCE">
        <w:rPr>
          <w:i/>
        </w:rPr>
        <w:noBreakHyphen/>
        <w:t>Dumping Methodologies (China)</w:t>
      </w:r>
      <w:r w:rsidRPr="00244CCE">
        <w:t>, paras. 5.124</w:t>
      </w:r>
      <w:r w:rsidRPr="00244CCE">
        <w:noBreakHyphen/>
        <w:t xml:space="preserve">5.125; </w:t>
      </w:r>
      <w:r w:rsidRPr="00244CCE">
        <w:rPr>
          <w:i/>
        </w:rPr>
        <w:t>US – Continued Zeroing</w:t>
      </w:r>
      <w:r w:rsidRPr="00244CCE">
        <w:t xml:space="preserve">, para. 179; </w:t>
      </w:r>
      <w:r w:rsidRPr="00244CCE">
        <w:rPr>
          <w:i/>
        </w:rPr>
        <w:t>Argentina – Import Measures</w:t>
      </w:r>
      <w:r w:rsidRPr="00244CCE">
        <w:t xml:space="preserve">, para. 5.102) See also European Union's third participant's submission, para. 16 (quoting Appellate Body Reports, </w:t>
      </w:r>
      <w:r w:rsidRPr="00244CCE">
        <w:rPr>
          <w:i/>
        </w:rPr>
        <w:t>Argentina – Import Measures</w:t>
      </w:r>
      <w:r w:rsidRPr="00244CCE">
        <w:t>, paras. 5.107</w:t>
      </w:r>
      <w:r w:rsidRPr="00244CCE">
        <w:noBreakHyphen/>
        <w:t>5.108; China's third participant's submission, para. 8.</w:t>
      </w:r>
    </w:p>
  </w:footnote>
  <w:footnote w:id="66">
    <w:p w14:paraId="1BDABF47" w14:textId="1F247F8F" w:rsidR="00F73DD3" w:rsidRPr="00244CCE" w:rsidRDefault="00F73DD3" w:rsidP="00DA0AF4">
      <w:pPr>
        <w:pStyle w:val="FootnoteText"/>
      </w:pPr>
      <w:r w:rsidRPr="00F97844">
        <w:rPr>
          <w:rStyle w:val="FootnoteReference"/>
        </w:rPr>
        <w:footnoteRef/>
      </w:r>
      <w:r w:rsidRPr="00F97844">
        <w:t xml:space="preserve"> Appellate Body Reports, </w:t>
      </w:r>
      <w:r w:rsidRPr="00244CCE">
        <w:rPr>
          <w:i/>
        </w:rPr>
        <w:t>Argentina – Import Measures</w:t>
      </w:r>
      <w:r w:rsidRPr="00244CCE">
        <w:t xml:space="preserve">, paras. 5.104 and 5.108. The Appellate Body has stated that the "specific measure at issue, whether it is written or unwritten, and how it is described, characterized, and challenged by a complainant, will inform the kind of evidence a complainant is required to submit and the elements that it must prove in order to establish the existence of the measure challenged". (Appellate Body Report, </w:t>
      </w:r>
      <w:r w:rsidRPr="00244CCE">
        <w:rPr>
          <w:i/>
        </w:rPr>
        <w:t>US – Anti</w:t>
      </w:r>
      <w:r w:rsidRPr="00244CCE">
        <w:rPr>
          <w:i/>
        </w:rPr>
        <w:noBreakHyphen/>
        <w:t>Dumping Methodologies (China)</w:t>
      </w:r>
      <w:r w:rsidRPr="00244CCE">
        <w:t xml:space="preserve">, para. 5.123 (referring to Appellate Body Reports, </w:t>
      </w:r>
      <w:r w:rsidRPr="00244CCE">
        <w:rPr>
          <w:i/>
        </w:rPr>
        <w:t>Argentina – Import Measures</w:t>
      </w:r>
      <w:r w:rsidRPr="00244CCE">
        <w:t>, paras. 5.108</w:t>
      </w:r>
      <w:r w:rsidRPr="00244CCE">
        <w:noBreakHyphen/>
        <w:t xml:space="preserve">5.110)) See also European Union's third participant's submission, para. 17 (referring to Appellate Body Report, </w:t>
      </w:r>
      <w:r w:rsidRPr="00244CCE">
        <w:rPr>
          <w:i/>
        </w:rPr>
        <w:t>US – Anti</w:t>
      </w:r>
      <w:r w:rsidRPr="00244CCE">
        <w:rPr>
          <w:i/>
        </w:rPr>
        <w:noBreakHyphen/>
        <w:t>Dumping Methodologies (China)</w:t>
      </w:r>
      <w:r w:rsidRPr="00244CCE">
        <w:t>, paras. 5.122</w:t>
      </w:r>
      <w:r w:rsidRPr="00244CCE">
        <w:noBreakHyphen/>
        <w:t xml:space="preserve">5.123); Japan's third participant's submission, para. 4 (referring to Appellate Body Reports, </w:t>
      </w:r>
      <w:r w:rsidRPr="00244CCE">
        <w:rPr>
          <w:i/>
        </w:rPr>
        <w:t>Argentina – Import Measures</w:t>
      </w:r>
      <w:r w:rsidRPr="00244CCE">
        <w:t>, paras. 5.109</w:t>
      </w:r>
      <w:r w:rsidRPr="00244CCE">
        <w:noBreakHyphen/>
        <w:t>5.110).</w:t>
      </w:r>
    </w:p>
  </w:footnote>
  <w:footnote w:id="67">
    <w:p w14:paraId="31E8B89F" w14:textId="1E1B15BB" w:rsidR="00F73DD3" w:rsidRPr="00244CCE" w:rsidRDefault="00F73DD3" w:rsidP="00DA0AF4">
      <w:pPr>
        <w:pStyle w:val="FootnoteText"/>
      </w:pPr>
      <w:r w:rsidRPr="00F97844">
        <w:rPr>
          <w:rStyle w:val="FootnoteReference"/>
        </w:rPr>
        <w:footnoteRef/>
      </w:r>
      <w:r w:rsidRPr="00F97844">
        <w:t xml:space="preserve"> Appellate Body Reports</w:t>
      </w:r>
      <w:r w:rsidRPr="00244CCE">
        <w:t xml:space="preserve">, </w:t>
      </w:r>
      <w:r w:rsidRPr="00244CCE">
        <w:rPr>
          <w:i/>
        </w:rPr>
        <w:t>Argentina – Import Measures</w:t>
      </w:r>
      <w:r w:rsidRPr="00244CCE">
        <w:t>, paras. 5.104</w:t>
      </w:r>
      <w:r w:rsidRPr="00244CCE">
        <w:noBreakHyphen/>
        <w:t>5.105 and 5.107</w:t>
      </w:r>
      <w:r w:rsidRPr="00244CCE">
        <w:noBreakHyphen/>
        <w:t>5.108</w:t>
      </w:r>
      <w:r w:rsidRPr="00244CCE">
        <w:rPr>
          <w:i/>
        </w:rPr>
        <w:t>.</w:t>
      </w:r>
    </w:p>
  </w:footnote>
  <w:footnote w:id="68">
    <w:p w14:paraId="47FF7D95" w14:textId="061DBB7D" w:rsidR="00F73DD3" w:rsidRPr="00244CCE" w:rsidRDefault="00F73DD3" w:rsidP="00DA0AF4">
      <w:pPr>
        <w:pStyle w:val="FootnoteText"/>
      </w:pPr>
      <w:r w:rsidRPr="00F97844">
        <w:rPr>
          <w:rStyle w:val="FootnoteReference"/>
        </w:rPr>
        <w:footnoteRef/>
      </w:r>
      <w:r w:rsidRPr="00F97844">
        <w:t xml:space="preserve"> United States' appellant's submission, paras. </w:t>
      </w:r>
      <w:r w:rsidRPr="00244CCE">
        <w:t>21</w:t>
      </w:r>
      <w:r w:rsidRPr="00244CCE">
        <w:noBreakHyphen/>
        <w:t>22.</w:t>
      </w:r>
    </w:p>
  </w:footnote>
  <w:footnote w:id="69">
    <w:p w14:paraId="2F81A475" w14:textId="1F87DA01" w:rsidR="00F73DD3" w:rsidRPr="00244CCE" w:rsidRDefault="00F73DD3" w:rsidP="00DA0AF4">
      <w:pPr>
        <w:pStyle w:val="FootnoteText"/>
      </w:pPr>
      <w:r w:rsidRPr="00F97844">
        <w:rPr>
          <w:rStyle w:val="FootnoteReference"/>
        </w:rPr>
        <w:footnoteRef/>
      </w:r>
      <w:r w:rsidRPr="00F97844">
        <w:t xml:space="preserve"> United States' appellant's submission, para. </w:t>
      </w:r>
      <w:r w:rsidRPr="00244CCE">
        <w:t xml:space="preserve">22. </w:t>
      </w:r>
    </w:p>
  </w:footnote>
  <w:footnote w:id="70">
    <w:p w14:paraId="1B8EE27D" w14:textId="3DAE4C5A" w:rsidR="00F73DD3" w:rsidRPr="00244CCE" w:rsidRDefault="00F73DD3" w:rsidP="00DA0AF4">
      <w:pPr>
        <w:pStyle w:val="FootnoteText"/>
      </w:pPr>
      <w:r w:rsidRPr="00F97844">
        <w:rPr>
          <w:rStyle w:val="FootnoteReference"/>
        </w:rPr>
        <w:footnoteRef/>
      </w:r>
      <w:r w:rsidRPr="00F97844">
        <w:t xml:space="preserve"> United States' appellant's submission, para. </w:t>
      </w:r>
      <w:r w:rsidRPr="00244CCE">
        <w:t>22. The United States specifically refers to the CVD proceedings listed in tables 1 and 2 of the Panel Report. (See Panel Report, paras. 7.309 and 7.313)</w:t>
      </w:r>
    </w:p>
  </w:footnote>
  <w:footnote w:id="71">
    <w:p w14:paraId="5393A1E9" w14:textId="51B3598C" w:rsidR="00F73DD3" w:rsidRPr="00244CCE" w:rsidRDefault="00F73DD3" w:rsidP="00DA0AF4">
      <w:pPr>
        <w:pStyle w:val="FootnoteText"/>
      </w:pPr>
      <w:r w:rsidRPr="00F97844">
        <w:rPr>
          <w:rStyle w:val="FootnoteReference"/>
        </w:rPr>
        <w:footnoteRef/>
      </w:r>
      <w:r w:rsidRPr="00F97844">
        <w:t xml:space="preserve"> Canada's appellee's submission, para. 45 (referring to Panel Report</w:t>
      </w:r>
      <w:r w:rsidRPr="00244CCE">
        <w:t>, para. 7.316). See also Canada's appellee's submission, paras. 32</w:t>
      </w:r>
      <w:r w:rsidRPr="00244CCE">
        <w:noBreakHyphen/>
        <w:t xml:space="preserve">33. </w:t>
      </w:r>
    </w:p>
  </w:footnote>
  <w:footnote w:id="72">
    <w:p w14:paraId="61B752F1" w14:textId="2E0D10B1" w:rsidR="00F73DD3" w:rsidRPr="00244CCE" w:rsidRDefault="00F73DD3" w:rsidP="00DA0AF4">
      <w:pPr>
        <w:pStyle w:val="FootnoteText"/>
      </w:pPr>
      <w:r w:rsidRPr="00F97844">
        <w:rPr>
          <w:rStyle w:val="FootnoteReference"/>
        </w:rPr>
        <w:footnoteRef/>
      </w:r>
      <w:r w:rsidRPr="00F97844">
        <w:t xml:space="preserve"> Canada's appellee's</w:t>
      </w:r>
      <w:r w:rsidRPr="00244CCE">
        <w:t xml:space="preserve"> submission, para. 50 (referring to Panel Report, para. 7.317, in turn referring to USDOC NAFTA Brief (Panel Exhibit CAN</w:t>
      </w:r>
      <w:r w:rsidRPr="00244CCE">
        <w:noBreakHyphen/>
        <w:t xml:space="preserve">76), p. 149). </w:t>
      </w:r>
    </w:p>
  </w:footnote>
  <w:footnote w:id="73">
    <w:p w14:paraId="50F5C596" w14:textId="6862DE05" w:rsidR="00F73DD3" w:rsidRPr="00244CCE" w:rsidRDefault="00F73DD3" w:rsidP="00DA0AF4">
      <w:pPr>
        <w:pStyle w:val="FootnoteText"/>
      </w:pPr>
      <w:r w:rsidRPr="00F97844">
        <w:rPr>
          <w:rStyle w:val="FootnoteReference"/>
        </w:rPr>
        <w:footnoteRef/>
      </w:r>
      <w:r w:rsidRPr="00F97844">
        <w:t xml:space="preserve"> Panel Report, para</w:t>
      </w:r>
      <w:r w:rsidRPr="00244CCE">
        <w:t>. 7.309, table 1; and para. 7.313, table 2.</w:t>
      </w:r>
    </w:p>
  </w:footnote>
  <w:footnote w:id="74">
    <w:p w14:paraId="7FA9E3C1" w14:textId="0725DC85" w:rsidR="00F73DD3" w:rsidRPr="00244CCE" w:rsidRDefault="00F73DD3" w:rsidP="00DA0AF4">
      <w:pPr>
        <w:pStyle w:val="FootnoteText"/>
      </w:pPr>
      <w:r w:rsidRPr="00F97844">
        <w:rPr>
          <w:rStyle w:val="FootnoteReference"/>
        </w:rPr>
        <w:footnoteRef/>
      </w:r>
      <w:r w:rsidRPr="00F97844">
        <w:t xml:space="preserve"> Panel Report, para. </w:t>
      </w:r>
      <w:r w:rsidRPr="00244CCE">
        <w:t xml:space="preserve">7.316. </w:t>
      </w:r>
    </w:p>
  </w:footnote>
  <w:footnote w:id="75">
    <w:p w14:paraId="33936245" w14:textId="100ECCDE" w:rsidR="00F73DD3" w:rsidRPr="00244CCE" w:rsidRDefault="00F73DD3" w:rsidP="00DA0AF4">
      <w:pPr>
        <w:pStyle w:val="FootnoteText"/>
      </w:pPr>
      <w:r w:rsidRPr="00F97844">
        <w:rPr>
          <w:rStyle w:val="FootnoteReference"/>
        </w:rPr>
        <w:footnoteRef/>
      </w:r>
      <w:r w:rsidRPr="00F97844">
        <w:t xml:space="preserve"> Panel Report, para.</w:t>
      </w:r>
      <w:r w:rsidRPr="00244CCE">
        <w:t> 7.316. The Panel noted that this description of the alleged OFA</w:t>
      </w:r>
      <w:r w:rsidRPr="00244CCE">
        <w:noBreakHyphen/>
        <w:t>AFA measure appears to be in line with the USDOC's statements in a NAFTA Chapter 19 proceeding. (Ibid., para. 7.317 (quoting USDOC NAFTA Brief (Panel Exhibit CAN</w:t>
      </w:r>
      <w:r w:rsidRPr="00244CCE">
        <w:noBreakHyphen/>
        <w:t>76), pp. 147</w:t>
      </w:r>
      <w:r w:rsidRPr="00244CCE">
        <w:noBreakHyphen/>
        <w:t>149))</w:t>
      </w:r>
    </w:p>
  </w:footnote>
  <w:footnote w:id="76">
    <w:p w14:paraId="382DADFC" w14:textId="0B190D46" w:rsidR="00F73DD3" w:rsidRPr="00244CCE" w:rsidRDefault="00F73DD3" w:rsidP="00DA0AF4">
      <w:pPr>
        <w:pStyle w:val="FootnoteText"/>
      </w:pPr>
      <w:r w:rsidRPr="00F97844">
        <w:rPr>
          <w:rStyle w:val="FootnoteReference"/>
        </w:rPr>
        <w:footnoteRef/>
      </w:r>
      <w:r w:rsidRPr="00F97844">
        <w:t xml:space="preserve"> In t</w:t>
      </w:r>
      <w:r w:rsidRPr="00244CCE">
        <w:t xml:space="preserve">able 1 of the Panel Report, the Panel reproduced the OFA question from questionnaires in </w:t>
      </w:r>
      <w:r w:rsidRPr="00244CCE">
        <w:rPr>
          <w:iCs/>
        </w:rPr>
        <w:t>Solar Cells from China 2012</w:t>
      </w:r>
      <w:r w:rsidRPr="00244CCE">
        <w:t xml:space="preserve">, </w:t>
      </w:r>
      <w:r w:rsidRPr="00244CCE">
        <w:rPr>
          <w:iCs/>
        </w:rPr>
        <w:t>Shrimp from China 2013</w:t>
      </w:r>
      <w:r w:rsidRPr="00244CCE">
        <w:t>,</w:t>
      </w:r>
      <w:r w:rsidRPr="00244CCE">
        <w:rPr>
          <w:iCs/>
        </w:rPr>
        <w:t xml:space="preserve"> Solar Cells from China 2014</w:t>
      </w:r>
      <w:r w:rsidRPr="00244CCE">
        <w:t>,</w:t>
      </w:r>
      <w:r w:rsidRPr="00244CCE">
        <w:rPr>
          <w:iCs/>
        </w:rPr>
        <w:t xml:space="preserve"> Solar Cells from China 2015</w:t>
      </w:r>
      <w:r w:rsidRPr="00244CCE">
        <w:t>,</w:t>
      </w:r>
      <w:r w:rsidRPr="00244CCE">
        <w:rPr>
          <w:iCs/>
        </w:rPr>
        <w:t xml:space="preserve"> Supercalendered Paper from Canada 2015</w:t>
      </w:r>
      <w:r w:rsidRPr="00244CCE">
        <w:t xml:space="preserve">, </w:t>
      </w:r>
      <w:r w:rsidRPr="00244CCE">
        <w:rPr>
          <w:iCs/>
        </w:rPr>
        <w:t>PET Resin from China 2016, and Stainless Pressure Pipe from India 2016</w:t>
      </w:r>
      <w:r w:rsidRPr="00244CCE">
        <w:t>. (Panel Report, para. 7.309)</w:t>
      </w:r>
    </w:p>
  </w:footnote>
  <w:footnote w:id="77">
    <w:p w14:paraId="4B7869DF" w14:textId="0E6F110A" w:rsidR="00F73DD3" w:rsidRPr="00244CCE" w:rsidRDefault="00F73DD3" w:rsidP="00DA0AF4">
      <w:pPr>
        <w:pStyle w:val="FootnoteText"/>
      </w:pPr>
      <w:r w:rsidRPr="00F97844">
        <w:rPr>
          <w:rStyle w:val="FootnoteReference"/>
        </w:rPr>
        <w:footnoteRef/>
      </w:r>
      <w:r w:rsidRPr="00F97844">
        <w:t xml:space="preserve"> Panel Report</w:t>
      </w:r>
      <w:r w:rsidRPr="00244CCE">
        <w:t>, para. 7.316.</w:t>
      </w:r>
    </w:p>
  </w:footnote>
  <w:footnote w:id="78">
    <w:p w14:paraId="65827B3B" w14:textId="692F36AD" w:rsidR="00F73DD3" w:rsidRPr="00244CCE" w:rsidRDefault="00F73DD3" w:rsidP="00DA0AF4">
      <w:pPr>
        <w:pStyle w:val="FootnoteText"/>
      </w:pPr>
      <w:r w:rsidRPr="00F97844">
        <w:rPr>
          <w:rStyle w:val="FootnoteReference"/>
        </w:rPr>
        <w:footnoteRef/>
      </w:r>
      <w:r w:rsidRPr="00F97844">
        <w:t xml:space="preserve"> Panel Report</w:t>
      </w:r>
      <w:r w:rsidRPr="00244CCE">
        <w:t xml:space="preserve">, para. 7.311 (quoting </w:t>
      </w:r>
      <w:r w:rsidRPr="00244CCE">
        <w:rPr>
          <w:iCs/>
        </w:rPr>
        <w:t>Supercalendered Paper from Canada 2015</w:t>
      </w:r>
      <w:r w:rsidRPr="00244CCE">
        <w:t xml:space="preserve">, </w:t>
      </w:r>
      <w:r w:rsidRPr="00244CCE">
        <w:rPr>
          <w:szCs w:val="16"/>
        </w:rPr>
        <w:t>I&amp;D Memo</w:t>
      </w:r>
      <w:r w:rsidRPr="00244CCE">
        <w:t xml:space="preserve"> (Panel Exhibit CAN</w:t>
      </w:r>
      <w:r w:rsidRPr="00244CCE">
        <w:noBreakHyphen/>
        <w:t>37), p. 12).</w:t>
      </w:r>
    </w:p>
  </w:footnote>
  <w:footnote w:id="79">
    <w:p w14:paraId="59BE83DD" w14:textId="5B1EEA81" w:rsidR="00F73DD3" w:rsidRPr="00244CCE" w:rsidRDefault="00F73DD3" w:rsidP="00DA0AF4">
      <w:pPr>
        <w:pStyle w:val="FootnoteText"/>
      </w:pPr>
      <w:r w:rsidRPr="00F97844">
        <w:rPr>
          <w:rStyle w:val="FootnoteReference"/>
        </w:rPr>
        <w:footnoteRef/>
      </w:r>
      <w:r w:rsidRPr="00F97844">
        <w:t xml:space="preserve"> In particular, the Panel considered the following information. For </w:t>
      </w:r>
      <w:r w:rsidRPr="00244CCE">
        <w:rPr>
          <w:iCs/>
        </w:rPr>
        <w:t>Solar Cells from China 2012</w:t>
      </w:r>
      <w:r w:rsidRPr="00244CCE">
        <w:t xml:space="preserve">, the USDOC discovered, during verification, an unreported entry labelled "bonus for employees from government" and determined as AFA that it was a countervailable subsidy. For </w:t>
      </w:r>
      <w:r w:rsidRPr="00244CCE">
        <w:rPr>
          <w:iCs/>
        </w:rPr>
        <w:t>Solar Cells from China 2014</w:t>
      </w:r>
      <w:r w:rsidRPr="00244CCE">
        <w:t xml:space="preserve">, the USDOC discovered, during verification, unreported grants and a tax deduction for "wages paid for placement of disabled persons", and determined as AFA that they amounted to countervailable subsidies. The USDOC explained that, while it would accept information on names, dates, and amounts for the unreported grants, any additional information on the grants would be rejected as "new factual information". Similarly, for </w:t>
      </w:r>
      <w:r w:rsidRPr="00244CCE">
        <w:rPr>
          <w:iCs/>
        </w:rPr>
        <w:t>Shrimp from China 2013</w:t>
      </w:r>
      <w:r w:rsidRPr="00244CCE">
        <w:t xml:space="preserve">, </w:t>
      </w:r>
      <w:r w:rsidRPr="00244CCE">
        <w:rPr>
          <w:iCs/>
        </w:rPr>
        <w:t xml:space="preserve">Solar Cells from China 2015, and Supercalendered Paper from Canada 2015, </w:t>
      </w:r>
      <w:r w:rsidRPr="00244CCE">
        <w:t xml:space="preserve">the USDOC discovered certain unreported grants or information during verification, and determined as AFA that they were countervailable subsidies. For </w:t>
      </w:r>
      <w:r w:rsidRPr="00244CCE">
        <w:rPr>
          <w:iCs/>
        </w:rPr>
        <w:t>PET Resin from China 2016</w:t>
      </w:r>
      <w:r w:rsidRPr="00244CCE">
        <w:t xml:space="preserve">, the Panel referred to certain previously unreported grants presented by the respondent companies on the first day of verification as "minor corrections". The USDOC rejected that some of these grants were minor corrections, because whether a programme was used or not by a company is not "minor", and on that basis determined as AFA that those grants were countervailable subsidies. For </w:t>
      </w:r>
      <w:r w:rsidRPr="00244CCE">
        <w:rPr>
          <w:iCs/>
        </w:rPr>
        <w:t>Stainless Pressure Pipe from India 2016</w:t>
      </w:r>
      <w:r w:rsidRPr="00244CCE">
        <w:t>, the USDOC discovered, during verification, an unreported electricity duty rebate, and determined as AFA that it was a countervailable subsidy. While the USDOC considered new information discovered at verification in assessing benefit, the USDOC noted that this was an "inadvertent error", inconsistent with its practice of refusing to consider new information at verification. (Panel Report, para. 7.313, table 2)</w:t>
      </w:r>
    </w:p>
  </w:footnote>
  <w:footnote w:id="80">
    <w:p w14:paraId="7CD591AB" w14:textId="104B48C6" w:rsidR="00F73DD3" w:rsidRPr="00244CCE" w:rsidRDefault="00F73DD3" w:rsidP="00DA0AF4">
      <w:pPr>
        <w:pStyle w:val="FootnoteText"/>
      </w:pPr>
      <w:r w:rsidRPr="00F97844">
        <w:rPr>
          <w:rStyle w:val="FootnoteReference"/>
        </w:rPr>
        <w:footnoteRef/>
      </w:r>
      <w:r w:rsidRPr="00F97844">
        <w:t xml:space="preserve"> Panel Report</w:t>
      </w:r>
      <w:r w:rsidRPr="00244CCE">
        <w:t xml:space="preserve">, para. 7.316. </w:t>
      </w:r>
    </w:p>
  </w:footnote>
  <w:footnote w:id="81">
    <w:p w14:paraId="28424BE7" w14:textId="19E8EF4F"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paras. 21</w:t>
      </w:r>
      <w:r w:rsidRPr="00244CCE">
        <w:noBreakHyphen/>
        <w:t>22.</w:t>
      </w:r>
    </w:p>
  </w:footnote>
  <w:footnote w:id="82">
    <w:p w14:paraId="12669D49" w14:textId="31AEBA62" w:rsidR="00F73DD3" w:rsidRPr="00244CCE" w:rsidRDefault="00F73DD3" w:rsidP="00DA0AF4">
      <w:pPr>
        <w:pStyle w:val="FootnoteText"/>
      </w:pPr>
      <w:r w:rsidRPr="00F97844">
        <w:rPr>
          <w:rStyle w:val="FootnoteReference"/>
        </w:rPr>
        <w:footnoteRef/>
      </w:r>
      <w:r w:rsidRPr="00F97844">
        <w:t xml:space="preserve"> Panel Report</w:t>
      </w:r>
      <w:r w:rsidRPr="00244CCE">
        <w:t>, para. 7.316. The Panel noted that "variations in the wording of the questions appear to mainly be due to the circumstances of any given investigation (interested parties, dates etc.)[,] while the object of the question remains in essence the same", and that, similarly, "the substance of the USDOC's reactions remains the same." (Ibid.)</w:t>
      </w:r>
    </w:p>
  </w:footnote>
  <w:footnote w:id="83">
    <w:p w14:paraId="05ACAE20" w14:textId="6CC2EE78" w:rsidR="00F73DD3" w:rsidRPr="00F97844" w:rsidRDefault="00F73DD3" w:rsidP="00DA0AF4">
      <w:pPr>
        <w:pStyle w:val="FootnoteText"/>
      </w:pPr>
      <w:r w:rsidRPr="00F97844">
        <w:rPr>
          <w:rStyle w:val="FootnoteReference"/>
        </w:rPr>
        <w:footnoteRef/>
      </w:r>
      <w:r w:rsidRPr="00F97844">
        <w:t xml:space="preserve"> Panel Report, para. 7.316. For specific examples, see </w:t>
      </w:r>
      <w:r w:rsidRPr="00244CCE">
        <w:rPr>
          <w:i/>
          <w:iCs/>
        </w:rPr>
        <w:t>supra</w:t>
      </w:r>
      <w:r w:rsidRPr="00244CCE">
        <w:t xml:space="preserve"> fn </w:t>
      </w:r>
      <w:r w:rsidRPr="00F97844">
        <w:fldChar w:fldCharType="begin"/>
      </w:r>
      <w:r w:rsidRPr="00244CCE">
        <w:instrText xml:space="preserve"> NOTEREF _Ref25348698 \h  \* MERGEFORMAT </w:instrText>
      </w:r>
      <w:r w:rsidRPr="00F97844">
        <w:fldChar w:fldCharType="separate"/>
      </w:r>
      <w:r w:rsidR="00C41941">
        <w:t>78</w:t>
      </w:r>
      <w:r w:rsidRPr="00F97844">
        <w:fldChar w:fldCharType="end"/>
      </w:r>
      <w:r w:rsidRPr="00F97844">
        <w:t>.</w:t>
      </w:r>
    </w:p>
  </w:footnote>
  <w:footnote w:id="84">
    <w:p w14:paraId="4CA0A25E" w14:textId="468BE62D" w:rsidR="00F73DD3" w:rsidRPr="00244CCE" w:rsidRDefault="00F73DD3" w:rsidP="00DA0AF4">
      <w:pPr>
        <w:pStyle w:val="FootnoteText"/>
      </w:pPr>
      <w:r w:rsidRPr="00F97844">
        <w:rPr>
          <w:rStyle w:val="FootnoteReference"/>
        </w:rPr>
        <w:footnoteRef/>
      </w:r>
      <w:r w:rsidRPr="00F97844">
        <w:t xml:space="preserve"> Canada's appellee's submission, para.</w:t>
      </w:r>
      <w:r w:rsidRPr="00244CCE">
        <w:t> 48.</w:t>
      </w:r>
    </w:p>
  </w:footnote>
  <w:footnote w:id="85">
    <w:p w14:paraId="4981D873" w14:textId="6B6C5F27" w:rsidR="00F73DD3" w:rsidRPr="00244CCE" w:rsidRDefault="00F73DD3" w:rsidP="00DA0AF4">
      <w:pPr>
        <w:pStyle w:val="FootnoteText"/>
      </w:pPr>
      <w:r w:rsidRPr="00F97844">
        <w:rPr>
          <w:rStyle w:val="FootnoteReference"/>
        </w:rPr>
        <w:footnoteRef/>
      </w:r>
      <w:r w:rsidRPr="00F97844">
        <w:t xml:space="preserve"> Panel Report</w:t>
      </w:r>
      <w:r w:rsidRPr="00244CCE">
        <w:t>, para. 7.316. The Panel also referred to the USDOC's description of the alleged OFA</w:t>
      </w:r>
      <w:r w:rsidRPr="00244CCE">
        <w:noBreakHyphen/>
        <w:t>AFA measure in the USDOC NAFTA Brief referred to in footnote </w:t>
      </w:r>
      <w:r w:rsidRPr="00F97844">
        <w:fldChar w:fldCharType="begin"/>
      </w:r>
      <w:r w:rsidRPr="00244CCE">
        <w:instrText xml:space="preserve"> NOTEREF _Ref26559499 \h  \* MERGEFORMAT </w:instrText>
      </w:r>
      <w:r w:rsidRPr="00F97844">
        <w:fldChar w:fldCharType="separate"/>
      </w:r>
      <w:r w:rsidR="00C41941">
        <w:t>35</w:t>
      </w:r>
      <w:r w:rsidRPr="00F97844">
        <w:fldChar w:fldCharType="end"/>
      </w:r>
      <w:r w:rsidRPr="00F97844">
        <w:t xml:space="preserve"> above: "[The USDOC's] </w:t>
      </w:r>
      <w:r w:rsidRPr="00244CCE">
        <w:t>finding that the complainants' failure to report these subsidies earlier in the proceeding warranted the use of adverse inferences was reasonable … as was [the USDOC's] resulting adverse inference that each discovered subsidy provided a financial contribution, conferred a benefit, and was specific – the elements of a countervailable subsidy[.] … [The USDOC] determined, in 2012, that the proper course of action when an unreported potential subsidy is discovered at verification is to rely on adverse inferences in making findings on that potential subsidy." (Ibid., para. 7.317 (quoting USDOC NAFTA Brief (Panel Exhibit CAN</w:t>
      </w:r>
      <w:r w:rsidRPr="00244CCE">
        <w:noBreakHyphen/>
        <w:t>76), pp. 147</w:t>
      </w:r>
      <w:r w:rsidRPr="00244CCE">
        <w:noBreakHyphen/>
        <w:t>149)) The Panel noted that this description appears to be in line with Canada's description of the precise content of the alleged OFA</w:t>
      </w:r>
      <w:r w:rsidRPr="00244CCE">
        <w:noBreakHyphen/>
        <w:t>AFA measure. (Ibid.)</w:t>
      </w:r>
    </w:p>
  </w:footnote>
  <w:footnote w:id="86">
    <w:p w14:paraId="155987A0" w14:textId="12391D24"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 25.</w:t>
      </w:r>
    </w:p>
  </w:footnote>
  <w:footnote w:id="87">
    <w:p w14:paraId="26B4C26B" w14:textId="097D8ED2"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paras. 25</w:t>
      </w:r>
      <w:r w:rsidRPr="00244CCE">
        <w:noBreakHyphen/>
        <w:t>30 (referring to Shrimp from China 2013, Supercalendered Paper from Canada 2015, PET Resin from China 2016, and Stainless Pressure Pipe from India 2016).</w:t>
      </w:r>
    </w:p>
  </w:footnote>
  <w:footnote w:id="88">
    <w:p w14:paraId="6964F566" w14:textId="65330FE1" w:rsidR="00F73DD3" w:rsidRPr="00F97844" w:rsidRDefault="00F73DD3">
      <w:pPr>
        <w:pStyle w:val="FootnoteText"/>
      </w:pPr>
      <w:r w:rsidRPr="00F97844">
        <w:rPr>
          <w:rStyle w:val="FootnoteReference"/>
        </w:rPr>
        <w:footnoteRef/>
      </w:r>
      <w:r w:rsidRPr="00F97844">
        <w:t xml:space="preserve"> United States' appellant's submission, para. 24. </w:t>
      </w:r>
    </w:p>
  </w:footnote>
  <w:footnote w:id="89">
    <w:p w14:paraId="7F934CAC" w14:textId="3215CB28" w:rsidR="00F73DD3" w:rsidRPr="00244CCE" w:rsidRDefault="00F73DD3" w:rsidP="00DA0AF4">
      <w:pPr>
        <w:pStyle w:val="FootnoteText"/>
      </w:pPr>
      <w:r w:rsidRPr="00F97844">
        <w:rPr>
          <w:rStyle w:val="FootnoteReference"/>
        </w:rPr>
        <w:footnoteRef/>
      </w:r>
      <w:r w:rsidRPr="00F97844">
        <w:t xml:space="preserve"> United States</w:t>
      </w:r>
      <w:r w:rsidRPr="00244CCE">
        <w:t xml:space="preserve">' appellant's submission, para. 19 and 24 (referring to Appellate Body Report, </w:t>
      </w:r>
      <w:r w:rsidRPr="00244CCE">
        <w:rPr>
          <w:i/>
        </w:rPr>
        <w:t>US – Continued Zeroing</w:t>
      </w:r>
      <w:r w:rsidRPr="00244CCE">
        <w:t>, paras. 181, 191, and 194).</w:t>
      </w:r>
    </w:p>
  </w:footnote>
  <w:footnote w:id="90">
    <w:p w14:paraId="50F15F77" w14:textId="49E62616"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paras. 19, 23</w:t>
      </w:r>
      <w:r w:rsidRPr="00244CCE">
        <w:noBreakHyphen/>
        <w:t>25, and 29</w:t>
      </w:r>
      <w:r w:rsidRPr="00244CCE">
        <w:noBreakHyphen/>
        <w:t xml:space="preserve">30. </w:t>
      </w:r>
    </w:p>
  </w:footnote>
  <w:footnote w:id="91">
    <w:p w14:paraId="56E8312B" w14:textId="6E01AFB7" w:rsidR="00F73DD3" w:rsidRPr="00244CCE" w:rsidRDefault="00F73DD3" w:rsidP="00DA0AF4">
      <w:pPr>
        <w:pStyle w:val="FootnoteText"/>
      </w:pPr>
      <w:r w:rsidRPr="00F97844">
        <w:rPr>
          <w:rStyle w:val="FootnoteReference"/>
        </w:rPr>
        <w:footnoteRef/>
      </w:r>
      <w:r w:rsidRPr="00F97844">
        <w:t xml:space="preserve"> Canada's appellee's submission, paras. 28</w:t>
      </w:r>
      <w:r w:rsidRPr="00244CCE">
        <w:noBreakHyphen/>
        <w:t>30 and 56</w:t>
      </w:r>
      <w:r w:rsidRPr="00244CCE">
        <w:noBreakHyphen/>
        <w:t xml:space="preserve">57. See also Japan's third participant's submission, paras. 5 and 8. </w:t>
      </w:r>
    </w:p>
  </w:footnote>
  <w:footnote w:id="92">
    <w:p w14:paraId="24B32FC4" w14:textId="091F8EC2" w:rsidR="00F73DD3" w:rsidRPr="00244CCE" w:rsidRDefault="00F73DD3" w:rsidP="00DA0AF4">
      <w:pPr>
        <w:pStyle w:val="FootnoteText"/>
      </w:pPr>
      <w:r w:rsidRPr="00F97844">
        <w:rPr>
          <w:rStyle w:val="FootnoteReference"/>
        </w:rPr>
        <w:footnoteRef/>
      </w:r>
      <w:r w:rsidRPr="00F97844">
        <w:t xml:space="preserve"> Panel Report</w:t>
      </w:r>
      <w:r w:rsidRPr="00244CCE">
        <w:t>, paras. 7.320</w:t>
      </w:r>
      <w:r w:rsidRPr="00244CCE">
        <w:noBreakHyphen/>
        <w:t>7.321 (tables 3 and 4).</w:t>
      </w:r>
    </w:p>
  </w:footnote>
  <w:footnote w:id="93">
    <w:p w14:paraId="093C3053" w14:textId="1AB4580F" w:rsidR="00F73DD3" w:rsidRPr="00244CCE" w:rsidRDefault="00F73DD3" w:rsidP="00DA0AF4">
      <w:pPr>
        <w:pStyle w:val="FootnoteText"/>
      </w:pPr>
      <w:r w:rsidRPr="00F97844">
        <w:rPr>
          <w:rStyle w:val="FootnoteReference"/>
        </w:rPr>
        <w:footnoteRef/>
      </w:r>
      <w:r w:rsidRPr="00F97844">
        <w:t xml:space="preserve"> Panel Report</w:t>
      </w:r>
      <w:r w:rsidRPr="00244CCE">
        <w:t xml:space="preserve">, para. 7.324. The Panel referred to nine determinations, which we understand to include the eight examples in tables 3 and 4 (concerning repeated application), as well as </w:t>
      </w:r>
      <w:r w:rsidRPr="00244CCE">
        <w:rPr>
          <w:iCs/>
        </w:rPr>
        <w:t>Solar Cells from China 2012</w:t>
      </w:r>
      <w:r w:rsidRPr="00244CCE">
        <w:t>, referenced in tables 1 and 2 (concerning precise content).</w:t>
      </w:r>
    </w:p>
  </w:footnote>
  <w:footnote w:id="94">
    <w:p w14:paraId="65168384" w14:textId="0C322574" w:rsidR="00F73DD3" w:rsidRPr="00244CCE" w:rsidRDefault="00F73DD3" w:rsidP="00DA0AF4">
      <w:pPr>
        <w:pStyle w:val="FootnoteText"/>
      </w:pPr>
      <w:r w:rsidRPr="00F97844">
        <w:rPr>
          <w:rStyle w:val="FootnoteReference"/>
        </w:rPr>
        <w:footnoteRef/>
      </w:r>
      <w:r w:rsidRPr="00F97844">
        <w:t xml:space="preserve"> Appellate Body Report, </w:t>
      </w:r>
      <w:r w:rsidRPr="00F97844">
        <w:rPr>
          <w:i/>
        </w:rPr>
        <w:t>US – Continued Zeroing</w:t>
      </w:r>
      <w:r w:rsidRPr="00244CCE">
        <w:t xml:space="preserve">, para. 181. </w:t>
      </w:r>
    </w:p>
  </w:footnote>
  <w:footnote w:id="95">
    <w:p w14:paraId="2BC054F7" w14:textId="5A948354" w:rsidR="00F73DD3" w:rsidRPr="00244CCE" w:rsidRDefault="00F73DD3" w:rsidP="00DA0AF4">
      <w:pPr>
        <w:pStyle w:val="FootnoteText"/>
      </w:pPr>
      <w:r w:rsidRPr="00F97844">
        <w:rPr>
          <w:rStyle w:val="FootnoteReference"/>
        </w:rPr>
        <w:footnoteRef/>
      </w:r>
      <w:r w:rsidRPr="00F97844">
        <w:t xml:space="preserve"> Appellate Body</w:t>
      </w:r>
      <w:r w:rsidRPr="00244CCE">
        <w:t xml:space="preserve"> Report, </w:t>
      </w:r>
      <w:r w:rsidRPr="00244CCE">
        <w:rPr>
          <w:i/>
        </w:rPr>
        <w:t>US – Continued Zeroing</w:t>
      </w:r>
      <w:r w:rsidRPr="00244CCE">
        <w:t>, para. 183.</w:t>
      </w:r>
    </w:p>
  </w:footnote>
  <w:footnote w:id="96">
    <w:p w14:paraId="0C8864CB" w14:textId="7E66CDB6" w:rsidR="00F73DD3" w:rsidRPr="00244CCE" w:rsidRDefault="00F73DD3" w:rsidP="00DA0AF4">
      <w:pPr>
        <w:pStyle w:val="FootnoteText"/>
      </w:pPr>
      <w:r w:rsidRPr="00F97844">
        <w:rPr>
          <w:rStyle w:val="FootnoteReference"/>
        </w:rPr>
        <w:footnoteRef/>
      </w:r>
      <w:r w:rsidRPr="00F97844">
        <w:t xml:space="preserve"> Appellate Body</w:t>
      </w:r>
      <w:r w:rsidRPr="00244CCE">
        <w:t xml:space="preserve"> Report, </w:t>
      </w:r>
      <w:r w:rsidRPr="00244CCE">
        <w:rPr>
          <w:i/>
        </w:rPr>
        <w:t>US – Continued Zeroing</w:t>
      </w:r>
      <w:r w:rsidRPr="00244CCE">
        <w:t xml:space="preserve">, paras. 191-197. </w:t>
      </w:r>
    </w:p>
  </w:footnote>
  <w:footnote w:id="97">
    <w:p w14:paraId="08B3BBCF" w14:textId="01F2A42A" w:rsidR="00F73DD3" w:rsidRPr="00244CCE" w:rsidRDefault="00F73DD3" w:rsidP="00DA0AF4">
      <w:pPr>
        <w:pStyle w:val="FootnoteText"/>
      </w:pPr>
      <w:r w:rsidRPr="00F97844">
        <w:rPr>
          <w:rStyle w:val="FootnoteReference"/>
        </w:rPr>
        <w:footnoteRef/>
      </w:r>
      <w:r w:rsidRPr="00F97844">
        <w:t xml:space="preserve"> Appellate Body Report, </w:t>
      </w:r>
      <w:r w:rsidRPr="00244CCE">
        <w:rPr>
          <w:i/>
        </w:rPr>
        <w:t>US – Continued Zeroing</w:t>
      </w:r>
      <w:r w:rsidRPr="00244CCE">
        <w:t xml:space="preserve">, para. 191. Similarly, in </w:t>
      </w:r>
      <w:r w:rsidRPr="00244CCE">
        <w:rPr>
          <w:i/>
          <w:iCs/>
        </w:rPr>
        <w:t>US – Orange Juice (Brazil)</w:t>
      </w:r>
      <w:r w:rsidRPr="00244CCE">
        <w:t>, the panel looked for evidence of zeroing in "successive proceedings". In that dispute, Brazil had claimed that the USDOC's continued use of zeroing in "successive anti</w:t>
      </w:r>
      <w:r w:rsidRPr="00244CCE">
        <w:noBreakHyphen/>
        <w:t>dumping proceedings under the Orange Juice Order, including the original investigation and any subsequent administrative reviews by which duties are applied and maintained over a period of time" amounted to "ongoing conduct" that was inconsistent with certain provisions of the Anti</w:t>
      </w:r>
      <w:r w:rsidRPr="00244CCE">
        <w:noBreakHyphen/>
        <w:t xml:space="preserve">Dumping Agreement. (Panel Report, </w:t>
      </w:r>
      <w:r w:rsidRPr="00244CCE">
        <w:rPr>
          <w:i/>
          <w:iCs/>
        </w:rPr>
        <w:t>US – Orange Juice (Brazil)</w:t>
      </w:r>
      <w:r w:rsidRPr="00244CCE">
        <w:t>, paras. 7.163</w:t>
      </w:r>
      <w:r w:rsidRPr="00244CCE">
        <w:noBreakHyphen/>
        <w:t>7.164) That panel understood Brazil to be challenging the continued use of the zeroing methodology under the orange juice anti</w:t>
      </w:r>
      <w:r w:rsidRPr="00244CCE">
        <w:noBreakHyphen/>
        <w:t>dumping duty order, in the limited context of the orange juice proceedings. Having reviewed Brazil's evidence, the panel concluded that the USDOC had used zeroing in the original investigation and three administrative reviews under the orange juice anti</w:t>
      </w:r>
      <w:r w:rsidRPr="00244CCE">
        <w:noBreakHyphen/>
        <w:t xml:space="preserve">dumping order. In our view, the panel's approach was based on the manner in which Brazil had characterized the challenged measure in that dispute. (Panel Report, </w:t>
      </w:r>
      <w:r w:rsidRPr="00244CCE">
        <w:rPr>
          <w:i/>
          <w:iCs/>
        </w:rPr>
        <w:t>US – Orange Juice (Brazil)</w:t>
      </w:r>
      <w:r w:rsidRPr="00244CCE">
        <w:t>, paras. 7.184 and 7.191)</w:t>
      </w:r>
    </w:p>
  </w:footnote>
  <w:footnote w:id="98">
    <w:p w14:paraId="7238AC2B" w14:textId="2DE1BD5E" w:rsidR="00F73DD3" w:rsidRPr="00244CCE" w:rsidRDefault="00F73DD3" w:rsidP="00DA0AF4">
      <w:pPr>
        <w:pStyle w:val="FootnoteText"/>
      </w:pPr>
      <w:r w:rsidRPr="00F97844">
        <w:rPr>
          <w:rStyle w:val="FootnoteReference"/>
        </w:rPr>
        <w:footnoteRef/>
      </w:r>
      <w:r w:rsidRPr="00F97844">
        <w:t xml:space="preserve"> Panel Report</w:t>
      </w:r>
      <w:r w:rsidRPr="00244CCE">
        <w:t>, paras. 7.308 and 7.316.</w:t>
      </w:r>
    </w:p>
  </w:footnote>
  <w:footnote w:id="99">
    <w:p w14:paraId="0331E1C4" w14:textId="1F994F57" w:rsidR="00F73DD3" w:rsidRPr="00244CCE" w:rsidRDefault="00F73DD3" w:rsidP="00DA0AF4">
      <w:pPr>
        <w:pStyle w:val="FootnoteText"/>
      </w:pPr>
      <w:r w:rsidRPr="00F97844">
        <w:rPr>
          <w:rStyle w:val="FootnoteReference"/>
        </w:rPr>
        <w:footnoteRef/>
      </w:r>
      <w:r w:rsidRPr="00F97844">
        <w:t xml:space="preserve"> Panel Report</w:t>
      </w:r>
      <w:r w:rsidRPr="00244CCE">
        <w:t xml:space="preserve">, para. 7.319; Canada's appellee's submission, para. 33; second written submission to the Panel, para. 167. </w:t>
      </w:r>
    </w:p>
  </w:footnote>
  <w:footnote w:id="100">
    <w:p w14:paraId="2BAEBE4C" w14:textId="4C581B2C"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 30.</w:t>
      </w:r>
    </w:p>
  </w:footnote>
  <w:footnote w:id="101">
    <w:p w14:paraId="69C735E3" w14:textId="5B433C1E"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paras. 26</w:t>
      </w:r>
      <w:r w:rsidRPr="00244CCE">
        <w:noBreakHyphen/>
        <w:t>28.</w:t>
      </w:r>
    </w:p>
  </w:footnote>
  <w:footnote w:id="102">
    <w:p w14:paraId="1A6B32DD" w14:textId="123A7CBB" w:rsidR="00F73DD3" w:rsidRPr="00244CCE" w:rsidRDefault="00F73DD3" w:rsidP="00DA0AF4">
      <w:pPr>
        <w:pStyle w:val="FootnoteText"/>
      </w:pPr>
      <w:r w:rsidRPr="00F97844">
        <w:rPr>
          <w:rStyle w:val="FootnoteReference"/>
        </w:rPr>
        <w:footnoteRef/>
      </w:r>
      <w:r w:rsidRPr="0011007F">
        <w:t xml:space="preserve"> Canada's appellee's submission, paras. </w:t>
      </w:r>
      <w:r w:rsidRPr="00F97844">
        <w:t>52</w:t>
      </w:r>
      <w:r w:rsidRPr="00F97844">
        <w:noBreakHyphen/>
        <w:t>53</w:t>
      </w:r>
      <w:r w:rsidRPr="00244CCE">
        <w:t xml:space="preserve">. </w:t>
      </w:r>
    </w:p>
  </w:footnote>
  <w:footnote w:id="103">
    <w:p w14:paraId="1D8B0342" w14:textId="332CFC87" w:rsidR="00F73DD3" w:rsidRPr="00244CCE" w:rsidRDefault="00F73DD3" w:rsidP="00DA0AF4">
      <w:pPr>
        <w:pStyle w:val="FootnoteText"/>
      </w:pPr>
      <w:bookmarkStart w:id="78" w:name="_Hlk30412415"/>
      <w:r w:rsidRPr="00F97844">
        <w:rPr>
          <w:rStyle w:val="FootnoteReference"/>
        </w:rPr>
        <w:footnoteRef/>
      </w:r>
      <w:r w:rsidRPr="00F97844">
        <w:t xml:space="preserve"> Canada's appellee's submission, paras. </w:t>
      </w:r>
      <w:r w:rsidRPr="00244CCE">
        <w:t>33 and 53</w:t>
      </w:r>
      <w:r w:rsidRPr="00244CCE">
        <w:noBreakHyphen/>
        <w:t xml:space="preserve">55 (referring to </w:t>
      </w:r>
      <w:r w:rsidRPr="00244CCE">
        <w:rPr>
          <w:szCs w:val="16"/>
        </w:rPr>
        <w:t>USDOC, Memorandum dated 27 August 2015 for the Verification of the Questionnaire Responses of Resolute FP Canada Inc. in the Countervailing Duty Investigation of Supercalendered Paper from Canada</w:t>
      </w:r>
      <w:r w:rsidRPr="00244CCE">
        <w:t xml:space="preserve"> (</w:t>
      </w:r>
      <w:r w:rsidRPr="00244CCE">
        <w:rPr>
          <w:szCs w:val="16"/>
        </w:rPr>
        <w:t>Supercalendered Paper from Canada 2015, Verification Report (Resolute) (Panel Exhibit CAN</w:t>
      </w:r>
      <w:r w:rsidRPr="00244CCE">
        <w:rPr>
          <w:szCs w:val="16"/>
        </w:rPr>
        <w:noBreakHyphen/>
        <w:t>47 (BCI))</w:t>
      </w:r>
      <w:r w:rsidRPr="00244CCE">
        <w:t xml:space="preserve">, p. 8; </w:t>
      </w:r>
      <w:r w:rsidRPr="00244CCE">
        <w:rPr>
          <w:szCs w:val="16"/>
        </w:rPr>
        <w:t xml:space="preserve">USDOC, Issues and Decision Memorandum for the Final Determination in the Countervailing Duty Investigation of Certain Frozen Warmwater Shrimp from the People's Republic of China (12 August 2013) (Shrimp from China 2013, I&amp;D Memo) (Panel </w:t>
      </w:r>
      <w:r w:rsidRPr="00244CCE">
        <w:t>Exhibit CAN</w:t>
      </w:r>
      <w:r w:rsidRPr="00244CCE">
        <w:noBreakHyphen/>
        <w:t>118), pp. 15</w:t>
      </w:r>
      <w:r w:rsidRPr="00244CCE">
        <w:noBreakHyphen/>
        <w:t>16 and 76</w:t>
      </w:r>
      <w:r w:rsidRPr="00244CCE">
        <w:noBreakHyphen/>
        <w:t xml:space="preserve">78; </w:t>
      </w:r>
      <w:r w:rsidRPr="00244CCE">
        <w:rPr>
          <w:szCs w:val="16"/>
        </w:rPr>
        <w:t xml:space="preserve">USDOC, Issues and Decision Memorandum for the Final Determination in the </w:t>
      </w:r>
      <w:r w:rsidRPr="00244CCE">
        <w:rPr>
          <w:rFonts w:cstheme="minorBidi"/>
          <w:szCs w:val="16"/>
        </w:rPr>
        <w:t xml:space="preserve">Countervailing Duty Investigation of Certain Polyethylene </w:t>
      </w:r>
      <w:r w:rsidRPr="00244CCE">
        <w:rPr>
          <w:rFonts w:eastAsiaTheme="minorHAnsi" w:cstheme="minorBidi"/>
          <w:szCs w:val="16"/>
        </w:rPr>
        <w:t>Terephthalate Resin from the People's Republic of China (4 March 2016)</w:t>
      </w:r>
      <w:r w:rsidRPr="00244CCE">
        <w:t xml:space="preserve"> (</w:t>
      </w:r>
      <w:r w:rsidRPr="00244CCE">
        <w:rPr>
          <w:szCs w:val="16"/>
        </w:rPr>
        <w:t>PET Resin from China 2016, I&amp;D Memo</w:t>
      </w:r>
      <w:r w:rsidRPr="00244CCE">
        <w:t>) (Panel Exhibit CAN</w:t>
      </w:r>
      <w:r w:rsidRPr="00244CCE">
        <w:noBreakHyphen/>
        <w:t>125), pp. 19 and 52</w:t>
      </w:r>
      <w:r w:rsidRPr="00244CCE">
        <w:noBreakHyphen/>
        <w:t xml:space="preserve">53; </w:t>
      </w:r>
      <w:r w:rsidRPr="00244CCE">
        <w:rPr>
          <w:szCs w:val="16"/>
        </w:rPr>
        <w:t>USDOC, Verification of Zhanjiang Guolian Aquatic Products Co., Ltd., Zhanjiang Guolian Feed Co., Ltd., Zhanjiang Guolian Aquatic Fry Technology Co., Ltd., and Zhanjiang Guotong Aquatic Co., Ltd. in Countervailing Duty Investigation: Certain Warmwater Shrimp from the People's Republic of China (1 July 2013)</w:t>
      </w:r>
      <w:r w:rsidRPr="00244CCE">
        <w:t xml:space="preserve"> (Panel Exhibit CAN</w:t>
      </w:r>
      <w:r w:rsidRPr="00244CCE">
        <w:noBreakHyphen/>
        <w:t>215), pp. 1</w:t>
      </w:r>
      <w:r w:rsidRPr="00244CCE">
        <w:noBreakHyphen/>
        <w:t xml:space="preserve">2; </w:t>
      </w:r>
      <w:r w:rsidRPr="00244CCE">
        <w:rPr>
          <w:szCs w:val="16"/>
        </w:rPr>
        <w:t>USDOC, Countervailing Duty Investigation of Polyethylene Terephthalate Resin from the People's Republic of China: Verification Report of Dragon Special Resin Co., Ltd., Xiang Lu Petrochemicals Co., Ltd., Xianglu Petrochemicals Co., Ltd., and Xiamen Xianglu Chemical Fiber Company Limited (19 January 2016)</w:t>
      </w:r>
      <w:r w:rsidRPr="00244CCE">
        <w:t xml:space="preserve"> (</w:t>
      </w:r>
      <w:r w:rsidRPr="00244CCE">
        <w:rPr>
          <w:szCs w:val="16"/>
        </w:rPr>
        <w:t>PET Resin from China 2016, Verification Report (Dragon)</w:t>
      </w:r>
      <w:r w:rsidRPr="00244CCE">
        <w:t>) (Panel Exhibit CAN</w:t>
      </w:r>
      <w:r w:rsidRPr="00244CCE">
        <w:noBreakHyphen/>
        <w:t xml:space="preserve">210), p. 2)). </w:t>
      </w:r>
    </w:p>
    <w:bookmarkEnd w:id="78"/>
  </w:footnote>
  <w:footnote w:id="104">
    <w:p w14:paraId="7908AC93" w14:textId="5FE09857" w:rsidR="00F73DD3" w:rsidRPr="00244CCE" w:rsidRDefault="00F73DD3" w:rsidP="00DA0AF4">
      <w:pPr>
        <w:pStyle w:val="FootnoteText"/>
      </w:pPr>
      <w:r w:rsidRPr="00F97844">
        <w:rPr>
          <w:rStyle w:val="FootnoteReference"/>
        </w:rPr>
        <w:footnoteRef/>
      </w:r>
      <w:r w:rsidRPr="00F97844">
        <w:t xml:space="preserve"> Panel Report</w:t>
      </w:r>
      <w:r w:rsidRPr="00244CCE">
        <w:t>, para. 7.325 (referring to Stainless Pressure Pipe from India 2016, Final Calculation Memo (Panel Exhibit CAN</w:t>
      </w:r>
      <w:r w:rsidRPr="00244CCE">
        <w:noBreakHyphen/>
        <w:t>148), fn 3); Canada's appellee's submission, paras. 52 and 55.</w:t>
      </w:r>
    </w:p>
  </w:footnote>
  <w:footnote w:id="105">
    <w:p w14:paraId="5CD18D0B" w14:textId="36B82CA0" w:rsidR="00F73DD3" w:rsidRPr="00244CCE" w:rsidRDefault="00F73DD3" w:rsidP="00DA0AF4">
      <w:pPr>
        <w:pStyle w:val="FootnoteText"/>
      </w:pPr>
      <w:r w:rsidRPr="00F97844">
        <w:rPr>
          <w:rStyle w:val="FootnoteReference"/>
        </w:rPr>
        <w:footnoteRef/>
      </w:r>
      <w:r w:rsidRPr="00F97844">
        <w:t xml:space="preserve"> Panel Report</w:t>
      </w:r>
      <w:r w:rsidRPr="00244CCE">
        <w:t>, para. 7.326.</w:t>
      </w:r>
    </w:p>
  </w:footnote>
  <w:footnote w:id="106">
    <w:p w14:paraId="6E1CD2C2" w14:textId="3A255586"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 26.</w:t>
      </w:r>
    </w:p>
  </w:footnote>
  <w:footnote w:id="107">
    <w:p w14:paraId="62CE4EAA" w14:textId="0FD856B8" w:rsidR="00F73DD3" w:rsidRPr="00244CCE" w:rsidRDefault="00F73DD3" w:rsidP="00DA0AF4">
      <w:pPr>
        <w:pStyle w:val="FootnoteText"/>
      </w:pPr>
      <w:r w:rsidRPr="00F97844">
        <w:rPr>
          <w:rStyle w:val="FootnoteReference"/>
        </w:rPr>
        <w:footnoteRef/>
      </w:r>
      <w:r w:rsidRPr="00F97844">
        <w:t xml:space="preserve"> Supercalendered Paper from Canada 2015, Verif</w:t>
      </w:r>
      <w:r w:rsidRPr="00244CCE">
        <w:t>ication Report (Resolute) (Panel Exhibit CAN</w:t>
      </w:r>
      <w:r w:rsidRPr="00244CCE">
        <w:noBreakHyphen/>
        <w:t>47 (BCI)), p. 8.</w:t>
      </w:r>
    </w:p>
  </w:footnote>
  <w:footnote w:id="108">
    <w:p w14:paraId="1FACC912" w14:textId="77777777" w:rsidR="00F73DD3" w:rsidRPr="00244CCE" w:rsidRDefault="00F73DD3" w:rsidP="00DA0AF4">
      <w:pPr>
        <w:pStyle w:val="FootnoteText"/>
      </w:pPr>
      <w:r w:rsidRPr="00F97844">
        <w:rPr>
          <w:rStyle w:val="FootnoteReference"/>
        </w:rPr>
        <w:footnoteRef/>
      </w:r>
      <w:r w:rsidRPr="00F97844">
        <w:t xml:space="preserve"> Canada's appellee's submission, para. 53.</w:t>
      </w:r>
    </w:p>
  </w:footnote>
  <w:footnote w:id="109">
    <w:p w14:paraId="6D93AD7D" w14:textId="3FE4E929" w:rsidR="00F73DD3" w:rsidRPr="00244CCE" w:rsidRDefault="00F73DD3">
      <w:pPr>
        <w:pStyle w:val="FootnoteText"/>
      </w:pPr>
      <w:r w:rsidRPr="00F97844">
        <w:rPr>
          <w:rStyle w:val="FootnoteReference"/>
        </w:rPr>
        <w:footnoteRef/>
      </w:r>
      <w:r w:rsidRPr="00F97844">
        <w:t xml:space="preserve"> Panel Report, para. 7.320, table 3.</w:t>
      </w:r>
    </w:p>
  </w:footnote>
  <w:footnote w:id="110">
    <w:p w14:paraId="42AA6DF0" w14:textId="141A3696" w:rsidR="00F73DD3" w:rsidRPr="00244CCE" w:rsidRDefault="00F73DD3" w:rsidP="00DA0AF4">
      <w:pPr>
        <w:pStyle w:val="FootnoteText"/>
      </w:pPr>
      <w:r w:rsidRPr="00F97844">
        <w:rPr>
          <w:rStyle w:val="FootnoteReference"/>
        </w:rPr>
        <w:footnoteRef/>
      </w:r>
      <w:r w:rsidRPr="00F97844">
        <w:t xml:space="preserve"> United States</w:t>
      </w:r>
      <w:r w:rsidRPr="00244CCE">
        <w:t xml:space="preserve">' appellant's submission, para. 27. </w:t>
      </w:r>
    </w:p>
  </w:footnote>
  <w:footnote w:id="111">
    <w:p w14:paraId="1F486515" w14:textId="2642B202" w:rsidR="00F73DD3" w:rsidRPr="00244CCE" w:rsidRDefault="00F73DD3" w:rsidP="00DA0AF4">
      <w:pPr>
        <w:pStyle w:val="FootnoteText"/>
      </w:pPr>
      <w:r w:rsidRPr="00F97844">
        <w:rPr>
          <w:rStyle w:val="FootnoteReference"/>
        </w:rPr>
        <w:footnoteRef/>
      </w:r>
      <w:r w:rsidRPr="00F97844">
        <w:t xml:space="preserve"> Panel Report</w:t>
      </w:r>
      <w:r w:rsidRPr="00244CCE">
        <w:t>, para. 7.327.</w:t>
      </w:r>
    </w:p>
  </w:footnote>
  <w:footnote w:id="112">
    <w:p w14:paraId="375AA8C0" w14:textId="5E89C5DB" w:rsidR="00F73DD3" w:rsidRPr="00244CCE" w:rsidRDefault="00F73DD3" w:rsidP="00DA0AF4">
      <w:pPr>
        <w:pStyle w:val="FootnoteText"/>
      </w:pPr>
      <w:r w:rsidRPr="00F97844">
        <w:rPr>
          <w:rStyle w:val="FootnoteReference"/>
        </w:rPr>
        <w:footnoteRef/>
      </w:r>
      <w:r w:rsidRPr="00F97844">
        <w:t xml:space="preserve"> United</w:t>
      </w:r>
      <w:r w:rsidRPr="00244CCE">
        <w:t> States' appellant's submission, para. 27.</w:t>
      </w:r>
    </w:p>
  </w:footnote>
  <w:footnote w:id="113">
    <w:p w14:paraId="2C08AA96" w14:textId="54D60C1B" w:rsidR="00F73DD3" w:rsidRPr="00244CCE" w:rsidRDefault="00F73DD3" w:rsidP="00DA0AF4">
      <w:pPr>
        <w:pStyle w:val="FootnoteText"/>
      </w:pPr>
      <w:r w:rsidRPr="00F97844">
        <w:rPr>
          <w:rStyle w:val="FootnoteReference"/>
        </w:rPr>
        <w:footnoteRef/>
      </w:r>
      <w:r w:rsidRPr="00F97844">
        <w:t xml:space="preserve"> At the outset of verification, the respondent companies also presented five corrections that did not concern the unreported grants. (Shrimp from China 2013, I&amp;D Memo (</w:t>
      </w:r>
      <w:r w:rsidRPr="00244CCE">
        <w:t>Panel Exhibit CAN</w:t>
      </w:r>
      <w:r w:rsidRPr="00244CCE">
        <w:noBreakHyphen/>
        <w:t>118), p. 76)</w:t>
      </w:r>
    </w:p>
  </w:footnote>
  <w:footnote w:id="114">
    <w:p w14:paraId="6385185A" w14:textId="2501C4EF" w:rsidR="00F73DD3" w:rsidRPr="00244CCE" w:rsidRDefault="00F73DD3" w:rsidP="00DA0AF4">
      <w:pPr>
        <w:pStyle w:val="FootnoteText"/>
      </w:pPr>
      <w:r w:rsidRPr="00F97844">
        <w:rPr>
          <w:rStyle w:val="FootnoteReference"/>
        </w:rPr>
        <w:footnoteRef/>
      </w:r>
      <w:r w:rsidRPr="00F97844">
        <w:t xml:space="preserve"> Shrim</w:t>
      </w:r>
      <w:r w:rsidRPr="00244CCE">
        <w:t>p from China 2013, I&amp;D Memo (Panel Exhibit CAN</w:t>
      </w:r>
      <w:r w:rsidRPr="00244CCE">
        <w:noBreakHyphen/>
        <w:t>118), pp. 76</w:t>
      </w:r>
      <w:r w:rsidRPr="00244CCE">
        <w:noBreakHyphen/>
        <w:t>77.</w:t>
      </w:r>
    </w:p>
  </w:footnote>
  <w:footnote w:id="115">
    <w:p w14:paraId="04042910" w14:textId="71969E56" w:rsidR="00F73DD3" w:rsidRPr="00244CCE" w:rsidRDefault="00F73DD3" w:rsidP="00DA0AF4">
      <w:pPr>
        <w:pStyle w:val="FootnoteText"/>
      </w:pPr>
      <w:r w:rsidRPr="00F97844">
        <w:rPr>
          <w:rStyle w:val="FootnoteReference"/>
        </w:rPr>
        <w:footnoteRef/>
      </w:r>
      <w:r w:rsidRPr="00F97844">
        <w:t xml:space="preserve"> </w:t>
      </w:r>
      <w:r w:rsidRPr="00F97844">
        <w:rPr>
          <w:szCs w:val="16"/>
        </w:rPr>
        <w:t>PET Resin from China 2016, I</w:t>
      </w:r>
      <w:r w:rsidRPr="00244CCE">
        <w:rPr>
          <w:szCs w:val="16"/>
        </w:rPr>
        <w:t>&amp;D Memo</w:t>
      </w:r>
      <w:r w:rsidRPr="00244CCE">
        <w:t xml:space="preserve"> (Panel Exhibit CAN</w:t>
      </w:r>
      <w:r w:rsidRPr="00244CCE">
        <w:noBreakHyphen/>
        <w:t>125), p. 19.</w:t>
      </w:r>
    </w:p>
  </w:footnote>
  <w:footnote w:id="116">
    <w:p w14:paraId="2EA801A9" w14:textId="73F6193C" w:rsidR="00F73DD3" w:rsidRPr="00244CCE" w:rsidRDefault="00F73DD3" w:rsidP="00DA0AF4">
      <w:pPr>
        <w:pStyle w:val="FootnoteText"/>
      </w:pPr>
      <w:r w:rsidRPr="00F97844">
        <w:rPr>
          <w:rStyle w:val="FootnoteReference"/>
        </w:rPr>
        <w:footnoteRef/>
      </w:r>
      <w:r w:rsidRPr="00F97844">
        <w:t xml:space="preserve"> </w:t>
      </w:r>
      <w:r w:rsidRPr="00F97844">
        <w:rPr>
          <w:szCs w:val="16"/>
        </w:rPr>
        <w:t>PET Resin from China 2016, I</w:t>
      </w:r>
      <w:r w:rsidRPr="00244CCE">
        <w:rPr>
          <w:szCs w:val="16"/>
        </w:rPr>
        <w:t>&amp;D Memo</w:t>
      </w:r>
      <w:r w:rsidRPr="00244CCE">
        <w:t xml:space="preserve"> (Panel Exhibit CAN</w:t>
      </w:r>
      <w:r w:rsidRPr="00244CCE">
        <w:noBreakHyphen/>
        <w:t>125), p. 19; PET Resin from China 2016, Verification Report (Dragon) (Panel Exhibit CAN</w:t>
      </w:r>
      <w:r w:rsidRPr="00244CCE">
        <w:noBreakHyphen/>
        <w:t>210).</w:t>
      </w:r>
    </w:p>
  </w:footnote>
  <w:footnote w:id="117">
    <w:p w14:paraId="7E5488BB" w14:textId="6A590951" w:rsidR="00F73DD3" w:rsidRPr="00244CCE" w:rsidRDefault="00F73DD3" w:rsidP="00DA0AF4">
      <w:pPr>
        <w:pStyle w:val="FootnoteText"/>
      </w:pPr>
      <w:r w:rsidRPr="00F97844">
        <w:rPr>
          <w:rStyle w:val="FootnoteReference"/>
        </w:rPr>
        <w:footnoteRef/>
      </w:r>
      <w:r w:rsidRPr="00F97844">
        <w:t xml:space="preserve"> Panel Report, para. 7.320, table 3 (referring to PET Resin from China 2016, I&amp;D Memo (</w:t>
      </w:r>
      <w:r w:rsidRPr="00244CCE">
        <w:t>Panel Exhibit CAN</w:t>
      </w:r>
      <w:r w:rsidRPr="00244CCE">
        <w:noBreakHyphen/>
        <w:t>125), p. 53).</w:t>
      </w:r>
    </w:p>
  </w:footnote>
  <w:footnote w:id="118">
    <w:p w14:paraId="0C0E740F" w14:textId="0D4322DC" w:rsidR="00F73DD3" w:rsidRPr="00244CCE" w:rsidRDefault="00F73DD3" w:rsidP="00DA0AF4">
      <w:pPr>
        <w:pStyle w:val="FootnoteText"/>
      </w:pPr>
      <w:r w:rsidRPr="00F97844">
        <w:rPr>
          <w:rStyle w:val="FootnoteReference"/>
        </w:rPr>
        <w:footnoteRef/>
      </w:r>
      <w:r w:rsidRPr="00F97844">
        <w:t xml:space="preserve"> Panel Report</w:t>
      </w:r>
      <w:r w:rsidRPr="00244CCE">
        <w:t>, para. 7.327.</w:t>
      </w:r>
    </w:p>
  </w:footnote>
  <w:footnote w:id="119">
    <w:p w14:paraId="21871C52" w14:textId="5DF5E776"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 28.</w:t>
      </w:r>
    </w:p>
  </w:footnote>
  <w:footnote w:id="120">
    <w:p w14:paraId="57564A75" w14:textId="32CA00D7" w:rsidR="00F73DD3" w:rsidRPr="00244CCE" w:rsidRDefault="00F73DD3" w:rsidP="00DA0AF4">
      <w:pPr>
        <w:pStyle w:val="FootnoteText"/>
      </w:pPr>
      <w:r w:rsidRPr="00F97844">
        <w:rPr>
          <w:rStyle w:val="FootnoteReference"/>
        </w:rPr>
        <w:footnoteRef/>
      </w:r>
      <w:r w:rsidRPr="00F97844">
        <w:t xml:space="preserve"> Panel Report</w:t>
      </w:r>
      <w:r w:rsidRPr="00244CCE">
        <w:t xml:space="preserve">, para. 7.313, table 2 (referring to </w:t>
      </w:r>
      <w:r w:rsidRPr="00244CCE">
        <w:rPr>
          <w:szCs w:val="16"/>
        </w:rPr>
        <w:t>USDOC, Issues and Decision Memorandum for the Final Affirmative Determination in the Countervailing Duty Investigation of Welded Stainless Pressure Pipe from India (22 September 2016)</w:t>
      </w:r>
      <w:r w:rsidRPr="00244CCE" w:rsidDel="005B0F53">
        <w:t xml:space="preserve"> </w:t>
      </w:r>
      <w:r w:rsidRPr="00244CCE">
        <w:t>(Panel Exhibit CAN</w:t>
      </w:r>
      <w:r w:rsidRPr="00244CCE">
        <w:noBreakHyphen/>
        <w:t>152), pp. 6, 8, and 28</w:t>
      </w:r>
      <w:r w:rsidRPr="00244CCE">
        <w:noBreakHyphen/>
        <w:t xml:space="preserve">29 (fns omitted)). </w:t>
      </w:r>
    </w:p>
  </w:footnote>
  <w:footnote w:id="121">
    <w:p w14:paraId="24734E16" w14:textId="64943382" w:rsidR="00F73DD3" w:rsidRPr="00244CCE" w:rsidRDefault="00F73DD3" w:rsidP="00DA0AF4">
      <w:pPr>
        <w:pStyle w:val="FootnoteText"/>
      </w:pPr>
      <w:r w:rsidRPr="00F97844">
        <w:rPr>
          <w:rStyle w:val="FootnoteReference"/>
        </w:rPr>
        <w:footnoteRef/>
      </w:r>
      <w:r w:rsidRPr="00F97844">
        <w:t xml:space="preserve"> Panel Report</w:t>
      </w:r>
      <w:r w:rsidRPr="00244CCE">
        <w:t>, para. 7.328.</w:t>
      </w:r>
    </w:p>
  </w:footnote>
  <w:footnote w:id="122">
    <w:p w14:paraId="768764D3" w14:textId="2D6FB80A"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paras. 31</w:t>
      </w:r>
      <w:r w:rsidRPr="00244CCE">
        <w:noBreakHyphen/>
        <w:t>32.</w:t>
      </w:r>
    </w:p>
  </w:footnote>
  <w:footnote w:id="123">
    <w:p w14:paraId="4333F3C1" w14:textId="7E8E1279" w:rsidR="00F73DD3" w:rsidRPr="00244CCE" w:rsidRDefault="00F73DD3" w:rsidP="00DA0AF4">
      <w:pPr>
        <w:pStyle w:val="FootnoteText"/>
        <w:rPr>
          <w:b/>
        </w:rPr>
      </w:pPr>
      <w:r w:rsidRPr="00F97844">
        <w:rPr>
          <w:rStyle w:val="FootnoteReference"/>
        </w:rPr>
        <w:footnoteRef/>
      </w:r>
      <w:r w:rsidRPr="00F97844">
        <w:t xml:space="preserve"> United States</w:t>
      </w:r>
      <w:r w:rsidRPr="00244CCE">
        <w:t>' appellant's submission, para. 10.</w:t>
      </w:r>
    </w:p>
  </w:footnote>
  <w:footnote w:id="124">
    <w:p w14:paraId="3B1B0BC1" w14:textId="68A3AE08"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 31.</w:t>
      </w:r>
    </w:p>
  </w:footnote>
  <w:footnote w:id="125">
    <w:p w14:paraId="179EC062" w14:textId="55A9A69C" w:rsidR="00F73DD3" w:rsidRPr="00244CCE" w:rsidRDefault="00F73DD3" w:rsidP="00DA0AF4">
      <w:pPr>
        <w:pStyle w:val="FootnoteText"/>
      </w:pPr>
      <w:r w:rsidRPr="00F97844">
        <w:rPr>
          <w:rStyle w:val="FootnoteReference"/>
        </w:rPr>
        <w:footnoteRef/>
      </w:r>
      <w:r w:rsidRPr="00F97844">
        <w:t xml:space="preserve"> United States</w:t>
      </w:r>
      <w:r w:rsidRPr="00244CCE">
        <w:t>' appellant's submission, para. 31 (referring to Panel Report, para. 7.329).</w:t>
      </w:r>
    </w:p>
  </w:footnote>
  <w:footnote w:id="126">
    <w:p w14:paraId="40473E34" w14:textId="0B1A6BBA" w:rsidR="00F73DD3" w:rsidRPr="00244CCE" w:rsidRDefault="00F73DD3" w:rsidP="00DA0AF4">
      <w:pPr>
        <w:pStyle w:val="FootnoteText"/>
      </w:pPr>
      <w:r w:rsidRPr="00F97844">
        <w:rPr>
          <w:rStyle w:val="FootnoteReference"/>
        </w:rPr>
        <w:footnoteRef/>
      </w:r>
      <w:r w:rsidRPr="00F97844">
        <w:t xml:space="preserve"> Canada's appellee's submission, paras. </w:t>
      </w:r>
      <w:r w:rsidRPr="00244CCE">
        <w:t xml:space="preserve">11 and 58 (referring to Panel Report, para. 7.329; Appellate Body Report, </w:t>
      </w:r>
      <w:r w:rsidRPr="00244CCE">
        <w:rPr>
          <w:i/>
        </w:rPr>
        <w:t>US – Anti</w:t>
      </w:r>
      <w:r w:rsidRPr="00244CCE">
        <w:rPr>
          <w:i/>
        </w:rPr>
        <w:noBreakHyphen/>
        <w:t>Dumping Methodologies (China)</w:t>
      </w:r>
      <w:r w:rsidRPr="00244CCE">
        <w:t xml:space="preserve">, para. 5.132; Panel Report, </w:t>
      </w:r>
      <w:r w:rsidRPr="00244CCE">
        <w:rPr>
          <w:i/>
        </w:rPr>
        <w:t>US – Orange Juice (Brazil)</w:t>
      </w:r>
      <w:r w:rsidRPr="00244CCE">
        <w:t>, para. 7.192).</w:t>
      </w:r>
    </w:p>
  </w:footnote>
  <w:footnote w:id="127">
    <w:p w14:paraId="082A1920" w14:textId="5D65FC68" w:rsidR="00F73DD3" w:rsidRPr="00244CCE" w:rsidRDefault="00F73DD3" w:rsidP="00DA0AF4">
      <w:pPr>
        <w:pStyle w:val="FootnoteText"/>
      </w:pPr>
      <w:r w:rsidRPr="00F97844">
        <w:rPr>
          <w:rStyle w:val="FootnoteReference"/>
        </w:rPr>
        <w:footnoteRef/>
      </w:r>
      <w:r w:rsidRPr="00F97844">
        <w:t xml:space="preserve"> Canada's appellee's submission, para.</w:t>
      </w:r>
      <w:r w:rsidRPr="00244CCE">
        <w:t xml:space="preserve"> 60 (referring to Panel Report, para. 7.328). </w:t>
      </w:r>
    </w:p>
  </w:footnote>
  <w:footnote w:id="128">
    <w:p w14:paraId="521297FF" w14:textId="5A93C198" w:rsidR="00F73DD3" w:rsidRPr="00244CCE" w:rsidRDefault="00F73DD3" w:rsidP="00DA0AF4">
      <w:pPr>
        <w:pStyle w:val="FootnoteText"/>
        <w:rPr>
          <w:b/>
        </w:rPr>
      </w:pPr>
      <w:r w:rsidRPr="00F97844">
        <w:rPr>
          <w:rStyle w:val="FootnoteReference"/>
        </w:rPr>
        <w:footnoteRef/>
      </w:r>
      <w:r w:rsidRPr="00F97844">
        <w:t xml:space="preserve"> United States</w:t>
      </w:r>
      <w:r w:rsidRPr="00244CCE">
        <w:t>' appellant's submission, para. 10.</w:t>
      </w:r>
    </w:p>
  </w:footnote>
  <w:footnote w:id="129">
    <w:p w14:paraId="2E5DF465" w14:textId="4B3C90C8" w:rsidR="00F73DD3" w:rsidRPr="00244CCE" w:rsidRDefault="00F73DD3" w:rsidP="00DA0AF4">
      <w:pPr>
        <w:pStyle w:val="FootnoteText"/>
      </w:pPr>
      <w:r w:rsidRPr="00F97844">
        <w:rPr>
          <w:rStyle w:val="FootnoteReference"/>
        </w:rPr>
        <w:footnoteRef/>
      </w:r>
      <w:r w:rsidRPr="00F97844">
        <w:t xml:space="preserve"> Panel Report</w:t>
      </w:r>
      <w:r w:rsidRPr="00244CCE">
        <w:t xml:space="preserve">, para. 7.329. We note that the Appellate Body has taken a similar view in relation to the prospective nature of rules or norms of general and prospective application. To the Appellate Body, a complainant would not be able to show "certainty" of future application, because any measure may be modified or withdrawn in the future. The mere possibility that "a rule or norm may be modified or withdrawn, however, does not remove the prospective nature of that measure". (Appellate Body Report, </w:t>
      </w:r>
      <w:r w:rsidRPr="00244CCE">
        <w:rPr>
          <w:i/>
        </w:rPr>
        <w:t>US – Anti</w:t>
      </w:r>
      <w:r w:rsidRPr="00244CCE">
        <w:rPr>
          <w:i/>
        </w:rPr>
        <w:noBreakHyphen/>
        <w:t>Dumping Methodologies (China)</w:t>
      </w:r>
      <w:r w:rsidRPr="00244CCE">
        <w:t xml:space="preserve">, para. 5.132) See also European Union's third participant's submission, para. 20; Japan's third participant's submission, para. 6; China's third participant's submission, paras. 7 and 10. </w:t>
      </w:r>
    </w:p>
  </w:footnote>
  <w:footnote w:id="130">
    <w:p w14:paraId="6575899A" w14:textId="074B4D0A" w:rsidR="00F73DD3" w:rsidRPr="00244CCE" w:rsidRDefault="00F73DD3" w:rsidP="00DA0AF4">
      <w:pPr>
        <w:pStyle w:val="FootnoteText"/>
      </w:pPr>
      <w:r w:rsidRPr="00F97844">
        <w:rPr>
          <w:rStyle w:val="FootnoteReference"/>
        </w:rPr>
        <w:footnoteRef/>
      </w:r>
      <w:r w:rsidRPr="00F97844">
        <w:t xml:space="preserve"> Panel Report</w:t>
      </w:r>
      <w:r w:rsidRPr="00244CCE">
        <w:t>, para. 7.328.</w:t>
      </w:r>
    </w:p>
  </w:footnote>
  <w:footnote w:id="131">
    <w:p w14:paraId="692CBAA6" w14:textId="61D7D017" w:rsidR="00F73DD3" w:rsidRPr="00244CCE" w:rsidRDefault="00F73DD3" w:rsidP="00DA0AF4">
      <w:pPr>
        <w:pStyle w:val="FootnoteText"/>
      </w:pPr>
      <w:r w:rsidRPr="00F97844">
        <w:rPr>
          <w:rStyle w:val="FootnoteReference"/>
        </w:rPr>
        <w:footnoteRef/>
      </w:r>
      <w:r w:rsidRPr="00F97844">
        <w:t xml:space="preserve"> The Panel also acknowledged the parties' disagreement as to whether the alleged OFA</w:t>
      </w:r>
      <w:r w:rsidRPr="00F97844">
        <w:noBreakHyphen/>
        <w:t>AFA</w:t>
      </w:r>
      <w:r w:rsidRPr="00244CCE">
        <w:t> measure constituted a "practice" under United States law, but considered it was not determinative as to the likelihood of the continuation of the alleged OFA</w:t>
      </w:r>
      <w:r w:rsidRPr="00244CCE">
        <w:noBreakHyphen/>
        <w:t>AFA measure, and did not express a view. (Panel Report, para. 7.329 and fn 613 thereto)</w:t>
      </w:r>
    </w:p>
  </w:footnote>
  <w:footnote w:id="132">
    <w:p w14:paraId="74016D1C" w14:textId="3B3B2BE5" w:rsidR="00F73DD3" w:rsidRPr="00244CCE" w:rsidRDefault="00F73DD3" w:rsidP="00DA0AF4">
      <w:pPr>
        <w:pStyle w:val="FootnoteText"/>
      </w:pPr>
      <w:r w:rsidRPr="00F97844">
        <w:rPr>
          <w:rStyle w:val="FootnoteReference"/>
        </w:rPr>
        <w:footnoteRef/>
      </w:r>
      <w:r w:rsidRPr="00F97844">
        <w:t xml:space="preserve"> Panel Report</w:t>
      </w:r>
      <w:r w:rsidRPr="00244CCE">
        <w:t>, para. 7.328 (quoting Stainless Pressure Pipe from India 2016, Final Calculation Memo (Panel Exhibit CAN</w:t>
      </w:r>
      <w:r w:rsidRPr="00244CCE">
        <w:noBreakHyphen/>
        <w:t>148), fn 3).</w:t>
      </w:r>
    </w:p>
  </w:footnote>
  <w:footnote w:id="133">
    <w:p w14:paraId="75C3C035" w14:textId="6D8B38E5" w:rsidR="00F73DD3" w:rsidRPr="00244CCE" w:rsidRDefault="00F73DD3" w:rsidP="00DA0AF4">
      <w:pPr>
        <w:pStyle w:val="FootnoteText"/>
      </w:pPr>
      <w:r w:rsidRPr="00F97844">
        <w:rPr>
          <w:rStyle w:val="FootnoteReference"/>
        </w:rPr>
        <w:footnoteRef/>
      </w:r>
      <w:r w:rsidRPr="00F97844">
        <w:t xml:space="preserve"> Panel</w:t>
      </w:r>
      <w:r w:rsidRPr="00244CCE">
        <w:t> Report, para. 7.320, table 3 (quoting Shrimp from China 2013, I&amp;D Memo (Panel Exhibit CAN</w:t>
      </w:r>
      <w:r w:rsidRPr="00244CCE">
        <w:noBreakHyphen/>
        <w:t xml:space="preserve">118), p. 78). </w:t>
      </w:r>
    </w:p>
  </w:footnote>
  <w:footnote w:id="134">
    <w:p w14:paraId="08A992A1" w14:textId="1112AD25" w:rsidR="00F73DD3" w:rsidRPr="00244CCE" w:rsidRDefault="00F73DD3">
      <w:pPr>
        <w:pStyle w:val="FootnoteText"/>
      </w:pPr>
      <w:r w:rsidRPr="00F97844">
        <w:rPr>
          <w:rStyle w:val="FootnoteReference"/>
        </w:rPr>
        <w:footnoteRef/>
      </w:r>
      <w:r w:rsidRPr="00F97844">
        <w:t xml:space="preserve"> Panel Report</w:t>
      </w:r>
      <w:r w:rsidRPr="00244CCE">
        <w:t>, para. 7.320, table 3 (quoting Solar Cells from China 2014, I&amp;D Memo (Panel Exhibit CAN</w:t>
      </w:r>
      <w:r w:rsidRPr="00244CCE">
        <w:noBreakHyphen/>
        <w:t>121), p. 88; Solar Cells from China 2015, I&amp;D Memo (Panel Exhibit USA</w:t>
      </w:r>
      <w:r w:rsidRPr="00244CCE">
        <w:noBreakHyphen/>
        <w:t>8), p. 58; Supercalendered Paper from Canada 2015, I&amp;D Memo (Panel Exhibit CAN</w:t>
      </w:r>
      <w:r w:rsidRPr="00244CCE">
        <w:noBreakHyphen/>
        <w:t xml:space="preserve">37), p. 155). </w:t>
      </w:r>
    </w:p>
  </w:footnote>
  <w:footnote w:id="135">
    <w:p w14:paraId="6C67BBF0" w14:textId="2F7236BC" w:rsidR="00F73DD3" w:rsidRPr="00244CCE" w:rsidRDefault="00F73DD3">
      <w:pPr>
        <w:pStyle w:val="FootnoteText"/>
      </w:pPr>
      <w:r w:rsidRPr="00F97844">
        <w:rPr>
          <w:rStyle w:val="FootnoteReference"/>
        </w:rPr>
        <w:footnoteRef/>
      </w:r>
      <w:r w:rsidRPr="00F97844">
        <w:t xml:space="preserve"> Panel</w:t>
      </w:r>
      <w:r w:rsidRPr="00244CCE">
        <w:t> Report, para. 7.320, table</w:t>
      </w:r>
      <w:r>
        <w:t> </w:t>
      </w:r>
      <w:r w:rsidRPr="00244CCE">
        <w:t>3 (quoting Solar Cells from China 2014, I&amp;D Memo (Panel Exhibit CAN</w:t>
      </w:r>
      <w:r w:rsidRPr="00244CCE">
        <w:noBreakHyphen/>
        <w:t xml:space="preserve">121), p. 88; Supercalendered Paper from Canada 2015, </w:t>
      </w:r>
      <w:r w:rsidRPr="00244CCE">
        <w:rPr>
          <w:szCs w:val="16"/>
        </w:rPr>
        <w:t>I&amp;D Memo</w:t>
      </w:r>
      <w:r w:rsidRPr="00244CCE">
        <w:t xml:space="preserve"> (Panel Exhibit CAN</w:t>
      </w:r>
      <w:r w:rsidRPr="00244CCE">
        <w:noBreakHyphen/>
        <w:t>37), p. 155; PET Resin from China 2016, I&amp;D Memo (Panel Exhibit CAN</w:t>
      </w:r>
      <w:r w:rsidRPr="00244CCE">
        <w:noBreakHyphen/>
        <w:t xml:space="preserve">125), p. 53). </w:t>
      </w:r>
    </w:p>
  </w:footnote>
  <w:footnote w:id="136">
    <w:p w14:paraId="71B1A6F7" w14:textId="0662C401" w:rsidR="00F73DD3" w:rsidRPr="00244CCE" w:rsidRDefault="00F73DD3" w:rsidP="00DA0AF4">
      <w:pPr>
        <w:pStyle w:val="FootnoteText"/>
      </w:pPr>
      <w:r w:rsidRPr="00F97844">
        <w:rPr>
          <w:rStyle w:val="FootnoteReference"/>
        </w:rPr>
        <w:footnoteRef/>
      </w:r>
      <w:r w:rsidRPr="00F97844">
        <w:t xml:space="preserve"> Panel Report</w:t>
      </w:r>
      <w:r w:rsidRPr="00244CCE">
        <w:t>, para. 7.320, table 3; Solar Cells from China 2014, I&amp;D Memo (Panel Exhibit CAN</w:t>
      </w:r>
      <w:r w:rsidRPr="00244CCE">
        <w:noBreakHyphen/>
        <w:t>121), p. 88; Supercalendered Paper from Canada 2015,</w:t>
      </w:r>
      <w:r w:rsidRPr="00244CCE">
        <w:rPr>
          <w:i/>
        </w:rPr>
        <w:t xml:space="preserve"> </w:t>
      </w:r>
      <w:r w:rsidRPr="00244CCE">
        <w:t>I&amp;D Memo (Panel Exhibit CAN</w:t>
      </w:r>
      <w:r w:rsidRPr="00244CCE">
        <w:noBreakHyphen/>
        <w:t xml:space="preserve">37), p. 155; </w:t>
      </w:r>
      <w:r w:rsidRPr="00244CCE">
        <w:rPr>
          <w:iCs/>
        </w:rPr>
        <w:t>Solar Cells from China 2015,</w:t>
      </w:r>
      <w:r w:rsidRPr="00244CCE">
        <w:t xml:space="preserve"> I&amp;D Memo (Panel Exhibit USA</w:t>
      </w:r>
      <w:r w:rsidRPr="00244CCE">
        <w:noBreakHyphen/>
        <w:t xml:space="preserve">8), p. 59. </w:t>
      </w:r>
    </w:p>
  </w:footnote>
  <w:footnote w:id="137">
    <w:p w14:paraId="475F395B" w14:textId="160613C3" w:rsidR="00F73DD3" w:rsidRPr="00244CCE" w:rsidRDefault="00F73DD3" w:rsidP="00DA0AF4">
      <w:pPr>
        <w:pStyle w:val="FootnoteText"/>
      </w:pPr>
      <w:r w:rsidRPr="00F97844">
        <w:rPr>
          <w:rStyle w:val="FootnoteReference"/>
        </w:rPr>
        <w:footnoteRef/>
      </w:r>
      <w:r w:rsidRPr="00F97844">
        <w:t xml:space="preserve"> Panel Report</w:t>
      </w:r>
      <w:r w:rsidRPr="00244CCE">
        <w:t>, para. 7.320, table 3; Stainless Pressure Pipe from India 2016, Final Calculation Memo (Panel Exhibit CAN</w:t>
      </w:r>
      <w:r w:rsidRPr="00244CCE">
        <w:noBreakHyphen/>
        <w:t xml:space="preserve">148). </w:t>
      </w:r>
    </w:p>
  </w:footnote>
  <w:footnote w:id="138">
    <w:p w14:paraId="2B2839FE" w14:textId="0230D891" w:rsidR="00F73DD3" w:rsidRPr="00244CCE" w:rsidRDefault="00F73DD3" w:rsidP="00DA0AF4">
      <w:pPr>
        <w:pStyle w:val="FootnoteText"/>
      </w:pPr>
      <w:r w:rsidRPr="00F97844">
        <w:rPr>
          <w:rStyle w:val="FootnoteReference"/>
        </w:rPr>
        <w:footnoteRef/>
      </w:r>
      <w:r w:rsidRPr="00F97844">
        <w:t xml:space="preserve"> Panel Report</w:t>
      </w:r>
      <w:r w:rsidRPr="00244CCE">
        <w:t xml:space="preserve">, para. 7.321, table 4; </w:t>
      </w:r>
      <w:r w:rsidRPr="00244CCE">
        <w:rPr>
          <w:szCs w:val="16"/>
        </w:rPr>
        <w:t>USDOC, Issues and Decision Memorandum for the Final Determination in the Countervailing Duty Investigation of Truck and Bus Tires from the People's Republic of China; and Final Affirmative Determination of Critical Circumstances, in Part (19 January 2016)</w:t>
      </w:r>
      <w:r w:rsidRPr="00244CCE">
        <w:t xml:space="preserve"> (Truck and Bus Tires from China 2016, I&amp;D Memo) (Panel Exhibit CAN</w:t>
      </w:r>
      <w:r w:rsidRPr="00244CCE">
        <w:noBreakHyphen/>
        <w:t>163), pp. 15</w:t>
      </w:r>
      <w:r w:rsidRPr="00244CCE">
        <w:noBreakHyphen/>
        <w:t>16.</w:t>
      </w:r>
    </w:p>
  </w:footnote>
  <w:footnote w:id="139">
    <w:p w14:paraId="41458842" w14:textId="26F0D30C" w:rsidR="00F73DD3" w:rsidRPr="00244CCE" w:rsidRDefault="00F73DD3" w:rsidP="00DA0AF4">
      <w:pPr>
        <w:pStyle w:val="FootnoteText"/>
      </w:pPr>
      <w:r w:rsidRPr="00F97844">
        <w:rPr>
          <w:rStyle w:val="FootnoteReference"/>
        </w:rPr>
        <w:footnoteRef/>
      </w:r>
      <w:r w:rsidRPr="00F97844">
        <w:t xml:space="preserve"> </w:t>
      </w:r>
      <w:r w:rsidRPr="00F97844">
        <w:rPr>
          <w:iCs/>
        </w:rPr>
        <w:t>Truck and Bus Tires from China 2016, I</w:t>
      </w:r>
      <w:r w:rsidRPr="00244CCE">
        <w:rPr>
          <w:iCs/>
        </w:rPr>
        <w:t>&amp;D Memo</w:t>
      </w:r>
      <w:r w:rsidRPr="00244CCE">
        <w:rPr>
          <w:i/>
          <w:iCs/>
        </w:rPr>
        <w:t xml:space="preserve"> </w:t>
      </w:r>
      <w:r w:rsidRPr="00244CCE">
        <w:rPr>
          <w:iCs/>
        </w:rPr>
        <w:t>(Panel Exhibit CAN</w:t>
      </w:r>
      <w:r w:rsidRPr="00244CCE">
        <w:rPr>
          <w:iCs/>
        </w:rPr>
        <w:noBreakHyphen/>
        <w:t>163)</w:t>
      </w:r>
      <w:r w:rsidRPr="00244CCE">
        <w:t xml:space="preserve">, p. 67 (referring to </w:t>
      </w:r>
      <w:r w:rsidRPr="00244CCE">
        <w:rPr>
          <w:iCs/>
        </w:rPr>
        <w:t>Solar Cells from China 2012,</w:t>
      </w:r>
      <w:r w:rsidRPr="00244CCE">
        <w:t xml:space="preserve"> </w:t>
      </w:r>
      <w:r w:rsidRPr="00244CCE">
        <w:rPr>
          <w:iCs/>
        </w:rPr>
        <w:t>Shrimp from China 2013</w:t>
      </w:r>
      <w:r w:rsidRPr="00244CCE">
        <w:t xml:space="preserve">). </w:t>
      </w:r>
    </w:p>
  </w:footnote>
  <w:footnote w:id="140">
    <w:p w14:paraId="04EF75F1" w14:textId="36AF6943" w:rsidR="00F73DD3" w:rsidRPr="00244CCE" w:rsidRDefault="00F73DD3" w:rsidP="00DA0AF4">
      <w:pPr>
        <w:pStyle w:val="FootnoteText"/>
      </w:pPr>
      <w:r w:rsidRPr="00F97844">
        <w:rPr>
          <w:rStyle w:val="FootnoteReference"/>
        </w:rPr>
        <w:footnoteRef/>
      </w:r>
      <w:r w:rsidRPr="00F97844">
        <w:t xml:space="preserve"> Panel Report</w:t>
      </w:r>
      <w:r w:rsidRPr="00244CCE">
        <w:t>, paras. 7.324</w:t>
      </w:r>
      <w:r w:rsidRPr="00244CCE">
        <w:noBreakHyphen/>
        <w:t>7.326.</w:t>
      </w:r>
    </w:p>
  </w:footnote>
  <w:footnote w:id="141">
    <w:p w14:paraId="61B5BAFD" w14:textId="7FDD38D1" w:rsidR="00F73DD3" w:rsidRPr="00244CCE" w:rsidRDefault="00F73DD3" w:rsidP="00DA0AF4">
      <w:pPr>
        <w:pStyle w:val="FootnoteText"/>
      </w:pPr>
      <w:r w:rsidRPr="00F97844">
        <w:rPr>
          <w:rStyle w:val="FootnoteReference"/>
        </w:rPr>
        <w:footnoteRef/>
      </w:r>
      <w:r w:rsidRPr="00F97844">
        <w:t xml:space="preserve"> We understand the Panel's reference to "practice" to be a general reference to the usual or routine procedure applied by the USDOC when certain circumstances arise. T</w:t>
      </w:r>
      <w:r w:rsidRPr="00244CCE">
        <w:t>he Panel did not make any findings in relation to a "practice" within the meaning of United States law. We agree with the Panel's statement that whether the alleged OFA</w:t>
      </w:r>
      <w:r w:rsidRPr="00244CCE">
        <w:noBreakHyphen/>
        <w:t>AFA measure "constitutes a legally</w:t>
      </w:r>
      <w:r w:rsidRPr="00244CCE">
        <w:noBreakHyphen/>
        <w:t>binding practice or policy under [United States] law is not determinative as to the likelihood of the continuation of the [alleged] measure" in examining whether an "ongoing conduct" measure exists for purposes of WTO dispute settlement. (Panel Report, para. 7.329)</w:t>
      </w:r>
    </w:p>
  </w:footnote>
  <w:footnote w:id="142">
    <w:p w14:paraId="13D37153" w14:textId="77DB7EC7" w:rsidR="00F73DD3" w:rsidRPr="00244CCE" w:rsidRDefault="00F73DD3" w:rsidP="00DA0AF4">
      <w:pPr>
        <w:pStyle w:val="FootnoteText"/>
      </w:pPr>
      <w:r w:rsidRPr="00F97844">
        <w:rPr>
          <w:rStyle w:val="FootnoteReference"/>
        </w:rPr>
        <w:footnoteRef/>
      </w:r>
      <w:r w:rsidRPr="00F97844">
        <w:t xml:space="preserve"> Panel Report</w:t>
      </w:r>
      <w:r w:rsidRPr="00244CCE">
        <w:t>, para. 7.328.</w:t>
      </w:r>
    </w:p>
  </w:footnote>
  <w:footnote w:id="143">
    <w:p w14:paraId="6138D43E" w14:textId="664B21C7" w:rsidR="00F73DD3" w:rsidRPr="00244CCE" w:rsidRDefault="00F73DD3">
      <w:pPr>
        <w:pStyle w:val="FootnoteText"/>
      </w:pPr>
      <w:r w:rsidRPr="00F97844">
        <w:rPr>
          <w:rStyle w:val="FootnoteReference"/>
        </w:rPr>
        <w:footnoteRef/>
      </w:r>
      <w:r w:rsidRPr="00F97844">
        <w:t xml:space="preserve"> We note that, in making this finding, the Panel did not find it necessary </w:t>
      </w:r>
      <w:r w:rsidRPr="00244CCE">
        <w:t>to address Canada's assertion that the measure amounted to a rule or norm of general and prospective application. (Panel Report, para. 7.332 (referring to Canada's opening statement at the first Panel meeting, para. 210))</w:t>
      </w:r>
    </w:p>
  </w:footnote>
  <w:footnote w:id="144">
    <w:p w14:paraId="0D6F1AE4" w14:textId="31823D43"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w:t>
      </w:r>
      <w:r w:rsidRPr="00244CCE">
        <w:rPr>
          <w:szCs w:val="16"/>
        </w:rPr>
        <w:t>tes' appellant's submission, paras. 4 and 39</w:t>
      </w:r>
      <w:r w:rsidRPr="00244CCE">
        <w:rPr>
          <w:szCs w:val="16"/>
        </w:rPr>
        <w:noBreakHyphen/>
        <w:t>48.</w:t>
      </w:r>
    </w:p>
  </w:footnote>
  <w:footnote w:id="145">
    <w:p w14:paraId="79D5B114" w14:textId="7EF2521B" w:rsidR="00F73DD3" w:rsidRPr="00244CCE" w:rsidRDefault="00F73DD3">
      <w:pPr>
        <w:pStyle w:val="FootnoteText"/>
      </w:pPr>
      <w:r w:rsidRPr="00F97844">
        <w:rPr>
          <w:rStyle w:val="FootnoteReference"/>
        </w:rPr>
        <w:footnoteRef/>
      </w:r>
      <w:r w:rsidRPr="00F97844">
        <w:t xml:space="preserve"> </w:t>
      </w:r>
      <w:r w:rsidRPr="00F97844">
        <w:rPr>
          <w:szCs w:val="16"/>
        </w:rPr>
        <w:t>United</w:t>
      </w:r>
      <w:r w:rsidRPr="00244CCE">
        <w:rPr>
          <w:szCs w:val="16"/>
        </w:rPr>
        <w:t> States' appellant's submission, paras. 4 and 49</w:t>
      </w:r>
      <w:r w:rsidRPr="00244CCE">
        <w:rPr>
          <w:szCs w:val="16"/>
        </w:rPr>
        <w:noBreakHyphen/>
        <w:t>79.</w:t>
      </w:r>
    </w:p>
  </w:footnote>
  <w:footnote w:id="146">
    <w:p w14:paraId="7A6748CF"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 80.</w:t>
      </w:r>
    </w:p>
  </w:footnote>
  <w:footnote w:id="147">
    <w:p w14:paraId="67611EF0" w14:textId="5E00D7FD"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Canada's appellee's submission, paras. </w:t>
      </w:r>
      <w:r w:rsidRPr="00244CCE">
        <w:rPr>
          <w:szCs w:val="16"/>
        </w:rPr>
        <w:t>61</w:t>
      </w:r>
      <w:r w:rsidRPr="00244CCE">
        <w:rPr>
          <w:szCs w:val="16"/>
        </w:rPr>
        <w:noBreakHyphen/>
        <w:t>127.</w:t>
      </w:r>
    </w:p>
  </w:footnote>
  <w:footnote w:id="148">
    <w:p w14:paraId="13ECD334" w14:textId="77777777" w:rsidR="00F73DD3" w:rsidRPr="00244CCE" w:rsidRDefault="00F73DD3" w:rsidP="00B010B2">
      <w:pPr>
        <w:pStyle w:val="FootnoteText"/>
      </w:pPr>
      <w:r w:rsidRPr="00F97844">
        <w:rPr>
          <w:rStyle w:val="FootnoteReference"/>
        </w:rPr>
        <w:footnoteRef/>
      </w:r>
      <w:r w:rsidRPr="00F97844">
        <w:t xml:space="preserve"> Canada's appellee's submission, para. 128.</w:t>
      </w:r>
    </w:p>
  </w:footnote>
  <w:footnote w:id="149">
    <w:p w14:paraId="7F6F2896" w14:textId="090BB87B" w:rsidR="00F73DD3" w:rsidRPr="0011007F" w:rsidRDefault="00F73DD3" w:rsidP="00B010B2">
      <w:pPr>
        <w:pStyle w:val="FootnoteText"/>
      </w:pPr>
      <w:r w:rsidRPr="00F97844">
        <w:rPr>
          <w:rStyle w:val="FootnoteReference"/>
        </w:rPr>
        <w:footnoteRef/>
      </w:r>
      <w:r w:rsidRPr="00F97844">
        <w:t xml:space="preserve"> </w:t>
      </w:r>
      <w:r w:rsidRPr="0011007F">
        <w:t>Panel Report, para. 7.155.</w:t>
      </w:r>
    </w:p>
  </w:footnote>
  <w:footnote w:id="150">
    <w:p w14:paraId="6674F342" w14:textId="0EFFDB70" w:rsidR="00F73DD3" w:rsidRPr="0011007F" w:rsidRDefault="00F73DD3" w:rsidP="00B010B2">
      <w:pPr>
        <w:pStyle w:val="FootnoteText"/>
      </w:pPr>
      <w:r w:rsidRPr="00F97844">
        <w:rPr>
          <w:rStyle w:val="FootnoteReference"/>
        </w:rPr>
        <w:footnoteRef/>
      </w:r>
      <w:r w:rsidRPr="00F97844">
        <w:t xml:space="preserve"> Panel Report, paras. 7.294 and 7.296</w:t>
      </w:r>
      <w:r w:rsidRPr="0011007F">
        <w:t>; Canada's first written submission to the Panel, para. 426</w:t>
      </w:r>
      <w:r w:rsidRPr="00F97844">
        <w:t>.</w:t>
      </w:r>
    </w:p>
  </w:footnote>
  <w:footnote w:id="151">
    <w:p w14:paraId="2FA5130E" w14:textId="0177C299" w:rsidR="00F73DD3" w:rsidRPr="0011007F" w:rsidRDefault="00F73DD3" w:rsidP="00B010B2">
      <w:pPr>
        <w:pStyle w:val="FootnoteText"/>
      </w:pPr>
      <w:r w:rsidRPr="00F97844">
        <w:rPr>
          <w:rStyle w:val="FootnoteReference"/>
        </w:rPr>
        <w:footnoteRef/>
      </w:r>
      <w:r w:rsidRPr="00F97844">
        <w:t xml:space="preserve"> </w:t>
      </w:r>
      <w:r w:rsidRPr="0011007F">
        <w:t>Panel Report, para. 7.172.</w:t>
      </w:r>
    </w:p>
  </w:footnote>
  <w:footnote w:id="152">
    <w:p w14:paraId="6AD8BF06" w14:textId="13C98BD4" w:rsidR="00F73DD3" w:rsidRPr="00244CCE" w:rsidRDefault="00F73DD3" w:rsidP="00B010B2">
      <w:pPr>
        <w:pStyle w:val="FootnoteText"/>
      </w:pPr>
      <w:r w:rsidRPr="00F97844">
        <w:rPr>
          <w:rStyle w:val="FootnoteReference"/>
        </w:rPr>
        <w:footnoteRef/>
      </w:r>
      <w:r w:rsidRPr="00F97844">
        <w:t xml:space="preserve"> Panel Report, para. 7.184 (referring to Appellate</w:t>
      </w:r>
      <w:r w:rsidRPr="00244CCE">
        <w:t xml:space="preserve"> Body Reports, </w:t>
      </w:r>
      <w:r w:rsidRPr="00244CCE">
        <w:rPr>
          <w:i/>
        </w:rPr>
        <w:t>US – Carbon Steel (India)</w:t>
      </w:r>
      <w:r w:rsidRPr="00244CCE">
        <w:t xml:space="preserve">, para. 4.416; </w:t>
      </w:r>
      <w:r w:rsidRPr="00244CCE">
        <w:rPr>
          <w:i/>
        </w:rPr>
        <w:t>Mexico – Anti</w:t>
      </w:r>
      <w:r w:rsidRPr="00244CCE">
        <w:rPr>
          <w:i/>
        </w:rPr>
        <w:noBreakHyphen/>
        <w:t>Dumping Measures on Rice</w:t>
      </w:r>
      <w:r w:rsidRPr="00244CCE">
        <w:t xml:space="preserve">, para. 294; </w:t>
      </w:r>
      <w:r w:rsidRPr="00244CCE">
        <w:rPr>
          <w:i/>
        </w:rPr>
        <w:t>US – Countervailing Measures (China)</w:t>
      </w:r>
      <w:r w:rsidRPr="00244CCE">
        <w:t>, para. 4.178).</w:t>
      </w:r>
    </w:p>
  </w:footnote>
  <w:footnote w:id="153">
    <w:p w14:paraId="18253933" w14:textId="1587CB37" w:rsidR="00F73DD3" w:rsidRPr="00244CCE" w:rsidRDefault="00F73DD3" w:rsidP="00B010B2">
      <w:pPr>
        <w:pStyle w:val="FootnoteText"/>
      </w:pPr>
      <w:r w:rsidRPr="00F97844">
        <w:rPr>
          <w:rStyle w:val="FootnoteReference"/>
        </w:rPr>
        <w:footnoteRef/>
      </w:r>
      <w:r w:rsidRPr="00F97844">
        <w:t xml:space="preserve"> Panel Report, para. 7.184 (referring to Appellate</w:t>
      </w:r>
      <w:r w:rsidRPr="00244CCE">
        <w:t xml:space="preserve"> Body Reports, </w:t>
      </w:r>
      <w:r w:rsidRPr="00244CCE">
        <w:rPr>
          <w:i/>
        </w:rPr>
        <w:t>US – Carbon Steel (India)</w:t>
      </w:r>
      <w:r w:rsidRPr="00244CCE">
        <w:t xml:space="preserve">, paras. 4.417 and 4.419; </w:t>
      </w:r>
      <w:r w:rsidRPr="00244CCE">
        <w:rPr>
          <w:i/>
        </w:rPr>
        <w:t>Mexico – Anti</w:t>
      </w:r>
      <w:r w:rsidRPr="00244CCE">
        <w:rPr>
          <w:i/>
        </w:rPr>
        <w:noBreakHyphen/>
        <w:t>Dumping Measures on Rice</w:t>
      </w:r>
      <w:r w:rsidRPr="00244CCE">
        <w:t xml:space="preserve">, para. 294; </w:t>
      </w:r>
      <w:r w:rsidRPr="00244CCE">
        <w:rPr>
          <w:i/>
        </w:rPr>
        <w:t>US – Countervailing Measures (China)</w:t>
      </w:r>
      <w:r w:rsidRPr="00244CCE">
        <w:t xml:space="preserve">, para. 4.178; </w:t>
      </w:r>
      <w:r w:rsidRPr="00244CCE">
        <w:rPr>
          <w:i/>
        </w:rPr>
        <w:t>US – Anti</w:t>
      </w:r>
      <w:r w:rsidRPr="00244CCE">
        <w:rPr>
          <w:i/>
        </w:rPr>
        <w:noBreakHyphen/>
        <w:t>Dumping Methodologies (China)</w:t>
      </w:r>
      <w:r w:rsidRPr="00244CCE">
        <w:t>, para. 5.172).</w:t>
      </w:r>
    </w:p>
  </w:footnote>
  <w:footnote w:id="154">
    <w:p w14:paraId="67102248" w14:textId="44B1085E"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7.173.</w:t>
      </w:r>
    </w:p>
  </w:footnote>
  <w:footnote w:id="155">
    <w:p w14:paraId="71000C4E" w14:textId="64D9A960"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xml:space="preserve">, para. 7.174 (quoting Appellate Body Report, </w:t>
      </w:r>
      <w:r w:rsidRPr="00244CCE">
        <w:rPr>
          <w:i/>
          <w:iCs/>
          <w:szCs w:val="16"/>
        </w:rPr>
        <w:t>US – Carbon Steel (India)</w:t>
      </w:r>
      <w:r w:rsidRPr="00244CCE">
        <w:rPr>
          <w:szCs w:val="16"/>
        </w:rPr>
        <w:t xml:space="preserve">, para. 4.416 (emphasis added by the Panel omitted)). </w:t>
      </w:r>
      <w:r w:rsidRPr="00244CCE">
        <w:t>The Panel noted a dictionary definition of the term "necessary" as something "[t]hat cannot be dispensed with or done without; requisite, essential, needful". (</w:t>
      </w:r>
      <w:r w:rsidRPr="00244CCE">
        <w:rPr>
          <w:szCs w:val="16"/>
        </w:rPr>
        <w:t xml:space="preserve">Panel Report, para. 7.174) </w:t>
      </w:r>
      <w:r w:rsidRPr="00244CCE">
        <w:t>The Panel also stated that Article 12.7 "permits the use of facts on record solely for the purpose of replacing information that may be missing, in order to arrive at an accurate subsidization or injury determination". (</w:t>
      </w:r>
      <w:r w:rsidRPr="00244CCE">
        <w:rPr>
          <w:szCs w:val="16"/>
        </w:rPr>
        <w:t xml:space="preserve">Panel Report, fn 297 to para. 7.174 (quoting Appellate Body Report, </w:t>
      </w:r>
      <w:r w:rsidRPr="00244CCE">
        <w:rPr>
          <w:i/>
          <w:iCs/>
          <w:szCs w:val="16"/>
        </w:rPr>
        <w:t>Mexico – Anti</w:t>
      </w:r>
      <w:r w:rsidRPr="00244CCE">
        <w:rPr>
          <w:i/>
          <w:iCs/>
          <w:szCs w:val="16"/>
        </w:rPr>
        <w:noBreakHyphen/>
        <w:t>Dumping Measures on Rice</w:t>
      </w:r>
      <w:r w:rsidRPr="00244CCE">
        <w:rPr>
          <w:szCs w:val="16"/>
        </w:rPr>
        <w:t>, para. 293))</w:t>
      </w:r>
    </w:p>
  </w:footnote>
  <w:footnote w:id="156">
    <w:p w14:paraId="29E4F89C" w14:textId="0D43C708"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xml:space="preserve">, para. 7.174 (referring to Panel Report, </w:t>
      </w:r>
      <w:r w:rsidRPr="00244CCE">
        <w:rPr>
          <w:i/>
          <w:iCs/>
          <w:szCs w:val="16"/>
        </w:rPr>
        <w:t>Egypt – Steel Rebar</w:t>
      </w:r>
      <w:r w:rsidRPr="00244CCE">
        <w:rPr>
          <w:szCs w:val="16"/>
        </w:rPr>
        <w:t>, para. 7.155).</w:t>
      </w:r>
    </w:p>
  </w:footnote>
  <w:footnote w:id="157">
    <w:p w14:paraId="50223E48" w14:textId="75984DFB"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7.174.</w:t>
      </w:r>
    </w:p>
  </w:footnote>
  <w:footnote w:id="158">
    <w:p w14:paraId="4CBC202E" w14:textId="19D3C866" w:rsidR="00F73DD3" w:rsidRPr="0011007F" w:rsidRDefault="00F73DD3" w:rsidP="00B010B2">
      <w:pPr>
        <w:pStyle w:val="FootnoteText"/>
      </w:pPr>
      <w:r w:rsidRPr="00F97844">
        <w:rPr>
          <w:rStyle w:val="FootnoteReference"/>
        </w:rPr>
        <w:footnoteRef/>
      </w:r>
      <w:r w:rsidRPr="00F97844">
        <w:t xml:space="preserve"> </w:t>
      </w:r>
      <w:r w:rsidRPr="0011007F">
        <w:t>Panel Report, paras. 7.157</w:t>
      </w:r>
      <w:r w:rsidRPr="0011007F">
        <w:noBreakHyphen/>
        <w:t>7.160.</w:t>
      </w:r>
    </w:p>
  </w:footnote>
  <w:footnote w:id="159">
    <w:p w14:paraId="682B5E40" w14:textId="2DE4389A" w:rsidR="00F73DD3" w:rsidRPr="00244CCE" w:rsidRDefault="00F73DD3" w:rsidP="00B010B2">
      <w:pPr>
        <w:pStyle w:val="FootnoteText"/>
      </w:pPr>
      <w:r w:rsidRPr="00F97844">
        <w:rPr>
          <w:rStyle w:val="FootnoteReference"/>
        </w:rPr>
        <w:footnoteRef/>
      </w:r>
      <w:r w:rsidRPr="00F97844">
        <w:t xml:space="preserve"> </w:t>
      </w:r>
      <w:r w:rsidRPr="0011007F">
        <w:t>Panel Report, paras. 7.162</w:t>
      </w:r>
      <w:r w:rsidRPr="0011007F">
        <w:noBreakHyphen/>
        <w:t xml:space="preserve">7.163. </w:t>
      </w:r>
      <w:r w:rsidRPr="00F97844">
        <w:t xml:space="preserve">While the USDOC examined the </w:t>
      </w:r>
      <w:r w:rsidRPr="00244CCE">
        <w:t>accounts relating to the discovered assistance, it refused to accept onto the record any of the information contained in the accounts concerning the nature or value of the assistance. (</w:t>
      </w:r>
      <w:r w:rsidRPr="00244CCE">
        <w:rPr>
          <w:szCs w:val="16"/>
        </w:rPr>
        <w:t>Panel Report, para. 7.163)</w:t>
      </w:r>
    </w:p>
  </w:footnote>
  <w:footnote w:id="160">
    <w:p w14:paraId="62CB9969" w14:textId="7EE09EEE" w:rsidR="00F73DD3" w:rsidRPr="00F97844" w:rsidRDefault="00F73DD3" w:rsidP="00B010B2">
      <w:pPr>
        <w:pStyle w:val="FootnoteText"/>
      </w:pPr>
      <w:r w:rsidRPr="00F97844">
        <w:rPr>
          <w:rStyle w:val="FootnoteReference"/>
        </w:rPr>
        <w:footnoteRef/>
      </w:r>
      <w:r w:rsidRPr="00F97844">
        <w:t xml:space="preserve"> Panel Report, para. 7.165.</w:t>
      </w:r>
    </w:p>
  </w:footnote>
  <w:footnote w:id="161">
    <w:p w14:paraId="37C93B05" w14:textId="412A6C8F"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w:t>
      </w:r>
      <w:r w:rsidRPr="00244CCE">
        <w:rPr>
          <w:szCs w:val="16"/>
        </w:rPr>
        <w:t> Report, para. 7.175. Given that "</w:t>
      </w:r>
      <w:r w:rsidRPr="00244CCE">
        <w:t>[t]he parties to these proceedings are in agreement that new programmes may be added to an investigation when they are discovered during that investigation", the Panel stated that this question is not addressed in the Panel Report. (Ibid.)</w:t>
      </w:r>
    </w:p>
  </w:footnote>
  <w:footnote w:id="162">
    <w:p w14:paraId="3DE9FB8B" w14:textId="74DF3302" w:rsidR="00F73DD3" w:rsidRPr="0011007F" w:rsidRDefault="00F73DD3" w:rsidP="00B010B2">
      <w:pPr>
        <w:pStyle w:val="FootnoteText"/>
      </w:pPr>
      <w:r w:rsidRPr="00F97844">
        <w:rPr>
          <w:rStyle w:val="FootnoteReference"/>
        </w:rPr>
        <w:footnoteRef/>
      </w:r>
      <w:r w:rsidRPr="00F97844">
        <w:t xml:space="preserve"> </w:t>
      </w:r>
      <w:r w:rsidRPr="0011007F">
        <w:t>Panel Report, para. 7.175.</w:t>
      </w:r>
    </w:p>
  </w:footnote>
  <w:footnote w:id="163">
    <w:p w14:paraId="5463DD56" w14:textId="142F1BCC"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w:t>
      </w:r>
      <w:r w:rsidRPr="00244CCE">
        <w:rPr>
          <w:szCs w:val="16"/>
        </w:rPr>
        <w:t> Report, para. 7.176 (referring to Supercalendered Paper from Canada 2015, I&amp;D Memo (Panel Exhibit CAN</w:t>
      </w:r>
      <w:r w:rsidRPr="00244CCE">
        <w:rPr>
          <w:szCs w:val="16"/>
        </w:rPr>
        <w:noBreakHyphen/>
        <w:t>37) p. 30 ("For the subsidies discovered at Resolute's verification, we have identified the remaining two programs that we find, as AFA, to provide a financial contribution, to be specific, and to confer a benefit[.]") and p. 153 ("[W]e find that Resolute failed to provide information regarding this assistance discovered at verification, and thus, [S]ection 776(a)(2)(B) of the Act applies. We further find that … Resolute failed to cooperate[.] … Thus, pursuant to Section 776(b) of the Act, we are determining, as AFA, that the unreported assistance in question is countervailable.")).</w:t>
      </w:r>
    </w:p>
  </w:footnote>
  <w:footnote w:id="164">
    <w:p w14:paraId="162EFDEB" w14:textId="2F9A1CE6"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7.177.</w:t>
      </w:r>
    </w:p>
  </w:footnote>
  <w:footnote w:id="165">
    <w:p w14:paraId="23CFD366" w14:textId="3CD908F2"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xml:space="preserve">, para. 7.177. </w:t>
      </w:r>
    </w:p>
  </w:footnote>
  <w:footnote w:id="166">
    <w:p w14:paraId="76EDBE47" w14:textId="395C1B56"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7.177.</w:t>
      </w:r>
    </w:p>
  </w:footnote>
  <w:footnote w:id="167">
    <w:p w14:paraId="19A99BE9" w14:textId="4C49E53E" w:rsidR="00F73DD3" w:rsidRPr="0011007F" w:rsidRDefault="00F73DD3" w:rsidP="00B010B2">
      <w:pPr>
        <w:pStyle w:val="FootnoteText"/>
      </w:pPr>
      <w:r w:rsidRPr="00F97844">
        <w:rPr>
          <w:rStyle w:val="FootnoteReference"/>
        </w:rPr>
        <w:footnoteRef/>
      </w:r>
      <w:r w:rsidRPr="00F97844">
        <w:t xml:space="preserve"> </w:t>
      </w:r>
      <w:r w:rsidRPr="0011007F">
        <w:t>The Panel noted that Canada itself conceded that "</w:t>
      </w:r>
      <w:r w:rsidRPr="00F97844">
        <w:rPr>
          <w:szCs w:val="16"/>
        </w:rPr>
        <w:t>[t</w:t>
      </w:r>
      <w:r w:rsidRPr="00244CCE">
        <w:rPr>
          <w:szCs w:val="16"/>
        </w:rPr>
        <w:t>]he formulation of a question cannot, in and of itself, violate the requirements of the SCM Agreement." (Panel Report, para. 7.181, quoting Canada's response to Panel question No. 75, para. 164)</w:t>
      </w:r>
    </w:p>
  </w:footnote>
  <w:footnote w:id="168">
    <w:p w14:paraId="1ACF05B3" w14:textId="0EA53325"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7.181.</w:t>
      </w:r>
    </w:p>
  </w:footnote>
  <w:footnote w:id="169">
    <w:p w14:paraId="131A6585" w14:textId="44593AB4"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7.181.</w:t>
      </w:r>
    </w:p>
  </w:footnote>
  <w:footnote w:id="170">
    <w:p w14:paraId="76B54959" w14:textId="4D1BD029" w:rsidR="00F73DD3" w:rsidRPr="0011007F" w:rsidRDefault="00F73DD3" w:rsidP="00B010B2">
      <w:pPr>
        <w:pStyle w:val="FootnoteText"/>
      </w:pPr>
      <w:r w:rsidRPr="00F97844">
        <w:rPr>
          <w:rStyle w:val="FootnoteReference"/>
        </w:rPr>
        <w:footnoteRef/>
      </w:r>
      <w:r w:rsidRPr="00F97844">
        <w:t xml:space="preserve"> </w:t>
      </w:r>
      <w:r w:rsidRPr="0011007F">
        <w:t>Panel Report, paras. 7.182 and 7.185.</w:t>
      </w:r>
    </w:p>
  </w:footnote>
  <w:footnote w:id="171">
    <w:p w14:paraId="23CBD7B7" w14:textId="5EC45A33"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7.185.</w:t>
      </w:r>
    </w:p>
  </w:footnote>
  <w:footnote w:id="172">
    <w:p w14:paraId="5E1F4F09" w14:textId="53EE463B"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7.185.</w:t>
      </w:r>
    </w:p>
  </w:footnote>
  <w:footnote w:id="173">
    <w:p w14:paraId="7227F804" w14:textId="30781BE8"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7.333.</w:t>
      </w:r>
    </w:p>
  </w:footnote>
  <w:footnote w:id="174">
    <w:p w14:paraId="026292F0" w14:textId="0C95F239"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w:t>
      </w:r>
      <w:r w:rsidRPr="00244CCE">
        <w:rPr>
          <w:szCs w:val="16"/>
        </w:rPr>
        <w:t> Report, para. 7.333.</w:t>
      </w:r>
    </w:p>
  </w:footnote>
  <w:footnote w:id="175">
    <w:p w14:paraId="1AABC0CE" w14:textId="56A230D0"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7.333.</w:t>
      </w:r>
    </w:p>
  </w:footnote>
  <w:footnote w:id="176">
    <w:p w14:paraId="4A105A7B" w14:textId="5039D4DB"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7.333.</w:t>
      </w:r>
    </w:p>
  </w:footnote>
  <w:footnote w:id="177">
    <w:p w14:paraId="1CFDAA6C" w14:textId="7E119743" w:rsidR="00F73DD3" w:rsidRPr="00244CCE" w:rsidRDefault="00F73DD3">
      <w:pPr>
        <w:pStyle w:val="FootnoteText"/>
      </w:pPr>
      <w:r w:rsidRPr="00F97844">
        <w:rPr>
          <w:rStyle w:val="FootnoteReference"/>
        </w:rPr>
        <w:footnoteRef/>
      </w:r>
      <w:r w:rsidRPr="00F97844">
        <w:t xml:space="preserve"> Panel Report, para. 7.333. The Panel </w:t>
      </w:r>
      <w:r w:rsidRPr="00244CCE">
        <w:t>noted that Canada had brought additional challenges to the OFA</w:t>
      </w:r>
      <w:r w:rsidRPr="00244CCE">
        <w:noBreakHyphen/>
        <w:t>AFA measure under Articles 10, 11.1</w:t>
      </w:r>
      <w:r w:rsidRPr="00244CCE">
        <w:noBreakHyphen/>
        <w:t>11.3, 11.6, 12.1, and 12.8 of the SCM Agreement. To the Panel, Canada's main concern in bringing these additional claims was to ensure that respondents enjoy certain "procedural safeguards" with respect to subsidy programmes discovered during the course of an investigation. The Panel considered that its finding under Article 12.7 of the SCM Agreement already reflected the type of "procedural safeguards" envisaged by Canada. Thus, the Panel saw no need to separately consider Canada's additional claims. (</w:t>
      </w:r>
      <w:r w:rsidRPr="00244CCE">
        <w:rPr>
          <w:szCs w:val="16"/>
        </w:rPr>
        <w:t>Panel Report, para. 7.334</w:t>
      </w:r>
      <w:r w:rsidRPr="00244CCE">
        <w:t>)</w:t>
      </w:r>
    </w:p>
  </w:footnote>
  <w:footnote w:id="178">
    <w:p w14:paraId="706C01A3" w14:textId="67D0CC14"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w:t>
      </w:r>
      <w:r w:rsidRPr="00244CCE">
        <w:rPr>
          <w:szCs w:val="16"/>
        </w:rPr>
        <w:t>s' appellant's submission, paras. 39</w:t>
      </w:r>
      <w:r w:rsidRPr="00244CCE">
        <w:rPr>
          <w:szCs w:val="16"/>
        </w:rPr>
        <w:noBreakHyphen/>
        <w:t>48.</w:t>
      </w:r>
    </w:p>
  </w:footnote>
  <w:footnote w:id="179">
    <w:p w14:paraId="7A87CC10" w14:textId="49EC5DE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Canada's appellee's submission, paras. </w:t>
      </w:r>
      <w:r w:rsidRPr="00244CCE">
        <w:rPr>
          <w:szCs w:val="16"/>
        </w:rPr>
        <w:t>63</w:t>
      </w:r>
      <w:r w:rsidRPr="00244CCE">
        <w:rPr>
          <w:szCs w:val="16"/>
        </w:rPr>
        <w:noBreakHyphen/>
        <w:t>85.</w:t>
      </w:r>
    </w:p>
  </w:footnote>
  <w:footnote w:id="180">
    <w:p w14:paraId="46AC79C6" w14:textId="6DD59E1B" w:rsidR="00F73DD3" w:rsidRPr="00244CCE" w:rsidRDefault="00F73DD3" w:rsidP="00B010B2">
      <w:pPr>
        <w:pStyle w:val="FootnoteText"/>
        <w:keepLines/>
        <w:rPr>
          <w:szCs w:val="16"/>
        </w:rPr>
      </w:pPr>
      <w:r w:rsidRPr="00F97844">
        <w:rPr>
          <w:rStyle w:val="FootnoteReference"/>
          <w:szCs w:val="16"/>
        </w:rPr>
        <w:footnoteRef/>
      </w:r>
      <w:r w:rsidRPr="00F97844">
        <w:rPr>
          <w:szCs w:val="16"/>
        </w:rPr>
        <w:t xml:space="preserve"> Appellate Body</w:t>
      </w:r>
      <w:r w:rsidRPr="00244CCE">
        <w:rPr>
          <w:szCs w:val="16"/>
        </w:rPr>
        <w:t xml:space="preserve"> Reports, </w:t>
      </w:r>
      <w:r w:rsidRPr="00244CCE">
        <w:rPr>
          <w:i/>
          <w:szCs w:val="16"/>
        </w:rPr>
        <w:t>US – Carbon Steel</w:t>
      </w:r>
      <w:r w:rsidRPr="00244CCE">
        <w:rPr>
          <w:szCs w:val="16"/>
        </w:rPr>
        <w:t>,</w:t>
      </w:r>
      <w:r w:rsidRPr="00244CCE">
        <w:rPr>
          <w:i/>
          <w:szCs w:val="16"/>
        </w:rPr>
        <w:t xml:space="preserve"> </w:t>
      </w:r>
      <w:r w:rsidRPr="00244CCE">
        <w:rPr>
          <w:szCs w:val="16"/>
        </w:rPr>
        <w:t>para. </w:t>
      </w:r>
      <w:r w:rsidRPr="00B33337">
        <w:rPr>
          <w:szCs w:val="16"/>
          <w:lang w:val="es-ES"/>
        </w:rPr>
        <w:t xml:space="preserve">4.194; </w:t>
      </w:r>
      <w:r w:rsidRPr="00B33337">
        <w:rPr>
          <w:i/>
          <w:szCs w:val="16"/>
          <w:lang w:val="es-ES"/>
        </w:rPr>
        <w:t>Mexico – Corn Syrup (Article 21.5 – US)</w:t>
      </w:r>
      <w:r w:rsidRPr="00B33337">
        <w:rPr>
          <w:szCs w:val="16"/>
          <w:lang w:val="es-ES"/>
        </w:rPr>
        <w:t>, para. </w:t>
      </w:r>
      <w:r w:rsidRPr="00244CCE">
        <w:rPr>
          <w:szCs w:val="16"/>
        </w:rPr>
        <w:t>106.</w:t>
      </w:r>
    </w:p>
  </w:footnote>
  <w:footnote w:id="181">
    <w:p w14:paraId="61C8736D" w14:textId="49E1CBCE"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Appellate Body</w:t>
      </w:r>
      <w:r w:rsidRPr="00244CCE">
        <w:rPr>
          <w:szCs w:val="16"/>
        </w:rPr>
        <w:t xml:space="preserve"> Reports, </w:t>
      </w:r>
      <w:r w:rsidRPr="00244CCE">
        <w:rPr>
          <w:i/>
          <w:szCs w:val="16"/>
        </w:rPr>
        <w:t>US – Carbon Steel</w:t>
      </w:r>
      <w:r w:rsidRPr="00244CCE">
        <w:rPr>
          <w:szCs w:val="16"/>
        </w:rPr>
        <w:t>,</w:t>
      </w:r>
      <w:r w:rsidRPr="00244CCE">
        <w:rPr>
          <w:i/>
          <w:szCs w:val="16"/>
        </w:rPr>
        <w:t xml:space="preserve"> </w:t>
      </w:r>
      <w:r w:rsidRPr="00244CCE">
        <w:rPr>
          <w:szCs w:val="16"/>
        </w:rPr>
        <w:t xml:space="preserve">para. 4.194; </w:t>
      </w:r>
      <w:r w:rsidRPr="00244CCE">
        <w:rPr>
          <w:i/>
          <w:szCs w:val="16"/>
        </w:rPr>
        <w:t>Mexico – Corn Syrup (Article 21.5 – US)</w:t>
      </w:r>
      <w:r w:rsidRPr="00244CCE">
        <w:rPr>
          <w:szCs w:val="16"/>
        </w:rPr>
        <w:t>, para. 106.</w:t>
      </w:r>
    </w:p>
  </w:footnote>
  <w:footnote w:id="182">
    <w:p w14:paraId="6200F5E9" w14:textId="22D60A22"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Appellate Body</w:t>
      </w:r>
      <w:r w:rsidRPr="00244CCE">
        <w:rPr>
          <w:szCs w:val="16"/>
        </w:rPr>
        <w:t xml:space="preserve"> Reports, </w:t>
      </w:r>
      <w:r w:rsidRPr="00244CCE">
        <w:rPr>
          <w:i/>
          <w:szCs w:val="16"/>
        </w:rPr>
        <w:t>US – Carbon Steel</w:t>
      </w:r>
      <w:r w:rsidRPr="00244CCE">
        <w:rPr>
          <w:szCs w:val="16"/>
        </w:rPr>
        <w:t xml:space="preserve">, para. 4.194; </w:t>
      </w:r>
      <w:r w:rsidRPr="00244CCE">
        <w:rPr>
          <w:i/>
          <w:szCs w:val="16"/>
        </w:rPr>
        <w:t>Mexico – Corn Syrup (Article 21.5 – US)</w:t>
      </w:r>
      <w:r w:rsidRPr="00244CCE">
        <w:rPr>
          <w:szCs w:val="16"/>
        </w:rPr>
        <w:t>, para. 108.</w:t>
      </w:r>
    </w:p>
  </w:footnote>
  <w:footnote w:id="183">
    <w:p w14:paraId="0829D595" w14:textId="165E52D8" w:rsidR="00F73DD3" w:rsidRPr="00244CCE" w:rsidRDefault="00F73DD3" w:rsidP="00B010B2">
      <w:pPr>
        <w:pStyle w:val="FootnoteText"/>
      </w:pPr>
      <w:r w:rsidRPr="00F97844">
        <w:rPr>
          <w:rStyle w:val="FootnoteReference"/>
        </w:rPr>
        <w:footnoteRef/>
      </w:r>
      <w:r w:rsidRPr="00F97844">
        <w:t xml:space="preserve"> Appellate</w:t>
      </w:r>
      <w:r w:rsidRPr="00244CCE">
        <w:t xml:space="preserve"> Body Reports, </w:t>
      </w:r>
      <w:r w:rsidRPr="00244CCE">
        <w:rPr>
          <w:i/>
        </w:rPr>
        <w:t>Canada – Wheat Exports and Grain Imports</w:t>
      </w:r>
      <w:r w:rsidRPr="00244CCE">
        <w:t xml:space="preserve">, para. 126; </w:t>
      </w:r>
      <w:r w:rsidRPr="00244CCE">
        <w:rPr>
          <w:i/>
        </w:rPr>
        <w:t>US – Shrimp (Article 21.5 – Malaysia)</w:t>
      </w:r>
      <w:r w:rsidRPr="00244CCE">
        <w:t>, paras. 99</w:t>
      </w:r>
      <w:r w:rsidRPr="00244CCE">
        <w:noBreakHyphen/>
        <w:t>106.</w:t>
      </w:r>
    </w:p>
  </w:footnote>
  <w:footnote w:id="184">
    <w:p w14:paraId="47F35A5E"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 appellant's submission, para. </w:t>
      </w:r>
      <w:r w:rsidRPr="00244CCE">
        <w:rPr>
          <w:szCs w:val="16"/>
        </w:rPr>
        <w:t>43.</w:t>
      </w:r>
    </w:p>
  </w:footnote>
  <w:footnote w:id="185">
    <w:p w14:paraId="5DDEAC8D" w14:textId="606260B0"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Canada's appellee's submission, paras. </w:t>
      </w:r>
      <w:r w:rsidRPr="00244CCE">
        <w:rPr>
          <w:szCs w:val="16"/>
        </w:rPr>
        <w:t>68</w:t>
      </w:r>
      <w:r w:rsidRPr="00244CCE">
        <w:rPr>
          <w:szCs w:val="16"/>
        </w:rPr>
        <w:noBreakHyphen/>
        <w:t>80.</w:t>
      </w:r>
    </w:p>
  </w:footnote>
  <w:footnote w:id="186">
    <w:p w14:paraId="49BBA246" w14:textId="5A50136D" w:rsidR="00F73DD3" w:rsidRPr="00244CCE" w:rsidRDefault="00F73DD3" w:rsidP="00D658FC">
      <w:pPr>
        <w:pStyle w:val="FootnoteText"/>
      </w:pPr>
      <w:r w:rsidRPr="00F97844">
        <w:rPr>
          <w:rStyle w:val="FootnoteReference"/>
        </w:rPr>
        <w:footnoteRef/>
      </w:r>
      <w:r w:rsidRPr="00F97844">
        <w:t xml:space="preserve"> Panel Report, paras. 7.3</w:t>
      </w:r>
      <w:r w:rsidRPr="00244CCE">
        <w:t>01</w:t>
      </w:r>
      <w:r w:rsidRPr="00244CCE">
        <w:noBreakHyphen/>
        <w:t>331.</w:t>
      </w:r>
    </w:p>
  </w:footnote>
  <w:footnote w:id="187">
    <w:p w14:paraId="428E8659"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Canada's appellee's submission, para. </w:t>
      </w:r>
      <w:r w:rsidRPr="00244CCE">
        <w:rPr>
          <w:szCs w:val="16"/>
        </w:rPr>
        <w:t>74.</w:t>
      </w:r>
    </w:p>
  </w:footnote>
  <w:footnote w:id="188">
    <w:p w14:paraId="70C4D819" w14:textId="0C57BC32"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xml:space="preserve">, fn 623 to para. 7.333, referring to Appellate Body Report, </w:t>
      </w:r>
      <w:r w:rsidRPr="00244CCE">
        <w:rPr>
          <w:i/>
          <w:szCs w:val="16"/>
        </w:rPr>
        <w:t>EC – Tube or Pipe Fittings</w:t>
      </w:r>
      <w:r w:rsidRPr="00244CCE">
        <w:rPr>
          <w:szCs w:val="16"/>
        </w:rPr>
        <w:t xml:space="preserve">, para. 138 (quoting Appellate Body Report, </w:t>
      </w:r>
      <w:r w:rsidRPr="00244CCE">
        <w:rPr>
          <w:i/>
          <w:szCs w:val="16"/>
        </w:rPr>
        <w:t>EC – Bed Linen</w:t>
      </w:r>
      <w:r w:rsidRPr="00244CCE">
        <w:rPr>
          <w:szCs w:val="16"/>
        </w:rPr>
        <w:t xml:space="preserve"> </w:t>
      </w:r>
      <w:r w:rsidRPr="00244CCE">
        <w:rPr>
          <w:i/>
          <w:szCs w:val="16"/>
        </w:rPr>
        <w:t>(Article 21.5 – India)</w:t>
      </w:r>
      <w:r w:rsidRPr="00244CCE">
        <w:rPr>
          <w:szCs w:val="16"/>
        </w:rPr>
        <w:t>, para. 136).</w:t>
      </w:r>
    </w:p>
  </w:footnote>
  <w:footnote w:id="189">
    <w:p w14:paraId="4AA33A22" w14:textId="084F75C6" w:rsidR="00F73DD3" w:rsidRPr="00244CCE" w:rsidRDefault="00F73DD3" w:rsidP="00B010B2">
      <w:pPr>
        <w:pStyle w:val="FootnoteText"/>
      </w:pPr>
      <w:r w:rsidRPr="00F97844">
        <w:rPr>
          <w:rStyle w:val="FootnoteReference"/>
        </w:rPr>
        <w:footnoteRef/>
      </w:r>
      <w:r w:rsidRPr="00F97844">
        <w:t xml:space="preserve"> </w:t>
      </w:r>
      <w:r w:rsidRPr="00F97844">
        <w:rPr>
          <w:szCs w:val="16"/>
        </w:rPr>
        <w:t>European Union's third participant's submission, paras. </w:t>
      </w:r>
      <w:r w:rsidRPr="00244CCE">
        <w:rPr>
          <w:szCs w:val="16"/>
        </w:rPr>
        <w:t>29</w:t>
      </w:r>
      <w:r w:rsidRPr="00244CCE">
        <w:rPr>
          <w:szCs w:val="16"/>
        </w:rPr>
        <w:noBreakHyphen/>
        <w:t>30.</w:t>
      </w:r>
    </w:p>
  </w:footnote>
  <w:footnote w:id="190">
    <w:p w14:paraId="72F9F859"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 appellant's submission, para. </w:t>
      </w:r>
      <w:r w:rsidRPr="00244CCE">
        <w:rPr>
          <w:szCs w:val="16"/>
        </w:rPr>
        <w:t>46.</w:t>
      </w:r>
    </w:p>
  </w:footnote>
  <w:footnote w:id="191">
    <w:p w14:paraId="7AB971E7"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Canada's appellee's submission, para. </w:t>
      </w:r>
      <w:r w:rsidRPr="00244CCE">
        <w:rPr>
          <w:szCs w:val="16"/>
        </w:rPr>
        <w:t>83.</w:t>
      </w:r>
    </w:p>
  </w:footnote>
  <w:footnote w:id="192">
    <w:p w14:paraId="3753A99F"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xml:space="preserve">' appellant's submission, para. 46. </w:t>
      </w:r>
    </w:p>
  </w:footnote>
  <w:footnote w:id="193">
    <w:p w14:paraId="1F9F1899"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 45.</w:t>
      </w:r>
    </w:p>
  </w:footnote>
  <w:footnote w:id="194">
    <w:p w14:paraId="357F6546" w14:textId="77777777" w:rsidR="00F73DD3" w:rsidRPr="00244CCE" w:rsidRDefault="00F73DD3" w:rsidP="00B010B2">
      <w:pPr>
        <w:pStyle w:val="FootnoteText"/>
      </w:pPr>
      <w:r w:rsidRPr="00F97844">
        <w:rPr>
          <w:rStyle w:val="FootnoteReference"/>
        </w:rPr>
        <w:footnoteRef/>
      </w:r>
      <w:r w:rsidRPr="00F97844">
        <w:t xml:space="preserve"> </w:t>
      </w:r>
      <w:r w:rsidRPr="00F97844">
        <w:rPr>
          <w:szCs w:val="16"/>
        </w:rPr>
        <w:t>Canada</w:t>
      </w:r>
      <w:r w:rsidRPr="00244CCE">
        <w:rPr>
          <w:szCs w:val="16"/>
        </w:rPr>
        <w:t>'s appellee's submission, para. 79.</w:t>
      </w:r>
    </w:p>
  </w:footnote>
  <w:footnote w:id="195">
    <w:p w14:paraId="735CF10A" w14:textId="1456EAA8"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w:t>
      </w:r>
      <w:r w:rsidRPr="00F97844">
        <w:t xml:space="preserve">We recall </w:t>
      </w:r>
      <w:r w:rsidRPr="00244CCE">
        <w:t xml:space="preserve">that </w:t>
      </w:r>
      <w:r w:rsidRPr="00244CCE">
        <w:rPr>
          <w:iCs/>
        </w:rPr>
        <w:t>Supercalendered Paper from Canada 2015</w:t>
      </w:r>
      <w:r w:rsidRPr="00244CCE">
        <w:t xml:space="preserve"> was one of nine determinations used as evidence of the existence of the OFA</w:t>
      </w:r>
      <w:r w:rsidRPr="00244CCE">
        <w:noBreakHyphen/>
        <w:t>AFA measure.</w:t>
      </w:r>
    </w:p>
  </w:footnote>
  <w:footnote w:id="196">
    <w:p w14:paraId="16C36AF1" w14:textId="244DA60A" w:rsidR="00F73DD3" w:rsidRPr="00F97844" w:rsidRDefault="00F73DD3" w:rsidP="001F3EC1">
      <w:pPr>
        <w:pStyle w:val="FootnoteText"/>
      </w:pPr>
      <w:r w:rsidRPr="00F97844">
        <w:rPr>
          <w:rStyle w:val="FootnoteReference"/>
        </w:rPr>
        <w:footnoteRef/>
      </w:r>
      <w:r w:rsidRPr="00F97844">
        <w:t xml:space="preserve"> Panel Report, para. 7.316.</w:t>
      </w:r>
    </w:p>
  </w:footnote>
  <w:footnote w:id="197">
    <w:p w14:paraId="4F97F8D4" w14:textId="067A0D95"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w:t>
      </w:r>
      <w:r w:rsidRPr="00244CCE">
        <w:rPr>
          <w:szCs w:val="16"/>
        </w:rPr>
        <w:t> States' appellant's submission, paras. 4 and 49</w:t>
      </w:r>
      <w:r w:rsidRPr="00244CCE">
        <w:rPr>
          <w:szCs w:val="16"/>
        </w:rPr>
        <w:noBreakHyphen/>
        <w:t>55.</w:t>
      </w:r>
    </w:p>
  </w:footnote>
  <w:footnote w:id="198">
    <w:p w14:paraId="1431C1F2" w14:textId="0B91ABCC"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paras. 4 and 56</w:t>
      </w:r>
      <w:r w:rsidRPr="00244CCE">
        <w:rPr>
          <w:szCs w:val="16"/>
        </w:rPr>
        <w:noBreakHyphen/>
        <w:t>65.</w:t>
      </w:r>
    </w:p>
  </w:footnote>
  <w:footnote w:id="199">
    <w:p w14:paraId="53EA2E17" w14:textId="1E1904C0"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paras. 4 and 66</w:t>
      </w:r>
      <w:r w:rsidRPr="00244CCE">
        <w:rPr>
          <w:szCs w:val="16"/>
        </w:rPr>
        <w:noBreakHyphen/>
        <w:t>79.</w:t>
      </w:r>
    </w:p>
  </w:footnote>
  <w:footnote w:id="200">
    <w:p w14:paraId="59F705A4" w14:textId="6B65E1FA" w:rsidR="00F73DD3" w:rsidRPr="00244CCE" w:rsidRDefault="00F73DD3" w:rsidP="00B010B2">
      <w:pPr>
        <w:pStyle w:val="FootnoteText"/>
      </w:pPr>
      <w:r w:rsidRPr="00F97844">
        <w:rPr>
          <w:rStyle w:val="FootnoteReference"/>
        </w:rPr>
        <w:footnoteRef/>
      </w:r>
      <w:r w:rsidRPr="00F97844">
        <w:t xml:space="preserve"> Canada </w:t>
      </w:r>
      <w:r w:rsidRPr="00244CCE">
        <w:t>does not contest the USDOC's right to ask the OFA question, either on appeal or before the Panel. (</w:t>
      </w:r>
      <w:r w:rsidRPr="00244CCE">
        <w:rPr>
          <w:szCs w:val="16"/>
        </w:rPr>
        <w:t>Panel Report, para. 7.181; Canada's appellee's submission, fn 149 to para. 117; response to Panel question No. 75, para. 164) Consequently, w</w:t>
      </w:r>
      <w:r w:rsidRPr="00244CCE">
        <w:t xml:space="preserve">e neither examine this issue nor make any findings in relation to it. </w:t>
      </w:r>
      <w:r w:rsidRPr="00244CCE">
        <w:rPr>
          <w:szCs w:val="16"/>
        </w:rPr>
        <w:t xml:space="preserve">As noted by the </w:t>
      </w:r>
      <w:r w:rsidRPr="00244CCE">
        <w:t>European Union, the right to ask questions and the conclusions that may be drawn from answers are distinct issues. (</w:t>
      </w:r>
      <w:r w:rsidRPr="00244CCE">
        <w:rPr>
          <w:szCs w:val="16"/>
        </w:rPr>
        <w:t>European Union's third participant's submission, para. 34)</w:t>
      </w:r>
    </w:p>
  </w:footnote>
  <w:footnote w:id="201">
    <w:p w14:paraId="74A043E2" w14:textId="37F68D42"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paras. 49</w:t>
      </w:r>
      <w:r w:rsidRPr="00244CCE">
        <w:rPr>
          <w:szCs w:val="16"/>
        </w:rPr>
        <w:noBreakHyphen/>
        <w:t>55.</w:t>
      </w:r>
    </w:p>
  </w:footnote>
  <w:footnote w:id="202">
    <w:p w14:paraId="4359371A" w14:textId="7BEB4471"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Canada's appellee's submission, para</w:t>
      </w:r>
      <w:r w:rsidRPr="00244CCE">
        <w:rPr>
          <w:szCs w:val="16"/>
        </w:rPr>
        <w:t>s. 86</w:t>
      </w:r>
      <w:r w:rsidRPr="00244CCE">
        <w:rPr>
          <w:szCs w:val="16"/>
        </w:rPr>
        <w:noBreakHyphen/>
        <w:t>96.</w:t>
      </w:r>
    </w:p>
  </w:footnote>
  <w:footnote w:id="203">
    <w:p w14:paraId="50A3BFFA" w14:textId="7F413299" w:rsidR="00F73DD3" w:rsidRPr="00244CCE" w:rsidRDefault="00F73DD3" w:rsidP="00B010B2">
      <w:pPr>
        <w:pStyle w:val="FootnoteText"/>
      </w:pPr>
      <w:r w:rsidRPr="00F97844">
        <w:rPr>
          <w:rStyle w:val="FootnoteReference"/>
        </w:rPr>
        <w:footnoteRef/>
      </w:r>
      <w:r w:rsidRPr="00F97844">
        <w:t xml:space="preserve"> We note that, regardless of the particular grounds that justify recourse to Article 12.7, "</w:t>
      </w:r>
      <w:r w:rsidRPr="00244CCE">
        <w:t>facts available" may be used "solely for the purpose of replacing information that may be missing, in order to arrive at an accurate subsidization or injury determination". (</w:t>
      </w:r>
      <w:r w:rsidRPr="00244CCE">
        <w:rPr>
          <w:szCs w:val="16"/>
        </w:rPr>
        <w:t xml:space="preserve">Appellate Body Report, </w:t>
      </w:r>
      <w:r w:rsidRPr="00244CCE">
        <w:rPr>
          <w:i/>
          <w:szCs w:val="16"/>
        </w:rPr>
        <w:t>Mexico – Anti</w:t>
      </w:r>
      <w:r w:rsidRPr="00244CCE">
        <w:rPr>
          <w:i/>
          <w:szCs w:val="16"/>
        </w:rPr>
        <w:noBreakHyphen/>
        <w:t>Dumping Measures on Rice</w:t>
      </w:r>
      <w:r w:rsidRPr="00244CCE">
        <w:rPr>
          <w:szCs w:val="16"/>
        </w:rPr>
        <w:t xml:space="preserve">, para. 293) </w:t>
      </w:r>
      <w:r w:rsidRPr="00244CCE">
        <w:t>An investigating authority may use only those "facts available" that "'reasonably replace the information that an interested party failed to provide', with a view to arriving at an accurate determination". (</w:t>
      </w:r>
      <w:r w:rsidRPr="00244CCE">
        <w:rPr>
          <w:szCs w:val="16"/>
        </w:rPr>
        <w:t xml:space="preserve">Appellate Body Report, </w:t>
      </w:r>
      <w:r w:rsidRPr="00244CCE">
        <w:rPr>
          <w:i/>
          <w:szCs w:val="16"/>
        </w:rPr>
        <w:t>US – Carbon Steel (India)</w:t>
      </w:r>
      <w:r w:rsidRPr="00244CCE">
        <w:rPr>
          <w:szCs w:val="16"/>
        </w:rPr>
        <w:t xml:space="preserve">, para. 4.416 (quoting Appellate Body Report, </w:t>
      </w:r>
      <w:r w:rsidRPr="00244CCE">
        <w:rPr>
          <w:i/>
          <w:szCs w:val="16"/>
        </w:rPr>
        <w:t>Mexico – Anti</w:t>
      </w:r>
      <w:r w:rsidRPr="00244CCE">
        <w:rPr>
          <w:i/>
          <w:szCs w:val="16"/>
        </w:rPr>
        <w:noBreakHyphen/>
        <w:t>Dumping Measures on Rice</w:t>
      </w:r>
      <w:r w:rsidRPr="00244CCE">
        <w:rPr>
          <w:szCs w:val="16"/>
        </w:rPr>
        <w:t xml:space="preserve">, para. 294) (emphasis omitted)) See also Japan's third participant's submission, para. 11 (referring to Appellate Body Report, </w:t>
      </w:r>
      <w:r w:rsidRPr="00244CCE">
        <w:rPr>
          <w:i/>
          <w:szCs w:val="16"/>
        </w:rPr>
        <w:t>US – Carbon Steel (India)</w:t>
      </w:r>
      <w:r w:rsidRPr="0011007F">
        <w:rPr>
          <w:szCs w:val="16"/>
        </w:rPr>
        <w:t>,</w:t>
      </w:r>
      <w:r w:rsidRPr="00F97844">
        <w:rPr>
          <w:szCs w:val="16"/>
        </w:rPr>
        <w:t xml:space="preserve"> paras. 4.419 and</w:t>
      </w:r>
      <w:r w:rsidRPr="00244CCE">
        <w:rPr>
          <w:szCs w:val="16"/>
        </w:rPr>
        <w:t xml:space="preserve"> 4.422); Brazil's third participant's submission, para. 6.</w:t>
      </w:r>
    </w:p>
  </w:footnote>
  <w:footnote w:id="204">
    <w:p w14:paraId="3508CA5D"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 55.</w:t>
      </w:r>
    </w:p>
  </w:footnote>
  <w:footnote w:id="205">
    <w:p w14:paraId="2D4824E2" w14:textId="7777777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 53.</w:t>
      </w:r>
    </w:p>
  </w:footnote>
  <w:footnote w:id="206">
    <w:p w14:paraId="43BBB670" w14:textId="215391BE"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7.316.</w:t>
      </w:r>
    </w:p>
  </w:footnote>
  <w:footnote w:id="207">
    <w:p w14:paraId="1352B358" w14:textId="3E9B24BD" w:rsidR="00F73DD3" w:rsidRPr="00244CCE" w:rsidRDefault="00F73DD3" w:rsidP="00B010B2">
      <w:pPr>
        <w:pStyle w:val="FootnoteText"/>
        <w:rPr>
          <w:b/>
          <w:szCs w:val="16"/>
        </w:rPr>
      </w:pPr>
      <w:r w:rsidRPr="00F97844">
        <w:rPr>
          <w:rStyle w:val="FootnoteReference"/>
          <w:szCs w:val="16"/>
        </w:rPr>
        <w:footnoteRef/>
      </w:r>
      <w:r w:rsidRPr="00F97844">
        <w:rPr>
          <w:szCs w:val="16"/>
        </w:rPr>
        <w:t xml:space="preserve"> I</w:t>
      </w:r>
      <w:r w:rsidRPr="00244CCE">
        <w:rPr>
          <w:szCs w:val="16"/>
        </w:rPr>
        <w:t>n analysing the specific instance of the OFA</w:t>
      </w:r>
      <w:r w:rsidRPr="00244CCE">
        <w:rPr>
          <w:szCs w:val="16"/>
        </w:rPr>
        <w:noBreakHyphen/>
        <w:t>AFA measure in Supercalendered Paper from Canada 2015, the Panel considered that "the disagreement between the parties concerns 'refus[ing] access to, or otherwise … not provid[ing], necessary information within a reasonable period', rather than 'significantly imped[ing] the investigation'". (Panel Report, para. 7.173) In relation to the other determinations used to evidence the OFA</w:t>
      </w:r>
      <w:r w:rsidRPr="00244CCE">
        <w:rPr>
          <w:szCs w:val="16"/>
        </w:rPr>
        <w:noBreakHyphen/>
        <w:t xml:space="preserve">AFA measure, see Panel Report, para. 7.313, table 2. </w:t>
      </w:r>
    </w:p>
  </w:footnote>
  <w:footnote w:id="208">
    <w:p w14:paraId="66B6E379" w14:textId="263389D2"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 articulated the precise content of the OFA</w:t>
      </w:r>
      <w:r w:rsidRPr="00F97844">
        <w:rPr>
          <w:szCs w:val="16"/>
        </w:rPr>
        <w:noBreakHyphen/>
      </w:r>
      <w:r w:rsidRPr="00244CCE">
        <w:rPr>
          <w:szCs w:val="16"/>
        </w:rPr>
        <w:t>AFA measure in its first written submission to the Panel as follows:</w:t>
      </w:r>
    </w:p>
    <w:p w14:paraId="1141951E" w14:textId="4642703E" w:rsidR="00F73DD3" w:rsidRPr="00244CCE" w:rsidRDefault="00F73DD3" w:rsidP="00B010B2">
      <w:pPr>
        <w:pStyle w:val="FootnoteText"/>
        <w:ind w:left="567" w:firstLine="0"/>
        <w:rPr>
          <w:szCs w:val="16"/>
        </w:rPr>
      </w:pPr>
      <w:r w:rsidRPr="00244CCE">
        <w:rPr>
          <w:szCs w:val="16"/>
        </w:rPr>
        <w:t>Since 2012, [the USDOC] has applied its Other Forms of Assistance–AFA measure to countervail dozens of alleged subsidy programs in six different investigations or reviews. In these investigations and reviews, [the USDOC] asked the "other forms of assistance" question, then "discovered" information at verification that it deemed responsive to the "other forms of assistance" question, but that was undisclosed, and then applied AFA without making any factual determination of whether the elements of a countervailable subsidy had been met or assessing whether the information was "necessary information" related to the allegations it was investigating.</w:t>
      </w:r>
    </w:p>
    <w:p w14:paraId="1C02528D" w14:textId="77777777" w:rsidR="00F73DD3" w:rsidRPr="00244CCE" w:rsidRDefault="00F73DD3" w:rsidP="00E61B7D">
      <w:pPr>
        <w:pStyle w:val="FootnoteText"/>
        <w:ind w:firstLine="0"/>
        <w:rPr>
          <w:szCs w:val="16"/>
        </w:rPr>
      </w:pPr>
      <w:r w:rsidRPr="00244CCE">
        <w:rPr>
          <w:szCs w:val="16"/>
        </w:rPr>
        <w:t>(Canada's first written submission to the Panel, para. 409)</w:t>
      </w:r>
    </w:p>
  </w:footnote>
  <w:footnote w:id="209">
    <w:p w14:paraId="2025BCF9" w14:textId="7DD8E285"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See the United States</w:t>
      </w:r>
      <w:r w:rsidRPr="00244CCE">
        <w:rPr>
          <w:szCs w:val="16"/>
        </w:rPr>
        <w:t>' first written submission to the Panel, paras. 176, 203</w:t>
      </w:r>
      <w:r w:rsidRPr="00244CCE">
        <w:rPr>
          <w:szCs w:val="16"/>
        </w:rPr>
        <w:noBreakHyphen/>
        <w:t>209, and 364; second written submission to the Panel, para. 82. We note that, only in relation to Supercalendered Paper from Canada 2015, the United States argued that "Canada's arguments do not address the fundamental fact that Resolute impeded the investigation by failing to fully answer [the USDOC's] question concerning 'any other forms of assistance.'" (United States' first written submission to the Panel, para. 203) As articulated by the United States, however, the issue of Resolute impeding the investigation was evidence that the undisclosed information was necessary, not that the use of "facts available" had been triggered by Resolute "significantly impede[ing]" the investigation. As the United States concluded:</w:t>
      </w:r>
    </w:p>
    <w:p w14:paraId="62CF5673" w14:textId="663B204D" w:rsidR="00F73DD3" w:rsidRPr="00244CCE" w:rsidRDefault="00F73DD3" w:rsidP="00B010B2">
      <w:pPr>
        <w:pStyle w:val="FootnoteText"/>
        <w:ind w:left="567" w:firstLine="0"/>
        <w:rPr>
          <w:szCs w:val="16"/>
        </w:rPr>
      </w:pPr>
      <w:r w:rsidRPr="00244CCE">
        <w:rPr>
          <w:szCs w:val="16"/>
        </w:rPr>
        <w:t xml:space="preserve">By not divulging the receipt of the unreported assistance prior to the commencement of verification, Resolute precluded this unreported assistance from being "verifiable" and </w:t>
      </w:r>
      <w:r w:rsidRPr="00244CCE">
        <w:rPr>
          <w:i/>
          <w:szCs w:val="16"/>
        </w:rPr>
        <w:t>impeded</w:t>
      </w:r>
      <w:r w:rsidRPr="00244CCE">
        <w:rPr>
          <w:szCs w:val="16"/>
        </w:rPr>
        <w:t xml:space="preserve"> the investigation by refusing to provide complete and verifiable answers. </w:t>
      </w:r>
      <w:r w:rsidRPr="00244CCE">
        <w:rPr>
          <w:i/>
          <w:szCs w:val="16"/>
        </w:rPr>
        <w:t>As a result</w:t>
      </w:r>
      <w:r w:rsidRPr="00244CCE">
        <w:rPr>
          <w:szCs w:val="16"/>
        </w:rPr>
        <w:t xml:space="preserve"> of Resolute's failure to respond to [the USDOC's] question, </w:t>
      </w:r>
      <w:r w:rsidRPr="00244CCE">
        <w:rPr>
          <w:i/>
          <w:szCs w:val="16"/>
        </w:rPr>
        <w:t>necessary information was missing from the record</w:t>
      </w:r>
      <w:r w:rsidRPr="00244CCE">
        <w:rPr>
          <w:szCs w:val="16"/>
        </w:rPr>
        <w:t xml:space="preserve"> of the investigation which prevented [the USDOC] from analyzing the relevant facts concerning the element of benefit.</w:t>
      </w:r>
    </w:p>
    <w:p w14:paraId="47346A3F" w14:textId="735FDDC1" w:rsidR="00F73DD3" w:rsidRPr="00244CCE" w:rsidRDefault="00F73DD3" w:rsidP="00B010B2">
      <w:pPr>
        <w:pStyle w:val="FootnoteText"/>
        <w:ind w:firstLine="0"/>
        <w:rPr>
          <w:szCs w:val="16"/>
        </w:rPr>
      </w:pPr>
      <w:r w:rsidRPr="00244CCE">
        <w:rPr>
          <w:szCs w:val="16"/>
        </w:rPr>
        <w:t>(United States' first written submission to the Panel, para. 209) (fn omitted; emphasis added)</w:t>
      </w:r>
    </w:p>
  </w:footnote>
  <w:footnote w:id="210">
    <w:p w14:paraId="766E5DFD" w14:textId="4E71B344" w:rsidR="00F73DD3" w:rsidRPr="00244CCE" w:rsidRDefault="00F73DD3">
      <w:pPr>
        <w:pStyle w:val="FootnoteText"/>
      </w:pPr>
      <w:r w:rsidRPr="00F97844">
        <w:rPr>
          <w:rStyle w:val="FootnoteReference"/>
        </w:rPr>
        <w:footnoteRef/>
      </w:r>
      <w:r w:rsidRPr="00F97844">
        <w:t xml:space="preserve"> On this basis,</w:t>
      </w:r>
      <w:r w:rsidRPr="00244CCE">
        <w:t xml:space="preserve"> we do not consider it necessary to address the United States' argument that </w:t>
      </w:r>
      <w:r w:rsidRPr="00244CCE">
        <w:rPr>
          <w:szCs w:val="20"/>
        </w:rPr>
        <w:t>a failure to answer the OFA question could constitute significant impedance of an investigation under Article 12.7 of the SCM Agreement</w:t>
      </w:r>
      <w:r w:rsidRPr="00244CCE">
        <w:t>. (</w:t>
      </w:r>
      <w:r w:rsidRPr="00244CCE">
        <w:rPr>
          <w:szCs w:val="16"/>
        </w:rPr>
        <w:t>United States' appellant's submission, para. 53)</w:t>
      </w:r>
    </w:p>
  </w:footnote>
  <w:footnote w:id="211">
    <w:p w14:paraId="40DCBF04" w14:textId="45DB82C9"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paras. 56</w:t>
      </w:r>
      <w:r w:rsidRPr="00244CCE">
        <w:rPr>
          <w:szCs w:val="16"/>
        </w:rPr>
        <w:noBreakHyphen/>
        <w:t>65.</w:t>
      </w:r>
    </w:p>
  </w:footnote>
  <w:footnote w:id="212">
    <w:p w14:paraId="6F98C4E8" w14:textId="45AE34E1" w:rsidR="00F73DD3" w:rsidRPr="00244CCE" w:rsidRDefault="00F73DD3" w:rsidP="00B010B2">
      <w:pPr>
        <w:pStyle w:val="FootnoteText"/>
      </w:pPr>
      <w:r w:rsidRPr="00F97844">
        <w:rPr>
          <w:rStyle w:val="FootnoteReference"/>
        </w:rPr>
        <w:footnoteRef/>
      </w:r>
      <w:r w:rsidRPr="00F97844">
        <w:t xml:space="preserve"> </w:t>
      </w:r>
      <w:r w:rsidRPr="00F97844">
        <w:rPr>
          <w:szCs w:val="16"/>
        </w:rPr>
        <w:t>United States' appellant'</w:t>
      </w:r>
      <w:r w:rsidRPr="00244CCE">
        <w:rPr>
          <w:szCs w:val="16"/>
        </w:rPr>
        <w:t>s submission, paras. 60-65.</w:t>
      </w:r>
    </w:p>
  </w:footnote>
  <w:footnote w:id="213">
    <w:p w14:paraId="52C6EAEC" w14:textId="05531F9D"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 appellant's submission, para. </w:t>
      </w:r>
      <w:r w:rsidRPr="00244CCE">
        <w:rPr>
          <w:szCs w:val="16"/>
        </w:rPr>
        <w:t>65.</w:t>
      </w:r>
    </w:p>
  </w:footnote>
  <w:footnote w:id="214">
    <w:p w14:paraId="342F3647" w14:textId="4681A10A"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Canada's appellee's submission, paras. </w:t>
      </w:r>
      <w:r w:rsidRPr="00244CCE">
        <w:rPr>
          <w:szCs w:val="16"/>
        </w:rPr>
        <w:t>97</w:t>
      </w:r>
      <w:r w:rsidRPr="00244CCE">
        <w:rPr>
          <w:szCs w:val="16"/>
        </w:rPr>
        <w:noBreakHyphen/>
        <w:t xml:space="preserve">107. Canada submits that </w:t>
      </w:r>
      <w:r w:rsidRPr="00244CCE">
        <w:t>the USDOC considers that the failure to report information "warrants the application of inferences, and through inferences [the USDOC] determines that the unreported other assistance is countervailable". (</w:t>
      </w:r>
      <w:r w:rsidRPr="00244CCE">
        <w:rPr>
          <w:szCs w:val="16"/>
        </w:rPr>
        <w:t>Canada's appellee's submission, para. 102 (emphasis omitted))</w:t>
      </w:r>
    </w:p>
  </w:footnote>
  <w:footnote w:id="215">
    <w:p w14:paraId="124213C5" w14:textId="60F08441" w:rsidR="00F73DD3" w:rsidRPr="00244CCE" w:rsidRDefault="00F73DD3" w:rsidP="00B010B2">
      <w:pPr>
        <w:pStyle w:val="FootnoteText"/>
      </w:pPr>
      <w:r w:rsidRPr="00F97844">
        <w:rPr>
          <w:rStyle w:val="FootnoteReference"/>
        </w:rPr>
        <w:footnoteRef/>
      </w:r>
      <w:r w:rsidRPr="00F97844">
        <w:t xml:space="preserve"> </w:t>
      </w:r>
      <w:r w:rsidRPr="00F97844">
        <w:rPr>
          <w:szCs w:val="16"/>
        </w:rPr>
        <w:t>Canada's appellee's submission, para.</w:t>
      </w:r>
      <w:r w:rsidRPr="00244CCE">
        <w:rPr>
          <w:szCs w:val="16"/>
        </w:rPr>
        <w:t> 101. Canada refers to a number of examples where the USDOC described its conduct as an "inference". (Canada's appellee's submission, paras. 101</w:t>
      </w:r>
      <w:r w:rsidRPr="00244CCE">
        <w:rPr>
          <w:szCs w:val="16"/>
        </w:rPr>
        <w:noBreakHyphen/>
        <w:t>104 (quoting USDOC NAFTA Brief</w:t>
      </w:r>
      <w:r w:rsidRPr="00244CCE">
        <w:t xml:space="preserve"> (Panel Exhibit CAN</w:t>
      </w:r>
      <w:r w:rsidRPr="00244CCE">
        <w:noBreakHyphen/>
        <w:t>76), pp. 147</w:t>
      </w:r>
      <w:r w:rsidRPr="00244CCE">
        <w:noBreakHyphen/>
        <w:t>149; referring to excerpts of Solar Cells from China 2015, Solar Cells from China 2014, Stainless Pressure Pipe from India 2016, and Supercalendered Paper from Canada 2015 contained in para. 7.313, table 2 of the Panel Report))</w:t>
      </w:r>
    </w:p>
  </w:footnote>
  <w:footnote w:id="216">
    <w:p w14:paraId="0BFD151B" w14:textId="4FEF3047"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 7.316.</w:t>
      </w:r>
    </w:p>
  </w:footnote>
  <w:footnote w:id="217">
    <w:p w14:paraId="071F6A8E" w14:textId="5450D36F"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 Report</w:t>
      </w:r>
      <w:r w:rsidRPr="00244CCE">
        <w:rPr>
          <w:szCs w:val="16"/>
        </w:rPr>
        <w:t>, paras. 7.314 and 7.316</w:t>
      </w:r>
      <w:r w:rsidRPr="00244CCE">
        <w:rPr>
          <w:szCs w:val="16"/>
        </w:rPr>
        <w:noBreakHyphen/>
        <w:t>7.317.</w:t>
      </w:r>
    </w:p>
  </w:footnote>
  <w:footnote w:id="218">
    <w:p w14:paraId="5B477079" w14:textId="63008B66" w:rsidR="00F73DD3" w:rsidRPr="00F97844" w:rsidRDefault="00F73DD3" w:rsidP="00B010B2">
      <w:pPr>
        <w:pStyle w:val="FootnoteText"/>
      </w:pPr>
      <w:r w:rsidRPr="00F97844">
        <w:rPr>
          <w:rStyle w:val="FootnoteReference"/>
        </w:rPr>
        <w:footnoteRef/>
      </w:r>
      <w:r w:rsidRPr="00F97844">
        <w:t xml:space="preserve"> Panel Report, para. 7.333. (emphasis original)</w:t>
      </w:r>
    </w:p>
  </w:footnote>
  <w:footnote w:id="219">
    <w:p w14:paraId="5EB2B636" w14:textId="5CBB3968" w:rsidR="00F73DD3" w:rsidRPr="00244CCE" w:rsidRDefault="00F73DD3" w:rsidP="00B010B2">
      <w:pPr>
        <w:pStyle w:val="FootnoteText"/>
      </w:pPr>
      <w:r w:rsidRPr="00F97844">
        <w:rPr>
          <w:rStyle w:val="FootnoteReference"/>
        </w:rPr>
        <w:footnoteRef/>
      </w:r>
      <w:r w:rsidRPr="00F97844">
        <w:t xml:space="preserve"> Although the Panel refers to "information necessary", we do not consider </w:t>
      </w:r>
      <w:r w:rsidRPr="00244CCE">
        <w:t>that this reference limits the Panel's conclusion to the USDOC's determining that "necessary information" had been withheld. Were that the intention of the Panel, the Panel would have simply stated that the USDOC may not infer that the failure to respond fully to the OFA question was a failure to disclose "necessary information". Instead, the Panel stated that the USDOC may not "simply infer" that the respondent failed to provide information necessary to "establish the existence of additional subsidization of the product under investigation". (Panel Report, para. 7.333)</w:t>
      </w:r>
    </w:p>
  </w:footnote>
  <w:footnote w:id="220">
    <w:p w14:paraId="090510CF" w14:textId="4617D82B" w:rsidR="00F73DD3" w:rsidRPr="00244CCE" w:rsidRDefault="00F73DD3" w:rsidP="00B010B2">
      <w:pPr>
        <w:pStyle w:val="FootnoteText"/>
      </w:pPr>
      <w:r w:rsidRPr="00F97844">
        <w:rPr>
          <w:rStyle w:val="FootnoteReference"/>
        </w:rPr>
        <w:footnoteRef/>
      </w:r>
      <w:r w:rsidRPr="00F97844">
        <w:t xml:space="preserve"> The </w:t>
      </w:r>
      <w:r w:rsidRPr="00244CCE">
        <w:t>United States takes issue with the Panel's use of the verb "infer". As noted above, the United States contends that the USDOC made positive determinations that the respondents failed to provide necessary information and then used inferences to fill in the gaps resulting from the missing necessary information. (</w:t>
      </w:r>
      <w:r w:rsidRPr="00244CCE">
        <w:rPr>
          <w:szCs w:val="16"/>
        </w:rPr>
        <w:t>United States' appellant's submission, paras. 57</w:t>
      </w:r>
      <w:r w:rsidRPr="00244CCE">
        <w:rPr>
          <w:szCs w:val="16"/>
        </w:rPr>
        <w:noBreakHyphen/>
        <w:t>60 and 65</w:t>
      </w:r>
      <w:r w:rsidRPr="00244CCE">
        <w:t>) Canada considers that the Panel used the verb "infer" because that is the verb used by the USDOC to refer to its own conduct. (</w:t>
      </w:r>
      <w:r w:rsidRPr="00244CCE">
        <w:rPr>
          <w:szCs w:val="16"/>
        </w:rPr>
        <w:t>Canada's appellee's submission, para. 101</w:t>
      </w:r>
      <w:r w:rsidRPr="00244CCE">
        <w:t>) In our view, it is not determinative in this case whether the decisions made by the USDOC in the OFA</w:t>
      </w:r>
      <w:r w:rsidRPr="00244CCE">
        <w:noBreakHyphen/>
        <w:t>AFA measure are described as "inferences" or "determinations". The key aspect is that the USDOC mechanically concludes that unreported assistance is a countervailable subsidy, after it discovers during verification assistance that it deems should have been reported in response to the OFA question.</w:t>
      </w:r>
    </w:p>
  </w:footnote>
  <w:footnote w:id="221">
    <w:p w14:paraId="22628ADA" w14:textId="1BE73C45"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In relation to the analysis of Resolute, the Panel was even clearer when it stated: "the USDOC </w:t>
      </w:r>
      <w:r w:rsidRPr="00244CCE">
        <w:rPr>
          <w:i/>
          <w:szCs w:val="16"/>
        </w:rPr>
        <w:t>inferred</w:t>
      </w:r>
      <w:r w:rsidRPr="00244CCE">
        <w:rPr>
          <w:szCs w:val="16"/>
        </w:rPr>
        <w:t xml:space="preserve"> that these entries pertained to </w:t>
      </w:r>
      <w:r w:rsidRPr="00244CCE">
        <w:rPr>
          <w:bCs/>
          <w:szCs w:val="16"/>
          <w:u w:val="single"/>
        </w:rPr>
        <w:t>countervailable subsidization</w:t>
      </w:r>
      <w:r w:rsidRPr="00244CCE">
        <w:rPr>
          <w:szCs w:val="16"/>
        </w:rPr>
        <w:t xml:space="preserve"> of [supercalendered] paper, </w:t>
      </w:r>
      <w:r w:rsidRPr="00244CCE">
        <w:rPr>
          <w:bCs/>
          <w:szCs w:val="16"/>
          <w:u w:val="single"/>
        </w:rPr>
        <w:t>without taking any further steps to confirm</w:t>
      </w:r>
      <w:r w:rsidRPr="00244CCE">
        <w:rPr>
          <w:szCs w:val="16"/>
        </w:rPr>
        <w:t xml:space="preserve"> that this was in fact the case and providing a reasoned and adequate explanation to that effect." (Panel Report, para. 7.176 (fns omitted; italics original; underlining added))</w:t>
      </w:r>
    </w:p>
  </w:footnote>
  <w:footnote w:id="222">
    <w:p w14:paraId="397582C5" w14:textId="10FFF1D2" w:rsidR="00F73DD3" w:rsidRPr="00244CCE" w:rsidRDefault="00F73DD3" w:rsidP="00B010B2">
      <w:pPr>
        <w:pStyle w:val="FootnoteText"/>
      </w:pPr>
      <w:r w:rsidRPr="00F97844">
        <w:rPr>
          <w:rStyle w:val="FootnoteReference"/>
        </w:rPr>
        <w:footnoteRef/>
      </w:r>
      <w:r w:rsidRPr="00F97844">
        <w:t xml:space="preserve"> According to the Panel, the "parties to these proceedings are in agreement that new programmes may be added to an investigation when they are discovered during that investigation", "notwithstanding the parties'</w:t>
      </w:r>
      <w:r w:rsidRPr="00244CCE">
        <w:t xml:space="preserve"> disagreement on the procedural steps required to add such programmes to an investigation". (Panel Report, para. 7.175 and fn 300 thereto) Similarly to the Panel, we do not address this question in our Report. (Panel Report, para. 7.175)</w:t>
      </w:r>
    </w:p>
  </w:footnote>
  <w:footnote w:id="223">
    <w:p w14:paraId="6C269488" w14:textId="6E0BF88F" w:rsidR="00F73DD3" w:rsidRPr="00F97844" w:rsidRDefault="00F73DD3" w:rsidP="00B010B2">
      <w:pPr>
        <w:pStyle w:val="FootnoteText"/>
      </w:pPr>
      <w:r w:rsidRPr="00F97844">
        <w:rPr>
          <w:rStyle w:val="FootnoteReference"/>
        </w:rPr>
        <w:footnoteRef/>
      </w:r>
      <w:r w:rsidRPr="00F97844">
        <w:t xml:space="preserve"> Panel Report, para. 7.333.</w:t>
      </w:r>
    </w:p>
  </w:footnote>
  <w:footnote w:id="224">
    <w:p w14:paraId="1F1D24DD" w14:textId="3E2FA09A" w:rsidR="00F73DD3" w:rsidRPr="00244CCE" w:rsidRDefault="00F73DD3" w:rsidP="00B010B2">
      <w:pPr>
        <w:pStyle w:val="FootnoteText"/>
      </w:pPr>
      <w:r w:rsidRPr="00F97844">
        <w:rPr>
          <w:rStyle w:val="FootnoteReference"/>
        </w:rPr>
        <w:footnoteRef/>
      </w:r>
      <w:r w:rsidRPr="00F97844">
        <w:t xml:space="preserve"> The scope of the OFA</w:t>
      </w:r>
      <w:r w:rsidRPr="00244CCE">
        <w:t> question clearly extends to forms of assistance that may not be countervailable subsidies. For example, the USDOC took no additional steps to clarify whether there was any indication that the unreported tax deduction for "wages paid for placement of disabled persons" discovered at verification in Solar Cells from China 2014 was specific to the respondent in that case. (</w:t>
      </w:r>
      <w:r w:rsidRPr="00244CCE">
        <w:rPr>
          <w:szCs w:val="16"/>
        </w:rPr>
        <w:t>Panel Report, para. 7.313, table 2 (quoting Solar Cells from China 2014, I&amp;D Memo (Panel Exhibit CAN</w:t>
      </w:r>
      <w:r w:rsidRPr="00244CCE">
        <w:rPr>
          <w:szCs w:val="16"/>
        </w:rPr>
        <w:noBreakHyphen/>
        <w:t>121), pp. 16</w:t>
      </w:r>
      <w:r w:rsidRPr="00244CCE">
        <w:rPr>
          <w:szCs w:val="16"/>
        </w:rPr>
        <w:noBreakHyphen/>
        <w:t>17)</w:t>
      </w:r>
      <w:r w:rsidRPr="00244CCE">
        <w:t>) Similarly, the USDOC took no additional steps to clarify whether the "bonus for employees from government" identified in the respondent's accounts in Solar Cells from China 2012 was connected to the production of crystalline photovoltaic cells subject to investigation. (</w:t>
      </w:r>
      <w:r w:rsidRPr="00244CCE">
        <w:rPr>
          <w:szCs w:val="16"/>
        </w:rPr>
        <w:t>Panel Report, para. 7.313, table 2 (quoting USDOC, Issues and Decision Memorandum for the Final Determination in the Countervailing Duty Investigation of Crystalline Silicon Photovoltaic Cells, Whether or Not Assembled into Modules, from the People's Republic of China (9 October 2012) (Panel Exhibit CAN</w:t>
      </w:r>
      <w:r w:rsidRPr="00244CCE">
        <w:rPr>
          <w:szCs w:val="16"/>
        </w:rPr>
        <w:noBreakHyphen/>
        <w:t>116, pp. 9</w:t>
      </w:r>
      <w:r w:rsidRPr="00244CCE">
        <w:rPr>
          <w:szCs w:val="16"/>
        </w:rPr>
        <w:noBreakHyphen/>
        <w:t>10))</w:t>
      </w:r>
      <w:r w:rsidRPr="00244CCE">
        <w:t>)</w:t>
      </w:r>
    </w:p>
  </w:footnote>
  <w:footnote w:id="225">
    <w:p w14:paraId="3C1BE4B6" w14:textId="203FF7F2"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paras. 69</w:t>
      </w:r>
      <w:r w:rsidRPr="00244CCE">
        <w:rPr>
          <w:szCs w:val="16"/>
        </w:rPr>
        <w:noBreakHyphen/>
        <w:t>72.</w:t>
      </w:r>
    </w:p>
  </w:footnote>
  <w:footnote w:id="226">
    <w:p w14:paraId="1521FD53" w14:textId="24EC2F37" w:rsidR="00F73DD3" w:rsidRPr="00244CCE" w:rsidRDefault="00F73DD3" w:rsidP="00B010B2">
      <w:pPr>
        <w:pStyle w:val="FootnoteText"/>
      </w:pPr>
      <w:r w:rsidRPr="00F97844">
        <w:rPr>
          <w:rStyle w:val="FootnoteReference"/>
        </w:rPr>
        <w:footnoteRef/>
      </w:r>
      <w:r w:rsidRPr="00F97844">
        <w:t xml:space="preserve"> </w:t>
      </w:r>
      <w:r w:rsidRPr="00F97844">
        <w:rPr>
          <w:szCs w:val="16"/>
        </w:rPr>
        <w:t>United</w:t>
      </w:r>
      <w:r w:rsidRPr="00244CCE">
        <w:rPr>
          <w:szCs w:val="16"/>
        </w:rPr>
        <w:t xml:space="preserve"> States' appellant's submission, para. 69 (referring to Panel Report, </w:t>
      </w:r>
      <w:r w:rsidRPr="00244CCE">
        <w:rPr>
          <w:i/>
          <w:szCs w:val="16"/>
        </w:rPr>
        <w:t>EC – Countervailing Measures on DRAM Chips</w:t>
      </w:r>
      <w:r w:rsidRPr="00244CCE">
        <w:rPr>
          <w:szCs w:val="16"/>
        </w:rPr>
        <w:t>, para. 7.265).</w:t>
      </w:r>
    </w:p>
  </w:footnote>
  <w:footnote w:id="227">
    <w:p w14:paraId="54001F82" w14:textId="77777777" w:rsidR="00F73DD3" w:rsidRPr="00244CCE" w:rsidRDefault="00F73DD3" w:rsidP="00B010B2">
      <w:pPr>
        <w:pStyle w:val="FootnoteText"/>
      </w:pPr>
      <w:r w:rsidRPr="00F97844">
        <w:rPr>
          <w:rStyle w:val="FootnoteReference"/>
        </w:rPr>
        <w:footnoteRef/>
      </w:r>
      <w:r w:rsidRPr="00F97844">
        <w:t xml:space="preserve"> At the hearing, the United States explained that the USDOC reviews the investigation record to confirm that the discovered informat</w:t>
      </w:r>
      <w:r w:rsidRPr="00244CCE">
        <w:t>ion had not been previously reported by the respondent companies. We understand, however, that this review merely confirms that information about the discovered assistance is not present in the record and does not constitute a step towards ascertaining whether "necessary information" has been withheld.</w:t>
      </w:r>
    </w:p>
  </w:footnote>
  <w:footnote w:id="228">
    <w:p w14:paraId="23C5AD92" w14:textId="63ED4D01" w:rsidR="00F73DD3" w:rsidRPr="00244CCE" w:rsidRDefault="00F73DD3" w:rsidP="00B010B2">
      <w:pPr>
        <w:pStyle w:val="FootnoteText"/>
      </w:pPr>
      <w:r w:rsidRPr="00F97844">
        <w:rPr>
          <w:rStyle w:val="FootnoteReference"/>
        </w:rPr>
        <w:footnoteRef/>
      </w:r>
      <w:r w:rsidRPr="00F97844">
        <w:t xml:space="preserve"> Panel Report, paras. 7.177 and 7.333. </w:t>
      </w:r>
      <w:r w:rsidRPr="00F97844">
        <w:rPr>
          <w:szCs w:val="16"/>
        </w:rPr>
        <w:t xml:space="preserve">See also </w:t>
      </w:r>
      <w:r w:rsidRPr="00244CCE">
        <w:rPr>
          <w:szCs w:val="16"/>
        </w:rPr>
        <w:t xml:space="preserve">Japan's third participant's submission, para. 13 (referring to </w:t>
      </w:r>
      <w:r w:rsidRPr="00244CCE">
        <w:rPr>
          <w:szCs w:val="16"/>
          <w:lang w:eastAsia="ja-JP"/>
        </w:rPr>
        <w:t xml:space="preserve">Appellate Body Report, </w:t>
      </w:r>
      <w:r w:rsidRPr="00244CCE">
        <w:rPr>
          <w:i/>
          <w:szCs w:val="16"/>
          <w:lang w:eastAsia="ja-JP"/>
        </w:rPr>
        <w:t>Mexico – Anti</w:t>
      </w:r>
      <w:r w:rsidRPr="00244CCE">
        <w:rPr>
          <w:i/>
          <w:szCs w:val="16"/>
          <w:lang w:eastAsia="ja-JP"/>
        </w:rPr>
        <w:noBreakHyphen/>
        <w:t>Dumping Measures on Rice</w:t>
      </w:r>
      <w:r w:rsidRPr="00244CCE">
        <w:rPr>
          <w:szCs w:val="16"/>
          <w:lang w:eastAsia="ja-JP"/>
        </w:rPr>
        <w:t>, para. 292</w:t>
      </w:r>
      <w:r w:rsidRPr="00244CCE">
        <w:rPr>
          <w:szCs w:val="16"/>
        </w:rPr>
        <w:t>).</w:t>
      </w:r>
    </w:p>
  </w:footnote>
  <w:footnote w:id="229">
    <w:p w14:paraId="71A090BA" w14:textId="761815E2" w:rsidR="00F73DD3" w:rsidRPr="00F97844" w:rsidRDefault="00F73DD3" w:rsidP="00B010B2">
      <w:pPr>
        <w:pStyle w:val="FootnoteText"/>
      </w:pPr>
      <w:r w:rsidRPr="00F97844">
        <w:rPr>
          <w:rStyle w:val="FootnoteReference"/>
        </w:rPr>
        <w:footnoteRef/>
      </w:r>
      <w:r w:rsidRPr="00F97844">
        <w:t xml:space="preserve"> As identified by the Panel, this view is also evidenced by </w:t>
      </w:r>
      <w:r w:rsidRPr="00244CCE">
        <w:t>the USDOC's description of this measure at the NAFTA Chapter 19 proceeding, namely that "[the USDOC's] finding that the complainants' failure to report these subsidies earlier in the proceeding warranted the use of adverse inferences was reasonable … as was [the USDOC's] resulting adverse inference that each discovered subsidy provided a financial contribution, conferred a benefit, and was specific – the elements of a countervailable subsidy." (</w:t>
      </w:r>
      <w:r w:rsidRPr="00244CCE">
        <w:rPr>
          <w:szCs w:val="16"/>
        </w:rPr>
        <w:t>Panel Report, para. 7.317 (quoting USDOC NAFTA Brief (Panel Exhibit CAN</w:t>
      </w:r>
      <w:r w:rsidRPr="00244CCE">
        <w:rPr>
          <w:szCs w:val="16"/>
        </w:rPr>
        <w:noBreakHyphen/>
        <w:t>76), pp. 147</w:t>
      </w:r>
      <w:r w:rsidRPr="00244CCE">
        <w:rPr>
          <w:szCs w:val="16"/>
        </w:rPr>
        <w:noBreakHyphen/>
        <w:t>148)</w:t>
      </w:r>
      <w:r w:rsidRPr="00244CCE">
        <w:t xml:space="preserve">) Moreover, this view is confirmed by the underlying determinations examined by the Panel, where the USDOC simply determined, as AFA, that unreported assistances are countervailable subsidies. See </w:t>
      </w:r>
      <w:r w:rsidRPr="00244CCE">
        <w:rPr>
          <w:i/>
          <w:iCs/>
        </w:rPr>
        <w:t>supra</w:t>
      </w:r>
      <w:r w:rsidRPr="00244CCE">
        <w:t xml:space="preserve"> fn </w:t>
      </w:r>
      <w:r w:rsidRPr="00F97844">
        <w:fldChar w:fldCharType="begin"/>
      </w:r>
      <w:r w:rsidRPr="00244CCE">
        <w:instrText xml:space="preserve"> NOTEREF _Ref25348698 \h  \* MERGEFORMAT </w:instrText>
      </w:r>
      <w:r w:rsidRPr="00F97844">
        <w:fldChar w:fldCharType="separate"/>
      </w:r>
      <w:r w:rsidR="00C41941">
        <w:t>78</w:t>
      </w:r>
      <w:r w:rsidRPr="00F97844">
        <w:fldChar w:fldCharType="end"/>
      </w:r>
      <w:r w:rsidRPr="00F97844">
        <w:t xml:space="preserve"> for relevant excerpts.</w:t>
      </w:r>
    </w:p>
  </w:footnote>
  <w:footnote w:id="230">
    <w:p w14:paraId="3C676620" w14:textId="6CA5B45A" w:rsidR="00F73DD3" w:rsidRPr="00244CCE" w:rsidRDefault="00F73DD3" w:rsidP="00B010B2">
      <w:pPr>
        <w:pStyle w:val="FootnoteText"/>
      </w:pPr>
      <w:r w:rsidRPr="00F97844">
        <w:rPr>
          <w:rStyle w:val="FootnoteReference"/>
        </w:rPr>
        <w:footnoteRef/>
      </w:r>
      <w:r w:rsidRPr="00F97844">
        <w:t xml:space="preserve"> The Appellate Body has stated that an investigating authority </w:t>
      </w:r>
      <w:r w:rsidRPr="00244CCE">
        <w:t>may only use those "facts available" that "'reasonably replace the information that an interested party failed to provide', with a view to arriving at an accurate determination". (</w:t>
      </w:r>
      <w:r w:rsidRPr="00244CCE">
        <w:rPr>
          <w:szCs w:val="16"/>
        </w:rPr>
        <w:t xml:space="preserve">Appellate Body Report, </w:t>
      </w:r>
      <w:r w:rsidRPr="00244CCE">
        <w:rPr>
          <w:i/>
          <w:szCs w:val="16"/>
        </w:rPr>
        <w:t>US – Carbon Steel (India)</w:t>
      </w:r>
      <w:r w:rsidRPr="00244CCE">
        <w:rPr>
          <w:szCs w:val="16"/>
        </w:rPr>
        <w:t xml:space="preserve">, para. 4.416 (quoting Appellate Body Report, </w:t>
      </w:r>
      <w:r w:rsidRPr="00244CCE">
        <w:rPr>
          <w:i/>
          <w:szCs w:val="16"/>
        </w:rPr>
        <w:t>Mexico – Anti</w:t>
      </w:r>
      <w:r w:rsidRPr="00244CCE">
        <w:rPr>
          <w:i/>
          <w:szCs w:val="16"/>
        </w:rPr>
        <w:noBreakHyphen/>
        <w:t>Dumping Measures on Rice</w:t>
      </w:r>
      <w:r w:rsidRPr="00244CCE">
        <w:rPr>
          <w:szCs w:val="16"/>
        </w:rPr>
        <w:t xml:space="preserve">, para. 294) (emphasis omitted)) See also Appellate Body Reports, </w:t>
      </w:r>
      <w:r w:rsidRPr="00244CCE">
        <w:rPr>
          <w:i/>
          <w:szCs w:val="16"/>
        </w:rPr>
        <w:t>Mexico – Anti</w:t>
      </w:r>
      <w:r w:rsidRPr="00244CCE">
        <w:rPr>
          <w:i/>
          <w:szCs w:val="16"/>
        </w:rPr>
        <w:noBreakHyphen/>
        <w:t>Dumping Measures on Rice</w:t>
      </w:r>
      <w:r w:rsidRPr="00244CCE">
        <w:rPr>
          <w:szCs w:val="16"/>
        </w:rPr>
        <w:t xml:space="preserve">, para. 293; Japan's third participant's submission, para. 11 (referring to Appellate Body Report, </w:t>
      </w:r>
      <w:r w:rsidRPr="00244CCE">
        <w:rPr>
          <w:i/>
          <w:szCs w:val="16"/>
        </w:rPr>
        <w:t>US – Carbon Steel (India)</w:t>
      </w:r>
      <w:r w:rsidRPr="0011007F">
        <w:rPr>
          <w:szCs w:val="16"/>
        </w:rPr>
        <w:t>,</w:t>
      </w:r>
      <w:r w:rsidRPr="00F97844">
        <w:rPr>
          <w:szCs w:val="16"/>
        </w:rPr>
        <w:t xml:space="preserve"> paras. 4.419 and</w:t>
      </w:r>
      <w:r w:rsidRPr="00244CCE">
        <w:rPr>
          <w:szCs w:val="16"/>
        </w:rPr>
        <w:t xml:space="preserve"> 4.422); Brazil's third participant's submission, para. 4.</w:t>
      </w:r>
    </w:p>
  </w:footnote>
  <w:footnote w:id="231">
    <w:p w14:paraId="65C5BE7A" w14:textId="1971D333" w:rsidR="00F73DD3" w:rsidRPr="00F97844" w:rsidRDefault="00F73DD3" w:rsidP="00B010B2">
      <w:pPr>
        <w:pStyle w:val="FootnoteText"/>
        <w:keepLines/>
        <w:rPr>
          <w:szCs w:val="16"/>
        </w:rPr>
      </w:pPr>
      <w:r w:rsidRPr="00F97844">
        <w:rPr>
          <w:rStyle w:val="FootnoteReference"/>
          <w:szCs w:val="16"/>
        </w:rPr>
        <w:footnoteRef/>
      </w:r>
      <w:r w:rsidRPr="00F97844">
        <w:rPr>
          <w:szCs w:val="16"/>
        </w:rPr>
        <w:t xml:space="preserve"> </w:t>
      </w:r>
      <w:r w:rsidRPr="0011007F">
        <w:rPr>
          <w:szCs w:val="16"/>
        </w:rPr>
        <w:t>Appellate Body Report,</w:t>
      </w:r>
      <w:r w:rsidRPr="0011007F">
        <w:rPr>
          <w:i/>
          <w:szCs w:val="16"/>
        </w:rPr>
        <w:t xml:space="preserve"> US – Carbon Steel (India)</w:t>
      </w:r>
      <w:r w:rsidRPr="0011007F">
        <w:rPr>
          <w:szCs w:val="16"/>
        </w:rPr>
        <w:t>, para. 4.417. See also ibid., para. 4.422.</w:t>
      </w:r>
    </w:p>
  </w:footnote>
  <w:footnote w:id="232">
    <w:p w14:paraId="6E293AE4" w14:textId="583F678B" w:rsidR="00F73DD3" w:rsidRPr="00F97844" w:rsidRDefault="00F73DD3" w:rsidP="00B010B2">
      <w:pPr>
        <w:pStyle w:val="FootnoteText"/>
      </w:pPr>
      <w:r w:rsidRPr="00F97844">
        <w:rPr>
          <w:rStyle w:val="FootnoteReference"/>
        </w:rPr>
        <w:footnoteRef/>
      </w:r>
      <w:r w:rsidRPr="00F97844">
        <w:t xml:space="preserve"> Panel Report, paras. 7.176</w:t>
      </w:r>
      <w:r w:rsidRPr="00F97844">
        <w:noBreakHyphen/>
        <w:t xml:space="preserve">7.177, 7.181, and 7.333. </w:t>
      </w:r>
    </w:p>
  </w:footnote>
  <w:footnote w:id="233">
    <w:p w14:paraId="3EC51E3C" w14:textId="093B0613"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United States</w:t>
      </w:r>
      <w:r w:rsidRPr="00244CCE">
        <w:rPr>
          <w:szCs w:val="16"/>
        </w:rPr>
        <w:t>' appellant's submission, paras. 4 and 66</w:t>
      </w:r>
      <w:r w:rsidRPr="00244CCE">
        <w:rPr>
          <w:szCs w:val="16"/>
        </w:rPr>
        <w:noBreakHyphen/>
        <w:t>79.</w:t>
      </w:r>
    </w:p>
  </w:footnote>
  <w:footnote w:id="234">
    <w:p w14:paraId="2B25C2BC" w14:textId="49D2E63A" w:rsidR="00F73DD3" w:rsidRPr="00244CCE" w:rsidRDefault="00F73DD3" w:rsidP="00B010B2">
      <w:pPr>
        <w:pStyle w:val="FootnoteText"/>
        <w:rPr>
          <w:szCs w:val="16"/>
        </w:rPr>
      </w:pPr>
      <w:r w:rsidRPr="00F97844">
        <w:rPr>
          <w:rStyle w:val="FootnoteReference"/>
          <w:szCs w:val="16"/>
        </w:rPr>
        <w:footnoteRef/>
      </w:r>
      <w:r w:rsidRPr="00F97844">
        <w:rPr>
          <w:szCs w:val="16"/>
        </w:rPr>
        <w:t xml:space="preserve"> Panel</w:t>
      </w:r>
      <w:r w:rsidRPr="00244CCE">
        <w:rPr>
          <w:szCs w:val="16"/>
        </w:rPr>
        <w:t xml:space="preserve"> Report, para. 7.333. </w:t>
      </w:r>
    </w:p>
  </w:footnote>
  <w:footnote w:id="235">
    <w:p w14:paraId="62AC5F17" w14:textId="77777777" w:rsidR="00F73DD3" w:rsidRPr="00244CCE" w:rsidRDefault="00F73DD3" w:rsidP="00B010B2">
      <w:pPr>
        <w:pStyle w:val="FootnoteText"/>
      </w:pPr>
      <w:r w:rsidRPr="00F97844">
        <w:rPr>
          <w:rStyle w:val="FootnoteReference"/>
        </w:rPr>
        <w:footnoteRef/>
      </w:r>
      <w:r w:rsidRPr="00F97844">
        <w:t xml:space="preserve"> </w:t>
      </w:r>
      <w:r w:rsidRPr="00F97844">
        <w:rPr>
          <w:szCs w:val="16"/>
        </w:rPr>
        <w:t>Brazil</w:t>
      </w:r>
      <w:r w:rsidRPr="00244CCE">
        <w:rPr>
          <w:szCs w:val="16"/>
        </w:rPr>
        <w:t>'s third participant's submission, para. 4.</w:t>
      </w:r>
    </w:p>
  </w:footnote>
  <w:footnote w:id="236">
    <w:p w14:paraId="0E2DFC0B" w14:textId="1A5EFDE7" w:rsidR="00F73DD3" w:rsidRPr="00244CCE" w:rsidRDefault="00F73DD3">
      <w:pPr>
        <w:pStyle w:val="FootnoteText"/>
      </w:pPr>
      <w:r w:rsidRPr="00F97844">
        <w:rPr>
          <w:rStyle w:val="FootnoteReference"/>
        </w:rPr>
        <w:footnoteRef/>
      </w:r>
      <w:r w:rsidRPr="00F97844">
        <w:t xml:space="preserve"> The United States reques</w:t>
      </w:r>
      <w:r w:rsidRPr="00244CCE">
        <w:t>ts that we reverse the Panel's recommendation under Article 19.1 of the DSU as a consequence of the errors alleged by the United States on appeal. (United States' appellant's submission, paras. 79 and 81) Having upheld the Panel's findings at issue, we are unable to accede to the United States' request.</w:t>
      </w:r>
    </w:p>
  </w:footnote>
  <w:footnote w:id="237">
    <w:p w14:paraId="41DD5760" w14:textId="282CBB07" w:rsidR="00F73DD3" w:rsidRPr="00244CCE" w:rsidRDefault="00F73DD3" w:rsidP="00BF1926">
      <w:pPr>
        <w:pStyle w:val="FootnoteText"/>
      </w:pPr>
      <w:r w:rsidRPr="00F97844">
        <w:rPr>
          <w:rStyle w:val="FootnoteReference"/>
        </w:rPr>
        <w:footnoteRef/>
      </w:r>
      <w:r w:rsidRPr="00F97844">
        <w:t xml:space="preserve"> Appellate</w:t>
      </w:r>
      <w:r w:rsidRPr="00244CCE">
        <w:t xml:space="preserve"> Body Report, </w:t>
      </w:r>
      <w:r w:rsidRPr="00244CCE">
        <w:rPr>
          <w:i/>
        </w:rPr>
        <w:t>US – Continued Zeroing</w:t>
      </w:r>
      <w:r w:rsidRPr="00244CCE">
        <w:t>, paras. 180-181.</w:t>
      </w:r>
    </w:p>
  </w:footnote>
  <w:footnote w:id="238">
    <w:p w14:paraId="636DE2E0" w14:textId="558144F2" w:rsidR="00F73DD3" w:rsidRPr="00244CCE" w:rsidRDefault="00F73DD3" w:rsidP="00BF1926">
      <w:pPr>
        <w:pStyle w:val="FootnoteText"/>
      </w:pPr>
      <w:r w:rsidRPr="00F97844">
        <w:rPr>
          <w:rStyle w:val="FootnoteReference"/>
        </w:rPr>
        <w:footnoteRef/>
      </w:r>
      <w:r w:rsidRPr="00F97844">
        <w:t xml:space="preserve"> "Given the explicit aim of dispute set</w:t>
      </w:r>
      <w:r w:rsidRPr="00244CCE">
        <w:t xml:space="preserve">tlement that permeates the DSU, we do not consider that Article 3.2 of the DSU is meant to encourage either panels or the Appellate Body to 'make law' by clarifying existing provisions of the </w:t>
      </w:r>
      <w:r w:rsidRPr="00244CCE">
        <w:rPr>
          <w:i/>
        </w:rPr>
        <w:t>WTO Agreement</w:t>
      </w:r>
      <w:r w:rsidRPr="00244CCE">
        <w:t xml:space="preserve"> outside the context of resolving a particular dispute." (Appellate Body Report, </w:t>
      </w:r>
      <w:r w:rsidRPr="00244CCE">
        <w:rPr>
          <w:i/>
        </w:rPr>
        <w:t>US – Upland Cotton</w:t>
      </w:r>
      <w:r w:rsidRPr="00244CCE">
        <w:t xml:space="preserve">, para. 509, quoting Appellate Body Report, </w:t>
      </w:r>
      <w:r w:rsidRPr="00244CCE">
        <w:rPr>
          <w:i/>
        </w:rPr>
        <w:t>US – Wool Shirts and Blouses</w:t>
      </w:r>
      <w:r w:rsidRPr="00244CCE">
        <w:t>, p. 19, DSR 1997:I, p. 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1B00" w14:textId="77777777" w:rsidR="00F73DD3" w:rsidRPr="00806E5D" w:rsidRDefault="00F73DD3" w:rsidP="00F33D57">
    <w:pPr>
      <w:pStyle w:val="Header"/>
      <w:pBdr>
        <w:bottom w:val="single" w:sz="4" w:space="1" w:color="auto"/>
      </w:pBdr>
      <w:tabs>
        <w:tab w:val="clear" w:pos="4513"/>
        <w:tab w:val="clear" w:pos="9027"/>
      </w:tabs>
      <w:jc w:val="center"/>
    </w:pPr>
    <w:r w:rsidRPr="00806E5D">
      <w:t>WT/DS505/AB/R</w:t>
    </w:r>
  </w:p>
  <w:p w14:paraId="12E9B282" w14:textId="3243EB19" w:rsidR="00F73DD3" w:rsidRPr="00806E5D" w:rsidRDefault="00F73DD3" w:rsidP="00F33D57">
    <w:pPr>
      <w:pStyle w:val="Header"/>
      <w:pBdr>
        <w:bottom w:val="single" w:sz="4" w:space="1" w:color="auto"/>
      </w:pBdr>
      <w:tabs>
        <w:tab w:val="clear" w:pos="4513"/>
        <w:tab w:val="clear" w:pos="9027"/>
      </w:tabs>
      <w:jc w:val="center"/>
    </w:pPr>
  </w:p>
  <w:p w14:paraId="2A71E119" w14:textId="2B61BBF4" w:rsidR="00F73DD3" w:rsidRPr="00806E5D" w:rsidRDefault="00F73DD3" w:rsidP="00F33D57">
    <w:pPr>
      <w:pStyle w:val="Header"/>
      <w:pBdr>
        <w:bottom w:val="single" w:sz="4" w:space="1" w:color="auto"/>
      </w:pBdr>
      <w:tabs>
        <w:tab w:val="clear" w:pos="4513"/>
        <w:tab w:val="clear" w:pos="9027"/>
      </w:tabs>
      <w:jc w:val="center"/>
    </w:pPr>
    <w:r>
      <w:noBreakHyphen/>
    </w:r>
    <w:r w:rsidRPr="00806E5D">
      <w:t xml:space="preserve"> </w:t>
    </w:r>
    <w:r w:rsidRPr="00806E5D">
      <w:fldChar w:fldCharType="begin"/>
    </w:r>
    <w:r w:rsidRPr="00806E5D">
      <w:instrText xml:space="preserve"> PAGE </w:instrText>
    </w:r>
    <w:r w:rsidRPr="00806E5D">
      <w:fldChar w:fldCharType="separate"/>
    </w:r>
    <w:r>
      <w:t>45</w:t>
    </w:r>
    <w:r w:rsidRPr="00806E5D">
      <w:fldChar w:fldCharType="end"/>
    </w:r>
    <w:r w:rsidRPr="00806E5D">
      <w:t xml:space="preserve"> </w:t>
    </w:r>
    <w:r>
      <w:noBreakHyphen/>
    </w:r>
  </w:p>
  <w:p w14:paraId="0DACB508" w14:textId="77777777" w:rsidR="00F73DD3" w:rsidRDefault="00F73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3493" w14:textId="77777777" w:rsidR="00F73DD3" w:rsidRPr="00806E5D" w:rsidRDefault="00F73DD3" w:rsidP="00F33D57">
    <w:pPr>
      <w:pStyle w:val="Header"/>
      <w:pBdr>
        <w:bottom w:val="single" w:sz="4" w:space="1" w:color="auto"/>
      </w:pBdr>
      <w:tabs>
        <w:tab w:val="clear" w:pos="4513"/>
        <w:tab w:val="clear" w:pos="9027"/>
      </w:tabs>
      <w:jc w:val="center"/>
    </w:pPr>
    <w:r w:rsidRPr="00806E5D">
      <w:t>WT/DS505/AB/R</w:t>
    </w:r>
  </w:p>
  <w:p w14:paraId="274EE9F5" w14:textId="729EE184" w:rsidR="00F73DD3" w:rsidRPr="00806E5D" w:rsidRDefault="00F73DD3" w:rsidP="00F33D57">
    <w:pPr>
      <w:pStyle w:val="Header"/>
      <w:pBdr>
        <w:bottom w:val="single" w:sz="4" w:space="1" w:color="auto"/>
      </w:pBdr>
      <w:tabs>
        <w:tab w:val="clear" w:pos="4513"/>
        <w:tab w:val="clear" w:pos="9027"/>
      </w:tabs>
      <w:jc w:val="center"/>
    </w:pPr>
  </w:p>
  <w:p w14:paraId="19722DE7" w14:textId="50A06E86" w:rsidR="00F73DD3" w:rsidRPr="00806E5D" w:rsidRDefault="00F73DD3" w:rsidP="00F33D57">
    <w:pPr>
      <w:pStyle w:val="Header"/>
      <w:pBdr>
        <w:bottom w:val="single" w:sz="4" w:space="1" w:color="auto"/>
      </w:pBdr>
      <w:tabs>
        <w:tab w:val="clear" w:pos="4513"/>
        <w:tab w:val="clear" w:pos="9027"/>
      </w:tabs>
      <w:jc w:val="center"/>
    </w:pPr>
    <w:r>
      <w:noBreakHyphen/>
    </w:r>
    <w:r w:rsidRPr="00806E5D">
      <w:t xml:space="preserve"> </w:t>
    </w:r>
    <w:r w:rsidRPr="00806E5D">
      <w:fldChar w:fldCharType="begin"/>
    </w:r>
    <w:r w:rsidRPr="00806E5D">
      <w:instrText xml:space="preserve"> PAGE </w:instrText>
    </w:r>
    <w:r w:rsidRPr="00806E5D">
      <w:fldChar w:fldCharType="separate"/>
    </w:r>
    <w:r>
      <w:t>45</w:t>
    </w:r>
    <w:r w:rsidRPr="00806E5D">
      <w:fldChar w:fldCharType="end"/>
    </w:r>
    <w:r w:rsidRPr="00806E5D">
      <w:t xml:space="preserve"> </w:t>
    </w:r>
    <w:r>
      <w:noBreakHyphen/>
    </w:r>
  </w:p>
  <w:p w14:paraId="46DDBF6A" w14:textId="77777777" w:rsidR="00F73DD3" w:rsidRDefault="00F73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3DD3" w:rsidRPr="00EF273A" w14:paraId="29AA02F1" w14:textId="77777777" w:rsidTr="00856AAF">
      <w:trPr>
        <w:trHeight w:val="240"/>
        <w:jc w:val="center"/>
      </w:trPr>
      <w:tc>
        <w:tcPr>
          <w:tcW w:w="3794" w:type="dxa"/>
          <w:shd w:val="clear" w:color="auto" w:fill="FFFFFF"/>
          <w:tcMar>
            <w:left w:w="108" w:type="dxa"/>
            <w:right w:w="108" w:type="dxa"/>
          </w:tcMar>
          <w:vAlign w:val="center"/>
        </w:tcPr>
        <w:p w14:paraId="41CBE62E" w14:textId="77777777" w:rsidR="00F73DD3" w:rsidRPr="00EF273A" w:rsidRDefault="00F73DD3" w:rsidP="00F33D57">
          <w:pPr>
            <w:rPr>
              <w:noProof/>
              <w:lang w:eastAsia="en-GB"/>
            </w:rPr>
          </w:pPr>
          <w:bookmarkStart w:id="132" w:name="bmkRestricted" w:colFirst="1" w:colLast="1"/>
        </w:p>
      </w:tc>
      <w:tc>
        <w:tcPr>
          <w:tcW w:w="5448" w:type="dxa"/>
          <w:gridSpan w:val="2"/>
          <w:shd w:val="clear" w:color="auto" w:fill="FFFFFF"/>
          <w:tcMar>
            <w:left w:w="108" w:type="dxa"/>
            <w:right w:w="108" w:type="dxa"/>
          </w:tcMar>
          <w:vAlign w:val="center"/>
        </w:tcPr>
        <w:p w14:paraId="464A40F0" w14:textId="77777777" w:rsidR="00F73DD3" w:rsidRPr="00EF273A" w:rsidRDefault="00F73DD3" w:rsidP="00F33D57">
          <w:pPr>
            <w:jc w:val="right"/>
            <w:rPr>
              <w:b/>
              <w:color w:val="FF0000"/>
              <w:szCs w:val="16"/>
            </w:rPr>
          </w:pPr>
        </w:p>
      </w:tc>
    </w:tr>
    <w:bookmarkEnd w:id="132"/>
    <w:tr w:rsidR="00F73DD3" w:rsidRPr="00EF273A" w14:paraId="748722B0" w14:textId="77777777" w:rsidTr="00856AAF">
      <w:trPr>
        <w:trHeight w:val="213"/>
        <w:jc w:val="center"/>
      </w:trPr>
      <w:tc>
        <w:tcPr>
          <w:tcW w:w="3794" w:type="dxa"/>
          <w:vMerge w:val="restart"/>
          <w:shd w:val="clear" w:color="auto" w:fill="FFFFFF"/>
          <w:tcMar>
            <w:left w:w="0" w:type="dxa"/>
            <w:right w:w="0" w:type="dxa"/>
          </w:tcMar>
        </w:tcPr>
        <w:p w14:paraId="7A3FA386" w14:textId="77777777" w:rsidR="00F73DD3" w:rsidRPr="00EF273A" w:rsidRDefault="00F73DD3" w:rsidP="00F33D57">
          <w:pPr>
            <w:jc w:val="left"/>
          </w:pPr>
          <w:r>
            <w:rPr>
              <w:noProof/>
              <w:lang w:eastAsia="en-GB"/>
            </w:rPr>
            <w:drawing>
              <wp:inline distT="0" distB="0" distL="0" distR="0" wp14:anchorId="57ACF62E" wp14:editId="216D32CE">
                <wp:extent cx="2400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7152EC" w14:textId="77777777" w:rsidR="00F73DD3" w:rsidRPr="00EF273A" w:rsidRDefault="00F73DD3" w:rsidP="00F33D57">
          <w:pPr>
            <w:jc w:val="right"/>
            <w:rPr>
              <w:b/>
              <w:szCs w:val="16"/>
            </w:rPr>
          </w:pPr>
        </w:p>
      </w:tc>
    </w:tr>
    <w:tr w:rsidR="00F73DD3" w:rsidRPr="00EF273A" w14:paraId="3B582FD8" w14:textId="77777777" w:rsidTr="00856AAF">
      <w:trPr>
        <w:trHeight w:val="868"/>
        <w:jc w:val="center"/>
      </w:trPr>
      <w:tc>
        <w:tcPr>
          <w:tcW w:w="3794" w:type="dxa"/>
          <w:vMerge/>
          <w:shd w:val="clear" w:color="auto" w:fill="FFFFFF"/>
          <w:tcMar>
            <w:left w:w="108" w:type="dxa"/>
            <w:right w:w="108" w:type="dxa"/>
          </w:tcMar>
        </w:tcPr>
        <w:p w14:paraId="7F4ABCFC" w14:textId="77777777" w:rsidR="00F73DD3" w:rsidRPr="00EF273A" w:rsidRDefault="00F73DD3" w:rsidP="00F33D57">
          <w:pPr>
            <w:jc w:val="left"/>
            <w:rPr>
              <w:noProof/>
              <w:lang w:eastAsia="en-GB"/>
            </w:rPr>
          </w:pPr>
        </w:p>
      </w:tc>
      <w:tc>
        <w:tcPr>
          <w:tcW w:w="5448" w:type="dxa"/>
          <w:gridSpan w:val="2"/>
          <w:shd w:val="clear" w:color="auto" w:fill="FFFFFF"/>
          <w:tcMar>
            <w:left w:w="108" w:type="dxa"/>
            <w:right w:w="108" w:type="dxa"/>
          </w:tcMar>
        </w:tcPr>
        <w:p w14:paraId="714103E8" w14:textId="77777777" w:rsidR="00F73DD3" w:rsidRDefault="00F73DD3" w:rsidP="00F33D57">
          <w:pPr>
            <w:jc w:val="right"/>
            <w:rPr>
              <w:b/>
              <w:szCs w:val="16"/>
            </w:rPr>
          </w:pPr>
          <w:bookmarkStart w:id="133" w:name="bmkSymbols"/>
          <w:r>
            <w:rPr>
              <w:b/>
              <w:szCs w:val="16"/>
            </w:rPr>
            <w:t>WT/DS505/AB/R</w:t>
          </w:r>
        </w:p>
        <w:bookmarkEnd w:id="133"/>
        <w:p w14:paraId="663FDEEE" w14:textId="77777777" w:rsidR="00F73DD3" w:rsidRPr="00EF273A" w:rsidRDefault="00F73DD3" w:rsidP="00F33D57">
          <w:pPr>
            <w:jc w:val="right"/>
            <w:rPr>
              <w:b/>
              <w:szCs w:val="16"/>
            </w:rPr>
          </w:pPr>
        </w:p>
      </w:tc>
    </w:tr>
    <w:tr w:rsidR="00F73DD3" w:rsidRPr="00EF273A" w14:paraId="4D78661C" w14:textId="77777777" w:rsidTr="00856AAF">
      <w:trPr>
        <w:trHeight w:val="240"/>
        <w:jc w:val="center"/>
      </w:trPr>
      <w:tc>
        <w:tcPr>
          <w:tcW w:w="3794" w:type="dxa"/>
          <w:vMerge/>
          <w:shd w:val="clear" w:color="auto" w:fill="FFFFFF"/>
          <w:tcMar>
            <w:left w:w="108" w:type="dxa"/>
            <w:right w:w="108" w:type="dxa"/>
          </w:tcMar>
          <w:vAlign w:val="center"/>
        </w:tcPr>
        <w:p w14:paraId="41305413" w14:textId="77777777" w:rsidR="00F73DD3" w:rsidRPr="00EF273A" w:rsidRDefault="00F73DD3" w:rsidP="00F33D57"/>
      </w:tc>
      <w:tc>
        <w:tcPr>
          <w:tcW w:w="5448" w:type="dxa"/>
          <w:gridSpan w:val="2"/>
          <w:shd w:val="clear" w:color="auto" w:fill="FFFFFF"/>
          <w:tcMar>
            <w:left w:w="108" w:type="dxa"/>
            <w:right w:w="108" w:type="dxa"/>
          </w:tcMar>
          <w:vAlign w:val="center"/>
        </w:tcPr>
        <w:p w14:paraId="7616383D" w14:textId="0D284741" w:rsidR="00F73DD3" w:rsidRPr="00EF273A" w:rsidRDefault="00F73DD3" w:rsidP="00F33D57">
          <w:pPr>
            <w:jc w:val="right"/>
            <w:rPr>
              <w:szCs w:val="16"/>
            </w:rPr>
          </w:pPr>
          <w:r>
            <w:rPr>
              <w:szCs w:val="16"/>
            </w:rPr>
            <w:t>6 February 2020</w:t>
          </w:r>
        </w:p>
      </w:tc>
    </w:tr>
    <w:tr w:rsidR="00F73DD3" w:rsidRPr="00EF273A" w14:paraId="605B18F9" w14:textId="77777777" w:rsidTr="00856A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F21405" w14:textId="47046885" w:rsidR="00F73DD3" w:rsidRPr="00EF273A" w:rsidRDefault="00F73DD3" w:rsidP="00F33D57">
          <w:pPr>
            <w:jc w:val="left"/>
            <w:rPr>
              <w:b/>
            </w:rPr>
          </w:pPr>
          <w:bookmarkStart w:id="134" w:name="bmkSerial" w:colFirst="0" w:colLast="0"/>
          <w:r w:rsidRPr="00EF273A">
            <w:rPr>
              <w:color w:val="FF0000"/>
              <w:szCs w:val="16"/>
            </w:rPr>
            <w:t>(</w:t>
          </w:r>
          <w:r w:rsidR="001576F3">
            <w:rPr>
              <w:color w:val="FF0000"/>
              <w:szCs w:val="16"/>
            </w:rPr>
            <w:t>20</w:t>
          </w:r>
          <w:r>
            <w:rPr>
              <w:color w:val="FF0000"/>
              <w:szCs w:val="16"/>
            </w:rPr>
            <w:noBreakHyphen/>
          </w:r>
          <w:r w:rsidR="001576F3">
            <w:rPr>
              <w:color w:val="FF0000"/>
              <w:szCs w:val="16"/>
            </w:rPr>
            <w:t>0910</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7F6C11C" w14:textId="77777777" w:rsidR="00F73DD3" w:rsidRPr="00EF273A" w:rsidRDefault="00F73DD3" w:rsidP="00F33D57">
          <w:pPr>
            <w:jc w:val="right"/>
            <w:rPr>
              <w:szCs w:val="16"/>
            </w:rPr>
          </w:pPr>
          <w:bookmarkStart w:id="135"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w:t>
          </w:r>
          <w:r w:rsidRPr="00EF273A">
            <w:rPr>
              <w:bCs/>
              <w:szCs w:val="16"/>
            </w:rPr>
            <w:fldChar w:fldCharType="end"/>
          </w:r>
          <w:bookmarkEnd w:id="135"/>
        </w:p>
      </w:tc>
    </w:tr>
    <w:tr w:rsidR="00F73DD3" w:rsidRPr="00EF273A" w14:paraId="1FAD5545" w14:textId="77777777" w:rsidTr="00856A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DA0571" w14:textId="77777777" w:rsidR="00F73DD3" w:rsidRPr="00EF273A" w:rsidRDefault="00F73DD3" w:rsidP="00F33D57">
          <w:pPr>
            <w:jc w:val="left"/>
            <w:rPr>
              <w:sz w:val="14"/>
              <w:szCs w:val="16"/>
            </w:rPr>
          </w:pPr>
          <w:bookmarkStart w:id="136" w:name="bmkCommittee"/>
          <w:bookmarkStart w:id="137" w:name="bmkLanguage" w:colFirst="1" w:colLast="1"/>
          <w:bookmarkEnd w:id="134"/>
          <w:r w:rsidRPr="00EF273A">
            <w:rPr>
              <w:b/>
            </w:rPr>
            <w:t xml:space="preserve"> </w:t>
          </w:r>
          <w:bookmarkEnd w:id="136"/>
        </w:p>
      </w:tc>
      <w:tc>
        <w:tcPr>
          <w:tcW w:w="3325" w:type="dxa"/>
          <w:tcBorders>
            <w:top w:val="single" w:sz="4" w:space="0" w:color="auto"/>
          </w:tcBorders>
          <w:tcMar>
            <w:top w:w="113" w:type="dxa"/>
            <w:left w:w="108" w:type="dxa"/>
            <w:bottom w:w="57" w:type="dxa"/>
            <w:right w:w="108" w:type="dxa"/>
          </w:tcMar>
          <w:vAlign w:val="center"/>
        </w:tcPr>
        <w:p w14:paraId="440F72A1" w14:textId="77777777" w:rsidR="00F73DD3" w:rsidRPr="00EF273A" w:rsidRDefault="00F73DD3" w:rsidP="00F33D57">
          <w:pPr>
            <w:jc w:val="right"/>
            <w:rPr>
              <w:bCs/>
              <w:szCs w:val="18"/>
            </w:rPr>
          </w:pPr>
          <w:r>
            <w:rPr>
              <w:szCs w:val="18"/>
            </w:rPr>
            <w:t>Original: English</w:t>
          </w:r>
        </w:p>
      </w:tc>
    </w:tr>
    <w:bookmarkEnd w:id="137"/>
  </w:tbl>
  <w:p w14:paraId="215D2E42" w14:textId="77777777" w:rsidR="00F73DD3" w:rsidRPr="00F33D57" w:rsidRDefault="00F73DD3" w:rsidP="00F33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0F903044"/>
    <w:multiLevelType w:val="hybridMultilevel"/>
    <w:tmpl w:val="C10092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7454AB1"/>
    <w:multiLevelType w:val="multilevel"/>
    <w:tmpl w:val="CC52177C"/>
    <w:numStyleLink w:val="LegalHeadings"/>
  </w:abstractNum>
  <w:abstractNum w:abstractNumId="8"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993"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14579C"/>
    <w:multiLevelType w:val="hybridMultilevel"/>
    <w:tmpl w:val="C10092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3">
    <w:abstractNumId w:val="6"/>
  </w:num>
  <w:num w:numId="4">
    <w:abstractNumId w:val="9"/>
  </w:num>
  <w:num w:numId="5">
    <w:abstractNumId w:val="4"/>
  </w:num>
  <w:num w:numId="6">
    <w:abstractNumId w:val="3"/>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4">
      <w:lvl w:ilvl="4">
        <w:start w:val="1"/>
        <w:numFmt w:val="decimal"/>
        <w:pStyle w:val="Heading5"/>
        <w:isLgl/>
        <w:suff w:val="nothing"/>
        <w:lvlText w:val="%1.%2.%3.%4.%5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8"/>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isLgl/>
        <w:suff w:val="nothing"/>
        <w:lvlText w:val="%1.%2.%3.%4.%5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decimal"/>
        <w:pStyle w:val="Heading6"/>
        <w:lvlText w:val=""/>
        <w:lvlJc w:val="left"/>
      </w:lvl>
    </w:lvlOverride>
    <w:lvlOverride w:ilvl="6">
      <w:startOverride w:val="1"/>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startOverride w:val="1"/>
      <w:lvl w:ilvl="7">
        <w:start w:val="1"/>
        <w:numFmt w:val="decimal"/>
        <w:pStyle w:val="BodyText2"/>
        <w:lvlText w:val=""/>
        <w:lvlJc w:val="left"/>
      </w:lvl>
    </w:lvlOverride>
    <w:lvlOverride w:ilvl="8">
      <w:startOverride w:val="1"/>
      <w:lvl w:ilvl="8">
        <w:start w:val="1"/>
        <w:numFmt w:val="decimal"/>
        <w:pStyle w:val="BodyText3"/>
        <w:lvlText w:val=""/>
        <w:lvlJc w:val="left"/>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isLgl/>
        <w:suff w:val="nothing"/>
        <w:lvlText w:val="%1.%2.%3.%4.%5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decimal"/>
        <w:pStyle w:val="Heading6"/>
        <w:lvlText w:val=""/>
        <w:lvlJc w:val="left"/>
      </w:lvl>
    </w:lvlOverride>
    <w:lvlOverride w:ilvl="6">
      <w:startOverride w:val="1"/>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startOverride w:val="1"/>
      <w:lvl w:ilvl="7">
        <w:start w:val="1"/>
        <w:numFmt w:val="decimal"/>
        <w:pStyle w:val="BodyText2"/>
        <w:lvlText w:val=""/>
        <w:lvlJc w:val="left"/>
      </w:lvl>
    </w:lvlOverride>
    <w:lvlOverride w:ilvl="8">
      <w:startOverride w:val="1"/>
      <w:lvl w:ilvl="8">
        <w:start w:val="1"/>
        <w:numFmt w:val="decimal"/>
        <w:pStyle w:val="BodyText3"/>
        <w:lvlText w:val=""/>
        <w:lvlJc w:val="left"/>
      </w:lvl>
    </w:lvlOverride>
  </w:num>
  <w:num w:numId="28">
    <w:abstractNumId w:val="8"/>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993"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1134"/>
          </w:tabs>
          <w:ind w:left="1134" w:hanging="567"/>
        </w:pPr>
        <w:rPr>
          <w:rFonts w:hint="default"/>
        </w:rPr>
      </w:lvl>
    </w:lvlOverride>
    <w:lvlOverride w:ilvl="8">
      <w:lvl w:ilvl="8">
        <w:start w:val="1"/>
        <w:numFmt w:val="lowerRoman"/>
        <w:pStyle w:val="BodyText3"/>
        <w:lvlText w:val="%9."/>
        <w:lvlJc w:val="left"/>
        <w:pPr>
          <w:tabs>
            <w:tab w:val="num" w:pos="1701"/>
          </w:tabs>
          <w:ind w:left="1701" w:hanging="567"/>
        </w:pPr>
        <w:rPr>
          <w:rFonts w:hint="default"/>
        </w:rPr>
      </w:lvl>
    </w:lvlOverride>
  </w:num>
  <w:num w:numId="29">
    <w:abstractNumId w:val="7"/>
    <w:lvlOverride w:ilvl="0">
      <w:lvl w:ilvl="0">
        <w:start w:val="1"/>
        <w:numFmt w:val="decimal"/>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30">
    <w:abstractNumId w:val="7"/>
    <w:lvlOverride w:ilvl="0">
      <w:lvl w:ilvl="0">
        <w:start w:val="1"/>
        <w:numFmt w:val="decimal"/>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31">
    <w:abstractNumId w:val="7"/>
    <w:lvlOverride w:ilvl="0">
      <w:lvl w:ilvl="0">
        <w:start w:val="1"/>
        <w:numFmt w:val="decimal"/>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32">
    <w:abstractNumId w:val="7"/>
    <w:lvlOverride w:ilvl="0">
      <w:lvl w:ilvl="0">
        <w:start w:val="1"/>
        <w:numFmt w:val="decimal"/>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33">
    <w:abstractNumId w:val="8"/>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993"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1134"/>
          </w:tabs>
          <w:ind w:left="1134" w:hanging="567"/>
        </w:pPr>
        <w:rPr>
          <w:rFonts w:hint="default"/>
        </w:rPr>
      </w:lvl>
    </w:lvlOverride>
    <w:lvlOverride w:ilvl="8">
      <w:lvl w:ilvl="8">
        <w:start w:val="1"/>
        <w:numFmt w:val="lowerRoman"/>
        <w:pStyle w:val="BodyText3"/>
        <w:lvlText w:val="%9."/>
        <w:lvlJc w:val="left"/>
        <w:pPr>
          <w:tabs>
            <w:tab w:val="num" w:pos="1701"/>
          </w:tabs>
          <w:ind w:left="1701" w:hanging="567"/>
        </w:pPr>
        <w:rPr>
          <w:rFonts w:hint="default"/>
        </w:rPr>
      </w:lvl>
    </w:lvlOverride>
  </w:num>
  <w:num w:numId="34">
    <w:abstractNumId w:val="8"/>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isLgl/>
        <w:suff w:val="nothing"/>
        <w:lvlText w:val="%1.%2.%3.%4  "/>
        <w:lvlJc w:val="left"/>
        <w:pPr>
          <w:ind w:left="993" w:firstLine="0"/>
        </w:pPr>
        <w:rPr>
          <w:rFonts w:hint="default"/>
        </w:rPr>
      </w:lvl>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3">
      <w:lvl w:ilvl="3">
        <w:start w:val="1"/>
        <w:numFmt w:val="decimal"/>
        <w:pStyle w:val="Heading4"/>
        <w:isLgl/>
        <w:suff w:val="nothing"/>
        <w:lvlText w:val="%1.%2.%3.%4  "/>
        <w:lvlJc w:val="left"/>
        <w:pPr>
          <w:ind w:left="993" w:firstLine="0"/>
        </w:pPr>
        <w:rPr>
          <w:rFonts w:hint="default"/>
        </w:rPr>
      </w:lvl>
    </w:lvlOverride>
  </w:num>
  <w:num w:numId="40">
    <w:abstractNumId w:val="8"/>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993"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 w:numId="41">
    <w:abstractNumId w:val="8"/>
    <w:lvlOverride w:ilvl="3">
      <w:lvl w:ilvl="3">
        <w:start w:val="1"/>
        <w:numFmt w:val="decimal"/>
        <w:pStyle w:val="Heading4"/>
        <w:isLgl/>
        <w:suff w:val="nothing"/>
        <w:lvlText w:val="%1.%2.%3.%4  "/>
        <w:lvlJc w:val="left"/>
        <w:pPr>
          <w:ind w:left="993" w:firstLine="0"/>
        </w:pPr>
        <w:rPr>
          <w:rFonts w:hint="default"/>
        </w:rPr>
      </w:lvl>
    </w:lvlOverride>
  </w:num>
  <w:num w:numId="42">
    <w:abstractNumId w:val="8"/>
    <w:lvlOverride w:ilvl="3">
      <w:lvl w:ilvl="3">
        <w:start w:val="1"/>
        <w:numFmt w:val="decimal"/>
        <w:pStyle w:val="Heading4"/>
        <w:isLgl/>
        <w:suff w:val="nothing"/>
        <w:lvlText w:val="%1.%2.%3.%4  "/>
        <w:lvlJc w:val="left"/>
        <w:pPr>
          <w:ind w:left="993" w:firstLine="0"/>
        </w:pPr>
        <w:rPr>
          <w:rFonts w:hint="default"/>
        </w:rPr>
      </w:lvl>
    </w:lvlOverride>
  </w:num>
  <w:num w:numId="43">
    <w:abstractNumId w:val="8"/>
    <w:lvlOverride w:ilvl="3">
      <w:lvl w:ilvl="3">
        <w:start w:val="1"/>
        <w:numFmt w:val="decimal"/>
        <w:pStyle w:val="Heading4"/>
        <w:isLgl/>
        <w:suff w:val="nothing"/>
        <w:lvlText w:val="%1.%2.%3.%4  "/>
        <w:lvlJc w:val="left"/>
        <w:pPr>
          <w:ind w:left="993" w:firstLine="0"/>
        </w:pPr>
        <w:rPr>
          <w:rFonts w:hint="default"/>
        </w:rPr>
      </w:lvl>
    </w:lvlOverride>
  </w:num>
  <w:num w:numId="44">
    <w:abstractNumId w:val="8"/>
    <w:lvlOverride w:ilvl="3">
      <w:lvl w:ilvl="3">
        <w:start w:val="1"/>
        <w:numFmt w:val="decimal"/>
        <w:pStyle w:val="Heading4"/>
        <w:isLgl/>
        <w:suff w:val="nothing"/>
        <w:lvlText w:val="%1.%2.%3.%4  "/>
        <w:lvlJc w:val="left"/>
        <w:pPr>
          <w:ind w:left="993" w:firstLine="0"/>
        </w:pPr>
        <w:rPr>
          <w:rFonts w:hint="default"/>
        </w:rPr>
      </w:lvl>
    </w:lvlOverride>
  </w:num>
  <w:num w:numId="45">
    <w:abstractNumId w:val="8"/>
    <w:lvlOverride w:ilvl="3">
      <w:lvl w:ilvl="3">
        <w:start w:val="1"/>
        <w:numFmt w:val="decimal"/>
        <w:pStyle w:val="Heading4"/>
        <w:isLgl/>
        <w:suff w:val="nothing"/>
        <w:lvlText w:val="%1.%2.%3.%4  "/>
        <w:lvlJc w:val="left"/>
        <w:pPr>
          <w:ind w:left="993" w:firstLine="0"/>
        </w:pPr>
        <w:rPr>
          <w:rFonts w:hint="default"/>
        </w:rPr>
      </w:lvl>
    </w:lvlOverride>
  </w:num>
  <w:num w:numId="46">
    <w:abstractNumId w:val="8"/>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993"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 w:numId="47">
    <w:abstractNumId w:val="8"/>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993"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567"/>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5D"/>
    <w:rsid w:val="0000638F"/>
    <w:rsid w:val="00015CFA"/>
    <w:rsid w:val="00015ED2"/>
    <w:rsid w:val="00023C38"/>
    <w:rsid w:val="000272F6"/>
    <w:rsid w:val="00027ADB"/>
    <w:rsid w:val="00027D29"/>
    <w:rsid w:val="00030E50"/>
    <w:rsid w:val="00031AE5"/>
    <w:rsid w:val="00037675"/>
    <w:rsid w:val="00037AC4"/>
    <w:rsid w:val="00043638"/>
    <w:rsid w:val="0004473D"/>
    <w:rsid w:val="00045993"/>
    <w:rsid w:val="000529B7"/>
    <w:rsid w:val="00054B89"/>
    <w:rsid w:val="0006042C"/>
    <w:rsid w:val="00060F87"/>
    <w:rsid w:val="00062DDD"/>
    <w:rsid w:val="00064361"/>
    <w:rsid w:val="000646BC"/>
    <w:rsid w:val="000669FB"/>
    <w:rsid w:val="00070380"/>
    <w:rsid w:val="00075944"/>
    <w:rsid w:val="00082F52"/>
    <w:rsid w:val="00083041"/>
    <w:rsid w:val="00084FC0"/>
    <w:rsid w:val="00085E63"/>
    <w:rsid w:val="00091722"/>
    <w:rsid w:val="000919E4"/>
    <w:rsid w:val="000A2B04"/>
    <w:rsid w:val="000A3A77"/>
    <w:rsid w:val="000A4945"/>
    <w:rsid w:val="000A5E09"/>
    <w:rsid w:val="000B31E1"/>
    <w:rsid w:val="000B3FA8"/>
    <w:rsid w:val="000B65F8"/>
    <w:rsid w:val="000B775F"/>
    <w:rsid w:val="000C16C9"/>
    <w:rsid w:val="000C268C"/>
    <w:rsid w:val="000C2755"/>
    <w:rsid w:val="000C3CF6"/>
    <w:rsid w:val="000C40AA"/>
    <w:rsid w:val="000C446F"/>
    <w:rsid w:val="000C55B1"/>
    <w:rsid w:val="000C576F"/>
    <w:rsid w:val="000C73C1"/>
    <w:rsid w:val="000D49B2"/>
    <w:rsid w:val="000D633C"/>
    <w:rsid w:val="000E0CD0"/>
    <w:rsid w:val="000E1383"/>
    <w:rsid w:val="000E24B1"/>
    <w:rsid w:val="000E2CF7"/>
    <w:rsid w:val="000E3164"/>
    <w:rsid w:val="000E320E"/>
    <w:rsid w:val="000E6647"/>
    <w:rsid w:val="000E72D0"/>
    <w:rsid w:val="000E7B95"/>
    <w:rsid w:val="000F2E7A"/>
    <w:rsid w:val="000F6C08"/>
    <w:rsid w:val="000F7E5C"/>
    <w:rsid w:val="00101C05"/>
    <w:rsid w:val="001039CC"/>
    <w:rsid w:val="00103F6E"/>
    <w:rsid w:val="00104C58"/>
    <w:rsid w:val="00104E55"/>
    <w:rsid w:val="00106403"/>
    <w:rsid w:val="001065A5"/>
    <w:rsid w:val="0011007F"/>
    <w:rsid w:val="0011356B"/>
    <w:rsid w:val="00113FC6"/>
    <w:rsid w:val="001140B3"/>
    <w:rsid w:val="00117119"/>
    <w:rsid w:val="001212A4"/>
    <w:rsid w:val="00124BC5"/>
    <w:rsid w:val="00127140"/>
    <w:rsid w:val="00130942"/>
    <w:rsid w:val="00131EF9"/>
    <w:rsid w:val="00132B74"/>
    <w:rsid w:val="00132D3B"/>
    <w:rsid w:val="0013337F"/>
    <w:rsid w:val="001411E5"/>
    <w:rsid w:val="00143482"/>
    <w:rsid w:val="001437DD"/>
    <w:rsid w:val="00143E28"/>
    <w:rsid w:val="00144435"/>
    <w:rsid w:val="0014487A"/>
    <w:rsid w:val="00150DCE"/>
    <w:rsid w:val="00151B9E"/>
    <w:rsid w:val="00154D78"/>
    <w:rsid w:val="001576F3"/>
    <w:rsid w:val="00165C52"/>
    <w:rsid w:val="00171D29"/>
    <w:rsid w:val="001722EB"/>
    <w:rsid w:val="0017251B"/>
    <w:rsid w:val="00174388"/>
    <w:rsid w:val="0017458E"/>
    <w:rsid w:val="0017544A"/>
    <w:rsid w:val="001804A6"/>
    <w:rsid w:val="00182348"/>
    <w:rsid w:val="00182B84"/>
    <w:rsid w:val="00183143"/>
    <w:rsid w:val="0018665F"/>
    <w:rsid w:val="0018726A"/>
    <w:rsid w:val="001902DB"/>
    <w:rsid w:val="001978F5"/>
    <w:rsid w:val="001A663F"/>
    <w:rsid w:val="001B2A61"/>
    <w:rsid w:val="001B5E79"/>
    <w:rsid w:val="001B7C09"/>
    <w:rsid w:val="001C02CD"/>
    <w:rsid w:val="001C300E"/>
    <w:rsid w:val="001C435D"/>
    <w:rsid w:val="001D63DB"/>
    <w:rsid w:val="001D66BD"/>
    <w:rsid w:val="001E1737"/>
    <w:rsid w:val="001E291F"/>
    <w:rsid w:val="001E6F0D"/>
    <w:rsid w:val="001E7403"/>
    <w:rsid w:val="001E7C9F"/>
    <w:rsid w:val="001E7CFE"/>
    <w:rsid w:val="001F14DF"/>
    <w:rsid w:val="001F288B"/>
    <w:rsid w:val="001F3EC1"/>
    <w:rsid w:val="001F417F"/>
    <w:rsid w:val="001F52F8"/>
    <w:rsid w:val="002017DE"/>
    <w:rsid w:val="00202E5E"/>
    <w:rsid w:val="00203407"/>
    <w:rsid w:val="002046CB"/>
    <w:rsid w:val="002108BA"/>
    <w:rsid w:val="00211871"/>
    <w:rsid w:val="00212154"/>
    <w:rsid w:val="00216AD3"/>
    <w:rsid w:val="00216B1D"/>
    <w:rsid w:val="00217B8C"/>
    <w:rsid w:val="0022107E"/>
    <w:rsid w:val="00221CB6"/>
    <w:rsid w:val="00221D2F"/>
    <w:rsid w:val="00222528"/>
    <w:rsid w:val="00223E1A"/>
    <w:rsid w:val="00224D0D"/>
    <w:rsid w:val="00226298"/>
    <w:rsid w:val="00227B6D"/>
    <w:rsid w:val="00232D8A"/>
    <w:rsid w:val="00233408"/>
    <w:rsid w:val="00235BF6"/>
    <w:rsid w:val="00236B2F"/>
    <w:rsid w:val="00240ADC"/>
    <w:rsid w:val="00244CCE"/>
    <w:rsid w:val="00247BBA"/>
    <w:rsid w:val="00250319"/>
    <w:rsid w:val="0025198A"/>
    <w:rsid w:val="002538B1"/>
    <w:rsid w:val="00263C24"/>
    <w:rsid w:val="00270493"/>
    <w:rsid w:val="00270546"/>
    <w:rsid w:val="0027067B"/>
    <w:rsid w:val="00272144"/>
    <w:rsid w:val="00275973"/>
    <w:rsid w:val="00276F4B"/>
    <w:rsid w:val="00280654"/>
    <w:rsid w:val="00281019"/>
    <w:rsid w:val="00282146"/>
    <w:rsid w:val="002830DA"/>
    <w:rsid w:val="002834B4"/>
    <w:rsid w:val="002873AE"/>
    <w:rsid w:val="002908D6"/>
    <w:rsid w:val="00292ECB"/>
    <w:rsid w:val="00293100"/>
    <w:rsid w:val="00294E2D"/>
    <w:rsid w:val="002A1DF4"/>
    <w:rsid w:val="002A7B73"/>
    <w:rsid w:val="002B14B1"/>
    <w:rsid w:val="002B14BF"/>
    <w:rsid w:val="002B6DF5"/>
    <w:rsid w:val="002C3E84"/>
    <w:rsid w:val="002C74A9"/>
    <w:rsid w:val="002D047A"/>
    <w:rsid w:val="002D1186"/>
    <w:rsid w:val="002D2793"/>
    <w:rsid w:val="002D32D7"/>
    <w:rsid w:val="002D3A58"/>
    <w:rsid w:val="002E2176"/>
    <w:rsid w:val="002E39BA"/>
    <w:rsid w:val="002F209B"/>
    <w:rsid w:val="00300DAE"/>
    <w:rsid w:val="00301941"/>
    <w:rsid w:val="003039D1"/>
    <w:rsid w:val="0031311B"/>
    <w:rsid w:val="00316DD6"/>
    <w:rsid w:val="00325B8D"/>
    <w:rsid w:val="00330962"/>
    <w:rsid w:val="00330C43"/>
    <w:rsid w:val="0033167A"/>
    <w:rsid w:val="00333BA6"/>
    <w:rsid w:val="00343927"/>
    <w:rsid w:val="00344D45"/>
    <w:rsid w:val="003470B6"/>
    <w:rsid w:val="00350DFE"/>
    <w:rsid w:val="0035214A"/>
    <w:rsid w:val="00352E45"/>
    <w:rsid w:val="00353B03"/>
    <w:rsid w:val="00353E7A"/>
    <w:rsid w:val="00355BF6"/>
    <w:rsid w:val="00355EBE"/>
    <w:rsid w:val="00356C4F"/>
    <w:rsid w:val="003572B4"/>
    <w:rsid w:val="00362CFF"/>
    <w:rsid w:val="0036497F"/>
    <w:rsid w:val="003704FA"/>
    <w:rsid w:val="003724C1"/>
    <w:rsid w:val="003725FB"/>
    <w:rsid w:val="0037330F"/>
    <w:rsid w:val="003741FB"/>
    <w:rsid w:val="00375DF4"/>
    <w:rsid w:val="00386BA2"/>
    <w:rsid w:val="003A0BD2"/>
    <w:rsid w:val="003A4124"/>
    <w:rsid w:val="003A700E"/>
    <w:rsid w:val="003B0DBE"/>
    <w:rsid w:val="003B2AF3"/>
    <w:rsid w:val="003B3E6D"/>
    <w:rsid w:val="003B4586"/>
    <w:rsid w:val="003B7D8A"/>
    <w:rsid w:val="003C0F6C"/>
    <w:rsid w:val="003C1157"/>
    <w:rsid w:val="003C2FCC"/>
    <w:rsid w:val="003C4E8D"/>
    <w:rsid w:val="003C6021"/>
    <w:rsid w:val="003C7005"/>
    <w:rsid w:val="003D2189"/>
    <w:rsid w:val="003E1B2C"/>
    <w:rsid w:val="003E37AD"/>
    <w:rsid w:val="003E3C32"/>
    <w:rsid w:val="003E53D2"/>
    <w:rsid w:val="003E761E"/>
    <w:rsid w:val="003F3B91"/>
    <w:rsid w:val="003F54A3"/>
    <w:rsid w:val="003F6423"/>
    <w:rsid w:val="004026BB"/>
    <w:rsid w:val="0040361E"/>
    <w:rsid w:val="0040362D"/>
    <w:rsid w:val="00405BF9"/>
    <w:rsid w:val="00406CA8"/>
    <w:rsid w:val="00407CA3"/>
    <w:rsid w:val="00410381"/>
    <w:rsid w:val="004128FE"/>
    <w:rsid w:val="00414FF9"/>
    <w:rsid w:val="004151BD"/>
    <w:rsid w:val="00415C73"/>
    <w:rsid w:val="0042437B"/>
    <w:rsid w:val="00425CF2"/>
    <w:rsid w:val="00426B1A"/>
    <w:rsid w:val="0042709B"/>
    <w:rsid w:val="0042780E"/>
    <w:rsid w:val="004346D3"/>
    <w:rsid w:val="00435927"/>
    <w:rsid w:val="00437FC5"/>
    <w:rsid w:val="004410D1"/>
    <w:rsid w:val="00441974"/>
    <w:rsid w:val="00443768"/>
    <w:rsid w:val="00443B7E"/>
    <w:rsid w:val="00443C57"/>
    <w:rsid w:val="0044530A"/>
    <w:rsid w:val="004572FE"/>
    <w:rsid w:val="004611F3"/>
    <w:rsid w:val="004638B7"/>
    <w:rsid w:val="004652E9"/>
    <w:rsid w:val="0046558E"/>
    <w:rsid w:val="00466F00"/>
    <w:rsid w:val="00467032"/>
    <w:rsid w:val="0046754A"/>
    <w:rsid w:val="00470288"/>
    <w:rsid w:val="004726EE"/>
    <w:rsid w:val="00472FC9"/>
    <w:rsid w:val="0048076D"/>
    <w:rsid w:val="00480D60"/>
    <w:rsid w:val="004823D0"/>
    <w:rsid w:val="0048356B"/>
    <w:rsid w:val="00485028"/>
    <w:rsid w:val="00490AE4"/>
    <w:rsid w:val="00490D3A"/>
    <w:rsid w:val="004911D3"/>
    <w:rsid w:val="004919B1"/>
    <w:rsid w:val="00492E91"/>
    <w:rsid w:val="00494FB6"/>
    <w:rsid w:val="00496351"/>
    <w:rsid w:val="004969B8"/>
    <w:rsid w:val="00497680"/>
    <w:rsid w:val="004A0A23"/>
    <w:rsid w:val="004A3025"/>
    <w:rsid w:val="004B2E7A"/>
    <w:rsid w:val="004B3562"/>
    <w:rsid w:val="004B6C5B"/>
    <w:rsid w:val="004C053E"/>
    <w:rsid w:val="004C1E93"/>
    <w:rsid w:val="004C56DB"/>
    <w:rsid w:val="004C6271"/>
    <w:rsid w:val="004D1EB9"/>
    <w:rsid w:val="004D424B"/>
    <w:rsid w:val="004D4654"/>
    <w:rsid w:val="004D4A4C"/>
    <w:rsid w:val="004D5102"/>
    <w:rsid w:val="004E1AAB"/>
    <w:rsid w:val="004E4CC8"/>
    <w:rsid w:val="004E6E96"/>
    <w:rsid w:val="004E7729"/>
    <w:rsid w:val="004E7F13"/>
    <w:rsid w:val="004F0EBD"/>
    <w:rsid w:val="004F1E07"/>
    <w:rsid w:val="004F203A"/>
    <w:rsid w:val="004F2981"/>
    <w:rsid w:val="004F2D0B"/>
    <w:rsid w:val="004F4A61"/>
    <w:rsid w:val="004F4D48"/>
    <w:rsid w:val="004F68F5"/>
    <w:rsid w:val="00500542"/>
    <w:rsid w:val="005021D0"/>
    <w:rsid w:val="005066B2"/>
    <w:rsid w:val="005069F8"/>
    <w:rsid w:val="005139F8"/>
    <w:rsid w:val="005147A3"/>
    <w:rsid w:val="00514BF7"/>
    <w:rsid w:val="005171D4"/>
    <w:rsid w:val="00517C3A"/>
    <w:rsid w:val="00524F74"/>
    <w:rsid w:val="0052662C"/>
    <w:rsid w:val="005336B8"/>
    <w:rsid w:val="005344D2"/>
    <w:rsid w:val="005377BA"/>
    <w:rsid w:val="00540E6E"/>
    <w:rsid w:val="00544546"/>
    <w:rsid w:val="00545EDD"/>
    <w:rsid w:val="00546DD5"/>
    <w:rsid w:val="005501F1"/>
    <w:rsid w:val="0055140C"/>
    <w:rsid w:val="00552D93"/>
    <w:rsid w:val="005531B4"/>
    <w:rsid w:val="00553BCB"/>
    <w:rsid w:val="00553C7C"/>
    <w:rsid w:val="0055406A"/>
    <w:rsid w:val="00557380"/>
    <w:rsid w:val="00557772"/>
    <w:rsid w:val="00570C55"/>
    <w:rsid w:val="00572523"/>
    <w:rsid w:val="00572D3A"/>
    <w:rsid w:val="005730F8"/>
    <w:rsid w:val="00573355"/>
    <w:rsid w:val="005754AF"/>
    <w:rsid w:val="00580365"/>
    <w:rsid w:val="00580854"/>
    <w:rsid w:val="00580A54"/>
    <w:rsid w:val="00580BA8"/>
    <w:rsid w:val="00580D29"/>
    <w:rsid w:val="00581141"/>
    <w:rsid w:val="0058429A"/>
    <w:rsid w:val="00585366"/>
    <w:rsid w:val="005854AF"/>
    <w:rsid w:val="00585A47"/>
    <w:rsid w:val="00590D3F"/>
    <w:rsid w:val="00591889"/>
    <w:rsid w:val="00591B10"/>
    <w:rsid w:val="00591BFB"/>
    <w:rsid w:val="00594F20"/>
    <w:rsid w:val="00597505"/>
    <w:rsid w:val="005A18CB"/>
    <w:rsid w:val="005B04B9"/>
    <w:rsid w:val="005B0F53"/>
    <w:rsid w:val="005B2365"/>
    <w:rsid w:val="005B3CC3"/>
    <w:rsid w:val="005B46B4"/>
    <w:rsid w:val="005B492A"/>
    <w:rsid w:val="005B5D92"/>
    <w:rsid w:val="005B64C2"/>
    <w:rsid w:val="005B68C7"/>
    <w:rsid w:val="005B7812"/>
    <w:rsid w:val="005C209F"/>
    <w:rsid w:val="005C3D86"/>
    <w:rsid w:val="005C4CF0"/>
    <w:rsid w:val="005C7200"/>
    <w:rsid w:val="005D126D"/>
    <w:rsid w:val="005D1F0E"/>
    <w:rsid w:val="005D3697"/>
    <w:rsid w:val="005D5981"/>
    <w:rsid w:val="005E0F0F"/>
    <w:rsid w:val="005E10FB"/>
    <w:rsid w:val="005E2E45"/>
    <w:rsid w:val="005E3247"/>
    <w:rsid w:val="005E4F1A"/>
    <w:rsid w:val="005E6C38"/>
    <w:rsid w:val="005F010A"/>
    <w:rsid w:val="005F30CB"/>
    <w:rsid w:val="005F637E"/>
    <w:rsid w:val="005F6975"/>
    <w:rsid w:val="00607199"/>
    <w:rsid w:val="00611414"/>
    <w:rsid w:val="006126C9"/>
    <w:rsid w:val="00616BA8"/>
    <w:rsid w:val="00617076"/>
    <w:rsid w:val="0062044A"/>
    <w:rsid w:val="0062251B"/>
    <w:rsid w:val="00622E32"/>
    <w:rsid w:val="006253BA"/>
    <w:rsid w:val="00627018"/>
    <w:rsid w:val="006300F8"/>
    <w:rsid w:val="0063057D"/>
    <w:rsid w:val="00641971"/>
    <w:rsid w:val="00645074"/>
    <w:rsid w:val="00645EEF"/>
    <w:rsid w:val="00651269"/>
    <w:rsid w:val="006516BF"/>
    <w:rsid w:val="006516E8"/>
    <w:rsid w:val="00652724"/>
    <w:rsid w:val="00653F8C"/>
    <w:rsid w:val="006557B9"/>
    <w:rsid w:val="00657138"/>
    <w:rsid w:val="006656E5"/>
    <w:rsid w:val="00665AEB"/>
    <w:rsid w:val="0067099B"/>
    <w:rsid w:val="0067342A"/>
    <w:rsid w:val="00674CCD"/>
    <w:rsid w:val="00675263"/>
    <w:rsid w:val="006767B1"/>
    <w:rsid w:val="00677AB1"/>
    <w:rsid w:val="00680DC9"/>
    <w:rsid w:val="006816DD"/>
    <w:rsid w:val="00681910"/>
    <w:rsid w:val="006864C0"/>
    <w:rsid w:val="00686A6B"/>
    <w:rsid w:val="00686C7E"/>
    <w:rsid w:val="00690C6C"/>
    <w:rsid w:val="00690E39"/>
    <w:rsid w:val="006927E7"/>
    <w:rsid w:val="00692C7C"/>
    <w:rsid w:val="00693EFF"/>
    <w:rsid w:val="006A3D1B"/>
    <w:rsid w:val="006A3FA2"/>
    <w:rsid w:val="006B4071"/>
    <w:rsid w:val="006B7129"/>
    <w:rsid w:val="006C0449"/>
    <w:rsid w:val="006C5B24"/>
    <w:rsid w:val="006D02BB"/>
    <w:rsid w:val="006D1BBD"/>
    <w:rsid w:val="006D4BEF"/>
    <w:rsid w:val="006D57E1"/>
    <w:rsid w:val="006D7DA7"/>
    <w:rsid w:val="006E3D6F"/>
    <w:rsid w:val="006F5826"/>
    <w:rsid w:val="006F7087"/>
    <w:rsid w:val="006F72C2"/>
    <w:rsid w:val="00700181"/>
    <w:rsid w:val="0070106B"/>
    <w:rsid w:val="00704955"/>
    <w:rsid w:val="0070532A"/>
    <w:rsid w:val="00706FBA"/>
    <w:rsid w:val="0071152C"/>
    <w:rsid w:val="00712174"/>
    <w:rsid w:val="007141CF"/>
    <w:rsid w:val="0071524C"/>
    <w:rsid w:val="00727537"/>
    <w:rsid w:val="007305BC"/>
    <w:rsid w:val="00735420"/>
    <w:rsid w:val="0073749D"/>
    <w:rsid w:val="007454B1"/>
    <w:rsid w:val="0074786A"/>
    <w:rsid w:val="00747F47"/>
    <w:rsid w:val="007502B5"/>
    <w:rsid w:val="00750480"/>
    <w:rsid w:val="007507C6"/>
    <w:rsid w:val="00754E0D"/>
    <w:rsid w:val="007577E3"/>
    <w:rsid w:val="00760DB3"/>
    <w:rsid w:val="007643D6"/>
    <w:rsid w:val="00764DEC"/>
    <w:rsid w:val="00765EEC"/>
    <w:rsid w:val="00767985"/>
    <w:rsid w:val="00772E50"/>
    <w:rsid w:val="0077473B"/>
    <w:rsid w:val="00774EB8"/>
    <w:rsid w:val="007818F3"/>
    <w:rsid w:val="00785B98"/>
    <w:rsid w:val="0078700B"/>
    <w:rsid w:val="0079108A"/>
    <w:rsid w:val="007965C6"/>
    <w:rsid w:val="007B067A"/>
    <w:rsid w:val="007B165D"/>
    <w:rsid w:val="007B1F1D"/>
    <w:rsid w:val="007B4980"/>
    <w:rsid w:val="007B6E51"/>
    <w:rsid w:val="007B70BA"/>
    <w:rsid w:val="007C1C57"/>
    <w:rsid w:val="007C24C6"/>
    <w:rsid w:val="007C643E"/>
    <w:rsid w:val="007D2444"/>
    <w:rsid w:val="007D24BB"/>
    <w:rsid w:val="007D4525"/>
    <w:rsid w:val="007D7CB3"/>
    <w:rsid w:val="007E5E0F"/>
    <w:rsid w:val="007E6507"/>
    <w:rsid w:val="007E71F0"/>
    <w:rsid w:val="007F0120"/>
    <w:rsid w:val="007F0160"/>
    <w:rsid w:val="007F2B8E"/>
    <w:rsid w:val="007F3EE4"/>
    <w:rsid w:val="007F3F98"/>
    <w:rsid w:val="007F5062"/>
    <w:rsid w:val="007F587A"/>
    <w:rsid w:val="00802861"/>
    <w:rsid w:val="0080662B"/>
    <w:rsid w:val="00806E5D"/>
    <w:rsid w:val="00807247"/>
    <w:rsid w:val="008076A1"/>
    <w:rsid w:val="00807B89"/>
    <w:rsid w:val="00815986"/>
    <w:rsid w:val="00817F1C"/>
    <w:rsid w:val="00822CF9"/>
    <w:rsid w:val="00822ED6"/>
    <w:rsid w:val="00823F9D"/>
    <w:rsid w:val="00826797"/>
    <w:rsid w:val="0083635E"/>
    <w:rsid w:val="0083779E"/>
    <w:rsid w:val="00840C2B"/>
    <w:rsid w:val="0084140E"/>
    <w:rsid w:val="00842460"/>
    <w:rsid w:val="00843BDD"/>
    <w:rsid w:val="008445BE"/>
    <w:rsid w:val="008448CE"/>
    <w:rsid w:val="008456B0"/>
    <w:rsid w:val="0085688B"/>
    <w:rsid w:val="00856AAF"/>
    <w:rsid w:val="00861187"/>
    <w:rsid w:val="00861AF9"/>
    <w:rsid w:val="00861ED8"/>
    <w:rsid w:val="0086239B"/>
    <w:rsid w:val="00867478"/>
    <w:rsid w:val="0087189C"/>
    <w:rsid w:val="008739FD"/>
    <w:rsid w:val="008812C0"/>
    <w:rsid w:val="008813FB"/>
    <w:rsid w:val="00884734"/>
    <w:rsid w:val="00884DEF"/>
    <w:rsid w:val="00885B18"/>
    <w:rsid w:val="00885C3A"/>
    <w:rsid w:val="0089259C"/>
    <w:rsid w:val="00893445"/>
    <w:rsid w:val="00896C47"/>
    <w:rsid w:val="008976FB"/>
    <w:rsid w:val="00897A32"/>
    <w:rsid w:val="008A14DA"/>
    <w:rsid w:val="008A15F3"/>
    <w:rsid w:val="008A271A"/>
    <w:rsid w:val="008B0C76"/>
    <w:rsid w:val="008B1043"/>
    <w:rsid w:val="008B2C4F"/>
    <w:rsid w:val="008B527B"/>
    <w:rsid w:val="008C02D7"/>
    <w:rsid w:val="008C0976"/>
    <w:rsid w:val="008C1221"/>
    <w:rsid w:val="008C16C5"/>
    <w:rsid w:val="008C3C1F"/>
    <w:rsid w:val="008C48F7"/>
    <w:rsid w:val="008C4E9C"/>
    <w:rsid w:val="008C7E84"/>
    <w:rsid w:val="008D0EE0"/>
    <w:rsid w:val="008D1786"/>
    <w:rsid w:val="008D32BA"/>
    <w:rsid w:val="008D415C"/>
    <w:rsid w:val="008D4264"/>
    <w:rsid w:val="008D489E"/>
    <w:rsid w:val="008D7C49"/>
    <w:rsid w:val="008E0927"/>
    <w:rsid w:val="008E227E"/>
    <w:rsid w:val="008E372C"/>
    <w:rsid w:val="008E4CB1"/>
    <w:rsid w:val="008F07E8"/>
    <w:rsid w:val="008F6C92"/>
    <w:rsid w:val="00901398"/>
    <w:rsid w:val="00901715"/>
    <w:rsid w:val="009061E6"/>
    <w:rsid w:val="009115C9"/>
    <w:rsid w:val="009117C9"/>
    <w:rsid w:val="0091328F"/>
    <w:rsid w:val="009201B0"/>
    <w:rsid w:val="0092244B"/>
    <w:rsid w:val="00923139"/>
    <w:rsid w:val="0093486B"/>
    <w:rsid w:val="00936A44"/>
    <w:rsid w:val="0093750E"/>
    <w:rsid w:val="00937C08"/>
    <w:rsid w:val="009407CD"/>
    <w:rsid w:val="009413D5"/>
    <w:rsid w:val="00943FE7"/>
    <w:rsid w:val="00945567"/>
    <w:rsid w:val="00945736"/>
    <w:rsid w:val="00945BDE"/>
    <w:rsid w:val="00947AB6"/>
    <w:rsid w:val="009505EE"/>
    <w:rsid w:val="00953697"/>
    <w:rsid w:val="00957340"/>
    <w:rsid w:val="00960DB3"/>
    <w:rsid w:val="00962987"/>
    <w:rsid w:val="00965477"/>
    <w:rsid w:val="00980BB5"/>
    <w:rsid w:val="00982B2C"/>
    <w:rsid w:val="00983D79"/>
    <w:rsid w:val="00985254"/>
    <w:rsid w:val="00985D08"/>
    <w:rsid w:val="00987D33"/>
    <w:rsid w:val="009924AD"/>
    <w:rsid w:val="00993195"/>
    <w:rsid w:val="009962BA"/>
    <w:rsid w:val="009A0849"/>
    <w:rsid w:val="009A29B1"/>
    <w:rsid w:val="009A3884"/>
    <w:rsid w:val="009A6F54"/>
    <w:rsid w:val="009B270E"/>
    <w:rsid w:val="009B3154"/>
    <w:rsid w:val="009B4F9E"/>
    <w:rsid w:val="009B5E58"/>
    <w:rsid w:val="009B7722"/>
    <w:rsid w:val="009B7FF4"/>
    <w:rsid w:val="009C05CD"/>
    <w:rsid w:val="009C2436"/>
    <w:rsid w:val="009C328A"/>
    <w:rsid w:val="009C747D"/>
    <w:rsid w:val="009D07E1"/>
    <w:rsid w:val="009D2D91"/>
    <w:rsid w:val="009D30A5"/>
    <w:rsid w:val="009D30CA"/>
    <w:rsid w:val="009D3BE8"/>
    <w:rsid w:val="009D57E6"/>
    <w:rsid w:val="009D7B59"/>
    <w:rsid w:val="009D7EAB"/>
    <w:rsid w:val="009E4621"/>
    <w:rsid w:val="009E5692"/>
    <w:rsid w:val="009F1180"/>
    <w:rsid w:val="009F3D95"/>
    <w:rsid w:val="009F411B"/>
    <w:rsid w:val="009F415B"/>
    <w:rsid w:val="009F44F6"/>
    <w:rsid w:val="00A00797"/>
    <w:rsid w:val="00A01FAE"/>
    <w:rsid w:val="00A02BB4"/>
    <w:rsid w:val="00A07EF7"/>
    <w:rsid w:val="00A115FF"/>
    <w:rsid w:val="00A143CB"/>
    <w:rsid w:val="00A2459A"/>
    <w:rsid w:val="00A26A97"/>
    <w:rsid w:val="00A26D30"/>
    <w:rsid w:val="00A30739"/>
    <w:rsid w:val="00A32793"/>
    <w:rsid w:val="00A33B9E"/>
    <w:rsid w:val="00A355EC"/>
    <w:rsid w:val="00A4128A"/>
    <w:rsid w:val="00A45652"/>
    <w:rsid w:val="00A5207F"/>
    <w:rsid w:val="00A529A0"/>
    <w:rsid w:val="00A540F8"/>
    <w:rsid w:val="00A6057A"/>
    <w:rsid w:val="00A72B13"/>
    <w:rsid w:val="00A73E96"/>
    <w:rsid w:val="00A74017"/>
    <w:rsid w:val="00A81796"/>
    <w:rsid w:val="00A823A6"/>
    <w:rsid w:val="00A82F7C"/>
    <w:rsid w:val="00A93895"/>
    <w:rsid w:val="00AA021D"/>
    <w:rsid w:val="00AA1504"/>
    <w:rsid w:val="00AA332C"/>
    <w:rsid w:val="00AA4A16"/>
    <w:rsid w:val="00AB0997"/>
    <w:rsid w:val="00AB22CD"/>
    <w:rsid w:val="00AB286E"/>
    <w:rsid w:val="00AB3856"/>
    <w:rsid w:val="00AB3DCB"/>
    <w:rsid w:val="00AB408B"/>
    <w:rsid w:val="00AB41C3"/>
    <w:rsid w:val="00AB78B2"/>
    <w:rsid w:val="00AC27F8"/>
    <w:rsid w:val="00AC6812"/>
    <w:rsid w:val="00AC7383"/>
    <w:rsid w:val="00AC785E"/>
    <w:rsid w:val="00AD2C12"/>
    <w:rsid w:val="00AD3B61"/>
    <w:rsid w:val="00AD4C72"/>
    <w:rsid w:val="00AD5391"/>
    <w:rsid w:val="00AD71BB"/>
    <w:rsid w:val="00AE2AEE"/>
    <w:rsid w:val="00AE5B6B"/>
    <w:rsid w:val="00AF2A0A"/>
    <w:rsid w:val="00B010B2"/>
    <w:rsid w:val="00B0566C"/>
    <w:rsid w:val="00B05979"/>
    <w:rsid w:val="00B1018E"/>
    <w:rsid w:val="00B21831"/>
    <w:rsid w:val="00B21998"/>
    <w:rsid w:val="00B230EC"/>
    <w:rsid w:val="00B241E0"/>
    <w:rsid w:val="00B26BB2"/>
    <w:rsid w:val="00B27DB0"/>
    <w:rsid w:val="00B300C5"/>
    <w:rsid w:val="00B33337"/>
    <w:rsid w:val="00B35833"/>
    <w:rsid w:val="00B3763D"/>
    <w:rsid w:val="00B37C5D"/>
    <w:rsid w:val="00B44B08"/>
    <w:rsid w:val="00B45645"/>
    <w:rsid w:val="00B47309"/>
    <w:rsid w:val="00B4732C"/>
    <w:rsid w:val="00B473EF"/>
    <w:rsid w:val="00B53948"/>
    <w:rsid w:val="00B562D6"/>
    <w:rsid w:val="00B66028"/>
    <w:rsid w:val="00B70FFD"/>
    <w:rsid w:val="00B73675"/>
    <w:rsid w:val="00B81EFE"/>
    <w:rsid w:val="00B82553"/>
    <w:rsid w:val="00B83552"/>
    <w:rsid w:val="00B85F81"/>
    <w:rsid w:val="00B87284"/>
    <w:rsid w:val="00B9286A"/>
    <w:rsid w:val="00B95026"/>
    <w:rsid w:val="00BA0090"/>
    <w:rsid w:val="00BA4C4D"/>
    <w:rsid w:val="00BA5DCA"/>
    <w:rsid w:val="00BA6275"/>
    <w:rsid w:val="00BB1AEA"/>
    <w:rsid w:val="00BB1F84"/>
    <w:rsid w:val="00BB4BC7"/>
    <w:rsid w:val="00BB5194"/>
    <w:rsid w:val="00BB5B4A"/>
    <w:rsid w:val="00BB7DD3"/>
    <w:rsid w:val="00BC3D74"/>
    <w:rsid w:val="00BC57DB"/>
    <w:rsid w:val="00BC5A13"/>
    <w:rsid w:val="00BC5D2F"/>
    <w:rsid w:val="00BC686D"/>
    <w:rsid w:val="00BD217F"/>
    <w:rsid w:val="00BD23BB"/>
    <w:rsid w:val="00BD4A2C"/>
    <w:rsid w:val="00BD7D2E"/>
    <w:rsid w:val="00BE5468"/>
    <w:rsid w:val="00BF1926"/>
    <w:rsid w:val="00BF33A2"/>
    <w:rsid w:val="00BF5A73"/>
    <w:rsid w:val="00C01DE2"/>
    <w:rsid w:val="00C03C83"/>
    <w:rsid w:val="00C067F1"/>
    <w:rsid w:val="00C07012"/>
    <w:rsid w:val="00C07E8A"/>
    <w:rsid w:val="00C10912"/>
    <w:rsid w:val="00C11EAC"/>
    <w:rsid w:val="00C128F1"/>
    <w:rsid w:val="00C136C6"/>
    <w:rsid w:val="00C140FA"/>
    <w:rsid w:val="00C21D17"/>
    <w:rsid w:val="00C25ED5"/>
    <w:rsid w:val="00C30D17"/>
    <w:rsid w:val="00C30F2A"/>
    <w:rsid w:val="00C31603"/>
    <w:rsid w:val="00C3318D"/>
    <w:rsid w:val="00C34C55"/>
    <w:rsid w:val="00C41941"/>
    <w:rsid w:val="00C43456"/>
    <w:rsid w:val="00C447F7"/>
    <w:rsid w:val="00C44B1E"/>
    <w:rsid w:val="00C476E0"/>
    <w:rsid w:val="00C5042B"/>
    <w:rsid w:val="00C5094F"/>
    <w:rsid w:val="00C50EE5"/>
    <w:rsid w:val="00C554BB"/>
    <w:rsid w:val="00C61DFB"/>
    <w:rsid w:val="00C623FD"/>
    <w:rsid w:val="00C65C0C"/>
    <w:rsid w:val="00C724C1"/>
    <w:rsid w:val="00C737E9"/>
    <w:rsid w:val="00C73A2C"/>
    <w:rsid w:val="00C75309"/>
    <w:rsid w:val="00C75537"/>
    <w:rsid w:val="00C76CB4"/>
    <w:rsid w:val="00C77088"/>
    <w:rsid w:val="00C775A0"/>
    <w:rsid w:val="00C77824"/>
    <w:rsid w:val="00C808FC"/>
    <w:rsid w:val="00C81440"/>
    <w:rsid w:val="00C84C27"/>
    <w:rsid w:val="00C8512C"/>
    <w:rsid w:val="00C853A2"/>
    <w:rsid w:val="00C86E75"/>
    <w:rsid w:val="00C909D8"/>
    <w:rsid w:val="00C91A46"/>
    <w:rsid w:val="00C934CF"/>
    <w:rsid w:val="00C9615B"/>
    <w:rsid w:val="00CA171D"/>
    <w:rsid w:val="00CA4068"/>
    <w:rsid w:val="00CA7E3C"/>
    <w:rsid w:val="00CC2868"/>
    <w:rsid w:val="00CC3756"/>
    <w:rsid w:val="00CC3C1C"/>
    <w:rsid w:val="00CC49EA"/>
    <w:rsid w:val="00CC657C"/>
    <w:rsid w:val="00CD0B67"/>
    <w:rsid w:val="00CD129D"/>
    <w:rsid w:val="00CD1D96"/>
    <w:rsid w:val="00CD5A9B"/>
    <w:rsid w:val="00CD5FA0"/>
    <w:rsid w:val="00CD7D97"/>
    <w:rsid w:val="00CE0593"/>
    <w:rsid w:val="00CE104C"/>
    <w:rsid w:val="00CE1D72"/>
    <w:rsid w:val="00CE2ACE"/>
    <w:rsid w:val="00CE371F"/>
    <w:rsid w:val="00CE3EE6"/>
    <w:rsid w:val="00CE4BA1"/>
    <w:rsid w:val="00CE4D2D"/>
    <w:rsid w:val="00CE6A96"/>
    <w:rsid w:val="00CE6BCF"/>
    <w:rsid w:val="00CE71F0"/>
    <w:rsid w:val="00CF2FE2"/>
    <w:rsid w:val="00CF40A8"/>
    <w:rsid w:val="00D000C7"/>
    <w:rsid w:val="00D00C9A"/>
    <w:rsid w:val="00D0123E"/>
    <w:rsid w:val="00D0148B"/>
    <w:rsid w:val="00D01CCE"/>
    <w:rsid w:val="00D021FC"/>
    <w:rsid w:val="00D04F58"/>
    <w:rsid w:val="00D17145"/>
    <w:rsid w:val="00D1730F"/>
    <w:rsid w:val="00D20288"/>
    <w:rsid w:val="00D2563A"/>
    <w:rsid w:val="00D26092"/>
    <w:rsid w:val="00D27A45"/>
    <w:rsid w:val="00D3562A"/>
    <w:rsid w:val="00D4391F"/>
    <w:rsid w:val="00D43D0C"/>
    <w:rsid w:val="00D47A9A"/>
    <w:rsid w:val="00D47D39"/>
    <w:rsid w:val="00D5177C"/>
    <w:rsid w:val="00D52850"/>
    <w:rsid w:val="00D52A9D"/>
    <w:rsid w:val="00D55AAD"/>
    <w:rsid w:val="00D56E7C"/>
    <w:rsid w:val="00D5737C"/>
    <w:rsid w:val="00D576B6"/>
    <w:rsid w:val="00D658FC"/>
    <w:rsid w:val="00D7271A"/>
    <w:rsid w:val="00D747AE"/>
    <w:rsid w:val="00D75AB4"/>
    <w:rsid w:val="00D8133D"/>
    <w:rsid w:val="00D84255"/>
    <w:rsid w:val="00D9226C"/>
    <w:rsid w:val="00D92422"/>
    <w:rsid w:val="00D9706D"/>
    <w:rsid w:val="00DA0183"/>
    <w:rsid w:val="00DA0AF4"/>
    <w:rsid w:val="00DA20BD"/>
    <w:rsid w:val="00DA2BB3"/>
    <w:rsid w:val="00DA47C2"/>
    <w:rsid w:val="00DB2769"/>
    <w:rsid w:val="00DB481B"/>
    <w:rsid w:val="00DB6638"/>
    <w:rsid w:val="00DC003B"/>
    <w:rsid w:val="00DC03AF"/>
    <w:rsid w:val="00DC3D75"/>
    <w:rsid w:val="00DC7EDF"/>
    <w:rsid w:val="00DD0870"/>
    <w:rsid w:val="00DD4606"/>
    <w:rsid w:val="00DD5C01"/>
    <w:rsid w:val="00DE4A7A"/>
    <w:rsid w:val="00DE50DB"/>
    <w:rsid w:val="00DE5741"/>
    <w:rsid w:val="00DE5BF1"/>
    <w:rsid w:val="00DE7A8F"/>
    <w:rsid w:val="00DF5702"/>
    <w:rsid w:val="00DF6AE1"/>
    <w:rsid w:val="00E00783"/>
    <w:rsid w:val="00E06518"/>
    <w:rsid w:val="00E06808"/>
    <w:rsid w:val="00E11994"/>
    <w:rsid w:val="00E15E02"/>
    <w:rsid w:val="00E20AE6"/>
    <w:rsid w:val="00E20BB1"/>
    <w:rsid w:val="00E24506"/>
    <w:rsid w:val="00E2537D"/>
    <w:rsid w:val="00E30290"/>
    <w:rsid w:val="00E35FED"/>
    <w:rsid w:val="00E4330D"/>
    <w:rsid w:val="00E44285"/>
    <w:rsid w:val="00E46FD5"/>
    <w:rsid w:val="00E479E9"/>
    <w:rsid w:val="00E5374C"/>
    <w:rsid w:val="00E544BB"/>
    <w:rsid w:val="00E56545"/>
    <w:rsid w:val="00E57A59"/>
    <w:rsid w:val="00E57D5C"/>
    <w:rsid w:val="00E60FB4"/>
    <w:rsid w:val="00E61B7D"/>
    <w:rsid w:val="00E6321F"/>
    <w:rsid w:val="00E648D0"/>
    <w:rsid w:val="00E801C1"/>
    <w:rsid w:val="00E81832"/>
    <w:rsid w:val="00E8189F"/>
    <w:rsid w:val="00E83E08"/>
    <w:rsid w:val="00E856DB"/>
    <w:rsid w:val="00E877F6"/>
    <w:rsid w:val="00E91523"/>
    <w:rsid w:val="00E9318E"/>
    <w:rsid w:val="00E96ED3"/>
    <w:rsid w:val="00EA0764"/>
    <w:rsid w:val="00EA47FF"/>
    <w:rsid w:val="00EA4A13"/>
    <w:rsid w:val="00EA5D4F"/>
    <w:rsid w:val="00EB10CE"/>
    <w:rsid w:val="00EB21AD"/>
    <w:rsid w:val="00EB3087"/>
    <w:rsid w:val="00EB6C56"/>
    <w:rsid w:val="00EC215C"/>
    <w:rsid w:val="00EC2777"/>
    <w:rsid w:val="00EC29A7"/>
    <w:rsid w:val="00EC6B3E"/>
    <w:rsid w:val="00ED08D5"/>
    <w:rsid w:val="00ED21F1"/>
    <w:rsid w:val="00ED4E12"/>
    <w:rsid w:val="00ED54E0"/>
    <w:rsid w:val="00ED7EB9"/>
    <w:rsid w:val="00EE004F"/>
    <w:rsid w:val="00EE5545"/>
    <w:rsid w:val="00EE619E"/>
    <w:rsid w:val="00EF273A"/>
    <w:rsid w:val="00EF2D36"/>
    <w:rsid w:val="00EF4ED3"/>
    <w:rsid w:val="00F00213"/>
    <w:rsid w:val="00F01108"/>
    <w:rsid w:val="00F0149C"/>
    <w:rsid w:val="00F0240D"/>
    <w:rsid w:val="00F03B66"/>
    <w:rsid w:val="00F04E77"/>
    <w:rsid w:val="00F05C32"/>
    <w:rsid w:val="00F0631C"/>
    <w:rsid w:val="00F1107E"/>
    <w:rsid w:val="00F114BC"/>
    <w:rsid w:val="00F133F7"/>
    <w:rsid w:val="00F13F60"/>
    <w:rsid w:val="00F15B59"/>
    <w:rsid w:val="00F15EC3"/>
    <w:rsid w:val="00F1738C"/>
    <w:rsid w:val="00F250A4"/>
    <w:rsid w:val="00F2691C"/>
    <w:rsid w:val="00F27853"/>
    <w:rsid w:val="00F32397"/>
    <w:rsid w:val="00F32885"/>
    <w:rsid w:val="00F33D57"/>
    <w:rsid w:val="00F33F55"/>
    <w:rsid w:val="00F35015"/>
    <w:rsid w:val="00F40595"/>
    <w:rsid w:val="00F42643"/>
    <w:rsid w:val="00F42796"/>
    <w:rsid w:val="00F42FDC"/>
    <w:rsid w:val="00F44291"/>
    <w:rsid w:val="00F500BE"/>
    <w:rsid w:val="00F524C0"/>
    <w:rsid w:val="00F5555A"/>
    <w:rsid w:val="00F60965"/>
    <w:rsid w:val="00F61086"/>
    <w:rsid w:val="00F709B7"/>
    <w:rsid w:val="00F72513"/>
    <w:rsid w:val="00F73859"/>
    <w:rsid w:val="00F73DD3"/>
    <w:rsid w:val="00F74365"/>
    <w:rsid w:val="00F75C92"/>
    <w:rsid w:val="00F76CA7"/>
    <w:rsid w:val="00F77686"/>
    <w:rsid w:val="00F77F1E"/>
    <w:rsid w:val="00F83756"/>
    <w:rsid w:val="00F83995"/>
    <w:rsid w:val="00F906B5"/>
    <w:rsid w:val="00F923F2"/>
    <w:rsid w:val="00F950AD"/>
    <w:rsid w:val="00F97844"/>
    <w:rsid w:val="00FA1412"/>
    <w:rsid w:val="00FA18FD"/>
    <w:rsid w:val="00FA2C7B"/>
    <w:rsid w:val="00FA2D74"/>
    <w:rsid w:val="00FA5055"/>
    <w:rsid w:val="00FA5EBC"/>
    <w:rsid w:val="00FA7205"/>
    <w:rsid w:val="00FB03D2"/>
    <w:rsid w:val="00FB138B"/>
    <w:rsid w:val="00FB2378"/>
    <w:rsid w:val="00FB2A70"/>
    <w:rsid w:val="00FB34F1"/>
    <w:rsid w:val="00FB35E7"/>
    <w:rsid w:val="00FB3DF1"/>
    <w:rsid w:val="00FC0073"/>
    <w:rsid w:val="00FC1B39"/>
    <w:rsid w:val="00FC6B64"/>
    <w:rsid w:val="00FC73FA"/>
    <w:rsid w:val="00FD1D5D"/>
    <w:rsid w:val="00FD224A"/>
    <w:rsid w:val="00FD72EB"/>
    <w:rsid w:val="00FD7879"/>
    <w:rsid w:val="00FD7967"/>
    <w:rsid w:val="00FE0010"/>
    <w:rsid w:val="00FE0B44"/>
    <w:rsid w:val="00FF0FB5"/>
    <w:rsid w:val="00FF1C29"/>
    <w:rsid w:val="00FF290F"/>
    <w:rsid w:val="00FF2B36"/>
    <w:rsid w:val="00FF4616"/>
    <w:rsid w:val="00FF5F33"/>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652F"/>
  <w15:docId w15:val="{1A0EA996-1D55-475B-A6E5-9EDA16A4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uiPriority w:val="2"/>
    <w:qFormat/>
    <w:rsid w:val="00B230EC"/>
    <w:pPr>
      <w:keepNext/>
      <w:keepLines/>
      <w:numPr>
        <w:numId w:val="33"/>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F33D57"/>
    <w:pPr>
      <w:keepNext/>
      <w:keepLines/>
      <w:numPr>
        <w:ilvl w:val="1"/>
        <w:numId w:val="33"/>
      </w:numPr>
      <w:spacing w:after="240"/>
      <w:outlineLvl w:val="1"/>
    </w:pPr>
    <w:rPr>
      <w:rFonts w:eastAsiaTheme="majorEastAsia" w:cstheme="majorBidi"/>
      <w:b/>
      <w:bCs/>
      <w:color w:val="006283"/>
      <w:szCs w:val="26"/>
    </w:rPr>
  </w:style>
  <w:style w:type="paragraph" w:styleId="Heading3">
    <w:name w:val="heading 3"/>
    <w:basedOn w:val="Normal"/>
    <w:next w:val="Heading4"/>
    <w:uiPriority w:val="2"/>
    <w:qFormat/>
    <w:rsid w:val="00B230EC"/>
    <w:pPr>
      <w:keepNext/>
      <w:keepLines/>
      <w:numPr>
        <w:ilvl w:val="2"/>
        <w:numId w:val="33"/>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B230EC"/>
    <w:pPr>
      <w:keepNext/>
      <w:keepLines/>
      <w:numPr>
        <w:ilvl w:val="3"/>
        <w:numId w:val="33"/>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B230EC"/>
    <w:pPr>
      <w:keepNext/>
      <w:keepLines/>
      <w:numPr>
        <w:ilvl w:val="4"/>
        <w:numId w:val="33"/>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B230EC"/>
    <w:pPr>
      <w:keepNext/>
      <w:keepLines/>
      <w:numPr>
        <w:ilvl w:val="5"/>
        <w:numId w:val="33"/>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B230EC"/>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D747AE"/>
    <w:pPr>
      <w:numPr>
        <w:ilvl w:val="6"/>
        <w:numId w:val="33"/>
      </w:numPr>
      <w:spacing w:after="240"/>
    </w:pPr>
    <w:rPr>
      <w:szCs w:val="20"/>
      <w:lang w:eastAsia="en-GB"/>
    </w:rPr>
  </w:style>
  <w:style w:type="paragraph" w:styleId="BodyText2">
    <w:name w:val="Body Text 2"/>
    <w:basedOn w:val="Normal"/>
    <w:uiPriority w:val="1"/>
    <w:qFormat/>
    <w:rsid w:val="00D747AE"/>
    <w:pPr>
      <w:numPr>
        <w:ilvl w:val="7"/>
        <w:numId w:val="33"/>
      </w:numPr>
      <w:spacing w:after="240"/>
    </w:pPr>
    <w:rPr>
      <w:szCs w:val="20"/>
      <w:lang w:eastAsia="en-GB"/>
    </w:rPr>
  </w:style>
  <w:style w:type="paragraph" w:styleId="BodyText3">
    <w:name w:val="Body Text 3"/>
    <w:basedOn w:val="Normal"/>
    <w:uiPriority w:val="1"/>
    <w:qFormat/>
    <w:rsid w:val="00D747AE"/>
    <w:pPr>
      <w:numPr>
        <w:ilvl w:val="8"/>
        <w:numId w:val="33"/>
      </w:numPr>
      <w:spacing w:after="240"/>
    </w:pPr>
    <w:rPr>
      <w:szCs w:val="16"/>
      <w:lang w:eastAsia="en-GB"/>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uiPriority w:val="6"/>
    <w:qFormat/>
    <w:rsid w:val="0046754A"/>
    <w:pPr>
      <w:spacing w:after="240"/>
      <w:ind w:left="1077"/>
    </w:pPr>
    <w:rPr>
      <w:szCs w:val="20"/>
      <w:lang w:eastAsia="en-GB"/>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uiPriority w:val="5"/>
    <w:qFormat/>
    <w:rsid w:val="00E56545"/>
    <w:pPr>
      <w:ind w:firstLine="567"/>
      <w:jc w:val="left"/>
    </w:pPr>
    <w:rPr>
      <w:sz w:val="16"/>
      <w:szCs w:val="18"/>
      <w:lang w:eastAsia="en-GB"/>
    </w:rPr>
  </w:style>
  <w:style w:type="paragraph" w:styleId="EndnoteText">
    <w:name w:val="endnote text"/>
    <w:basedOn w:val="FootnoteText"/>
    <w:uiPriority w:val="99"/>
    <w:rsid w:val="0046754A"/>
    <w:rPr>
      <w:szCs w:val="20"/>
    </w:rPr>
  </w:style>
  <w:style w:type="paragraph" w:customStyle="1" w:styleId="FollowUp">
    <w:name w:val="FollowUp"/>
    <w:basedOn w:val="Normal"/>
    <w:uiPriority w:val="6"/>
    <w:qFormat/>
    <w:rsid w:val="0046754A"/>
    <w:pPr>
      <w:spacing w:after="240"/>
      <w:ind w:left="720"/>
    </w:pPr>
    <w:rPr>
      <w:i/>
      <w:szCs w:val="20"/>
      <w:lang w:eastAsia="en-GB"/>
    </w:rPr>
  </w:style>
  <w:style w:type="paragraph" w:styleId="Footer">
    <w:name w:val="footer"/>
    <w:basedOn w:val="Normal"/>
    <w:uiPriority w:val="5"/>
    <w:rsid w:val="0046754A"/>
    <w:pPr>
      <w:tabs>
        <w:tab w:val="center" w:pos="4513"/>
        <w:tab w:val="right" w:pos="9027"/>
      </w:tabs>
    </w:pPr>
    <w:rPr>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qFormat/>
    <w:rsid w:val="0046754A"/>
    <w:rPr>
      <w:vertAlign w:val="superscript"/>
    </w:rPr>
  </w:style>
  <w:style w:type="paragraph" w:styleId="Header">
    <w:name w:val="header"/>
    <w:basedOn w:val="Normal"/>
    <w:uiPriority w:val="5"/>
    <w:rsid w:val="0046754A"/>
    <w:pPr>
      <w:tabs>
        <w:tab w:val="center" w:pos="4513"/>
        <w:tab w:val="right" w:pos="9027"/>
      </w:tabs>
      <w:jc w:val="left"/>
    </w:pPr>
    <w:rPr>
      <w:szCs w:val="18"/>
      <w:lang w:eastAsia="en-GB"/>
    </w:rPr>
  </w:style>
  <w:style w:type="paragraph" w:customStyle="1" w:styleId="Quotation">
    <w:name w:val="Quotation"/>
    <w:basedOn w:val="Normal"/>
    <w:uiPriority w:val="5"/>
    <w:rsid w:val="00DF6AE1"/>
    <w:pPr>
      <w:spacing w:after="240"/>
      <w:ind w:left="567" w:right="567"/>
    </w:pPr>
    <w:rPr>
      <w:szCs w:val="18"/>
      <w:lang w:eastAsia="en-GB"/>
    </w:rPr>
  </w:style>
  <w:style w:type="paragraph" w:customStyle="1" w:styleId="QuotationDouble">
    <w:name w:val="Quotation Double"/>
    <w:basedOn w:val="Normal"/>
    <w:uiPriority w:val="5"/>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244CCE"/>
    <w:pPr>
      <w:tabs>
        <w:tab w:val="right" w:leader="dot" w:pos="9027"/>
      </w:tabs>
      <w:spacing w:before="120" w:after="120"/>
      <w:jc w:val="left"/>
    </w:pPr>
    <w:rPr>
      <w:b/>
      <w:caps/>
      <w:szCs w:val="18"/>
      <w:lang w:eastAsia="en-GB"/>
    </w:rPr>
  </w:style>
  <w:style w:type="paragraph" w:styleId="TOC2">
    <w:name w:val="toc 2"/>
    <w:basedOn w:val="Normal"/>
    <w:next w:val="Normal"/>
    <w:autoRedefine/>
    <w:uiPriority w:val="39"/>
    <w:rsid w:val="00082F52"/>
    <w:pPr>
      <w:tabs>
        <w:tab w:val="right" w:leader="dot" w:pos="9027"/>
      </w:tabs>
      <w:spacing w:before="120" w:after="120"/>
      <w:jc w:val="left"/>
    </w:pPr>
    <w:rPr>
      <w:szCs w:val="18"/>
      <w:lang w:eastAsia="en-GB"/>
    </w:rPr>
  </w:style>
  <w:style w:type="paragraph" w:styleId="TOC3">
    <w:name w:val="toc 3"/>
    <w:basedOn w:val="Normal"/>
    <w:next w:val="Normal"/>
    <w:autoRedefine/>
    <w:uiPriority w:val="39"/>
    <w:rsid w:val="00203407"/>
    <w:pPr>
      <w:tabs>
        <w:tab w:val="right" w:leader="dot" w:pos="9027"/>
      </w:tabs>
      <w:spacing w:before="120" w:after="120"/>
      <w:jc w:val="left"/>
    </w:pPr>
    <w:rPr>
      <w:szCs w:val="18"/>
      <w:lang w:eastAsia="en-GB"/>
    </w:rPr>
  </w:style>
  <w:style w:type="paragraph" w:styleId="TOC4">
    <w:name w:val="toc 4"/>
    <w:basedOn w:val="Normal"/>
    <w:next w:val="Normal"/>
    <w:autoRedefine/>
    <w:uiPriority w:val="39"/>
    <w:rsid w:val="00203407"/>
    <w:pPr>
      <w:tabs>
        <w:tab w:val="right" w:leader="dot" w:pos="9027"/>
      </w:tabs>
      <w:spacing w:before="120" w:after="120"/>
      <w:jc w:val="left"/>
    </w:pPr>
    <w:rPr>
      <w:szCs w:val="18"/>
      <w:lang w:eastAsia="en-GB"/>
    </w:rPr>
  </w:style>
  <w:style w:type="paragraph" w:styleId="TOC5">
    <w:name w:val="toc 5"/>
    <w:basedOn w:val="Normal"/>
    <w:next w:val="Normal"/>
    <w:autoRedefine/>
    <w:uiPriority w:val="39"/>
    <w:rsid w:val="00203407"/>
    <w:pPr>
      <w:tabs>
        <w:tab w:val="right" w:leader="dot" w:pos="9027"/>
      </w:tabs>
      <w:spacing w:before="120" w:after="120"/>
      <w:jc w:val="left"/>
    </w:pPr>
    <w:rPr>
      <w:szCs w:val="18"/>
      <w:lang w:eastAsia="en-GB"/>
    </w:rPr>
  </w:style>
  <w:style w:type="paragraph" w:styleId="TOC6">
    <w:name w:val="toc 6"/>
    <w:basedOn w:val="Normal"/>
    <w:next w:val="Normal"/>
    <w:autoRedefine/>
    <w:uiPriority w:val="39"/>
    <w:rsid w:val="00203407"/>
    <w:pPr>
      <w:tabs>
        <w:tab w:val="right" w:leader="dot" w:pos="9027"/>
      </w:tabs>
      <w:spacing w:before="120" w:after="120"/>
      <w:jc w:val="left"/>
    </w:pPr>
    <w:rPr>
      <w:szCs w:val="18"/>
      <w:lang w:eastAsia="en-GB"/>
    </w:rPr>
  </w:style>
  <w:style w:type="paragraph" w:styleId="TOC7">
    <w:name w:val="toc 7"/>
    <w:basedOn w:val="Normal"/>
    <w:next w:val="Normal"/>
    <w:autoRedefine/>
    <w:uiPriority w:val="39"/>
    <w:rsid w:val="00203407"/>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ED54E0"/>
    <w:rPr>
      <w:rFonts w:ascii="Tahoma" w:hAnsi="Tahoma" w:cs="Tahoma"/>
      <w:sz w:val="16"/>
      <w:szCs w:val="16"/>
      <w:lang w:eastAsia="en-GB"/>
    </w:rPr>
  </w:style>
  <w:style w:type="paragraph" w:styleId="Subtitle">
    <w:name w:val="Subtitle"/>
    <w:basedOn w:val="Normal"/>
    <w:next w:val="Normal"/>
    <w:uiPriority w:val="11"/>
    <w:qFormat/>
    <w:rsid w:val="00E46FD5"/>
    <w:pPr>
      <w:numPr>
        <w:ilvl w:val="1"/>
      </w:numPr>
    </w:pPr>
    <w:rPr>
      <w:rFonts w:eastAsia="Times New Roman"/>
      <w:b/>
      <w:iCs/>
      <w:szCs w:val="24"/>
      <w:lang w:eastAsia="en-GB"/>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4"/>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0C73C1"/>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0C73C1"/>
    <w:pPr>
      <w:spacing w:after="120"/>
      <w:ind w:left="283"/>
    </w:pPr>
  </w:style>
  <w:style w:type="paragraph" w:styleId="BodyTextFirstIndent2">
    <w:name w:val="Body Text First Indent 2"/>
    <w:basedOn w:val="BodyTextIndent"/>
    <w:uiPriority w:val="99"/>
    <w:semiHidden/>
    <w:unhideWhenUsed/>
    <w:rsid w:val="000C73C1"/>
    <w:pPr>
      <w:spacing w:after="0"/>
      <w:ind w:left="360" w:firstLine="360"/>
    </w:pPr>
  </w:style>
  <w:style w:type="paragraph" w:styleId="BodyTextIndent2">
    <w:name w:val="Body Text Indent 2"/>
    <w:basedOn w:val="Normal"/>
    <w:uiPriority w:val="99"/>
    <w:semiHidden/>
    <w:unhideWhenUsed/>
    <w:rsid w:val="000C73C1"/>
    <w:pPr>
      <w:spacing w:after="120" w:line="480" w:lineRule="auto"/>
      <w:ind w:left="283"/>
    </w:pPr>
  </w:style>
  <w:style w:type="paragraph" w:styleId="BodyTextIndent3">
    <w:name w:val="Body Text Indent 3"/>
    <w:basedOn w:val="Normal"/>
    <w:uiPriority w:val="99"/>
    <w:semiHidden/>
    <w:unhideWhenUsed/>
    <w:rsid w:val="000C73C1"/>
    <w:pPr>
      <w:spacing w:after="120"/>
      <w:ind w:left="283"/>
    </w:pPr>
    <w:rPr>
      <w:sz w:val="16"/>
      <w:szCs w:val="16"/>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uiPriority w:val="99"/>
    <w:semiHidden/>
    <w:unhideWhenUsed/>
    <w:rsid w:val="000C73C1"/>
    <w:pPr>
      <w:ind w:left="4252"/>
    </w:p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uiPriority w:val="99"/>
    <w:unhideWhenUsed/>
    <w:rsid w:val="000C73C1"/>
    <w:rPr>
      <w:sz w:val="20"/>
      <w:szCs w:val="20"/>
    </w:rPr>
  </w:style>
  <w:style w:type="paragraph" w:styleId="CommentSubject">
    <w:name w:val="annotation subject"/>
    <w:basedOn w:val="CommentText"/>
    <w:next w:val="CommentText"/>
    <w:uiPriority w:val="99"/>
    <w:unhideWhenUsed/>
    <w:rsid w:val="000C73C1"/>
    <w:rPr>
      <w:b/>
      <w:bCs/>
    </w:rPr>
  </w:style>
  <w:style w:type="paragraph" w:styleId="Date">
    <w:name w:val="Date"/>
    <w:basedOn w:val="Normal"/>
    <w:next w:val="Normal"/>
    <w:uiPriority w:val="99"/>
    <w:semiHidden/>
    <w:unhideWhenUsed/>
    <w:rsid w:val="000C73C1"/>
  </w:style>
  <w:style w:type="paragraph" w:styleId="DocumentMap">
    <w:name w:val="Document Map"/>
    <w:basedOn w:val="Normal"/>
    <w:uiPriority w:val="99"/>
    <w:semiHidden/>
    <w:unhideWhenUsed/>
    <w:rsid w:val="000C73C1"/>
    <w:rPr>
      <w:rFonts w:ascii="Tahoma" w:hAnsi="Tahoma" w:cs="Tahoma"/>
      <w:sz w:val="16"/>
      <w:szCs w:val="16"/>
    </w:rPr>
  </w:style>
  <w:style w:type="paragraph" w:styleId="E-mailSignature">
    <w:name w:val="E-mail Signature"/>
    <w:basedOn w:val="Normal"/>
    <w:uiPriority w:val="99"/>
    <w:semiHidden/>
    <w:unhideWhenUsed/>
    <w:rsid w:val="000C73C1"/>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uiPriority w:val="99"/>
    <w:semiHidden/>
    <w:unhideWhenUsed/>
    <w:rsid w:val="000C73C1"/>
    <w:rPr>
      <w:i/>
      <w:iC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uiPriority w:val="99"/>
    <w:semiHidden/>
    <w:unhideWhenUsed/>
    <w:rsid w:val="000C73C1"/>
    <w:rPr>
      <w:rFonts w:ascii="Consolas" w:hAnsi="Consolas" w:cs="Consolas"/>
      <w:sz w:val="20"/>
      <w:szCs w:val="20"/>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uiPriority w:val="99"/>
    <w:semiHidden/>
    <w:qFormat/>
    <w:rsid w:val="000C73C1"/>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5"/>
      </w:numPr>
      <w:contextualSpacing/>
    </w:pPr>
  </w:style>
  <w:style w:type="paragraph" w:styleId="ListNumber2">
    <w:name w:val="List Number 2"/>
    <w:basedOn w:val="Normal"/>
    <w:uiPriority w:val="49"/>
    <w:semiHidden/>
    <w:unhideWhenUsed/>
    <w:rsid w:val="000C73C1"/>
    <w:pPr>
      <w:numPr>
        <w:numId w:val="6"/>
      </w:numPr>
      <w:contextualSpacing/>
    </w:pPr>
  </w:style>
  <w:style w:type="paragraph" w:styleId="ListNumber3">
    <w:name w:val="List Number 3"/>
    <w:basedOn w:val="Normal"/>
    <w:uiPriority w:val="49"/>
    <w:semiHidden/>
    <w:unhideWhenUsed/>
    <w:rsid w:val="000C73C1"/>
    <w:pPr>
      <w:numPr>
        <w:numId w:val="7"/>
      </w:numPr>
      <w:contextualSpacing/>
    </w:pPr>
  </w:style>
  <w:style w:type="paragraph" w:styleId="ListNumber4">
    <w:name w:val="List Number 4"/>
    <w:basedOn w:val="Normal"/>
    <w:uiPriority w:val="49"/>
    <w:semiHidden/>
    <w:unhideWhenUsed/>
    <w:rsid w:val="000C73C1"/>
    <w:pPr>
      <w:numPr>
        <w:numId w:val="8"/>
      </w:numPr>
      <w:contextualSpacing/>
    </w:pPr>
  </w:style>
  <w:style w:type="paragraph" w:styleId="ListNumber5">
    <w:name w:val="List Number 5"/>
    <w:basedOn w:val="Normal"/>
    <w:uiPriority w:val="49"/>
    <w:semiHidden/>
    <w:unhideWhenUsed/>
    <w:rsid w:val="000C73C1"/>
    <w:pPr>
      <w:numPr>
        <w:numId w:val="9"/>
      </w:numPr>
      <w:contextualSpacing/>
    </w:pPr>
  </w:style>
  <w:style w:type="paragraph" w:styleId="MacroText">
    <w:name w:val="macro"/>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uiPriority w:val="99"/>
    <w:semiHidden/>
    <w:unhideWhenUsed/>
    <w:rsid w:val="000C73C1"/>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uiPriority w:val="99"/>
    <w:unhideWhenUsed/>
    <w:rsid w:val="000C73C1"/>
    <w:rPr>
      <w:rFonts w:ascii="Consolas" w:hAnsi="Consolas" w:cs="Consolas"/>
      <w:sz w:val="21"/>
      <w:szCs w:val="21"/>
    </w:rPr>
  </w:style>
  <w:style w:type="paragraph" w:styleId="Quote">
    <w:name w:val="Quote"/>
    <w:basedOn w:val="Normal"/>
    <w:next w:val="Normal"/>
    <w:uiPriority w:val="99"/>
    <w:qFormat/>
    <w:rsid w:val="000C73C1"/>
    <w:rPr>
      <w:i/>
      <w:iCs/>
      <w:color w:val="000000" w:themeColor="text1"/>
    </w:rPr>
  </w:style>
  <w:style w:type="paragraph" w:styleId="Salutation">
    <w:name w:val="Salutation"/>
    <w:basedOn w:val="Normal"/>
    <w:next w:val="Normal"/>
    <w:uiPriority w:val="99"/>
    <w:semiHidden/>
    <w:unhideWhenUsed/>
    <w:rsid w:val="000C73C1"/>
  </w:style>
  <w:style w:type="paragraph" w:styleId="Signature">
    <w:name w:val="Signature"/>
    <w:basedOn w:val="Normal"/>
    <w:uiPriority w:val="99"/>
    <w:semiHidden/>
    <w:unhideWhenUsed/>
    <w:rsid w:val="000C73C1"/>
    <w:pPr>
      <w:ind w:left="4252"/>
    </w:p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203407"/>
    <w:pPr>
      <w:spacing w:before="120"/>
    </w:pPr>
    <w:rPr>
      <w:rFonts w:asciiTheme="majorHAnsi" w:eastAsiaTheme="majorEastAsia" w:hAnsiTheme="majorHAnsi" w:cstheme="majorBidi"/>
      <w:b/>
      <w:bCs/>
      <w:sz w:val="24"/>
      <w:szCs w:val="24"/>
    </w:rPr>
  </w:style>
  <w:style w:type="table" w:customStyle="1" w:styleId="WTOTable11">
    <w:name w:val="WTOTable11"/>
    <w:basedOn w:val="TableNormal"/>
    <w:uiPriority w:val="99"/>
    <w:rsid w:val="00BB5B4A"/>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12">
    <w:name w:val="WTOTable12"/>
    <w:basedOn w:val="TableNormal"/>
    <w:uiPriority w:val="99"/>
    <w:rsid w:val="00BB5B4A"/>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styleId="Hashtag">
    <w:name w:val="Hashtag"/>
    <w:basedOn w:val="DefaultParagraphFont"/>
    <w:uiPriority w:val="99"/>
    <w:semiHidden/>
    <w:unhideWhenUsed/>
    <w:rsid w:val="009B7722"/>
    <w:rPr>
      <w:color w:val="2B579A"/>
      <w:shd w:val="clear" w:color="auto" w:fill="E1DFDD"/>
    </w:rPr>
  </w:style>
  <w:style w:type="character" w:styleId="Mention">
    <w:name w:val="Mention"/>
    <w:basedOn w:val="DefaultParagraphFont"/>
    <w:uiPriority w:val="99"/>
    <w:semiHidden/>
    <w:unhideWhenUsed/>
    <w:rsid w:val="009B7722"/>
    <w:rPr>
      <w:color w:val="2B579A"/>
      <w:shd w:val="clear" w:color="auto" w:fill="E1DFDD"/>
    </w:rPr>
  </w:style>
  <w:style w:type="character" w:styleId="SmartHyperlink">
    <w:name w:val="Smart Hyperlink"/>
    <w:basedOn w:val="DefaultParagraphFont"/>
    <w:uiPriority w:val="99"/>
    <w:semiHidden/>
    <w:unhideWhenUsed/>
    <w:rsid w:val="009B7722"/>
    <w:rPr>
      <w:u w:val="dotted"/>
    </w:rPr>
  </w:style>
  <w:style w:type="character" w:styleId="UnresolvedMention">
    <w:name w:val="Unresolved Mention"/>
    <w:basedOn w:val="DefaultParagraphFont"/>
    <w:uiPriority w:val="99"/>
    <w:semiHidden/>
    <w:unhideWhenUsed/>
    <w:rsid w:val="009B7722"/>
    <w:rPr>
      <w:color w:val="605E5C"/>
      <w:shd w:val="clear" w:color="auto" w:fill="E1DFDD"/>
    </w:rPr>
  </w:style>
  <w:style w:type="paragraph" w:styleId="Revision">
    <w:name w:val="Revision"/>
    <w:hidden/>
    <w:uiPriority w:val="99"/>
    <w:semiHidden/>
    <w:rsid w:val="00BB5194"/>
    <w:rPr>
      <w:rFonts w:ascii="Verdana" w:hAnsi="Verdana"/>
      <w:sz w:val="18"/>
      <w:szCs w:val="22"/>
      <w:lang w:eastAsia="en-US"/>
    </w:rPr>
  </w:style>
  <w:style w:type="numbering" w:customStyle="1" w:styleId="LegalHeadings1">
    <w:name w:val="LegalHeadings1"/>
    <w:uiPriority w:val="99"/>
    <w:rsid w:val="00B0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58441">
      <w:bodyDiv w:val="1"/>
      <w:marLeft w:val="0"/>
      <w:marRight w:val="0"/>
      <w:marTop w:val="0"/>
      <w:marBottom w:val="0"/>
      <w:divBdr>
        <w:top w:val="none" w:sz="0" w:space="0" w:color="auto"/>
        <w:left w:val="none" w:sz="0" w:space="0" w:color="auto"/>
        <w:bottom w:val="none" w:sz="0" w:space="0" w:color="auto"/>
        <w:right w:val="none" w:sz="0" w:space="0" w:color="auto"/>
      </w:divBdr>
    </w:div>
    <w:div w:id="1857888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F96D97D-6C0C-4076-91DE-54248612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15726</Words>
  <Characters>89642</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 Supercalendered Paper (AB)</dc:title>
  <dc:subject/>
  <dc:creator/>
  <cp:keywords/>
  <dc:description/>
  <cp:lastModifiedBy>Simon Lester</cp:lastModifiedBy>
  <cp:revision>2</cp:revision>
  <cp:lastPrinted>2020-01-13T09:06:00Z</cp:lastPrinted>
  <dcterms:created xsi:type="dcterms:W3CDTF">2020-02-06T21:11:00Z</dcterms:created>
  <dcterms:modified xsi:type="dcterms:W3CDTF">2020-02-06T21:13:00Z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d74184ad-0211-4fbd-a2e0-d190529ca065</vt:lpwstr>
  </property>
  <property fmtid="{D5CDD505-2E9C-101B-9397-08002B2CF9AE}" pid="3" name="WTOCLASSIFICATION">
    <vt:lpwstr>WTO OFFICIAL</vt:lpwstr>
  </property>
</Properties>
</file>