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F9982" w14:textId="6D7F8393" w:rsidR="00EF273A" w:rsidRPr="00F85DF3" w:rsidRDefault="001A5E89" w:rsidP="003E3C32">
      <w:pPr>
        <w:pStyle w:val="PanelTitle"/>
      </w:pPr>
      <w:bookmarkStart w:id="0" w:name="_GoBack"/>
      <w:bookmarkEnd w:id="0"/>
      <w:r w:rsidRPr="00F85DF3">
        <w:t xml:space="preserve">Russia </w:t>
      </w:r>
      <w:r w:rsidR="000A6FDE" w:rsidRPr="00F85DF3">
        <w:rPr>
          <w:bCs/>
        </w:rPr>
        <w:t>–</w:t>
      </w:r>
      <w:r w:rsidRPr="00F85DF3">
        <w:rPr>
          <w:bCs/>
        </w:rPr>
        <w:t xml:space="preserve"> Measures affecting the importation of railway equipment and parts thereof</w:t>
      </w:r>
    </w:p>
    <w:p w14:paraId="0B50D829" w14:textId="2D1962F9" w:rsidR="00EF273A" w:rsidRPr="00F85DF3" w:rsidRDefault="00CE371F" w:rsidP="00EF273A">
      <w:pPr>
        <w:pStyle w:val="Title2"/>
      </w:pPr>
      <w:r w:rsidRPr="00F85DF3">
        <w:t>AB</w:t>
      </w:r>
      <w:r w:rsidR="00B24926" w:rsidRPr="00F85DF3">
        <w:noBreakHyphen/>
      </w:r>
      <w:r w:rsidR="001A5E89" w:rsidRPr="00F85DF3">
        <w:t>2018</w:t>
      </w:r>
      <w:r w:rsidR="00B24926" w:rsidRPr="00F85DF3">
        <w:noBreakHyphen/>
      </w:r>
      <w:r w:rsidR="001A5E89" w:rsidRPr="00F85DF3">
        <w:t>7</w:t>
      </w:r>
    </w:p>
    <w:p w14:paraId="37815EC2" w14:textId="77777777" w:rsidR="00631275" w:rsidRPr="00F85DF3" w:rsidRDefault="00631275" w:rsidP="00631275">
      <w:pPr>
        <w:pStyle w:val="Title3"/>
      </w:pPr>
      <w:r w:rsidRPr="00F85DF3">
        <w:t>Report of the Appellate</w:t>
      </w:r>
      <w:r w:rsidR="00CE542E" w:rsidRPr="00F85DF3">
        <w:t> Body</w:t>
      </w:r>
    </w:p>
    <w:p w14:paraId="791D055A" w14:textId="77777777" w:rsidR="00EF273A" w:rsidRPr="00F85DF3" w:rsidRDefault="00EF273A" w:rsidP="00EF273A">
      <w:pPr>
        <w:rPr>
          <w:lang w:eastAsia="en-GB"/>
        </w:rPr>
      </w:pPr>
    </w:p>
    <w:p w14:paraId="69633578" w14:textId="77777777" w:rsidR="00EF273A" w:rsidRPr="00F85DF3" w:rsidRDefault="00EF273A" w:rsidP="00EF273A">
      <w:pPr>
        <w:pStyle w:val="TOCHeading"/>
      </w:pPr>
      <w:r w:rsidRPr="00F85DF3">
        <w:br w:type="page"/>
      </w:r>
      <w:r w:rsidR="00E44285" w:rsidRPr="00F85DF3">
        <w:lastRenderedPageBreak/>
        <w:t xml:space="preserve">Table </w:t>
      </w:r>
      <w:r w:rsidR="00BB7DD3" w:rsidRPr="00F85DF3">
        <w:t>o</w:t>
      </w:r>
      <w:r w:rsidR="00E44285" w:rsidRPr="00F85DF3">
        <w:t>f Contents</w:t>
      </w:r>
    </w:p>
    <w:p w14:paraId="1E072C77" w14:textId="77777777" w:rsidR="00EF273A" w:rsidRPr="00F85DF3" w:rsidRDefault="00EF273A" w:rsidP="00EF273A"/>
    <w:p w14:paraId="5D445EB8" w14:textId="596BEB8A" w:rsidR="00436FD8" w:rsidRDefault="00EF273A" w:rsidP="00436FD8">
      <w:pPr>
        <w:pStyle w:val="TOC1"/>
        <w:ind w:right="-46"/>
        <w:rPr>
          <w:rFonts w:asciiTheme="minorHAnsi" w:eastAsiaTheme="minorEastAsia" w:hAnsiTheme="minorHAnsi" w:cstheme="minorBidi"/>
          <w:b w:val="0"/>
          <w:caps w:val="0"/>
          <w:noProof/>
          <w:sz w:val="22"/>
          <w:szCs w:val="22"/>
        </w:rPr>
      </w:pPr>
      <w:r w:rsidRPr="00F85DF3">
        <w:fldChar w:fldCharType="begin"/>
      </w:r>
      <w:r w:rsidRPr="00F85DF3">
        <w:instrText xml:space="preserve"> TOC \o "1-6" \h \z \u </w:instrText>
      </w:r>
      <w:r w:rsidRPr="00F85DF3">
        <w:fldChar w:fldCharType="separate"/>
      </w:r>
      <w:hyperlink w:anchor="_Toc31380974" w:history="1">
        <w:r w:rsidR="00436FD8" w:rsidRPr="007E4489">
          <w:rPr>
            <w:rStyle w:val="Hyperlink"/>
            <w:noProof/>
          </w:rPr>
          <w:t>1   Introduction</w:t>
        </w:r>
        <w:r w:rsidR="00436FD8">
          <w:rPr>
            <w:noProof/>
            <w:webHidden/>
          </w:rPr>
          <w:tab/>
        </w:r>
        <w:r w:rsidR="00436FD8">
          <w:rPr>
            <w:noProof/>
            <w:webHidden/>
          </w:rPr>
          <w:fldChar w:fldCharType="begin"/>
        </w:r>
        <w:r w:rsidR="00436FD8">
          <w:rPr>
            <w:noProof/>
            <w:webHidden/>
          </w:rPr>
          <w:instrText xml:space="preserve"> PAGEREF _Toc31380974 \h </w:instrText>
        </w:r>
        <w:r w:rsidR="00436FD8">
          <w:rPr>
            <w:noProof/>
            <w:webHidden/>
          </w:rPr>
        </w:r>
        <w:r w:rsidR="00436FD8">
          <w:rPr>
            <w:noProof/>
            <w:webHidden/>
          </w:rPr>
          <w:fldChar w:fldCharType="separate"/>
        </w:r>
        <w:r w:rsidR="00BC2773">
          <w:rPr>
            <w:noProof/>
            <w:webHidden/>
          </w:rPr>
          <w:t>10</w:t>
        </w:r>
        <w:r w:rsidR="00436FD8">
          <w:rPr>
            <w:noProof/>
            <w:webHidden/>
          </w:rPr>
          <w:fldChar w:fldCharType="end"/>
        </w:r>
      </w:hyperlink>
    </w:p>
    <w:p w14:paraId="22F2A75D" w14:textId="40A0C002" w:rsidR="00436FD8" w:rsidRDefault="00641D4A" w:rsidP="00436FD8">
      <w:pPr>
        <w:pStyle w:val="TOC1"/>
        <w:ind w:right="-46"/>
        <w:rPr>
          <w:rFonts w:asciiTheme="minorHAnsi" w:eastAsiaTheme="minorEastAsia" w:hAnsiTheme="minorHAnsi" w:cstheme="minorBidi"/>
          <w:b w:val="0"/>
          <w:caps w:val="0"/>
          <w:noProof/>
          <w:sz w:val="22"/>
          <w:szCs w:val="22"/>
        </w:rPr>
      </w:pPr>
      <w:hyperlink w:anchor="_Toc31380975" w:history="1">
        <w:r w:rsidR="00436FD8" w:rsidRPr="007E4489">
          <w:rPr>
            <w:rStyle w:val="Hyperlink"/>
            <w:noProof/>
          </w:rPr>
          <w:t>2   Arguments of the Participants</w:t>
        </w:r>
        <w:r w:rsidR="00436FD8">
          <w:rPr>
            <w:noProof/>
            <w:webHidden/>
          </w:rPr>
          <w:tab/>
        </w:r>
        <w:r w:rsidR="00436FD8">
          <w:rPr>
            <w:noProof/>
            <w:webHidden/>
          </w:rPr>
          <w:fldChar w:fldCharType="begin"/>
        </w:r>
        <w:r w:rsidR="00436FD8">
          <w:rPr>
            <w:noProof/>
            <w:webHidden/>
          </w:rPr>
          <w:instrText xml:space="preserve"> PAGEREF _Toc31380975 \h </w:instrText>
        </w:r>
        <w:r w:rsidR="00436FD8">
          <w:rPr>
            <w:noProof/>
            <w:webHidden/>
          </w:rPr>
        </w:r>
        <w:r w:rsidR="00436FD8">
          <w:rPr>
            <w:noProof/>
            <w:webHidden/>
          </w:rPr>
          <w:fldChar w:fldCharType="separate"/>
        </w:r>
        <w:r w:rsidR="00BC2773">
          <w:rPr>
            <w:noProof/>
            <w:webHidden/>
          </w:rPr>
          <w:t>13</w:t>
        </w:r>
        <w:r w:rsidR="00436FD8">
          <w:rPr>
            <w:noProof/>
            <w:webHidden/>
          </w:rPr>
          <w:fldChar w:fldCharType="end"/>
        </w:r>
      </w:hyperlink>
    </w:p>
    <w:p w14:paraId="520B718D" w14:textId="2A84D3DF" w:rsidR="00436FD8" w:rsidRDefault="00641D4A" w:rsidP="00436FD8">
      <w:pPr>
        <w:pStyle w:val="TOC1"/>
        <w:ind w:right="-46"/>
        <w:rPr>
          <w:rFonts w:asciiTheme="minorHAnsi" w:eastAsiaTheme="minorEastAsia" w:hAnsiTheme="minorHAnsi" w:cstheme="minorBidi"/>
          <w:b w:val="0"/>
          <w:caps w:val="0"/>
          <w:noProof/>
          <w:sz w:val="22"/>
          <w:szCs w:val="22"/>
        </w:rPr>
      </w:pPr>
      <w:hyperlink w:anchor="_Toc31380976" w:history="1">
        <w:r w:rsidR="00436FD8" w:rsidRPr="007E4489">
          <w:rPr>
            <w:rStyle w:val="Hyperlink"/>
            <w:noProof/>
          </w:rPr>
          <w:t>3   Arguments of the third participants</w:t>
        </w:r>
        <w:r w:rsidR="00436FD8">
          <w:rPr>
            <w:noProof/>
            <w:webHidden/>
          </w:rPr>
          <w:tab/>
        </w:r>
        <w:r w:rsidR="00436FD8">
          <w:rPr>
            <w:noProof/>
            <w:webHidden/>
          </w:rPr>
          <w:fldChar w:fldCharType="begin"/>
        </w:r>
        <w:r w:rsidR="00436FD8">
          <w:rPr>
            <w:noProof/>
            <w:webHidden/>
          </w:rPr>
          <w:instrText xml:space="preserve"> PAGEREF _Toc31380976 \h </w:instrText>
        </w:r>
        <w:r w:rsidR="00436FD8">
          <w:rPr>
            <w:noProof/>
            <w:webHidden/>
          </w:rPr>
        </w:r>
        <w:r w:rsidR="00436FD8">
          <w:rPr>
            <w:noProof/>
            <w:webHidden/>
          </w:rPr>
          <w:fldChar w:fldCharType="separate"/>
        </w:r>
        <w:r w:rsidR="00BC2773">
          <w:rPr>
            <w:noProof/>
            <w:webHidden/>
          </w:rPr>
          <w:t>14</w:t>
        </w:r>
        <w:r w:rsidR="00436FD8">
          <w:rPr>
            <w:noProof/>
            <w:webHidden/>
          </w:rPr>
          <w:fldChar w:fldCharType="end"/>
        </w:r>
      </w:hyperlink>
    </w:p>
    <w:p w14:paraId="1C10151A" w14:textId="34AFCA33" w:rsidR="00436FD8" w:rsidRDefault="00641D4A" w:rsidP="00436FD8">
      <w:pPr>
        <w:pStyle w:val="TOC1"/>
        <w:ind w:right="-46"/>
        <w:rPr>
          <w:rFonts w:asciiTheme="minorHAnsi" w:eastAsiaTheme="minorEastAsia" w:hAnsiTheme="minorHAnsi" w:cstheme="minorBidi"/>
          <w:b w:val="0"/>
          <w:caps w:val="0"/>
          <w:noProof/>
          <w:sz w:val="22"/>
          <w:szCs w:val="22"/>
        </w:rPr>
      </w:pPr>
      <w:hyperlink w:anchor="_Toc31380977" w:history="1">
        <w:r w:rsidR="00436FD8" w:rsidRPr="007E4489">
          <w:rPr>
            <w:rStyle w:val="Hyperlink"/>
            <w:noProof/>
          </w:rPr>
          <w:t>4   Issues Raised</w:t>
        </w:r>
        <w:r w:rsidR="00436FD8">
          <w:rPr>
            <w:noProof/>
            <w:webHidden/>
          </w:rPr>
          <w:tab/>
        </w:r>
        <w:r w:rsidR="00436FD8">
          <w:rPr>
            <w:noProof/>
            <w:webHidden/>
          </w:rPr>
          <w:fldChar w:fldCharType="begin"/>
        </w:r>
        <w:r w:rsidR="00436FD8">
          <w:rPr>
            <w:noProof/>
            <w:webHidden/>
          </w:rPr>
          <w:instrText xml:space="preserve"> PAGEREF _Toc31380977 \h </w:instrText>
        </w:r>
        <w:r w:rsidR="00436FD8">
          <w:rPr>
            <w:noProof/>
            <w:webHidden/>
          </w:rPr>
        </w:r>
        <w:r w:rsidR="00436FD8">
          <w:rPr>
            <w:noProof/>
            <w:webHidden/>
          </w:rPr>
          <w:fldChar w:fldCharType="separate"/>
        </w:r>
        <w:r w:rsidR="00BC2773">
          <w:rPr>
            <w:noProof/>
            <w:webHidden/>
          </w:rPr>
          <w:t>14</w:t>
        </w:r>
        <w:r w:rsidR="00436FD8">
          <w:rPr>
            <w:noProof/>
            <w:webHidden/>
          </w:rPr>
          <w:fldChar w:fldCharType="end"/>
        </w:r>
      </w:hyperlink>
    </w:p>
    <w:p w14:paraId="300648FC" w14:textId="3F7DE97D" w:rsidR="00436FD8" w:rsidRDefault="00641D4A" w:rsidP="00436FD8">
      <w:pPr>
        <w:pStyle w:val="TOC1"/>
        <w:ind w:right="-46"/>
        <w:rPr>
          <w:rFonts w:asciiTheme="minorHAnsi" w:eastAsiaTheme="minorEastAsia" w:hAnsiTheme="minorHAnsi" w:cstheme="minorBidi"/>
          <w:b w:val="0"/>
          <w:caps w:val="0"/>
          <w:noProof/>
          <w:sz w:val="22"/>
          <w:szCs w:val="22"/>
        </w:rPr>
      </w:pPr>
      <w:hyperlink w:anchor="_Toc31380978" w:history="1">
        <w:r w:rsidR="00436FD8" w:rsidRPr="007E4489">
          <w:rPr>
            <w:rStyle w:val="Hyperlink"/>
            <w:noProof/>
          </w:rPr>
          <w:t>5   Analysis of the Appellate Body</w:t>
        </w:r>
        <w:r w:rsidR="00436FD8">
          <w:rPr>
            <w:noProof/>
            <w:webHidden/>
          </w:rPr>
          <w:tab/>
        </w:r>
        <w:r w:rsidR="00436FD8">
          <w:rPr>
            <w:noProof/>
            <w:webHidden/>
          </w:rPr>
          <w:fldChar w:fldCharType="begin"/>
        </w:r>
        <w:r w:rsidR="00436FD8">
          <w:rPr>
            <w:noProof/>
            <w:webHidden/>
          </w:rPr>
          <w:instrText xml:space="preserve"> PAGEREF _Toc31380978 \h </w:instrText>
        </w:r>
        <w:r w:rsidR="00436FD8">
          <w:rPr>
            <w:noProof/>
            <w:webHidden/>
          </w:rPr>
        </w:r>
        <w:r w:rsidR="00436FD8">
          <w:rPr>
            <w:noProof/>
            <w:webHidden/>
          </w:rPr>
          <w:fldChar w:fldCharType="separate"/>
        </w:r>
        <w:r w:rsidR="00BC2773">
          <w:rPr>
            <w:noProof/>
            <w:webHidden/>
          </w:rPr>
          <w:t>14</w:t>
        </w:r>
        <w:r w:rsidR="00436FD8">
          <w:rPr>
            <w:noProof/>
            <w:webHidden/>
          </w:rPr>
          <w:fldChar w:fldCharType="end"/>
        </w:r>
      </w:hyperlink>
    </w:p>
    <w:p w14:paraId="7C2AAA69" w14:textId="37BD3425" w:rsidR="00436FD8" w:rsidRDefault="00641D4A" w:rsidP="00436FD8">
      <w:pPr>
        <w:pStyle w:val="TOC2"/>
        <w:ind w:right="-46"/>
        <w:rPr>
          <w:rFonts w:asciiTheme="minorHAnsi" w:eastAsiaTheme="minorEastAsia" w:hAnsiTheme="minorHAnsi" w:cstheme="minorBidi"/>
          <w:noProof/>
          <w:sz w:val="22"/>
          <w:szCs w:val="22"/>
        </w:rPr>
      </w:pPr>
      <w:hyperlink w:anchor="_Toc31380979" w:history="1">
        <w:r w:rsidR="00436FD8" w:rsidRPr="007E4489">
          <w:rPr>
            <w:rStyle w:val="Hyperlink"/>
            <w:noProof/>
          </w:rPr>
          <w:t>5.1   Russia's claims relating to the Panel's preliminary ruling</w:t>
        </w:r>
        <w:r w:rsidR="00436FD8">
          <w:rPr>
            <w:noProof/>
            <w:webHidden/>
          </w:rPr>
          <w:tab/>
        </w:r>
        <w:r w:rsidR="00436FD8">
          <w:rPr>
            <w:noProof/>
            <w:webHidden/>
          </w:rPr>
          <w:fldChar w:fldCharType="begin"/>
        </w:r>
        <w:r w:rsidR="00436FD8">
          <w:rPr>
            <w:noProof/>
            <w:webHidden/>
          </w:rPr>
          <w:instrText xml:space="preserve"> PAGEREF _Toc31380979 \h </w:instrText>
        </w:r>
        <w:r w:rsidR="00436FD8">
          <w:rPr>
            <w:noProof/>
            <w:webHidden/>
          </w:rPr>
        </w:r>
        <w:r w:rsidR="00436FD8">
          <w:rPr>
            <w:noProof/>
            <w:webHidden/>
          </w:rPr>
          <w:fldChar w:fldCharType="separate"/>
        </w:r>
        <w:r w:rsidR="00BC2773">
          <w:rPr>
            <w:noProof/>
            <w:webHidden/>
          </w:rPr>
          <w:t>14</w:t>
        </w:r>
        <w:r w:rsidR="00436FD8">
          <w:rPr>
            <w:noProof/>
            <w:webHidden/>
          </w:rPr>
          <w:fldChar w:fldCharType="end"/>
        </w:r>
      </w:hyperlink>
    </w:p>
    <w:p w14:paraId="0BD86733" w14:textId="2909B070" w:rsidR="00436FD8" w:rsidRDefault="00641D4A" w:rsidP="00436FD8">
      <w:pPr>
        <w:pStyle w:val="TOC3"/>
        <w:ind w:right="-46"/>
        <w:rPr>
          <w:rFonts w:asciiTheme="minorHAnsi" w:eastAsiaTheme="minorEastAsia" w:hAnsiTheme="minorHAnsi" w:cstheme="minorBidi"/>
          <w:noProof/>
          <w:sz w:val="22"/>
          <w:szCs w:val="22"/>
        </w:rPr>
      </w:pPr>
      <w:hyperlink w:anchor="_Toc31380980" w:history="1">
        <w:r w:rsidR="00436FD8" w:rsidRPr="007E4489">
          <w:rPr>
            <w:rStyle w:val="Hyperlink"/>
            <w:noProof/>
          </w:rPr>
          <w:t>5.1.1   The Panel's findings</w:t>
        </w:r>
        <w:r w:rsidR="00436FD8">
          <w:rPr>
            <w:noProof/>
            <w:webHidden/>
          </w:rPr>
          <w:tab/>
        </w:r>
        <w:r w:rsidR="00436FD8">
          <w:rPr>
            <w:noProof/>
            <w:webHidden/>
          </w:rPr>
          <w:fldChar w:fldCharType="begin"/>
        </w:r>
        <w:r w:rsidR="00436FD8">
          <w:rPr>
            <w:noProof/>
            <w:webHidden/>
          </w:rPr>
          <w:instrText xml:space="preserve"> PAGEREF _Toc31380980 \h </w:instrText>
        </w:r>
        <w:r w:rsidR="00436FD8">
          <w:rPr>
            <w:noProof/>
            <w:webHidden/>
          </w:rPr>
        </w:r>
        <w:r w:rsidR="00436FD8">
          <w:rPr>
            <w:noProof/>
            <w:webHidden/>
          </w:rPr>
          <w:fldChar w:fldCharType="separate"/>
        </w:r>
        <w:r w:rsidR="00BC2773">
          <w:rPr>
            <w:noProof/>
            <w:webHidden/>
          </w:rPr>
          <w:t>15</w:t>
        </w:r>
        <w:r w:rsidR="00436FD8">
          <w:rPr>
            <w:noProof/>
            <w:webHidden/>
          </w:rPr>
          <w:fldChar w:fldCharType="end"/>
        </w:r>
      </w:hyperlink>
    </w:p>
    <w:p w14:paraId="07FBB61F" w14:textId="43E5CB04" w:rsidR="00436FD8" w:rsidRDefault="00641D4A" w:rsidP="00436FD8">
      <w:pPr>
        <w:pStyle w:val="TOC3"/>
        <w:ind w:right="-46"/>
        <w:rPr>
          <w:rFonts w:asciiTheme="minorHAnsi" w:eastAsiaTheme="minorEastAsia" w:hAnsiTheme="minorHAnsi" w:cstheme="minorBidi"/>
          <w:noProof/>
          <w:sz w:val="22"/>
          <w:szCs w:val="22"/>
        </w:rPr>
      </w:pPr>
      <w:hyperlink w:anchor="_Toc31380981" w:history="1">
        <w:r w:rsidR="00436FD8" w:rsidRPr="007E4489">
          <w:rPr>
            <w:rStyle w:val="Hyperlink"/>
            <w:noProof/>
          </w:rPr>
          <w:t>5.1.2   Claims and arguments on appeal</w:t>
        </w:r>
        <w:r w:rsidR="00436FD8">
          <w:rPr>
            <w:noProof/>
            <w:webHidden/>
          </w:rPr>
          <w:tab/>
        </w:r>
        <w:r w:rsidR="00436FD8">
          <w:rPr>
            <w:noProof/>
            <w:webHidden/>
          </w:rPr>
          <w:fldChar w:fldCharType="begin"/>
        </w:r>
        <w:r w:rsidR="00436FD8">
          <w:rPr>
            <w:noProof/>
            <w:webHidden/>
          </w:rPr>
          <w:instrText xml:space="preserve"> PAGEREF _Toc31380981 \h </w:instrText>
        </w:r>
        <w:r w:rsidR="00436FD8">
          <w:rPr>
            <w:noProof/>
            <w:webHidden/>
          </w:rPr>
        </w:r>
        <w:r w:rsidR="00436FD8">
          <w:rPr>
            <w:noProof/>
            <w:webHidden/>
          </w:rPr>
          <w:fldChar w:fldCharType="separate"/>
        </w:r>
        <w:r w:rsidR="00BC2773">
          <w:rPr>
            <w:noProof/>
            <w:webHidden/>
          </w:rPr>
          <w:t>17</w:t>
        </w:r>
        <w:r w:rsidR="00436FD8">
          <w:rPr>
            <w:noProof/>
            <w:webHidden/>
          </w:rPr>
          <w:fldChar w:fldCharType="end"/>
        </w:r>
      </w:hyperlink>
    </w:p>
    <w:p w14:paraId="5E866547" w14:textId="37E2A661" w:rsidR="00436FD8" w:rsidRDefault="00641D4A" w:rsidP="00436FD8">
      <w:pPr>
        <w:pStyle w:val="TOC3"/>
        <w:ind w:right="-46"/>
        <w:rPr>
          <w:rFonts w:asciiTheme="minorHAnsi" w:eastAsiaTheme="minorEastAsia" w:hAnsiTheme="minorHAnsi" w:cstheme="minorBidi"/>
          <w:noProof/>
          <w:sz w:val="22"/>
          <w:szCs w:val="22"/>
        </w:rPr>
      </w:pPr>
      <w:hyperlink w:anchor="_Toc31380982" w:history="1">
        <w:r w:rsidR="00436FD8" w:rsidRPr="007E4489">
          <w:rPr>
            <w:rStyle w:val="Hyperlink"/>
            <w:noProof/>
          </w:rPr>
          <w:t>5.1.3   Whether the Panel erred in finding in its preliminary ruling that Russia had failed to establish that Ukraine's panel request was inconsistent with Article 6.2 of the DSU</w:t>
        </w:r>
        <w:r w:rsidR="00436FD8">
          <w:rPr>
            <w:noProof/>
            <w:webHidden/>
          </w:rPr>
          <w:tab/>
        </w:r>
        <w:r w:rsidR="00436FD8">
          <w:rPr>
            <w:noProof/>
            <w:webHidden/>
          </w:rPr>
          <w:fldChar w:fldCharType="begin"/>
        </w:r>
        <w:r w:rsidR="00436FD8">
          <w:rPr>
            <w:noProof/>
            <w:webHidden/>
          </w:rPr>
          <w:instrText xml:space="preserve"> PAGEREF _Toc31380982 \h </w:instrText>
        </w:r>
        <w:r w:rsidR="00436FD8">
          <w:rPr>
            <w:noProof/>
            <w:webHidden/>
          </w:rPr>
        </w:r>
        <w:r w:rsidR="00436FD8">
          <w:rPr>
            <w:noProof/>
            <w:webHidden/>
          </w:rPr>
          <w:fldChar w:fldCharType="separate"/>
        </w:r>
        <w:r w:rsidR="00BC2773">
          <w:rPr>
            <w:noProof/>
            <w:webHidden/>
          </w:rPr>
          <w:t>19</w:t>
        </w:r>
        <w:r w:rsidR="00436FD8">
          <w:rPr>
            <w:noProof/>
            <w:webHidden/>
          </w:rPr>
          <w:fldChar w:fldCharType="end"/>
        </w:r>
      </w:hyperlink>
    </w:p>
    <w:p w14:paraId="64E84077" w14:textId="0FE9E094" w:rsidR="00436FD8" w:rsidRDefault="00641D4A" w:rsidP="00436FD8">
      <w:pPr>
        <w:pStyle w:val="TOC4"/>
        <w:ind w:right="-46"/>
        <w:rPr>
          <w:rFonts w:asciiTheme="minorHAnsi" w:eastAsiaTheme="minorEastAsia" w:hAnsiTheme="minorHAnsi" w:cstheme="minorBidi"/>
          <w:noProof/>
          <w:sz w:val="22"/>
          <w:szCs w:val="22"/>
        </w:rPr>
      </w:pPr>
      <w:hyperlink w:anchor="_Toc31380983" w:history="1">
        <w:r w:rsidR="00436FD8" w:rsidRPr="007E4489">
          <w:rPr>
            <w:rStyle w:val="Hyperlink"/>
            <w:noProof/>
          </w:rPr>
          <w:t>5.1.3.1   Linkages between measures and legal basis of the complaint</w:t>
        </w:r>
        <w:r w:rsidR="00436FD8">
          <w:rPr>
            <w:noProof/>
            <w:webHidden/>
          </w:rPr>
          <w:tab/>
        </w:r>
        <w:r w:rsidR="00436FD8">
          <w:rPr>
            <w:noProof/>
            <w:webHidden/>
          </w:rPr>
          <w:fldChar w:fldCharType="begin"/>
        </w:r>
        <w:r w:rsidR="00436FD8">
          <w:rPr>
            <w:noProof/>
            <w:webHidden/>
          </w:rPr>
          <w:instrText xml:space="preserve"> PAGEREF _Toc31380983 \h </w:instrText>
        </w:r>
        <w:r w:rsidR="00436FD8">
          <w:rPr>
            <w:noProof/>
            <w:webHidden/>
          </w:rPr>
        </w:r>
        <w:r w:rsidR="00436FD8">
          <w:rPr>
            <w:noProof/>
            <w:webHidden/>
          </w:rPr>
          <w:fldChar w:fldCharType="separate"/>
        </w:r>
        <w:r w:rsidR="00BC2773">
          <w:rPr>
            <w:noProof/>
            <w:webHidden/>
          </w:rPr>
          <w:t>21</w:t>
        </w:r>
        <w:r w:rsidR="00436FD8">
          <w:rPr>
            <w:noProof/>
            <w:webHidden/>
          </w:rPr>
          <w:fldChar w:fldCharType="end"/>
        </w:r>
      </w:hyperlink>
    </w:p>
    <w:p w14:paraId="3CFDEFBF" w14:textId="3E82DA82" w:rsidR="00436FD8" w:rsidRDefault="00641D4A" w:rsidP="00436FD8">
      <w:pPr>
        <w:pStyle w:val="TOC4"/>
        <w:ind w:right="-46"/>
        <w:rPr>
          <w:rFonts w:asciiTheme="minorHAnsi" w:eastAsiaTheme="minorEastAsia" w:hAnsiTheme="minorHAnsi" w:cstheme="minorBidi"/>
          <w:noProof/>
          <w:sz w:val="22"/>
          <w:szCs w:val="22"/>
        </w:rPr>
      </w:pPr>
      <w:hyperlink w:anchor="_Toc31380984" w:history="1">
        <w:r w:rsidR="00436FD8" w:rsidRPr="007E4489">
          <w:rPr>
            <w:rStyle w:val="Hyperlink"/>
            <w:noProof/>
          </w:rPr>
          <w:t>5.1.3.2   Identification of the third measure</w:t>
        </w:r>
        <w:r w:rsidR="00436FD8">
          <w:rPr>
            <w:noProof/>
            <w:webHidden/>
          </w:rPr>
          <w:tab/>
        </w:r>
        <w:r w:rsidR="00436FD8">
          <w:rPr>
            <w:noProof/>
            <w:webHidden/>
          </w:rPr>
          <w:fldChar w:fldCharType="begin"/>
        </w:r>
        <w:r w:rsidR="00436FD8">
          <w:rPr>
            <w:noProof/>
            <w:webHidden/>
          </w:rPr>
          <w:instrText xml:space="preserve"> PAGEREF _Toc31380984 \h </w:instrText>
        </w:r>
        <w:r w:rsidR="00436FD8">
          <w:rPr>
            <w:noProof/>
            <w:webHidden/>
          </w:rPr>
        </w:r>
        <w:r w:rsidR="00436FD8">
          <w:rPr>
            <w:noProof/>
            <w:webHidden/>
          </w:rPr>
          <w:fldChar w:fldCharType="separate"/>
        </w:r>
        <w:r w:rsidR="00BC2773">
          <w:rPr>
            <w:noProof/>
            <w:webHidden/>
          </w:rPr>
          <w:t>22</w:t>
        </w:r>
        <w:r w:rsidR="00436FD8">
          <w:rPr>
            <w:noProof/>
            <w:webHidden/>
          </w:rPr>
          <w:fldChar w:fldCharType="end"/>
        </w:r>
      </w:hyperlink>
    </w:p>
    <w:p w14:paraId="74E3360B" w14:textId="375F62B9" w:rsidR="00436FD8" w:rsidRDefault="00641D4A" w:rsidP="00436FD8">
      <w:pPr>
        <w:pStyle w:val="TOC3"/>
        <w:ind w:right="-46"/>
        <w:rPr>
          <w:rFonts w:asciiTheme="minorHAnsi" w:eastAsiaTheme="minorEastAsia" w:hAnsiTheme="minorHAnsi" w:cstheme="minorBidi"/>
          <w:noProof/>
          <w:sz w:val="22"/>
          <w:szCs w:val="22"/>
        </w:rPr>
      </w:pPr>
      <w:hyperlink w:anchor="_Toc31380985" w:history="1">
        <w:r w:rsidR="00436FD8" w:rsidRPr="007E4489">
          <w:rPr>
            <w:rStyle w:val="Hyperlink"/>
            <w:noProof/>
          </w:rPr>
          <w:t>5.1.4   Conclusion</w:t>
        </w:r>
        <w:r w:rsidR="00436FD8">
          <w:rPr>
            <w:noProof/>
            <w:webHidden/>
          </w:rPr>
          <w:tab/>
        </w:r>
        <w:r w:rsidR="00436FD8">
          <w:rPr>
            <w:noProof/>
            <w:webHidden/>
          </w:rPr>
          <w:fldChar w:fldCharType="begin"/>
        </w:r>
        <w:r w:rsidR="00436FD8">
          <w:rPr>
            <w:noProof/>
            <w:webHidden/>
          </w:rPr>
          <w:instrText xml:space="preserve"> PAGEREF _Toc31380985 \h </w:instrText>
        </w:r>
        <w:r w:rsidR="00436FD8">
          <w:rPr>
            <w:noProof/>
            <w:webHidden/>
          </w:rPr>
        </w:r>
        <w:r w:rsidR="00436FD8">
          <w:rPr>
            <w:noProof/>
            <w:webHidden/>
          </w:rPr>
          <w:fldChar w:fldCharType="separate"/>
        </w:r>
        <w:r w:rsidR="00BC2773">
          <w:rPr>
            <w:noProof/>
            <w:webHidden/>
          </w:rPr>
          <w:t>25</w:t>
        </w:r>
        <w:r w:rsidR="00436FD8">
          <w:rPr>
            <w:noProof/>
            <w:webHidden/>
          </w:rPr>
          <w:fldChar w:fldCharType="end"/>
        </w:r>
      </w:hyperlink>
    </w:p>
    <w:p w14:paraId="4B9D4506" w14:textId="1600D8C0" w:rsidR="00436FD8" w:rsidRDefault="00641D4A" w:rsidP="00436FD8">
      <w:pPr>
        <w:pStyle w:val="TOC2"/>
        <w:ind w:right="-46"/>
        <w:rPr>
          <w:rFonts w:asciiTheme="minorHAnsi" w:eastAsiaTheme="minorEastAsia" w:hAnsiTheme="minorHAnsi" w:cstheme="minorBidi"/>
          <w:noProof/>
          <w:sz w:val="22"/>
          <w:szCs w:val="22"/>
        </w:rPr>
      </w:pPr>
      <w:hyperlink w:anchor="_Toc31380986" w:history="1">
        <w:r w:rsidR="00436FD8" w:rsidRPr="007E4489">
          <w:rPr>
            <w:rStyle w:val="Hyperlink"/>
            <w:noProof/>
          </w:rPr>
          <w:t>5.2   Russia's claims concerning the Panel's findings relating to the third measure</w:t>
        </w:r>
        <w:r w:rsidR="00436FD8">
          <w:rPr>
            <w:noProof/>
            <w:webHidden/>
          </w:rPr>
          <w:tab/>
        </w:r>
        <w:r w:rsidR="00436FD8">
          <w:rPr>
            <w:noProof/>
            <w:webHidden/>
          </w:rPr>
          <w:fldChar w:fldCharType="begin"/>
        </w:r>
        <w:r w:rsidR="00436FD8">
          <w:rPr>
            <w:noProof/>
            <w:webHidden/>
          </w:rPr>
          <w:instrText xml:space="preserve"> PAGEREF _Toc31380986 \h </w:instrText>
        </w:r>
        <w:r w:rsidR="00436FD8">
          <w:rPr>
            <w:noProof/>
            <w:webHidden/>
          </w:rPr>
        </w:r>
        <w:r w:rsidR="00436FD8">
          <w:rPr>
            <w:noProof/>
            <w:webHidden/>
          </w:rPr>
          <w:fldChar w:fldCharType="separate"/>
        </w:r>
        <w:r w:rsidR="00BC2773">
          <w:rPr>
            <w:noProof/>
            <w:webHidden/>
          </w:rPr>
          <w:t>25</w:t>
        </w:r>
        <w:r w:rsidR="00436FD8">
          <w:rPr>
            <w:noProof/>
            <w:webHidden/>
          </w:rPr>
          <w:fldChar w:fldCharType="end"/>
        </w:r>
      </w:hyperlink>
    </w:p>
    <w:p w14:paraId="6B6DC8ED" w14:textId="0B733FF2" w:rsidR="00436FD8" w:rsidRDefault="00641D4A" w:rsidP="00436FD8">
      <w:pPr>
        <w:pStyle w:val="TOC3"/>
        <w:ind w:right="-46"/>
        <w:rPr>
          <w:rFonts w:asciiTheme="minorHAnsi" w:eastAsiaTheme="minorEastAsia" w:hAnsiTheme="minorHAnsi" w:cstheme="minorBidi"/>
          <w:noProof/>
          <w:sz w:val="22"/>
          <w:szCs w:val="22"/>
        </w:rPr>
      </w:pPr>
      <w:hyperlink w:anchor="_Toc31380987" w:history="1">
        <w:r w:rsidR="00436FD8" w:rsidRPr="007E4489">
          <w:rPr>
            <w:rStyle w:val="Hyperlink"/>
            <w:noProof/>
          </w:rPr>
          <w:t>5.2.1   The Panel's findings</w:t>
        </w:r>
        <w:r w:rsidR="00436FD8">
          <w:rPr>
            <w:noProof/>
            <w:webHidden/>
          </w:rPr>
          <w:tab/>
        </w:r>
        <w:r w:rsidR="00436FD8">
          <w:rPr>
            <w:noProof/>
            <w:webHidden/>
          </w:rPr>
          <w:fldChar w:fldCharType="begin"/>
        </w:r>
        <w:r w:rsidR="00436FD8">
          <w:rPr>
            <w:noProof/>
            <w:webHidden/>
          </w:rPr>
          <w:instrText xml:space="preserve"> PAGEREF _Toc31380987 \h </w:instrText>
        </w:r>
        <w:r w:rsidR="00436FD8">
          <w:rPr>
            <w:noProof/>
            <w:webHidden/>
          </w:rPr>
        </w:r>
        <w:r w:rsidR="00436FD8">
          <w:rPr>
            <w:noProof/>
            <w:webHidden/>
          </w:rPr>
          <w:fldChar w:fldCharType="separate"/>
        </w:r>
        <w:r w:rsidR="00BC2773">
          <w:rPr>
            <w:noProof/>
            <w:webHidden/>
          </w:rPr>
          <w:t>25</w:t>
        </w:r>
        <w:r w:rsidR="00436FD8">
          <w:rPr>
            <w:noProof/>
            <w:webHidden/>
          </w:rPr>
          <w:fldChar w:fldCharType="end"/>
        </w:r>
      </w:hyperlink>
    </w:p>
    <w:p w14:paraId="6DC20C74" w14:textId="2042FC3F" w:rsidR="00436FD8" w:rsidRDefault="00641D4A" w:rsidP="00436FD8">
      <w:pPr>
        <w:pStyle w:val="TOC3"/>
        <w:ind w:right="-46"/>
        <w:rPr>
          <w:rFonts w:asciiTheme="minorHAnsi" w:eastAsiaTheme="minorEastAsia" w:hAnsiTheme="minorHAnsi" w:cstheme="minorBidi"/>
          <w:noProof/>
          <w:sz w:val="22"/>
          <w:szCs w:val="22"/>
        </w:rPr>
      </w:pPr>
      <w:hyperlink w:anchor="_Toc31380988" w:history="1">
        <w:r w:rsidR="00436FD8" w:rsidRPr="007E4489">
          <w:rPr>
            <w:rStyle w:val="Hyperlink"/>
            <w:noProof/>
          </w:rPr>
          <w:t>5.2.2   Russia's claim that the Panel erred in finding the existence of the third measure</w:t>
        </w:r>
        <w:r w:rsidR="00436FD8">
          <w:rPr>
            <w:noProof/>
            <w:webHidden/>
          </w:rPr>
          <w:tab/>
        </w:r>
        <w:r w:rsidR="00436FD8">
          <w:rPr>
            <w:noProof/>
            <w:webHidden/>
          </w:rPr>
          <w:fldChar w:fldCharType="begin"/>
        </w:r>
        <w:r w:rsidR="00436FD8">
          <w:rPr>
            <w:noProof/>
            <w:webHidden/>
          </w:rPr>
          <w:instrText xml:space="preserve"> PAGEREF _Toc31380988 \h </w:instrText>
        </w:r>
        <w:r w:rsidR="00436FD8">
          <w:rPr>
            <w:noProof/>
            <w:webHidden/>
          </w:rPr>
        </w:r>
        <w:r w:rsidR="00436FD8">
          <w:rPr>
            <w:noProof/>
            <w:webHidden/>
          </w:rPr>
          <w:fldChar w:fldCharType="separate"/>
        </w:r>
        <w:r w:rsidR="00BC2773">
          <w:rPr>
            <w:noProof/>
            <w:webHidden/>
          </w:rPr>
          <w:t>28</w:t>
        </w:r>
        <w:r w:rsidR="00436FD8">
          <w:rPr>
            <w:noProof/>
            <w:webHidden/>
          </w:rPr>
          <w:fldChar w:fldCharType="end"/>
        </w:r>
      </w:hyperlink>
    </w:p>
    <w:p w14:paraId="4864AEC2" w14:textId="11A7B011" w:rsidR="00436FD8" w:rsidRDefault="00641D4A" w:rsidP="00436FD8">
      <w:pPr>
        <w:pStyle w:val="TOC4"/>
        <w:ind w:right="-46"/>
        <w:rPr>
          <w:rFonts w:asciiTheme="minorHAnsi" w:eastAsiaTheme="minorEastAsia" w:hAnsiTheme="minorHAnsi" w:cstheme="minorBidi"/>
          <w:noProof/>
          <w:sz w:val="22"/>
          <w:szCs w:val="22"/>
        </w:rPr>
      </w:pPr>
      <w:hyperlink w:anchor="_Toc31380989" w:history="1">
        <w:r w:rsidR="00436FD8" w:rsidRPr="007E4489">
          <w:rPr>
            <w:rStyle w:val="Hyperlink"/>
            <w:noProof/>
          </w:rPr>
          <w:t>5.2.2.1   Arguments on appeal</w:t>
        </w:r>
        <w:r w:rsidR="00436FD8">
          <w:rPr>
            <w:noProof/>
            <w:webHidden/>
          </w:rPr>
          <w:tab/>
        </w:r>
        <w:r w:rsidR="00436FD8">
          <w:rPr>
            <w:noProof/>
            <w:webHidden/>
          </w:rPr>
          <w:fldChar w:fldCharType="begin"/>
        </w:r>
        <w:r w:rsidR="00436FD8">
          <w:rPr>
            <w:noProof/>
            <w:webHidden/>
          </w:rPr>
          <w:instrText xml:space="preserve"> PAGEREF _Toc31380989 \h </w:instrText>
        </w:r>
        <w:r w:rsidR="00436FD8">
          <w:rPr>
            <w:noProof/>
            <w:webHidden/>
          </w:rPr>
        </w:r>
        <w:r w:rsidR="00436FD8">
          <w:rPr>
            <w:noProof/>
            <w:webHidden/>
          </w:rPr>
          <w:fldChar w:fldCharType="separate"/>
        </w:r>
        <w:r w:rsidR="00BC2773">
          <w:rPr>
            <w:noProof/>
            <w:webHidden/>
          </w:rPr>
          <w:t>28</w:t>
        </w:r>
        <w:r w:rsidR="00436FD8">
          <w:rPr>
            <w:noProof/>
            <w:webHidden/>
          </w:rPr>
          <w:fldChar w:fldCharType="end"/>
        </w:r>
      </w:hyperlink>
    </w:p>
    <w:p w14:paraId="5991229D" w14:textId="537AF2D1" w:rsidR="00436FD8" w:rsidRDefault="00641D4A" w:rsidP="00436FD8">
      <w:pPr>
        <w:pStyle w:val="TOC4"/>
        <w:ind w:right="-46"/>
        <w:rPr>
          <w:rFonts w:asciiTheme="minorHAnsi" w:eastAsiaTheme="minorEastAsia" w:hAnsiTheme="minorHAnsi" w:cstheme="minorBidi"/>
          <w:noProof/>
          <w:sz w:val="22"/>
          <w:szCs w:val="22"/>
        </w:rPr>
      </w:pPr>
      <w:hyperlink w:anchor="_Toc31380990" w:history="1">
        <w:r w:rsidR="00436FD8" w:rsidRPr="007E4489">
          <w:rPr>
            <w:rStyle w:val="Hyperlink"/>
            <w:noProof/>
          </w:rPr>
          <w:t>5.2.2.2   Analysis</w:t>
        </w:r>
        <w:r w:rsidR="00436FD8">
          <w:rPr>
            <w:noProof/>
            <w:webHidden/>
          </w:rPr>
          <w:tab/>
        </w:r>
        <w:r w:rsidR="00436FD8">
          <w:rPr>
            <w:noProof/>
            <w:webHidden/>
          </w:rPr>
          <w:fldChar w:fldCharType="begin"/>
        </w:r>
        <w:r w:rsidR="00436FD8">
          <w:rPr>
            <w:noProof/>
            <w:webHidden/>
          </w:rPr>
          <w:instrText xml:space="preserve"> PAGEREF _Toc31380990 \h </w:instrText>
        </w:r>
        <w:r w:rsidR="00436FD8">
          <w:rPr>
            <w:noProof/>
            <w:webHidden/>
          </w:rPr>
        </w:r>
        <w:r w:rsidR="00436FD8">
          <w:rPr>
            <w:noProof/>
            <w:webHidden/>
          </w:rPr>
          <w:fldChar w:fldCharType="separate"/>
        </w:r>
        <w:r w:rsidR="00BC2773">
          <w:rPr>
            <w:noProof/>
            <w:webHidden/>
          </w:rPr>
          <w:t>29</w:t>
        </w:r>
        <w:r w:rsidR="00436FD8">
          <w:rPr>
            <w:noProof/>
            <w:webHidden/>
          </w:rPr>
          <w:fldChar w:fldCharType="end"/>
        </w:r>
      </w:hyperlink>
    </w:p>
    <w:p w14:paraId="2FE9CE95" w14:textId="24CA1EC7" w:rsidR="00436FD8" w:rsidRDefault="00641D4A" w:rsidP="00436FD8">
      <w:pPr>
        <w:pStyle w:val="TOC4"/>
        <w:ind w:right="-46"/>
        <w:rPr>
          <w:rFonts w:asciiTheme="minorHAnsi" w:eastAsiaTheme="minorEastAsia" w:hAnsiTheme="minorHAnsi" w:cstheme="minorBidi"/>
          <w:noProof/>
          <w:sz w:val="22"/>
          <w:szCs w:val="22"/>
        </w:rPr>
      </w:pPr>
      <w:hyperlink w:anchor="_Toc31380991" w:history="1">
        <w:r w:rsidR="00436FD8" w:rsidRPr="007E4489">
          <w:rPr>
            <w:rStyle w:val="Hyperlink"/>
            <w:noProof/>
          </w:rPr>
          <w:t>5.2.2.3   Conclusion</w:t>
        </w:r>
        <w:r w:rsidR="00436FD8">
          <w:rPr>
            <w:noProof/>
            <w:webHidden/>
          </w:rPr>
          <w:tab/>
        </w:r>
        <w:r w:rsidR="00436FD8">
          <w:rPr>
            <w:noProof/>
            <w:webHidden/>
          </w:rPr>
          <w:fldChar w:fldCharType="begin"/>
        </w:r>
        <w:r w:rsidR="00436FD8">
          <w:rPr>
            <w:noProof/>
            <w:webHidden/>
          </w:rPr>
          <w:instrText xml:space="preserve"> PAGEREF _Toc31380991 \h </w:instrText>
        </w:r>
        <w:r w:rsidR="00436FD8">
          <w:rPr>
            <w:noProof/>
            <w:webHidden/>
          </w:rPr>
        </w:r>
        <w:r w:rsidR="00436FD8">
          <w:rPr>
            <w:noProof/>
            <w:webHidden/>
          </w:rPr>
          <w:fldChar w:fldCharType="separate"/>
        </w:r>
        <w:r w:rsidR="00BC2773">
          <w:rPr>
            <w:noProof/>
            <w:webHidden/>
          </w:rPr>
          <w:t>32</w:t>
        </w:r>
        <w:r w:rsidR="00436FD8">
          <w:rPr>
            <w:noProof/>
            <w:webHidden/>
          </w:rPr>
          <w:fldChar w:fldCharType="end"/>
        </w:r>
      </w:hyperlink>
    </w:p>
    <w:p w14:paraId="37A6F309" w14:textId="16B4F198" w:rsidR="00436FD8" w:rsidRDefault="00641D4A" w:rsidP="00436FD8">
      <w:pPr>
        <w:pStyle w:val="TOC3"/>
        <w:ind w:right="-46"/>
        <w:rPr>
          <w:rFonts w:asciiTheme="minorHAnsi" w:eastAsiaTheme="minorEastAsia" w:hAnsiTheme="minorHAnsi" w:cstheme="minorBidi"/>
          <w:noProof/>
          <w:sz w:val="22"/>
          <w:szCs w:val="22"/>
        </w:rPr>
      </w:pPr>
      <w:hyperlink w:anchor="_Toc31380992" w:history="1">
        <w:r w:rsidR="00436FD8" w:rsidRPr="007E4489">
          <w:rPr>
            <w:rStyle w:val="Hyperlink"/>
            <w:noProof/>
          </w:rPr>
          <w:t xml:space="preserve">5.2.3   Russia's claim that the Panel erred by relieving Ukraine from the necessity of </w:t>
        </w:r>
        <w:r w:rsidR="00436FD8">
          <w:rPr>
            <w:rStyle w:val="Hyperlink"/>
            <w:noProof/>
          </w:rPr>
          <w:br/>
        </w:r>
        <w:r w:rsidR="00436FD8" w:rsidRPr="007E4489">
          <w:rPr>
            <w:rStyle w:val="Hyperlink"/>
            <w:noProof/>
          </w:rPr>
          <w:t xml:space="preserve">establishing a </w:t>
        </w:r>
        <w:r w:rsidR="00436FD8" w:rsidRPr="007E4489">
          <w:rPr>
            <w:rStyle w:val="Hyperlink"/>
            <w:i/>
            <w:noProof/>
          </w:rPr>
          <w:t>prima facie</w:t>
        </w:r>
        <w:r w:rsidR="00436FD8" w:rsidRPr="007E4489">
          <w:rPr>
            <w:rStyle w:val="Hyperlink"/>
            <w:noProof/>
          </w:rPr>
          <w:t xml:space="preserve"> case that the third measure exists as a single measure</w:t>
        </w:r>
        <w:r w:rsidR="00436FD8">
          <w:rPr>
            <w:noProof/>
            <w:webHidden/>
          </w:rPr>
          <w:tab/>
        </w:r>
        <w:r w:rsidR="00436FD8">
          <w:rPr>
            <w:noProof/>
            <w:webHidden/>
          </w:rPr>
          <w:fldChar w:fldCharType="begin"/>
        </w:r>
        <w:r w:rsidR="00436FD8">
          <w:rPr>
            <w:noProof/>
            <w:webHidden/>
          </w:rPr>
          <w:instrText xml:space="preserve"> PAGEREF _Toc31380992 \h </w:instrText>
        </w:r>
        <w:r w:rsidR="00436FD8">
          <w:rPr>
            <w:noProof/>
            <w:webHidden/>
          </w:rPr>
        </w:r>
        <w:r w:rsidR="00436FD8">
          <w:rPr>
            <w:noProof/>
            <w:webHidden/>
          </w:rPr>
          <w:fldChar w:fldCharType="separate"/>
        </w:r>
        <w:r w:rsidR="00BC2773">
          <w:rPr>
            <w:noProof/>
            <w:webHidden/>
          </w:rPr>
          <w:t>32</w:t>
        </w:r>
        <w:r w:rsidR="00436FD8">
          <w:rPr>
            <w:noProof/>
            <w:webHidden/>
          </w:rPr>
          <w:fldChar w:fldCharType="end"/>
        </w:r>
      </w:hyperlink>
    </w:p>
    <w:p w14:paraId="1AC66FFF" w14:textId="126D02C0" w:rsidR="00436FD8" w:rsidRDefault="00641D4A" w:rsidP="00436FD8">
      <w:pPr>
        <w:pStyle w:val="TOC4"/>
        <w:ind w:right="-46"/>
        <w:rPr>
          <w:rFonts w:asciiTheme="minorHAnsi" w:eastAsiaTheme="minorEastAsia" w:hAnsiTheme="minorHAnsi" w:cstheme="minorBidi"/>
          <w:noProof/>
          <w:sz w:val="22"/>
          <w:szCs w:val="22"/>
        </w:rPr>
      </w:pPr>
      <w:hyperlink w:anchor="_Toc31380993" w:history="1">
        <w:r w:rsidR="00436FD8" w:rsidRPr="007E4489">
          <w:rPr>
            <w:rStyle w:val="Hyperlink"/>
            <w:noProof/>
          </w:rPr>
          <w:t>5.2.3.1   Arguments on appeal</w:t>
        </w:r>
        <w:r w:rsidR="00436FD8">
          <w:rPr>
            <w:noProof/>
            <w:webHidden/>
          </w:rPr>
          <w:tab/>
        </w:r>
        <w:r w:rsidR="00436FD8">
          <w:rPr>
            <w:noProof/>
            <w:webHidden/>
          </w:rPr>
          <w:fldChar w:fldCharType="begin"/>
        </w:r>
        <w:r w:rsidR="00436FD8">
          <w:rPr>
            <w:noProof/>
            <w:webHidden/>
          </w:rPr>
          <w:instrText xml:space="preserve"> PAGEREF _Toc31380993 \h </w:instrText>
        </w:r>
        <w:r w:rsidR="00436FD8">
          <w:rPr>
            <w:noProof/>
            <w:webHidden/>
          </w:rPr>
        </w:r>
        <w:r w:rsidR="00436FD8">
          <w:rPr>
            <w:noProof/>
            <w:webHidden/>
          </w:rPr>
          <w:fldChar w:fldCharType="separate"/>
        </w:r>
        <w:r w:rsidR="00BC2773">
          <w:rPr>
            <w:noProof/>
            <w:webHidden/>
          </w:rPr>
          <w:t>32</w:t>
        </w:r>
        <w:r w:rsidR="00436FD8">
          <w:rPr>
            <w:noProof/>
            <w:webHidden/>
          </w:rPr>
          <w:fldChar w:fldCharType="end"/>
        </w:r>
      </w:hyperlink>
    </w:p>
    <w:p w14:paraId="49C3474D" w14:textId="1712B814" w:rsidR="00436FD8" w:rsidRDefault="00641D4A" w:rsidP="00436FD8">
      <w:pPr>
        <w:pStyle w:val="TOC4"/>
        <w:ind w:right="-46"/>
        <w:rPr>
          <w:rFonts w:asciiTheme="minorHAnsi" w:eastAsiaTheme="minorEastAsia" w:hAnsiTheme="minorHAnsi" w:cstheme="minorBidi"/>
          <w:noProof/>
          <w:sz w:val="22"/>
          <w:szCs w:val="22"/>
        </w:rPr>
      </w:pPr>
      <w:hyperlink w:anchor="_Toc31380994" w:history="1">
        <w:r w:rsidR="00436FD8" w:rsidRPr="007E4489">
          <w:rPr>
            <w:rStyle w:val="Hyperlink"/>
            <w:noProof/>
          </w:rPr>
          <w:t>5.2.3.2   Analysis</w:t>
        </w:r>
        <w:r w:rsidR="00436FD8">
          <w:rPr>
            <w:noProof/>
            <w:webHidden/>
          </w:rPr>
          <w:tab/>
        </w:r>
        <w:r w:rsidR="00436FD8">
          <w:rPr>
            <w:noProof/>
            <w:webHidden/>
          </w:rPr>
          <w:fldChar w:fldCharType="begin"/>
        </w:r>
        <w:r w:rsidR="00436FD8">
          <w:rPr>
            <w:noProof/>
            <w:webHidden/>
          </w:rPr>
          <w:instrText xml:space="preserve"> PAGEREF _Toc31380994 \h </w:instrText>
        </w:r>
        <w:r w:rsidR="00436FD8">
          <w:rPr>
            <w:noProof/>
            <w:webHidden/>
          </w:rPr>
        </w:r>
        <w:r w:rsidR="00436FD8">
          <w:rPr>
            <w:noProof/>
            <w:webHidden/>
          </w:rPr>
          <w:fldChar w:fldCharType="separate"/>
        </w:r>
        <w:r w:rsidR="00BC2773">
          <w:rPr>
            <w:noProof/>
            <w:webHidden/>
          </w:rPr>
          <w:t>33</w:t>
        </w:r>
        <w:r w:rsidR="00436FD8">
          <w:rPr>
            <w:noProof/>
            <w:webHidden/>
          </w:rPr>
          <w:fldChar w:fldCharType="end"/>
        </w:r>
      </w:hyperlink>
    </w:p>
    <w:p w14:paraId="6393419E" w14:textId="791CDF28" w:rsidR="00436FD8" w:rsidRDefault="00641D4A" w:rsidP="00436FD8">
      <w:pPr>
        <w:pStyle w:val="TOC4"/>
        <w:ind w:right="-46"/>
        <w:rPr>
          <w:rFonts w:asciiTheme="minorHAnsi" w:eastAsiaTheme="minorEastAsia" w:hAnsiTheme="minorHAnsi" w:cstheme="minorBidi"/>
          <w:noProof/>
          <w:sz w:val="22"/>
          <w:szCs w:val="22"/>
        </w:rPr>
      </w:pPr>
      <w:hyperlink w:anchor="_Toc31380995" w:history="1">
        <w:r w:rsidR="00436FD8" w:rsidRPr="007E4489">
          <w:rPr>
            <w:rStyle w:val="Hyperlink"/>
            <w:noProof/>
          </w:rPr>
          <w:t>5.2.3.3   Conclusion</w:t>
        </w:r>
        <w:r w:rsidR="00436FD8">
          <w:rPr>
            <w:noProof/>
            <w:webHidden/>
          </w:rPr>
          <w:tab/>
        </w:r>
        <w:r w:rsidR="00436FD8">
          <w:rPr>
            <w:noProof/>
            <w:webHidden/>
          </w:rPr>
          <w:fldChar w:fldCharType="begin"/>
        </w:r>
        <w:r w:rsidR="00436FD8">
          <w:rPr>
            <w:noProof/>
            <w:webHidden/>
          </w:rPr>
          <w:instrText xml:space="preserve"> PAGEREF _Toc31380995 \h </w:instrText>
        </w:r>
        <w:r w:rsidR="00436FD8">
          <w:rPr>
            <w:noProof/>
            <w:webHidden/>
          </w:rPr>
        </w:r>
        <w:r w:rsidR="00436FD8">
          <w:rPr>
            <w:noProof/>
            <w:webHidden/>
          </w:rPr>
          <w:fldChar w:fldCharType="separate"/>
        </w:r>
        <w:r w:rsidR="00BC2773">
          <w:rPr>
            <w:noProof/>
            <w:webHidden/>
          </w:rPr>
          <w:t>34</w:t>
        </w:r>
        <w:r w:rsidR="00436FD8">
          <w:rPr>
            <w:noProof/>
            <w:webHidden/>
          </w:rPr>
          <w:fldChar w:fldCharType="end"/>
        </w:r>
      </w:hyperlink>
    </w:p>
    <w:p w14:paraId="234932C7" w14:textId="59ABD1DB" w:rsidR="00436FD8" w:rsidRDefault="00641D4A" w:rsidP="00436FD8">
      <w:pPr>
        <w:pStyle w:val="TOC3"/>
        <w:ind w:right="-46"/>
        <w:rPr>
          <w:rFonts w:asciiTheme="minorHAnsi" w:eastAsiaTheme="minorEastAsia" w:hAnsiTheme="minorHAnsi" w:cstheme="minorBidi"/>
          <w:noProof/>
          <w:sz w:val="22"/>
          <w:szCs w:val="22"/>
        </w:rPr>
      </w:pPr>
      <w:hyperlink w:anchor="_Toc31380996" w:history="1">
        <w:r w:rsidR="00436FD8" w:rsidRPr="007E4489">
          <w:rPr>
            <w:rStyle w:val="Hyperlink"/>
            <w:noProof/>
          </w:rPr>
          <w:t xml:space="preserve">5.2.4   Russia's claim that the Panel erred in finding that the third measure was within its </w:t>
        </w:r>
        <w:r w:rsidR="00436FD8">
          <w:rPr>
            <w:rStyle w:val="Hyperlink"/>
            <w:noProof/>
          </w:rPr>
          <w:br/>
        </w:r>
        <w:r w:rsidR="00436FD8" w:rsidRPr="007E4489">
          <w:rPr>
            <w:rStyle w:val="Hyperlink"/>
            <w:noProof/>
          </w:rPr>
          <w:t>terms of reference</w:t>
        </w:r>
        <w:r w:rsidR="00436FD8">
          <w:rPr>
            <w:noProof/>
            <w:webHidden/>
          </w:rPr>
          <w:tab/>
        </w:r>
        <w:r w:rsidR="00436FD8">
          <w:rPr>
            <w:noProof/>
            <w:webHidden/>
          </w:rPr>
          <w:fldChar w:fldCharType="begin"/>
        </w:r>
        <w:r w:rsidR="00436FD8">
          <w:rPr>
            <w:noProof/>
            <w:webHidden/>
          </w:rPr>
          <w:instrText xml:space="preserve"> PAGEREF _Toc31380996 \h </w:instrText>
        </w:r>
        <w:r w:rsidR="00436FD8">
          <w:rPr>
            <w:noProof/>
            <w:webHidden/>
          </w:rPr>
        </w:r>
        <w:r w:rsidR="00436FD8">
          <w:rPr>
            <w:noProof/>
            <w:webHidden/>
          </w:rPr>
          <w:fldChar w:fldCharType="separate"/>
        </w:r>
        <w:r w:rsidR="00BC2773">
          <w:rPr>
            <w:noProof/>
            <w:webHidden/>
          </w:rPr>
          <w:t>34</w:t>
        </w:r>
        <w:r w:rsidR="00436FD8">
          <w:rPr>
            <w:noProof/>
            <w:webHidden/>
          </w:rPr>
          <w:fldChar w:fldCharType="end"/>
        </w:r>
      </w:hyperlink>
    </w:p>
    <w:p w14:paraId="4A2DB0BE" w14:textId="7836D46C" w:rsidR="00436FD8" w:rsidRDefault="00641D4A" w:rsidP="00436FD8">
      <w:pPr>
        <w:pStyle w:val="TOC4"/>
        <w:ind w:right="-46"/>
        <w:rPr>
          <w:rFonts w:asciiTheme="minorHAnsi" w:eastAsiaTheme="minorEastAsia" w:hAnsiTheme="minorHAnsi" w:cstheme="minorBidi"/>
          <w:noProof/>
          <w:sz w:val="22"/>
          <w:szCs w:val="22"/>
        </w:rPr>
      </w:pPr>
      <w:hyperlink w:anchor="_Toc31380997" w:history="1">
        <w:r w:rsidR="00436FD8" w:rsidRPr="007E4489">
          <w:rPr>
            <w:rStyle w:val="Hyperlink"/>
            <w:noProof/>
          </w:rPr>
          <w:t>5.2.4.1   Arguments on appeal</w:t>
        </w:r>
        <w:r w:rsidR="00436FD8">
          <w:rPr>
            <w:noProof/>
            <w:webHidden/>
          </w:rPr>
          <w:tab/>
        </w:r>
        <w:r w:rsidR="00436FD8">
          <w:rPr>
            <w:noProof/>
            <w:webHidden/>
          </w:rPr>
          <w:fldChar w:fldCharType="begin"/>
        </w:r>
        <w:r w:rsidR="00436FD8">
          <w:rPr>
            <w:noProof/>
            <w:webHidden/>
          </w:rPr>
          <w:instrText xml:space="preserve"> PAGEREF _Toc31380997 \h </w:instrText>
        </w:r>
        <w:r w:rsidR="00436FD8">
          <w:rPr>
            <w:noProof/>
            <w:webHidden/>
          </w:rPr>
        </w:r>
        <w:r w:rsidR="00436FD8">
          <w:rPr>
            <w:noProof/>
            <w:webHidden/>
          </w:rPr>
          <w:fldChar w:fldCharType="separate"/>
        </w:r>
        <w:r w:rsidR="00BC2773">
          <w:rPr>
            <w:noProof/>
            <w:webHidden/>
          </w:rPr>
          <w:t>34</w:t>
        </w:r>
        <w:r w:rsidR="00436FD8">
          <w:rPr>
            <w:noProof/>
            <w:webHidden/>
          </w:rPr>
          <w:fldChar w:fldCharType="end"/>
        </w:r>
      </w:hyperlink>
    </w:p>
    <w:p w14:paraId="55E2488E" w14:textId="30BE2BE0" w:rsidR="00436FD8" w:rsidRDefault="00641D4A" w:rsidP="00436FD8">
      <w:pPr>
        <w:pStyle w:val="TOC4"/>
        <w:ind w:right="-46"/>
        <w:rPr>
          <w:rFonts w:asciiTheme="minorHAnsi" w:eastAsiaTheme="minorEastAsia" w:hAnsiTheme="minorHAnsi" w:cstheme="minorBidi"/>
          <w:noProof/>
          <w:sz w:val="22"/>
          <w:szCs w:val="22"/>
        </w:rPr>
      </w:pPr>
      <w:hyperlink w:anchor="_Toc31380998" w:history="1">
        <w:r w:rsidR="00436FD8" w:rsidRPr="007E4489">
          <w:rPr>
            <w:rStyle w:val="Hyperlink"/>
            <w:noProof/>
          </w:rPr>
          <w:t>5.2.4.2   Analysis</w:t>
        </w:r>
        <w:r w:rsidR="00436FD8">
          <w:rPr>
            <w:noProof/>
            <w:webHidden/>
          </w:rPr>
          <w:tab/>
        </w:r>
        <w:r w:rsidR="00436FD8">
          <w:rPr>
            <w:noProof/>
            <w:webHidden/>
          </w:rPr>
          <w:fldChar w:fldCharType="begin"/>
        </w:r>
        <w:r w:rsidR="00436FD8">
          <w:rPr>
            <w:noProof/>
            <w:webHidden/>
          </w:rPr>
          <w:instrText xml:space="preserve"> PAGEREF _Toc31380998 \h </w:instrText>
        </w:r>
        <w:r w:rsidR="00436FD8">
          <w:rPr>
            <w:noProof/>
            <w:webHidden/>
          </w:rPr>
        </w:r>
        <w:r w:rsidR="00436FD8">
          <w:rPr>
            <w:noProof/>
            <w:webHidden/>
          </w:rPr>
          <w:fldChar w:fldCharType="separate"/>
        </w:r>
        <w:r w:rsidR="00BC2773">
          <w:rPr>
            <w:noProof/>
            <w:webHidden/>
          </w:rPr>
          <w:t>36</w:t>
        </w:r>
        <w:r w:rsidR="00436FD8">
          <w:rPr>
            <w:noProof/>
            <w:webHidden/>
          </w:rPr>
          <w:fldChar w:fldCharType="end"/>
        </w:r>
      </w:hyperlink>
    </w:p>
    <w:p w14:paraId="65066020" w14:textId="13B6E4F6" w:rsidR="00436FD8" w:rsidRDefault="00641D4A" w:rsidP="00436FD8">
      <w:pPr>
        <w:pStyle w:val="TOC4"/>
        <w:ind w:right="-46"/>
        <w:rPr>
          <w:rFonts w:asciiTheme="minorHAnsi" w:eastAsiaTheme="minorEastAsia" w:hAnsiTheme="minorHAnsi" w:cstheme="minorBidi"/>
          <w:noProof/>
          <w:sz w:val="22"/>
          <w:szCs w:val="22"/>
        </w:rPr>
      </w:pPr>
      <w:hyperlink w:anchor="_Toc31380999" w:history="1">
        <w:r w:rsidR="00436FD8" w:rsidRPr="007E4489">
          <w:rPr>
            <w:rStyle w:val="Hyperlink"/>
            <w:noProof/>
          </w:rPr>
          <w:t>5.2.4.3   Conclusion</w:t>
        </w:r>
        <w:r w:rsidR="00436FD8">
          <w:rPr>
            <w:noProof/>
            <w:webHidden/>
          </w:rPr>
          <w:tab/>
        </w:r>
        <w:r w:rsidR="00436FD8">
          <w:rPr>
            <w:noProof/>
            <w:webHidden/>
          </w:rPr>
          <w:fldChar w:fldCharType="begin"/>
        </w:r>
        <w:r w:rsidR="00436FD8">
          <w:rPr>
            <w:noProof/>
            <w:webHidden/>
          </w:rPr>
          <w:instrText xml:space="preserve"> PAGEREF _Toc31380999 \h </w:instrText>
        </w:r>
        <w:r w:rsidR="00436FD8">
          <w:rPr>
            <w:noProof/>
            <w:webHidden/>
          </w:rPr>
        </w:r>
        <w:r w:rsidR="00436FD8">
          <w:rPr>
            <w:noProof/>
            <w:webHidden/>
          </w:rPr>
          <w:fldChar w:fldCharType="separate"/>
        </w:r>
        <w:r w:rsidR="00BC2773">
          <w:rPr>
            <w:noProof/>
            <w:webHidden/>
          </w:rPr>
          <w:t>37</w:t>
        </w:r>
        <w:r w:rsidR="00436FD8">
          <w:rPr>
            <w:noProof/>
            <w:webHidden/>
          </w:rPr>
          <w:fldChar w:fldCharType="end"/>
        </w:r>
      </w:hyperlink>
    </w:p>
    <w:p w14:paraId="40A2A516" w14:textId="18423CF4" w:rsidR="00436FD8" w:rsidRDefault="00641D4A" w:rsidP="00436FD8">
      <w:pPr>
        <w:pStyle w:val="TOC3"/>
        <w:ind w:right="-46"/>
        <w:rPr>
          <w:rFonts w:asciiTheme="minorHAnsi" w:eastAsiaTheme="minorEastAsia" w:hAnsiTheme="minorHAnsi" w:cstheme="minorBidi"/>
          <w:noProof/>
          <w:sz w:val="22"/>
          <w:szCs w:val="22"/>
        </w:rPr>
      </w:pPr>
      <w:hyperlink w:anchor="_Toc31381000" w:history="1">
        <w:r w:rsidR="00436FD8" w:rsidRPr="007E4489">
          <w:rPr>
            <w:rStyle w:val="Hyperlink"/>
            <w:noProof/>
          </w:rPr>
          <w:t>5.2.5   Russia's claim that the Panel erred by making findings with respect to the alleged registration condition</w:t>
        </w:r>
        <w:r w:rsidR="00436FD8">
          <w:rPr>
            <w:noProof/>
            <w:webHidden/>
          </w:rPr>
          <w:tab/>
        </w:r>
        <w:r w:rsidR="00436FD8">
          <w:rPr>
            <w:noProof/>
            <w:webHidden/>
          </w:rPr>
          <w:fldChar w:fldCharType="begin"/>
        </w:r>
        <w:r w:rsidR="00436FD8">
          <w:rPr>
            <w:noProof/>
            <w:webHidden/>
          </w:rPr>
          <w:instrText xml:space="preserve"> PAGEREF _Toc31381000 \h </w:instrText>
        </w:r>
        <w:r w:rsidR="00436FD8">
          <w:rPr>
            <w:noProof/>
            <w:webHidden/>
          </w:rPr>
        </w:r>
        <w:r w:rsidR="00436FD8">
          <w:rPr>
            <w:noProof/>
            <w:webHidden/>
          </w:rPr>
          <w:fldChar w:fldCharType="separate"/>
        </w:r>
        <w:r w:rsidR="00BC2773">
          <w:rPr>
            <w:noProof/>
            <w:webHidden/>
          </w:rPr>
          <w:t>37</w:t>
        </w:r>
        <w:r w:rsidR="00436FD8">
          <w:rPr>
            <w:noProof/>
            <w:webHidden/>
          </w:rPr>
          <w:fldChar w:fldCharType="end"/>
        </w:r>
      </w:hyperlink>
    </w:p>
    <w:p w14:paraId="3AA40154" w14:textId="1D2939D0" w:rsidR="00436FD8" w:rsidRDefault="00641D4A" w:rsidP="00436FD8">
      <w:pPr>
        <w:pStyle w:val="TOC4"/>
        <w:ind w:right="-46"/>
        <w:rPr>
          <w:rFonts w:asciiTheme="minorHAnsi" w:eastAsiaTheme="minorEastAsia" w:hAnsiTheme="minorHAnsi" w:cstheme="minorBidi"/>
          <w:noProof/>
          <w:sz w:val="22"/>
          <w:szCs w:val="22"/>
        </w:rPr>
      </w:pPr>
      <w:hyperlink w:anchor="_Toc31381001" w:history="1">
        <w:r w:rsidR="00436FD8" w:rsidRPr="007E4489">
          <w:rPr>
            <w:rStyle w:val="Hyperlink"/>
            <w:noProof/>
          </w:rPr>
          <w:t>5.2.5.1   Arguments on appeal</w:t>
        </w:r>
        <w:r w:rsidR="00436FD8">
          <w:rPr>
            <w:noProof/>
            <w:webHidden/>
          </w:rPr>
          <w:tab/>
        </w:r>
        <w:r w:rsidR="00436FD8">
          <w:rPr>
            <w:noProof/>
            <w:webHidden/>
          </w:rPr>
          <w:fldChar w:fldCharType="begin"/>
        </w:r>
        <w:r w:rsidR="00436FD8">
          <w:rPr>
            <w:noProof/>
            <w:webHidden/>
          </w:rPr>
          <w:instrText xml:space="preserve"> PAGEREF _Toc31381001 \h </w:instrText>
        </w:r>
        <w:r w:rsidR="00436FD8">
          <w:rPr>
            <w:noProof/>
            <w:webHidden/>
          </w:rPr>
        </w:r>
        <w:r w:rsidR="00436FD8">
          <w:rPr>
            <w:noProof/>
            <w:webHidden/>
          </w:rPr>
          <w:fldChar w:fldCharType="separate"/>
        </w:r>
        <w:r w:rsidR="00BC2773">
          <w:rPr>
            <w:noProof/>
            <w:webHidden/>
          </w:rPr>
          <w:t>37</w:t>
        </w:r>
        <w:r w:rsidR="00436FD8">
          <w:rPr>
            <w:noProof/>
            <w:webHidden/>
          </w:rPr>
          <w:fldChar w:fldCharType="end"/>
        </w:r>
      </w:hyperlink>
    </w:p>
    <w:p w14:paraId="40D3C02B" w14:textId="7A51A28E" w:rsidR="00436FD8" w:rsidRDefault="00641D4A" w:rsidP="00436FD8">
      <w:pPr>
        <w:pStyle w:val="TOC4"/>
        <w:ind w:right="-46"/>
        <w:rPr>
          <w:rFonts w:asciiTheme="minorHAnsi" w:eastAsiaTheme="minorEastAsia" w:hAnsiTheme="minorHAnsi" w:cstheme="minorBidi"/>
          <w:noProof/>
          <w:sz w:val="22"/>
          <w:szCs w:val="22"/>
        </w:rPr>
      </w:pPr>
      <w:hyperlink w:anchor="_Toc31381002" w:history="1">
        <w:r w:rsidR="00436FD8" w:rsidRPr="007E4489">
          <w:rPr>
            <w:rStyle w:val="Hyperlink"/>
            <w:noProof/>
          </w:rPr>
          <w:t>5.2.5.2   Analysis</w:t>
        </w:r>
        <w:r w:rsidR="00436FD8">
          <w:rPr>
            <w:noProof/>
            <w:webHidden/>
          </w:rPr>
          <w:tab/>
        </w:r>
        <w:r w:rsidR="00436FD8">
          <w:rPr>
            <w:noProof/>
            <w:webHidden/>
          </w:rPr>
          <w:fldChar w:fldCharType="begin"/>
        </w:r>
        <w:r w:rsidR="00436FD8">
          <w:rPr>
            <w:noProof/>
            <w:webHidden/>
          </w:rPr>
          <w:instrText xml:space="preserve"> PAGEREF _Toc31381002 \h </w:instrText>
        </w:r>
        <w:r w:rsidR="00436FD8">
          <w:rPr>
            <w:noProof/>
            <w:webHidden/>
          </w:rPr>
        </w:r>
        <w:r w:rsidR="00436FD8">
          <w:rPr>
            <w:noProof/>
            <w:webHidden/>
          </w:rPr>
          <w:fldChar w:fldCharType="separate"/>
        </w:r>
        <w:r w:rsidR="00BC2773">
          <w:rPr>
            <w:noProof/>
            <w:webHidden/>
          </w:rPr>
          <w:t>37</w:t>
        </w:r>
        <w:r w:rsidR="00436FD8">
          <w:rPr>
            <w:noProof/>
            <w:webHidden/>
          </w:rPr>
          <w:fldChar w:fldCharType="end"/>
        </w:r>
      </w:hyperlink>
    </w:p>
    <w:p w14:paraId="1680047F" w14:textId="2110886F" w:rsidR="00436FD8" w:rsidRDefault="00641D4A" w:rsidP="00436FD8">
      <w:pPr>
        <w:pStyle w:val="TOC4"/>
        <w:ind w:right="-46"/>
        <w:rPr>
          <w:rFonts w:asciiTheme="minorHAnsi" w:eastAsiaTheme="minorEastAsia" w:hAnsiTheme="minorHAnsi" w:cstheme="minorBidi"/>
          <w:noProof/>
          <w:sz w:val="22"/>
          <w:szCs w:val="22"/>
        </w:rPr>
      </w:pPr>
      <w:hyperlink w:anchor="_Toc31381003" w:history="1">
        <w:r w:rsidR="00436FD8" w:rsidRPr="007E4489">
          <w:rPr>
            <w:rStyle w:val="Hyperlink"/>
            <w:noProof/>
          </w:rPr>
          <w:t>5.2.5.3   Conclusion</w:t>
        </w:r>
        <w:r w:rsidR="00436FD8">
          <w:rPr>
            <w:noProof/>
            <w:webHidden/>
          </w:rPr>
          <w:tab/>
        </w:r>
        <w:r w:rsidR="00436FD8">
          <w:rPr>
            <w:noProof/>
            <w:webHidden/>
          </w:rPr>
          <w:fldChar w:fldCharType="begin"/>
        </w:r>
        <w:r w:rsidR="00436FD8">
          <w:rPr>
            <w:noProof/>
            <w:webHidden/>
          </w:rPr>
          <w:instrText xml:space="preserve"> PAGEREF _Toc31381003 \h </w:instrText>
        </w:r>
        <w:r w:rsidR="00436FD8">
          <w:rPr>
            <w:noProof/>
            <w:webHidden/>
          </w:rPr>
        </w:r>
        <w:r w:rsidR="00436FD8">
          <w:rPr>
            <w:noProof/>
            <w:webHidden/>
          </w:rPr>
          <w:fldChar w:fldCharType="separate"/>
        </w:r>
        <w:r w:rsidR="00BC2773">
          <w:rPr>
            <w:noProof/>
            <w:webHidden/>
          </w:rPr>
          <w:t>41</w:t>
        </w:r>
        <w:r w:rsidR="00436FD8">
          <w:rPr>
            <w:noProof/>
            <w:webHidden/>
          </w:rPr>
          <w:fldChar w:fldCharType="end"/>
        </w:r>
      </w:hyperlink>
    </w:p>
    <w:p w14:paraId="48392B91" w14:textId="13A5A149" w:rsidR="00436FD8" w:rsidRDefault="00641D4A" w:rsidP="00436FD8">
      <w:pPr>
        <w:pStyle w:val="TOC2"/>
        <w:ind w:right="-46"/>
        <w:rPr>
          <w:rFonts w:asciiTheme="minorHAnsi" w:eastAsiaTheme="minorEastAsia" w:hAnsiTheme="minorHAnsi" w:cstheme="minorBidi"/>
          <w:noProof/>
          <w:sz w:val="22"/>
          <w:szCs w:val="22"/>
        </w:rPr>
      </w:pPr>
      <w:hyperlink w:anchor="_Toc31381004" w:history="1">
        <w:r w:rsidR="00436FD8" w:rsidRPr="007E4489">
          <w:rPr>
            <w:rStyle w:val="Hyperlink"/>
            <w:noProof/>
          </w:rPr>
          <w:t>5.3   Ukraine's claim under Article 5.1.1 of the TBT Agreement</w:t>
        </w:r>
        <w:r w:rsidR="00436FD8">
          <w:rPr>
            <w:noProof/>
            <w:webHidden/>
          </w:rPr>
          <w:tab/>
        </w:r>
        <w:r w:rsidR="00436FD8">
          <w:rPr>
            <w:noProof/>
            <w:webHidden/>
          </w:rPr>
          <w:fldChar w:fldCharType="begin"/>
        </w:r>
        <w:r w:rsidR="00436FD8">
          <w:rPr>
            <w:noProof/>
            <w:webHidden/>
          </w:rPr>
          <w:instrText xml:space="preserve"> PAGEREF _Toc31381004 \h </w:instrText>
        </w:r>
        <w:r w:rsidR="00436FD8">
          <w:rPr>
            <w:noProof/>
            <w:webHidden/>
          </w:rPr>
        </w:r>
        <w:r w:rsidR="00436FD8">
          <w:rPr>
            <w:noProof/>
            <w:webHidden/>
          </w:rPr>
          <w:fldChar w:fldCharType="separate"/>
        </w:r>
        <w:r w:rsidR="00BC2773">
          <w:rPr>
            <w:noProof/>
            <w:webHidden/>
          </w:rPr>
          <w:t>41</w:t>
        </w:r>
        <w:r w:rsidR="00436FD8">
          <w:rPr>
            <w:noProof/>
            <w:webHidden/>
          </w:rPr>
          <w:fldChar w:fldCharType="end"/>
        </w:r>
      </w:hyperlink>
    </w:p>
    <w:p w14:paraId="544932B1" w14:textId="7E7B381D" w:rsidR="00436FD8" w:rsidRDefault="00641D4A" w:rsidP="00436FD8">
      <w:pPr>
        <w:pStyle w:val="TOC3"/>
        <w:ind w:right="-46"/>
        <w:rPr>
          <w:rFonts w:asciiTheme="minorHAnsi" w:eastAsiaTheme="minorEastAsia" w:hAnsiTheme="minorHAnsi" w:cstheme="minorBidi"/>
          <w:noProof/>
          <w:sz w:val="22"/>
          <w:szCs w:val="22"/>
        </w:rPr>
      </w:pPr>
      <w:hyperlink w:anchor="_Toc31381005" w:history="1">
        <w:r w:rsidR="00436FD8" w:rsidRPr="007E4489">
          <w:rPr>
            <w:rStyle w:val="Hyperlink"/>
            <w:noProof/>
          </w:rPr>
          <w:t>5.3.1   The Panel's findings</w:t>
        </w:r>
        <w:r w:rsidR="00436FD8">
          <w:rPr>
            <w:noProof/>
            <w:webHidden/>
          </w:rPr>
          <w:tab/>
        </w:r>
        <w:r w:rsidR="00436FD8">
          <w:rPr>
            <w:noProof/>
            <w:webHidden/>
          </w:rPr>
          <w:fldChar w:fldCharType="begin"/>
        </w:r>
        <w:r w:rsidR="00436FD8">
          <w:rPr>
            <w:noProof/>
            <w:webHidden/>
          </w:rPr>
          <w:instrText xml:space="preserve"> PAGEREF _Toc31381005 \h </w:instrText>
        </w:r>
        <w:r w:rsidR="00436FD8">
          <w:rPr>
            <w:noProof/>
            <w:webHidden/>
          </w:rPr>
        </w:r>
        <w:r w:rsidR="00436FD8">
          <w:rPr>
            <w:noProof/>
            <w:webHidden/>
          </w:rPr>
          <w:fldChar w:fldCharType="separate"/>
        </w:r>
        <w:r w:rsidR="00BC2773">
          <w:rPr>
            <w:noProof/>
            <w:webHidden/>
          </w:rPr>
          <w:t>41</w:t>
        </w:r>
        <w:r w:rsidR="00436FD8">
          <w:rPr>
            <w:noProof/>
            <w:webHidden/>
          </w:rPr>
          <w:fldChar w:fldCharType="end"/>
        </w:r>
      </w:hyperlink>
    </w:p>
    <w:p w14:paraId="172A820D" w14:textId="0C11C51D" w:rsidR="00436FD8" w:rsidRDefault="00641D4A" w:rsidP="00436FD8">
      <w:pPr>
        <w:pStyle w:val="TOC3"/>
        <w:ind w:right="-46"/>
        <w:rPr>
          <w:rFonts w:asciiTheme="minorHAnsi" w:eastAsiaTheme="minorEastAsia" w:hAnsiTheme="minorHAnsi" w:cstheme="minorBidi"/>
          <w:noProof/>
          <w:sz w:val="22"/>
          <w:szCs w:val="22"/>
        </w:rPr>
      </w:pPr>
      <w:hyperlink w:anchor="_Toc31381006" w:history="1">
        <w:r w:rsidR="00436FD8" w:rsidRPr="007E4489">
          <w:rPr>
            <w:rStyle w:val="Hyperlink"/>
            <w:noProof/>
          </w:rPr>
          <w:t>5.3.2   Claims and arguments on appeal</w:t>
        </w:r>
        <w:r w:rsidR="00436FD8">
          <w:rPr>
            <w:noProof/>
            <w:webHidden/>
          </w:rPr>
          <w:tab/>
        </w:r>
        <w:r w:rsidR="00436FD8">
          <w:rPr>
            <w:noProof/>
            <w:webHidden/>
          </w:rPr>
          <w:fldChar w:fldCharType="begin"/>
        </w:r>
        <w:r w:rsidR="00436FD8">
          <w:rPr>
            <w:noProof/>
            <w:webHidden/>
          </w:rPr>
          <w:instrText xml:space="preserve"> PAGEREF _Toc31381006 \h </w:instrText>
        </w:r>
        <w:r w:rsidR="00436FD8">
          <w:rPr>
            <w:noProof/>
            <w:webHidden/>
          </w:rPr>
        </w:r>
        <w:r w:rsidR="00436FD8">
          <w:rPr>
            <w:noProof/>
            <w:webHidden/>
          </w:rPr>
          <w:fldChar w:fldCharType="separate"/>
        </w:r>
        <w:r w:rsidR="00BC2773">
          <w:rPr>
            <w:noProof/>
            <w:webHidden/>
          </w:rPr>
          <w:t>43</w:t>
        </w:r>
        <w:r w:rsidR="00436FD8">
          <w:rPr>
            <w:noProof/>
            <w:webHidden/>
          </w:rPr>
          <w:fldChar w:fldCharType="end"/>
        </w:r>
      </w:hyperlink>
    </w:p>
    <w:p w14:paraId="54CBE6B7" w14:textId="7EBD9DC5" w:rsidR="00436FD8" w:rsidRDefault="00641D4A" w:rsidP="00436FD8">
      <w:pPr>
        <w:pStyle w:val="TOC3"/>
        <w:ind w:right="-46"/>
        <w:rPr>
          <w:rFonts w:asciiTheme="minorHAnsi" w:eastAsiaTheme="minorEastAsia" w:hAnsiTheme="minorHAnsi" w:cstheme="minorBidi"/>
          <w:noProof/>
          <w:sz w:val="22"/>
          <w:szCs w:val="22"/>
        </w:rPr>
      </w:pPr>
      <w:hyperlink w:anchor="_Toc31381007" w:history="1">
        <w:r w:rsidR="00436FD8" w:rsidRPr="007E4489">
          <w:rPr>
            <w:rStyle w:val="Hyperlink"/>
            <w:noProof/>
          </w:rPr>
          <w:t>5.3.3   The Panel's interpretation of Article 5.1.1 of the TBT Agreement</w:t>
        </w:r>
        <w:r w:rsidR="00436FD8">
          <w:rPr>
            <w:noProof/>
            <w:webHidden/>
          </w:rPr>
          <w:tab/>
        </w:r>
        <w:r w:rsidR="00436FD8">
          <w:rPr>
            <w:noProof/>
            <w:webHidden/>
          </w:rPr>
          <w:fldChar w:fldCharType="begin"/>
        </w:r>
        <w:r w:rsidR="00436FD8">
          <w:rPr>
            <w:noProof/>
            <w:webHidden/>
          </w:rPr>
          <w:instrText xml:space="preserve"> PAGEREF _Toc31381007 \h </w:instrText>
        </w:r>
        <w:r w:rsidR="00436FD8">
          <w:rPr>
            <w:noProof/>
            <w:webHidden/>
          </w:rPr>
        </w:r>
        <w:r w:rsidR="00436FD8">
          <w:rPr>
            <w:noProof/>
            <w:webHidden/>
          </w:rPr>
          <w:fldChar w:fldCharType="separate"/>
        </w:r>
        <w:r w:rsidR="00BC2773">
          <w:rPr>
            <w:noProof/>
            <w:webHidden/>
          </w:rPr>
          <w:t>44</w:t>
        </w:r>
        <w:r w:rsidR="00436FD8">
          <w:rPr>
            <w:noProof/>
            <w:webHidden/>
          </w:rPr>
          <w:fldChar w:fldCharType="end"/>
        </w:r>
      </w:hyperlink>
    </w:p>
    <w:p w14:paraId="2D5EEAF3" w14:textId="5F0E3DE5" w:rsidR="00436FD8" w:rsidRDefault="00641D4A" w:rsidP="00436FD8">
      <w:pPr>
        <w:pStyle w:val="TOC3"/>
        <w:ind w:right="-46"/>
        <w:rPr>
          <w:rFonts w:asciiTheme="minorHAnsi" w:eastAsiaTheme="minorEastAsia" w:hAnsiTheme="minorHAnsi" w:cstheme="minorBidi"/>
          <w:noProof/>
          <w:sz w:val="22"/>
          <w:szCs w:val="22"/>
        </w:rPr>
      </w:pPr>
      <w:hyperlink w:anchor="_Toc31381008" w:history="1">
        <w:r w:rsidR="00436FD8" w:rsidRPr="007E4489">
          <w:rPr>
            <w:rStyle w:val="Hyperlink"/>
            <w:noProof/>
          </w:rPr>
          <w:t>5.3.4   The Panel's application of Article 5.1.1 of the TBT Agreement</w:t>
        </w:r>
        <w:r w:rsidR="00436FD8">
          <w:rPr>
            <w:noProof/>
            <w:webHidden/>
          </w:rPr>
          <w:tab/>
        </w:r>
        <w:r w:rsidR="00436FD8">
          <w:rPr>
            <w:noProof/>
            <w:webHidden/>
          </w:rPr>
          <w:fldChar w:fldCharType="begin"/>
        </w:r>
        <w:r w:rsidR="00436FD8">
          <w:rPr>
            <w:noProof/>
            <w:webHidden/>
          </w:rPr>
          <w:instrText xml:space="preserve"> PAGEREF _Toc31381008 \h </w:instrText>
        </w:r>
        <w:r w:rsidR="00436FD8">
          <w:rPr>
            <w:noProof/>
            <w:webHidden/>
          </w:rPr>
        </w:r>
        <w:r w:rsidR="00436FD8">
          <w:rPr>
            <w:noProof/>
            <w:webHidden/>
          </w:rPr>
          <w:fldChar w:fldCharType="separate"/>
        </w:r>
        <w:r w:rsidR="00BC2773">
          <w:rPr>
            <w:noProof/>
            <w:webHidden/>
          </w:rPr>
          <w:t>50</w:t>
        </w:r>
        <w:r w:rsidR="00436FD8">
          <w:rPr>
            <w:noProof/>
            <w:webHidden/>
          </w:rPr>
          <w:fldChar w:fldCharType="end"/>
        </w:r>
      </w:hyperlink>
    </w:p>
    <w:p w14:paraId="2D683868" w14:textId="34E26830" w:rsidR="00436FD8" w:rsidRDefault="00641D4A" w:rsidP="00436FD8">
      <w:pPr>
        <w:pStyle w:val="TOC3"/>
        <w:ind w:right="-46"/>
        <w:rPr>
          <w:rFonts w:asciiTheme="minorHAnsi" w:eastAsiaTheme="minorEastAsia" w:hAnsiTheme="minorHAnsi" w:cstheme="minorBidi"/>
          <w:noProof/>
          <w:sz w:val="22"/>
          <w:szCs w:val="22"/>
        </w:rPr>
      </w:pPr>
      <w:hyperlink w:anchor="_Toc31381009" w:history="1">
        <w:r w:rsidR="00436FD8" w:rsidRPr="007E4489">
          <w:rPr>
            <w:rStyle w:val="Hyperlink"/>
            <w:noProof/>
          </w:rPr>
          <w:t>5.3.5   Completion of the legal analysis</w:t>
        </w:r>
        <w:r w:rsidR="00436FD8">
          <w:rPr>
            <w:noProof/>
            <w:webHidden/>
          </w:rPr>
          <w:tab/>
        </w:r>
        <w:r w:rsidR="00436FD8">
          <w:rPr>
            <w:noProof/>
            <w:webHidden/>
          </w:rPr>
          <w:fldChar w:fldCharType="begin"/>
        </w:r>
        <w:r w:rsidR="00436FD8">
          <w:rPr>
            <w:noProof/>
            <w:webHidden/>
          </w:rPr>
          <w:instrText xml:space="preserve"> PAGEREF _Toc31381009 \h </w:instrText>
        </w:r>
        <w:r w:rsidR="00436FD8">
          <w:rPr>
            <w:noProof/>
            <w:webHidden/>
          </w:rPr>
        </w:r>
        <w:r w:rsidR="00436FD8">
          <w:rPr>
            <w:noProof/>
            <w:webHidden/>
          </w:rPr>
          <w:fldChar w:fldCharType="separate"/>
        </w:r>
        <w:r w:rsidR="00BC2773">
          <w:rPr>
            <w:noProof/>
            <w:webHidden/>
          </w:rPr>
          <w:t>54</w:t>
        </w:r>
        <w:r w:rsidR="00436FD8">
          <w:rPr>
            <w:noProof/>
            <w:webHidden/>
          </w:rPr>
          <w:fldChar w:fldCharType="end"/>
        </w:r>
      </w:hyperlink>
    </w:p>
    <w:p w14:paraId="1248B63D" w14:textId="7BA49AC9" w:rsidR="00436FD8" w:rsidRDefault="00641D4A" w:rsidP="00436FD8">
      <w:pPr>
        <w:pStyle w:val="TOC3"/>
        <w:ind w:right="-46"/>
        <w:rPr>
          <w:rFonts w:asciiTheme="minorHAnsi" w:eastAsiaTheme="minorEastAsia" w:hAnsiTheme="minorHAnsi" w:cstheme="minorBidi"/>
          <w:noProof/>
          <w:sz w:val="22"/>
          <w:szCs w:val="22"/>
        </w:rPr>
      </w:pPr>
      <w:hyperlink w:anchor="_Toc31381010" w:history="1">
        <w:r w:rsidR="00436FD8" w:rsidRPr="007E4489">
          <w:rPr>
            <w:rStyle w:val="Hyperlink"/>
            <w:noProof/>
          </w:rPr>
          <w:t xml:space="preserve">5.3.6   Whether the Panel failed to make an objective assessment of the matter under </w:t>
        </w:r>
        <w:r w:rsidR="00436FD8">
          <w:rPr>
            <w:rStyle w:val="Hyperlink"/>
            <w:noProof/>
          </w:rPr>
          <w:br/>
        </w:r>
        <w:r w:rsidR="00436FD8" w:rsidRPr="007E4489">
          <w:rPr>
            <w:rStyle w:val="Hyperlink"/>
            <w:noProof/>
          </w:rPr>
          <w:t>Article 11 of the DSU</w:t>
        </w:r>
        <w:r w:rsidR="00436FD8">
          <w:rPr>
            <w:noProof/>
            <w:webHidden/>
          </w:rPr>
          <w:tab/>
        </w:r>
        <w:r w:rsidR="00436FD8">
          <w:rPr>
            <w:noProof/>
            <w:webHidden/>
          </w:rPr>
          <w:fldChar w:fldCharType="begin"/>
        </w:r>
        <w:r w:rsidR="00436FD8">
          <w:rPr>
            <w:noProof/>
            <w:webHidden/>
          </w:rPr>
          <w:instrText xml:space="preserve"> PAGEREF _Toc31381010 \h </w:instrText>
        </w:r>
        <w:r w:rsidR="00436FD8">
          <w:rPr>
            <w:noProof/>
            <w:webHidden/>
          </w:rPr>
        </w:r>
        <w:r w:rsidR="00436FD8">
          <w:rPr>
            <w:noProof/>
            <w:webHidden/>
          </w:rPr>
          <w:fldChar w:fldCharType="separate"/>
        </w:r>
        <w:r w:rsidR="00BC2773">
          <w:rPr>
            <w:noProof/>
            <w:webHidden/>
          </w:rPr>
          <w:t>54</w:t>
        </w:r>
        <w:r w:rsidR="00436FD8">
          <w:rPr>
            <w:noProof/>
            <w:webHidden/>
          </w:rPr>
          <w:fldChar w:fldCharType="end"/>
        </w:r>
      </w:hyperlink>
    </w:p>
    <w:p w14:paraId="0A840E71" w14:textId="20926309" w:rsidR="00436FD8" w:rsidRDefault="00641D4A" w:rsidP="00436FD8">
      <w:pPr>
        <w:pStyle w:val="TOC3"/>
        <w:ind w:right="-46"/>
        <w:rPr>
          <w:rFonts w:asciiTheme="minorHAnsi" w:eastAsiaTheme="minorEastAsia" w:hAnsiTheme="minorHAnsi" w:cstheme="minorBidi"/>
          <w:noProof/>
          <w:sz w:val="22"/>
          <w:szCs w:val="22"/>
        </w:rPr>
      </w:pPr>
      <w:hyperlink w:anchor="_Toc31381011" w:history="1">
        <w:r w:rsidR="00436FD8" w:rsidRPr="007E4489">
          <w:rPr>
            <w:rStyle w:val="Hyperlink"/>
            <w:noProof/>
          </w:rPr>
          <w:t>5.3.7   Conclusion</w:t>
        </w:r>
        <w:r w:rsidR="00436FD8">
          <w:rPr>
            <w:noProof/>
            <w:webHidden/>
          </w:rPr>
          <w:tab/>
        </w:r>
        <w:r w:rsidR="00436FD8">
          <w:rPr>
            <w:noProof/>
            <w:webHidden/>
          </w:rPr>
          <w:fldChar w:fldCharType="begin"/>
        </w:r>
        <w:r w:rsidR="00436FD8">
          <w:rPr>
            <w:noProof/>
            <w:webHidden/>
          </w:rPr>
          <w:instrText xml:space="preserve"> PAGEREF _Toc31381011 \h </w:instrText>
        </w:r>
        <w:r w:rsidR="00436FD8">
          <w:rPr>
            <w:noProof/>
            <w:webHidden/>
          </w:rPr>
        </w:r>
        <w:r w:rsidR="00436FD8">
          <w:rPr>
            <w:noProof/>
            <w:webHidden/>
          </w:rPr>
          <w:fldChar w:fldCharType="separate"/>
        </w:r>
        <w:r w:rsidR="00BC2773">
          <w:rPr>
            <w:noProof/>
            <w:webHidden/>
          </w:rPr>
          <w:t>54</w:t>
        </w:r>
        <w:r w:rsidR="00436FD8">
          <w:rPr>
            <w:noProof/>
            <w:webHidden/>
          </w:rPr>
          <w:fldChar w:fldCharType="end"/>
        </w:r>
      </w:hyperlink>
    </w:p>
    <w:p w14:paraId="072AB515" w14:textId="76D10444" w:rsidR="00436FD8" w:rsidRDefault="00641D4A" w:rsidP="00436FD8">
      <w:pPr>
        <w:pStyle w:val="TOC2"/>
        <w:ind w:right="-46"/>
        <w:rPr>
          <w:rFonts w:asciiTheme="minorHAnsi" w:eastAsiaTheme="minorEastAsia" w:hAnsiTheme="minorHAnsi" w:cstheme="minorBidi"/>
          <w:noProof/>
          <w:sz w:val="22"/>
          <w:szCs w:val="22"/>
        </w:rPr>
      </w:pPr>
      <w:hyperlink w:anchor="_Toc31381012" w:history="1">
        <w:r w:rsidR="00436FD8" w:rsidRPr="007E4489">
          <w:rPr>
            <w:rStyle w:val="Hyperlink"/>
            <w:noProof/>
          </w:rPr>
          <w:t>5.4   Ukraine's claim under Article 5.1.2 of the TBT Agreement</w:t>
        </w:r>
        <w:r w:rsidR="00436FD8">
          <w:rPr>
            <w:noProof/>
            <w:webHidden/>
          </w:rPr>
          <w:tab/>
        </w:r>
        <w:r w:rsidR="00436FD8">
          <w:rPr>
            <w:noProof/>
            <w:webHidden/>
          </w:rPr>
          <w:fldChar w:fldCharType="begin"/>
        </w:r>
        <w:r w:rsidR="00436FD8">
          <w:rPr>
            <w:noProof/>
            <w:webHidden/>
          </w:rPr>
          <w:instrText xml:space="preserve"> PAGEREF _Toc31381012 \h </w:instrText>
        </w:r>
        <w:r w:rsidR="00436FD8">
          <w:rPr>
            <w:noProof/>
            <w:webHidden/>
          </w:rPr>
        </w:r>
        <w:r w:rsidR="00436FD8">
          <w:rPr>
            <w:noProof/>
            <w:webHidden/>
          </w:rPr>
          <w:fldChar w:fldCharType="separate"/>
        </w:r>
        <w:r w:rsidR="00BC2773">
          <w:rPr>
            <w:noProof/>
            <w:webHidden/>
          </w:rPr>
          <w:t>55</w:t>
        </w:r>
        <w:r w:rsidR="00436FD8">
          <w:rPr>
            <w:noProof/>
            <w:webHidden/>
          </w:rPr>
          <w:fldChar w:fldCharType="end"/>
        </w:r>
      </w:hyperlink>
    </w:p>
    <w:p w14:paraId="0C71AAAB" w14:textId="2A5C12F7" w:rsidR="00436FD8" w:rsidRDefault="00641D4A" w:rsidP="00436FD8">
      <w:pPr>
        <w:pStyle w:val="TOC3"/>
        <w:ind w:right="-46"/>
        <w:rPr>
          <w:rFonts w:asciiTheme="minorHAnsi" w:eastAsiaTheme="minorEastAsia" w:hAnsiTheme="minorHAnsi" w:cstheme="minorBidi"/>
          <w:noProof/>
          <w:sz w:val="22"/>
          <w:szCs w:val="22"/>
        </w:rPr>
      </w:pPr>
      <w:hyperlink w:anchor="_Toc31381013" w:history="1">
        <w:r w:rsidR="00436FD8" w:rsidRPr="007E4489">
          <w:rPr>
            <w:rStyle w:val="Hyperlink"/>
            <w:noProof/>
          </w:rPr>
          <w:t>5.4.1   The Panel's findings</w:t>
        </w:r>
        <w:r w:rsidR="00436FD8">
          <w:rPr>
            <w:noProof/>
            <w:webHidden/>
          </w:rPr>
          <w:tab/>
        </w:r>
        <w:r w:rsidR="00436FD8">
          <w:rPr>
            <w:noProof/>
            <w:webHidden/>
          </w:rPr>
          <w:fldChar w:fldCharType="begin"/>
        </w:r>
        <w:r w:rsidR="00436FD8">
          <w:rPr>
            <w:noProof/>
            <w:webHidden/>
          </w:rPr>
          <w:instrText xml:space="preserve"> PAGEREF _Toc31381013 \h </w:instrText>
        </w:r>
        <w:r w:rsidR="00436FD8">
          <w:rPr>
            <w:noProof/>
            <w:webHidden/>
          </w:rPr>
        </w:r>
        <w:r w:rsidR="00436FD8">
          <w:rPr>
            <w:noProof/>
            <w:webHidden/>
          </w:rPr>
          <w:fldChar w:fldCharType="separate"/>
        </w:r>
        <w:r w:rsidR="00BC2773">
          <w:rPr>
            <w:noProof/>
            <w:webHidden/>
          </w:rPr>
          <w:t>55</w:t>
        </w:r>
        <w:r w:rsidR="00436FD8">
          <w:rPr>
            <w:noProof/>
            <w:webHidden/>
          </w:rPr>
          <w:fldChar w:fldCharType="end"/>
        </w:r>
      </w:hyperlink>
    </w:p>
    <w:p w14:paraId="7FAD12E5" w14:textId="32A71392" w:rsidR="00436FD8" w:rsidRDefault="00641D4A" w:rsidP="00436FD8">
      <w:pPr>
        <w:pStyle w:val="TOC3"/>
        <w:ind w:right="-46"/>
        <w:rPr>
          <w:rFonts w:asciiTheme="minorHAnsi" w:eastAsiaTheme="minorEastAsia" w:hAnsiTheme="minorHAnsi" w:cstheme="minorBidi"/>
          <w:noProof/>
          <w:sz w:val="22"/>
          <w:szCs w:val="22"/>
        </w:rPr>
      </w:pPr>
      <w:hyperlink w:anchor="_Toc31381014" w:history="1">
        <w:r w:rsidR="00436FD8" w:rsidRPr="007E4489">
          <w:rPr>
            <w:rStyle w:val="Hyperlink"/>
            <w:noProof/>
          </w:rPr>
          <w:t>5.4.2   Claims and arguments on appeal</w:t>
        </w:r>
        <w:r w:rsidR="00436FD8">
          <w:rPr>
            <w:noProof/>
            <w:webHidden/>
          </w:rPr>
          <w:tab/>
        </w:r>
        <w:r w:rsidR="00436FD8">
          <w:rPr>
            <w:noProof/>
            <w:webHidden/>
          </w:rPr>
          <w:fldChar w:fldCharType="begin"/>
        </w:r>
        <w:r w:rsidR="00436FD8">
          <w:rPr>
            <w:noProof/>
            <w:webHidden/>
          </w:rPr>
          <w:instrText xml:space="preserve"> PAGEREF _Toc31381014 \h </w:instrText>
        </w:r>
        <w:r w:rsidR="00436FD8">
          <w:rPr>
            <w:noProof/>
            <w:webHidden/>
          </w:rPr>
        </w:r>
        <w:r w:rsidR="00436FD8">
          <w:rPr>
            <w:noProof/>
            <w:webHidden/>
          </w:rPr>
          <w:fldChar w:fldCharType="separate"/>
        </w:r>
        <w:r w:rsidR="00BC2773">
          <w:rPr>
            <w:noProof/>
            <w:webHidden/>
          </w:rPr>
          <w:t>58</w:t>
        </w:r>
        <w:r w:rsidR="00436FD8">
          <w:rPr>
            <w:noProof/>
            <w:webHidden/>
          </w:rPr>
          <w:fldChar w:fldCharType="end"/>
        </w:r>
      </w:hyperlink>
    </w:p>
    <w:p w14:paraId="2DBAE4E9" w14:textId="34E7BDCA" w:rsidR="00436FD8" w:rsidRDefault="00641D4A" w:rsidP="00436FD8">
      <w:pPr>
        <w:pStyle w:val="TOC3"/>
        <w:ind w:right="-46"/>
        <w:rPr>
          <w:rFonts w:asciiTheme="minorHAnsi" w:eastAsiaTheme="minorEastAsia" w:hAnsiTheme="minorHAnsi" w:cstheme="minorBidi"/>
          <w:noProof/>
          <w:sz w:val="22"/>
          <w:szCs w:val="22"/>
        </w:rPr>
      </w:pPr>
      <w:hyperlink w:anchor="_Toc31381015" w:history="1">
        <w:r w:rsidR="00436FD8" w:rsidRPr="007E4489">
          <w:rPr>
            <w:rStyle w:val="Hyperlink"/>
            <w:noProof/>
          </w:rPr>
          <w:t xml:space="preserve">5.4.3   Whether the Panel failed to make an objective assessment of the matter under </w:t>
        </w:r>
        <w:r w:rsidR="00436FD8">
          <w:rPr>
            <w:rStyle w:val="Hyperlink"/>
            <w:noProof/>
          </w:rPr>
          <w:br/>
        </w:r>
        <w:r w:rsidR="00436FD8" w:rsidRPr="007E4489">
          <w:rPr>
            <w:rStyle w:val="Hyperlink"/>
            <w:noProof/>
          </w:rPr>
          <w:t>Article 11 of the DSU with respect to the fourth alternative measure</w:t>
        </w:r>
        <w:r w:rsidR="00436FD8">
          <w:rPr>
            <w:noProof/>
            <w:webHidden/>
          </w:rPr>
          <w:tab/>
        </w:r>
        <w:r w:rsidR="00436FD8">
          <w:rPr>
            <w:noProof/>
            <w:webHidden/>
          </w:rPr>
          <w:fldChar w:fldCharType="begin"/>
        </w:r>
        <w:r w:rsidR="00436FD8">
          <w:rPr>
            <w:noProof/>
            <w:webHidden/>
          </w:rPr>
          <w:instrText xml:space="preserve"> PAGEREF _Toc31381015 \h </w:instrText>
        </w:r>
        <w:r w:rsidR="00436FD8">
          <w:rPr>
            <w:noProof/>
            <w:webHidden/>
          </w:rPr>
        </w:r>
        <w:r w:rsidR="00436FD8">
          <w:rPr>
            <w:noProof/>
            <w:webHidden/>
          </w:rPr>
          <w:fldChar w:fldCharType="separate"/>
        </w:r>
        <w:r w:rsidR="00BC2773">
          <w:rPr>
            <w:noProof/>
            <w:webHidden/>
          </w:rPr>
          <w:t>61</w:t>
        </w:r>
        <w:r w:rsidR="00436FD8">
          <w:rPr>
            <w:noProof/>
            <w:webHidden/>
          </w:rPr>
          <w:fldChar w:fldCharType="end"/>
        </w:r>
      </w:hyperlink>
    </w:p>
    <w:p w14:paraId="75EC9316" w14:textId="4697F4E8" w:rsidR="00436FD8" w:rsidRDefault="00641D4A" w:rsidP="00436FD8">
      <w:pPr>
        <w:pStyle w:val="TOC3"/>
        <w:ind w:right="-46"/>
        <w:rPr>
          <w:rFonts w:asciiTheme="minorHAnsi" w:eastAsiaTheme="minorEastAsia" w:hAnsiTheme="minorHAnsi" w:cstheme="minorBidi"/>
          <w:noProof/>
          <w:sz w:val="22"/>
          <w:szCs w:val="22"/>
        </w:rPr>
      </w:pPr>
      <w:hyperlink w:anchor="_Toc31381016" w:history="1">
        <w:r w:rsidR="00436FD8" w:rsidRPr="007E4489">
          <w:rPr>
            <w:rStyle w:val="Hyperlink"/>
            <w:noProof/>
          </w:rPr>
          <w:t>5.4.4   Completion of the legal analysis</w:t>
        </w:r>
        <w:r w:rsidR="00436FD8">
          <w:rPr>
            <w:noProof/>
            <w:webHidden/>
          </w:rPr>
          <w:tab/>
        </w:r>
        <w:r w:rsidR="00436FD8">
          <w:rPr>
            <w:noProof/>
            <w:webHidden/>
          </w:rPr>
          <w:fldChar w:fldCharType="begin"/>
        </w:r>
        <w:r w:rsidR="00436FD8">
          <w:rPr>
            <w:noProof/>
            <w:webHidden/>
          </w:rPr>
          <w:instrText xml:space="preserve"> PAGEREF _Toc31381016 \h </w:instrText>
        </w:r>
        <w:r w:rsidR="00436FD8">
          <w:rPr>
            <w:noProof/>
            <w:webHidden/>
          </w:rPr>
        </w:r>
        <w:r w:rsidR="00436FD8">
          <w:rPr>
            <w:noProof/>
            <w:webHidden/>
          </w:rPr>
          <w:fldChar w:fldCharType="separate"/>
        </w:r>
        <w:r w:rsidR="00BC2773">
          <w:rPr>
            <w:noProof/>
            <w:webHidden/>
          </w:rPr>
          <w:t>68</w:t>
        </w:r>
        <w:r w:rsidR="00436FD8">
          <w:rPr>
            <w:noProof/>
            <w:webHidden/>
          </w:rPr>
          <w:fldChar w:fldCharType="end"/>
        </w:r>
      </w:hyperlink>
    </w:p>
    <w:p w14:paraId="0FD3A809" w14:textId="740B14DD" w:rsidR="00436FD8" w:rsidRDefault="00641D4A" w:rsidP="00436FD8">
      <w:pPr>
        <w:pStyle w:val="TOC3"/>
        <w:ind w:right="-46"/>
        <w:rPr>
          <w:rFonts w:asciiTheme="minorHAnsi" w:eastAsiaTheme="minorEastAsia" w:hAnsiTheme="minorHAnsi" w:cstheme="minorBidi"/>
          <w:noProof/>
          <w:sz w:val="22"/>
          <w:szCs w:val="22"/>
        </w:rPr>
      </w:pPr>
      <w:hyperlink w:anchor="_Toc31381017" w:history="1">
        <w:r w:rsidR="00436FD8" w:rsidRPr="007E4489">
          <w:rPr>
            <w:rStyle w:val="Hyperlink"/>
            <w:noProof/>
          </w:rPr>
          <w:t xml:space="preserve">5.4.5   Whether the Panel failed to make an objective assessment of the matter under </w:t>
        </w:r>
        <w:r w:rsidR="00436FD8">
          <w:rPr>
            <w:rStyle w:val="Hyperlink"/>
            <w:noProof/>
          </w:rPr>
          <w:br/>
        </w:r>
        <w:r w:rsidR="00436FD8" w:rsidRPr="007E4489">
          <w:rPr>
            <w:rStyle w:val="Hyperlink"/>
            <w:noProof/>
          </w:rPr>
          <w:t>Article 11 of the DSU with respect to the other alternative measures</w:t>
        </w:r>
        <w:r w:rsidR="00436FD8">
          <w:rPr>
            <w:noProof/>
            <w:webHidden/>
          </w:rPr>
          <w:tab/>
        </w:r>
        <w:r w:rsidR="00436FD8">
          <w:rPr>
            <w:noProof/>
            <w:webHidden/>
          </w:rPr>
          <w:fldChar w:fldCharType="begin"/>
        </w:r>
        <w:r w:rsidR="00436FD8">
          <w:rPr>
            <w:noProof/>
            <w:webHidden/>
          </w:rPr>
          <w:instrText xml:space="preserve"> PAGEREF _Toc31381017 \h </w:instrText>
        </w:r>
        <w:r w:rsidR="00436FD8">
          <w:rPr>
            <w:noProof/>
            <w:webHidden/>
          </w:rPr>
        </w:r>
        <w:r w:rsidR="00436FD8">
          <w:rPr>
            <w:noProof/>
            <w:webHidden/>
          </w:rPr>
          <w:fldChar w:fldCharType="separate"/>
        </w:r>
        <w:r w:rsidR="00BC2773">
          <w:rPr>
            <w:noProof/>
            <w:webHidden/>
          </w:rPr>
          <w:t>69</w:t>
        </w:r>
        <w:r w:rsidR="00436FD8">
          <w:rPr>
            <w:noProof/>
            <w:webHidden/>
          </w:rPr>
          <w:fldChar w:fldCharType="end"/>
        </w:r>
      </w:hyperlink>
    </w:p>
    <w:p w14:paraId="45E20A41" w14:textId="757D6D4C" w:rsidR="00436FD8" w:rsidRDefault="00641D4A" w:rsidP="00436FD8">
      <w:pPr>
        <w:pStyle w:val="TOC3"/>
        <w:ind w:right="-46"/>
        <w:rPr>
          <w:rFonts w:asciiTheme="minorHAnsi" w:eastAsiaTheme="minorEastAsia" w:hAnsiTheme="minorHAnsi" w:cstheme="minorBidi"/>
          <w:noProof/>
          <w:sz w:val="22"/>
          <w:szCs w:val="22"/>
        </w:rPr>
      </w:pPr>
      <w:hyperlink w:anchor="_Toc31381018" w:history="1">
        <w:r w:rsidR="00436FD8" w:rsidRPr="007E4489">
          <w:rPr>
            <w:rStyle w:val="Hyperlink"/>
            <w:noProof/>
          </w:rPr>
          <w:t>5.4.6   Conclusion</w:t>
        </w:r>
        <w:r w:rsidR="00436FD8">
          <w:rPr>
            <w:noProof/>
            <w:webHidden/>
          </w:rPr>
          <w:tab/>
        </w:r>
        <w:r w:rsidR="00436FD8">
          <w:rPr>
            <w:noProof/>
            <w:webHidden/>
          </w:rPr>
          <w:fldChar w:fldCharType="begin"/>
        </w:r>
        <w:r w:rsidR="00436FD8">
          <w:rPr>
            <w:noProof/>
            <w:webHidden/>
          </w:rPr>
          <w:instrText xml:space="preserve"> PAGEREF _Toc31381018 \h </w:instrText>
        </w:r>
        <w:r w:rsidR="00436FD8">
          <w:rPr>
            <w:noProof/>
            <w:webHidden/>
          </w:rPr>
        </w:r>
        <w:r w:rsidR="00436FD8">
          <w:rPr>
            <w:noProof/>
            <w:webHidden/>
          </w:rPr>
          <w:fldChar w:fldCharType="separate"/>
        </w:r>
        <w:r w:rsidR="00BC2773">
          <w:rPr>
            <w:noProof/>
            <w:webHidden/>
          </w:rPr>
          <w:t>70</w:t>
        </w:r>
        <w:r w:rsidR="00436FD8">
          <w:rPr>
            <w:noProof/>
            <w:webHidden/>
          </w:rPr>
          <w:fldChar w:fldCharType="end"/>
        </w:r>
      </w:hyperlink>
    </w:p>
    <w:p w14:paraId="0BB0472B" w14:textId="6B5000C4" w:rsidR="00436FD8" w:rsidRDefault="00641D4A" w:rsidP="00436FD8">
      <w:pPr>
        <w:pStyle w:val="TOC2"/>
        <w:ind w:right="-46"/>
        <w:rPr>
          <w:rFonts w:asciiTheme="minorHAnsi" w:eastAsiaTheme="minorEastAsia" w:hAnsiTheme="minorHAnsi" w:cstheme="minorBidi"/>
          <w:noProof/>
          <w:sz w:val="22"/>
          <w:szCs w:val="22"/>
        </w:rPr>
      </w:pPr>
      <w:hyperlink w:anchor="_Toc31381019" w:history="1">
        <w:r w:rsidR="00436FD8" w:rsidRPr="007E4489">
          <w:rPr>
            <w:rStyle w:val="Hyperlink"/>
            <w:noProof/>
          </w:rPr>
          <w:t>5.5   Ukraine's claim concerning the existence of systematic import prevention</w:t>
        </w:r>
        <w:r w:rsidR="00436FD8">
          <w:rPr>
            <w:noProof/>
            <w:webHidden/>
          </w:rPr>
          <w:tab/>
        </w:r>
        <w:r w:rsidR="00436FD8">
          <w:rPr>
            <w:noProof/>
            <w:webHidden/>
          </w:rPr>
          <w:fldChar w:fldCharType="begin"/>
        </w:r>
        <w:r w:rsidR="00436FD8">
          <w:rPr>
            <w:noProof/>
            <w:webHidden/>
          </w:rPr>
          <w:instrText xml:space="preserve"> PAGEREF _Toc31381019 \h </w:instrText>
        </w:r>
        <w:r w:rsidR="00436FD8">
          <w:rPr>
            <w:noProof/>
            <w:webHidden/>
          </w:rPr>
        </w:r>
        <w:r w:rsidR="00436FD8">
          <w:rPr>
            <w:noProof/>
            <w:webHidden/>
          </w:rPr>
          <w:fldChar w:fldCharType="separate"/>
        </w:r>
        <w:r w:rsidR="00BC2773">
          <w:rPr>
            <w:noProof/>
            <w:webHidden/>
          </w:rPr>
          <w:t>71</w:t>
        </w:r>
        <w:r w:rsidR="00436FD8">
          <w:rPr>
            <w:noProof/>
            <w:webHidden/>
          </w:rPr>
          <w:fldChar w:fldCharType="end"/>
        </w:r>
      </w:hyperlink>
    </w:p>
    <w:p w14:paraId="04A6F126" w14:textId="22C96807" w:rsidR="00436FD8" w:rsidRDefault="00641D4A" w:rsidP="00436FD8">
      <w:pPr>
        <w:pStyle w:val="TOC3"/>
        <w:ind w:right="-46"/>
        <w:rPr>
          <w:rFonts w:asciiTheme="minorHAnsi" w:eastAsiaTheme="minorEastAsia" w:hAnsiTheme="minorHAnsi" w:cstheme="minorBidi"/>
          <w:noProof/>
          <w:sz w:val="22"/>
          <w:szCs w:val="22"/>
        </w:rPr>
      </w:pPr>
      <w:hyperlink w:anchor="_Toc31381020" w:history="1">
        <w:r w:rsidR="00436FD8" w:rsidRPr="007E4489">
          <w:rPr>
            <w:rStyle w:val="Hyperlink"/>
            <w:noProof/>
          </w:rPr>
          <w:t>5.5.1   The Panel's findings</w:t>
        </w:r>
        <w:r w:rsidR="00436FD8">
          <w:rPr>
            <w:noProof/>
            <w:webHidden/>
          </w:rPr>
          <w:tab/>
        </w:r>
        <w:r w:rsidR="00436FD8">
          <w:rPr>
            <w:noProof/>
            <w:webHidden/>
          </w:rPr>
          <w:fldChar w:fldCharType="begin"/>
        </w:r>
        <w:r w:rsidR="00436FD8">
          <w:rPr>
            <w:noProof/>
            <w:webHidden/>
          </w:rPr>
          <w:instrText xml:space="preserve"> PAGEREF _Toc31381020 \h </w:instrText>
        </w:r>
        <w:r w:rsidR="00436FD8">
          <w:rPr>
            <w:noProof/>
            <w:webHidden/>
          </w:rPr>
        </w:r>
        <w:r w:rsidR="00436FD8">
          <w:rPr>
            <w:noProof/>
            <w:webHidden/>
          </w:rPr>
          <w:fldChar w:fldCharType="separate"/>
        </w:r>
        <w:r w:rsidR="00BC2773">
          <w:rPr>
            <w:noProof/>
            <w:webHidden/>
          </w:rPr>
          <w:t>71</w:t>
        </w:r>
        <w:r w:rsidR="00436FD8">
          <w:rPr>
            <w:noProof/>
            <w:webHidden/>
          </w:rPr>
          <w:fldChar w:fldCharType="end"/>
        </w:r>
      </w:hyperlink>
    </w:p>
    <w:p w14:paraId="137DFEF2" w14:textId="08D9396D" w:rsidR="00436FD8" w:rsidRDefault="00641D4A" w:rsidP="00436FD8">
      <w:pPr>
        <w:pStyle w:val="TOC3"/>
        <w:ind w:right="-46"/>
        <w:rPr>
          <w:rFonts w:asciiTheme="minorHAnsi" w:eastAsiaTheme="minorEastAsia" w:hAnsiTheme="minorHAnsi" w:cstheme="minorBidi"/>
          <w:noProof/>
          <w:sz w:val="22"/>
          <w:szCs w:val="22"/>
        </w:rPr>
      </w:pPr>
      <w:hyperlink w:anchor="_Toc31381021" w:history="1">
        <w:r w:rsidR="00436FD8" w:rsidRPr="007E4489">
          <w:rPr>
            <w:rStyle w:val="Hyperlink"/>
            <w:noProof/>
          </w:rPr>
          <w:t>5.5.2   Claims and arguments on appeal</w:t>
        </w:r>
        <w:r w:rsidR="00436FD8">
          <w:rPr>
            <w:noProof/>
            <w:webHidden/>
          </w:rPr>
          <w:tab/>
        </w:r>
        <w:r w:rsidR="00436FD8">
          <w:rPr>
            <w:noProof/>
            <w:webHidden/>
          </w:rPr>
          <w:fldChar w:fldCharType="begin"/>
        </w:r>
        <w:r w:rsidR="00436FD8">
          <w:rPr>
            <w:noProof/>
            <w:webHidden/>
          </w:rPr>
          <w:instrText xml:space="preserve"> PAGEREF _Toc31381021 \h </w:instrText>
        </w:r>
        <w:r w:rsidR="00436FD8">
          <w:rPr>
            <w:noProof/>
            <w:webHidden/>
          </w:rPr>
        </w:r>
        <w:r w:rsidR="00436FD8">
          <w:rPr>
            <w:noProof/>
            <w:webHidden/>
          </w:rPr>
          <w:fldChar w:fldCharType="separate"/>
        </w:r>
        <w:r w:rsidR="00BC2773">
          <w:rPr>
            <w:noProof/>
            <w:webHidden/>
          </w:rPr>
          <w:t>73</w:t>
        </w:r>
        <w:r w:rsidR="00436FD8">
          <w:rPr>
            <w:noProof/>
            <w:webHidden/>
          </w:rPr>
          <w:fldChar w:fldCharType="end"/>
        </w:r>
      </w:hyperlink>
    </w:p>
    <w:p w14:paraId="63AA4FF8" w14:textId="20E149CC" w:rsidR="00436FD8" w:rsidRDefault="00641D4A" w:rsidP="00436FD8">
      <w:pPr>
        <w:pStyle w:val="TOC3"/>
        <w:ind w:right="-46"/>
        <w:rPr>
          <w:rFonts w:asciiTheme="minorHAnsi" w:eastAsiaTheme="minorEastAsia" w:hAnsiTheme="minorHAnsi" w:cstheme="minorBidi"/>
          <w:noProof/>
          <w:sz w:val="22"/>
          <w:szCs w:val="22"/>
        </w:rPr>
      </w:pPr>
      <w:hyperlink w:anchor="_Toc31381022" w:history="1">
        <w:r w:rsidR="00436FD8" w:rsidRPr="007E4489">
          <w:rPr>
            <w:rStyle w:val="Hyperlink"/>
            <w:noProof/>
          </w:rPr>
          <w:t xml:space="preserve">5.5.3   Whether the Panel failed to make an objective assessment of the matter under </w:t>
        </w:r>
        <w:r w:rsidR="00436FD8">
          <w:rPr>
            <w:rStyle w:val="Hyperlink"/>
            <w:noProof/>
          </w:rPr>
          <w:br/>
        </w:r>
        <w:r w:rsidR="00436FD8" w:rsidRPr="007E4489">
          <w:rPr>
            <w:rStyle w:val="Hyperlink"/>
            <w:noProof/>
          </w:rPr>
          <w:t>Article 11 of the DSU</w:t>
        </w:r>
        <w:r w:rsidR="00436FD8">
          <w:rPr>
            <w:noProof/>
            <w:webHidden/>
          </w:rPr>
          <w:tab/>
        </w:r>
        <w:r w:rsidR="00436FD8">
          <w:rPr>
            <w:noProof/>
            <w:webHidden/>
          </w:rPr>
          <w:fldChar w:fldCharType="begin"/>
        </w:r>
        <w:r w:rsidR="00436FD8">
          <w:rPr>
            <w:noProof/>
            <w:webHidden/>
          </w:rPr>
          <w:instrText xml:space="preserve"> PAGEREF _Toc31381022 \h </w:instrText>
        </w:r>
        <w:r w:rsidR="00436FD8">
          <w:rPr>
            <w:noProof/>
            <w:webHidden/>
          </w:rPr>
        </w:r>
        <w:r w:rsidR="00436FD8">
          <w:rPr>
            <w:noProof/>
            <w:webHidden/>
          </w:rPr>
          <w:fldChar w:fldCharType="separate"/>
        </w:r>
        <w:r w:rsidR="00BC2773">
          <w:rPr>
            <w:noProof/>
            <w:webHidden/>
          </w:rPr>
          <w:t>76</w:t>
        </w:r>
        <w:r w:rsidR="00436FD8">
          <w:rPr>
            <w:noProof/>
            <w:webHidden/>
          </w:rPr>
          <w:fldChar w:fldCharType="end"/>
        </w:r>
      </w:hyperlink>
    </w:p>
    <w:p w14:paraId="17CAD6EE" w14:textId="59E89AAE" w:rsidR="00436FD8" w:rsidRDefault="00641D4A" w:rsidP="00436FD8">
      <w:pPr>
        <w:pStyle w:val="TOC3"/>
        <w:ind w:right="-46"/>
        <w:rPr>
          <w:rFonts w:asciiTheme="minorHAnsi" w:eastAsiaTheme="minorEastAsia" w:hAnsiTheme="minorHAnsi" w:cstheme="minorBidi"/>
          <w:noProof/>
          <w:sz w:val="22"/>
          <w:szCs w:val="22"/>
        </w:rPr>
      </w:pPr>
      <w:hyperlink w:anchor="_Toc31381023" w:history="1">
        <w:r w:rsidR="00436FD8" w:rsidRPr="007E4489">
          <w:rPr>
            <w:rStyle w:val="Hyperlink"/>
            <w:noProof/>
          </w:rPr>
          <w:t>5.5.4   Conclusion</w:t>
        </w:r>
        <w:r w:rsidR="00436FD8">
          <w:rPr>
            <w:noProof/>
            <w:webHidden/>
          </w:rPr>
          <w:tab/>
        </w:r>
        <w:r w:rsidR="00436FD8">
          <w:rPr>
            <w:noProof/>
            <w:webHidden/>
          </w:rPr>
          <w:fldChar w:fldCharType="begin"/>
        </w:r>
        <w:r w:rsidR="00436FD8">
          <w:rPr>
            <w:noProof/>
            <w:webHidden/>
          </w:rPr>
          <w:instrText xml:space="preserve"> PAGEREF _Toc31381023 \h </w:instrText>
        </w:r>
        <w:r w:rsidR="00436FD8">
          <w:rPr>
            <w:noProof/>
            <w:webHidden/>
          </w:rPr>
        </w:r>
        <w:r w:rsidR="00436FD8">
          <w:rPr>
            <w:noProof/>
            <w:webHidden/>
          </w:rPr>
          <w:fldChar w:fldCharType="separate"/>
        </w:r>
        <w:r w:rsidR="00BC2773">
          <w:rPr>
            <w:noProof/>
            <w:webHidden/>
          </w:rPr>
          <w:t>83</w:t>
        </w:r>
        <w:r w:rsidR="00436FD8">
          <w:rPr>
            <w:noProof/>
            <w:webHidden/>
          </w:rPr>
          <w:fldChar w:fldCharType="end"/>
        </w:r>
      </w:hyperlink>
    </w:p>
    <w:p w14:paraId="5BA42946" w14:textId="0C7191F0" w:rsidR="00436FD8" w:rsidRDefault="00641D4A" w:rsidP="00436FD8">
      <w:pPr>
        <w:pStyle w:val="TOC1"/>
        <w:ind w:right="-46"/>
        <w:rPr>
          <w:rFonts w:asciiTheme="minorHAnsi" w:eastAsiaTheme="minorEastAsia" w:hAnsiTheme="minorHAnsi" w:cstheme="minorBidi"/>
          <w:b w:val="0"/>
          <w:caps w:val="0"/>
          <w:noProof/>
          <w:sz w:val="22"/>
          <w:szCs w:val="22"/>
        </w:rPr>
      </w:pPr>
      <w:hyperlink w:anchor="_Toc31381024" w:history="1">
        <w:r w:rsidR="00436FD8" w:rsidRPr="007E4489">
          <w:rPr>
            <w:rStyle w:val="Hyperlink"/>
            <w:noProof/>
          </w:rPr>
          <w:t>6   Findings and conclusions</w:t>
        </w:r>
        <w:r w:rsidR="00436FD8">
          <w:rPr>
            <w:noProof/>
            <w:webHidden/>
          </w:rPr>
          <w:tab/>
        </w:r>
        <w:r w:rsidR="00436FD8">
          <w:rPr>
            <w:noProof/>
            <w:webHidden/>
          </w:rPr>
          <w:fldChar w:fldCharType="begin"/>
        </w:r>
        <w:r w:rsidR="00436FD8">
          <w:rPr>
            <w:noProof/>
            <w:webHidden/>
          </w:rPr>
          <w:instrText xml:space="preserve"> PAGEREF _Toc31381024 \h </w:instrText>
        </w:r>
        <w:r w:rsidR="00436FD8">
          <w:rPr>
            <w:noProof/>
            <w:webHidden/>
          </w:rPr>
        </w:r>
        <w:r w:rsidR="00436FD8">
          <w:rPr>
            <w:noProof/>
            <w:webHidden/>
          </w:rPr>
          <w:fldChar w:fldCharType="separate"/>
        </w:r>
        <w:r w:rsidR="00BC2773">
          <w:rPr>
            <w:noProof/>
            <w:webHidden/>
          </w:rPr>
          <w:t>83</w:t>
        </w:r>
        <w:r w:rsidR="00436FD8">
          <w:rPr>
            <w:noProof/>
            <w:webHidden/>
          </w:rPr>
          <w:fldChar w:fldCharType="end"/>
        </w:r>
      </w:hyperlink>
    </w:p>
    <w:p w14:paraId="43D040D7" w14:textId="269449E1" w:rsidR="00436FD8" w:rsidRDefault="00641D4A" w:rsidP="00436FD8">
      <w:pPr>
        <w:pStyle w:val="TOC2"/>
        <w:ind w:right="-46"/>
        <w:rPr>
          <w:rFonts w:asciiTheme="minorHAnsi" w:eastAsiaTheme="minorEastAsia" w:hAnsiTheme="minorHAnsi" w:cstheme="minorBidi"/>
          <w:noProof/>
          <w:sz w:val="22"/>
          <w:szCs w:val="22"/>
        </w:rPr>
      </w:pPr>
      <w:hyperlink w:anchor="_Toc31381025" w:history="1">
        <w:r w:rsidR="00436FD8" w:rsidRPr="007E4489">
          <w:rPr>
            <w:rStyle w:val="Hyperlink"/>
            <w:noProof/>
          </w:rPr>
          <w:t>6.1   The Panel's preliminary ruling</w:t>
        </w:r>
        <w:r w:rsidR="00436FD8">
          <w:rPr>
            <w:noProof/>
            <w:webHidden/>
          </w:rPr>
          <w:tab/>
        </w:r>
        <w:r w:rsidR="00436FD8">
          <w:rPr>
            <w:noProof/>
            <w:webHidden/>
          </w:rPr>
          <w:fldChar w:fldCharType="begin"/>
        </w:r>
        <w:r w:rsidR="00436FD8">
          <w:rPr>
            <w:noProof/>
            <w:webHidden/>
          </w:rPr>
          <w:instrText xml:space="preserve"> PAGEREF _Toc31381025 \h </w:instrText>
        </w:r>
        <w:r w:rsidR="00436FD8">
          <w:rPr>
            <w:noProof/>
            <w:webHidden/>
          </w:rPr>
        </w:r>
        <w:r w:rsidR="00436FD8">
          <w:rPr>
            <w:noProof/>
            <w:webHidden/>
          </w:rPr>
          <w:fldChar w:fldCharType="separate"/>
        </w:r>
        <w:r w:rsidR="00BC2773">
          <w:rPr>
            <w:noProof/>
            <w:webHidden/>
          </w:rPr>
          <w:t>83</w:t>
        </w:r>
        <w:r w:rsidR="00436FD8">
          <w:rPr>
            <w:noProof/>
            <w:webHidden/>
          </w:rPr>
          <w:fldChar w:fldCharType="end"/>
        </w:r>
      </w:hyperlink>
    </w:p>
    <w:p w14:paraId="27544CDA" w14:textId="2F640DDC" w:rsidR="00436FD8" w:rsidRDefault="00641D4A" w:rsidP="00436FD8">
      <w:pPr>
        <w:pStyle w:val="TOC2"/>
        <w:ind w:right="-46"/>
        <w:rPr>
          <w:rFonts w:asciiTheme="minorHAnsi" w:eastAsiaTheme="minorEastAsia" w:hAnsiTheme="minorHAnsi" w:cstheme="minorBidi"/>
          <w:noProof/>
          <w:sz w:val="22"/>
          <w:szCs w:val="22"/>
        </w:rPr>
      </w:pPr>
      <w:hyperlink w:anchor="_Toc31381026" w:history="1">
        <w:r w:rsidR="00436FD8" w:rsidRPr="007E4489">
          <w:rPr>
            <w:rStyle w:val="Hyperlink"/>
            <w:noProof/>
          </w:rPr>
          <w:t>6.2   The third measure as a "general" non</w:t>
        </w:r>
        <w:r w:rsidR="00436FD8" w:rsidRPr="007E4489">
          <w:rPr>
            <w:rStyle w:val="Hyperlink"/>
            <w:noProof/>
          </w:rPr>
          <w:noBreakHyphen/>
          <w:t>recognition requirement</w:t>
        </w:r>
        <w:r w:rsidR="00436FD8">
          <w:rPr>
            <w:noProof/>
            <w:webHidden/>
          </w:rPr>
          <w:tab/>
        </w:r>
        <w:r w:rsidR="00436FD8">
          <w:rPr>
            <w:noProof/>
            <w:webHidden/>
          </w:rPr>
          <w:fldChar w:fldCharType="begin"/>
        </w:r>
        <w:r w:rsidR="00436FD8">
          <w:rPr>
            <w:noProof/>
            <w:webHidden/>
          </w:rPr>
          <w:instrText xml:space="preserve"> PAGEREF _Toc31381026 \h </w:instrText>
        </w:r>
        <w:r w:rsidR="00436FD8">
          <w:rPr>
            <w:noProof/>
            <w:webHidden/>
          </w:rPr>
        </w:r>
        <w:r w:rsidR="00436FD8">
          <w:rPr>
            <w:noProof/>
            <w:webHidden/>
          </w:rPr>
          <w:fldChar w:fldCharType="separate"/>
        </w:r>
        <w:r w:rsidR="00BC2773">
          <w:rPr>
            <w:noProof/>
            <w:webHidden/>
          </w:rPr>
          <w:t>83</w:t>
        </w:r>
        <w:r w:rsidR="00436FD8">
          <w:rPr>
            <w:noProof/>
            <w:webHidden/>
          </w:rPr>
          <w:fldChar w:fldCharType="end"/>
        </w:r>
      </w:hyperlink>
    </w:p>
    <w:p w14:paraId="68150B61" w14:textId="48461B23" w:rsidR="00436FD8" w:rsidRDefault="00641D4A" w:rsidP="00436FD8">
      <w:pPr>
        <w:pStyle w:val="TOC2"/>
        <w:ind w:right="-46"/>
        <w:rPr>
          <w:rFonts w:asciiTheme="minorHAnsi" w:eastAsiaTheme="minorEastAsia" w:hAnsiTheme="minorHAnsi" w:cstheme="minorBidi"/>
          <w:noProof/>
          <w:sz w:val="22"/>
          <w:szCs w:val="22"/>
        </w:rPr>
      </w:pPr>
      <w:hyperlink w:anchor="_Toc31381027" w:history="1">
        <w:r w:rsidR="00436FD8" w:rsidRPr="007E4489">
          <w:rPr>
            <w:rStyle w:val="Hyperlink"/>
            <w:noProof/>
          </w:rPr>
          <w:t>6.3   The third measure as a single measure</w:t>
        </w:r>
        <w:r w:rsidR="00436FD8">
          <w:rPr>
            <w:noProof/>
            <w:webHidden/>
          </w:rPr>
          <w:tab/>
        </w:r>
        <w:r w:rsidR="00436FD8">
          <w:rPr>
            <w:noProof/>
            <w:webHidden/>
          </w:rPr>
          <w:fldChar w:fldCharType="begin"/>
        </w:r>
        <w:r w:rsidR="00436FD8">
          <w:rPr>
            <w:noProof/>
            <w:webHidden/>
          </w:rPr>
          <w:instrText xml:space="preserve"> PAGEREF _Toc31381027 \h </w:instrText>
        </w:r>
        <w:r w:rsidR="00436FD8">
          <w:rPr>
            <w:noProof/>
            <w:webHidden/>
          </w:rPr>
        </w:r>
        <w:r w:rsidR="00436FD8">
          <w:rPr>
            <w:noProof/>
            <w:webHidden/>
          </w:rPr>
          <w:fldChar w:fldCharType="separate"/>
        </w:r>
        <w:r w:rsidR="00BC2773">
          <w:rPr>
            <w:noProof/>
            <w:webHidden/>
          </w:rPr>
          <w:t>84</w:t>
        </w:r>
        <w:r w:rsidR="00436FD8">
          <w:rPr>
            <w:noProof/>
            <w:webHidden/>
          </w:rPr>
          <w:fldChar w:fldCharType="end"/>
        </w:r>
      </w:hyperlink>
    </w:p>
    <w:p w14:paraId="0A626D52" w14:textId="3B48692F" w:rsidR="00436FD8" w:rsidRDefault="00641D4A" w:rsidP="00436FD8">
      <w:pPr>
        <w:pStyle w:val="TOC2"/>
        <w:ind w:right="-46"/>
        <w:rPr>
          <w:rFonts w:asciiTheme="minorHAnsi" w:eastAsiaTheme="minorEastAsia" w:hAnsiTheme="minorHAnsi" w:cstheme="minorBidi"/>
          <w:noProof/>
          <w:sz w:val="22"/>
          <w:szCs w:val="22"/>
        </w:rPr>
      </w:pPr>
      <w:hyperlink w:anchor="_Toc31381028" w:history="1">
        <w:r w:rsidR="00436FD8" w:rsidRPr="007E4489">
          <w:rPr>
            <w:rStyle w:val="Hyperlink"/>
            <w:noProof/>
          </w:rPr>
          <w:t>6.4   The third measure and the Panel's terms of reference</w:t>
        </w:r>
        <w:r w:rsidR="00436FD8">
          <w:rPr>
            <w:noProof/>
            <w:webHidden/>
          </w:rPr>
          <w:tab/>
        </w:r>
        <w:r w:rsidR="00436FD8">
          <w:rPr>
            <w:noProof/>
            <w:webHidden/>
          </w:rPr>
          <w:fldChar w:fldCharType="begin"/>
        </w:r>
        <w:r w:rsidR="00436FD8">
          <w:rPr>
            <w:noProof/>
            <w:webHidden/>
          </w:rPr>
          <w:instrText xml:space="preserve"> PAGEREF _Toc31381028 \h </w:instrText>
        </w:r>
        <w:r w:rsidR="00436FD8">
          <w:rPr>
            <w:noProof/>
            <w:webHidden/>
          </w:rPr>
        </w:r>
        <w:r w:rsidR="00436FD8">
          <w:rPr>
            <w:noProof/>
            <w:webHidden/>
          </w:rPr>
          <w:fldChar w:fldCharType="separate"/>
        </w:r>
        <w:r w:rsidR="00BC2773">
          <w:rPr>
            <w:noProof/>
            <w:webHidden/>
          </w:rPr>
          <w:t>84</w:t>
        </w:r>
        <w:r w:rsidR="00436FD8">
          <w:rPr>
            <w:noProof/>
            <w:webHidden/>
          </w:rPr>
          <w:fldChar w:fldCharType="end"/>
        </w:r>
      </w:hyperlink>
    </w:p>
    <w:p w14:paraId="7D089789" w14:textId="5C90499E" w:rsidR="00436FD8" w:rsidRDefault="00641D4A" w:rsidP="00436FD8">
      <w:pPr>
        <w:pStyle w:val="TOC2"/>
        <w:ind w:right="-46"/>
        <w:rPr>
          <w:rFonts w:asciiTheme="minorHAnsi" w:eastAsiaTheme="minorEastAsia" w:hAnsiTheme="minorHAnsi" w:cstheme="minorBidi"/>
          <w:noProof/>
          <w:sz w:val="22"/>
          <w:szCs w:val="22"/>
        </w:rPr>
      </w:pPr>
      <w:hyperlink w:anchor="_Toc31381029" w:history="1">
        <w:r w:rsidR="00436FD8" w:rsidRPr="007E4489">
          <w:rPr>
            <w:rStyle w:val="Hyperlink"/>
            <w:noProof/>
          </w:rPr>
          <w:t>6.5   The third measure and the local registration condition</w:t>
        </w:r>
        <w:r w:rsidR="00436FD8">
          <w:rPr>
            <w:noProof/>
            <w:webHidden/>
          </w:rPr>
          <w:tab/>
        </w:r>
        <w:r w:rsidR="00436FD8">
          <w:rPr>
            <w:noProof/>
            <w:webHidden/>
          </w:rPr>
          <w:fldChar w:fldCharType="begin"/>
        </w:r>
        <w:r w:rsidR="00436FD8">
          <w:rPr>
            <w:noProof/>
            <w:webHidden/>
          </w:rPr>
          <w:instrText xml:space="preserve"> PAGEREF _Toc31381029 \h </w:instrText>
        </w:r>
        <w:r w:rsidR="00436FD8">
          <w:rPr>
            <w:noProof/>
            <w:webHidden/>
          </w:rPr>
        </w:r>
        <w:r w:rsidR="00436FD8">
          <w:rPr>
            <w:noProof/>
            <w:webHidden/>
          </w:rPr>
          <w:fldChar w:fldCharType="separate"/>
        </w:r>
        <w:r w:rsidR="00BC2773">
          <w:rPr>
            <w:noProof/>
            <w:webHidden/>
          </w:rPr>
          <w:t>84</w:t>
        </w:r>
        <w:r w:rsidR="00436FD8">
          <w:rPr>
            <w:noProof/>
            <w:webHidden/>
          </w:rPr>
          <w:fldChar w:fldCharType="end"/>
        </w:r>
      </w:hyperlink>
    </w:p>
    <w:p w14:paraId="4DAA5E2D" w14:textId="5D7A0ECE" w:rsidR="00436FD8" w:rsidRDefault="00641D4A" w:rsidP="00436FD8">
      <w:pPr>
        <w:pStyle w:val="TOC2"/>
        <w:ind w:right="-46"/>
        <w:rPr>
          <w:rFonts w:asciiTheme="minorHAnsi" w:eastAsiaTheme="minorEastAsia" w:hAnsiTheme="minorHAnsi" w:cstheme="minorBidi"/>
          <w:noProof/>
          <w:sz w:val="22"/>
          <w:szCs w:val="22"/>
        </w:rPr>
      </w:pPr>
      <w:hyperlink w:anchor="_Toc31381030" w:history="1">
        <w:r w:rsidR="00436FD8" w:rsidRPr="007E4489">
          <w:rPr>
            <w:rStyle w:val="Hyperlink"/>
            <w:noProof/>
          </w:rPr>
          <w:t>6.6   Article 5.1.1 of the TBT Agreement</w:t>
        </w:r>
        <w:r w:rsidR="00436FD8">
          <w:rPr>
            <w:noProof/>
            <w:webHidden/>
          </w:rPr>
          <w:tab/>
        </w:r>
        <w:r w:rsidR="00436FD8">
          <w:rPr>
            <w:noProof/>
            <w:webHidden/>
          </w:rPr>
          <w:fldChar w:fldCharType="begin"/>
        </w:r>
        <w:r w:rsidR="00436FD8">
          <w:rPr>
            <w:noProof/>
            <w:webHidden/>
          </w:rPr>
          <w:instrText xml:space="preserve"> PAGEREF _Toc31381030 \h </w:instrText>
        </w:r>
        <w:r w:rsidR="00436FD8">
          <w:rPr>
            <w:noProof/>
            <w:webHidden/>
          </w:rPr>
        </w:r>
        <w:r w:rsidR="00436FD8">
          <w:rPr>
            <w:noProof/>
            <w:webHidden/>
          </w:rPr>
          <w:fldChar w:fldCharType="separate"/>
        </w:r>
        <w:r w:rsidR="00BC2773">
          <w:rPr>
            <w:noProof/>
            <w:webHidden/>
          </w:rPr>
          <w:t>84</w:t>
        </w:r>
        <w:r w:rsidR="00436FD8">
          <w:rPr>
            <w:noProof/>
            <w:webHidden/>
          </w:rPr>
          <w:fldChar w:fldCharType="end"/>
        </w:r>
      </w:hyperlink>
    </w:p>
    <w:p w14:paraId="1BEBC47C" w14:textId="503DF7D4" w:rsidR="00436FD8" w:rsidRDefault="00641D4A" w:rsidP="00436FD8">
      <w:pPr>
        <w:pStyle w:val="TOC2"/>
        <w:ind w:right="-46"/>
        <w:rPr>
          <w:rFonts w:asciiTheme="minorHAnsi" w:eastAsiaTheme="minorEastAsia" w:hAnsiTheme="minorHAnsi" w:cstheme="minorBidi"/>
          <w:noProof/>
          <w:sz w:val="22"/>
          <w:szCs w:val="22"/>
        </w:rPr>
      </w:pPr>
      <w:hyperlink w:anchor="_Toc31381031" w:history="1">
        <w:r w:rsidR="00436FD8" w:rsidRPr="007E4489">
          <w:rPr>
            <w:rStyle w:val="Hyperlink"/>
            <w:noProof/>
          </w:rPr>
          <w:t>6.7   Article 5.1.2 of the TBT Agreement</w:t>
        </w:r>
        <w:r w:rsidR="00436FD8">
          <w:rPr>
            <w:noProof/>
            <w:webHidden/>
          </w:rPr>
          <w:tab/>
        </w:r>
        <w:r w:rsidR="00436FD8">
          <w:rPr>
            <w:noProof/>
            <w:webHidden/>
          </w:rPr>
          <w:fldChar w:fldCharType="begin"/>
        </w:r>
        <w:r w:rsidR="00436FD8">
          <w:rPr>
            <w:noProof/>
            <w:webHidden/>
          </w:rPr>
          <w:instrText xml:space="preserve"> PAGEREF _Toc31381031 \h </w:instrText>
        </w:r>
        <w:r w:rsidR="00436FD8">
          <w:rPr>
            <w:noProof/>
            <w:webHidden/>
          </w:rPr>
        </w:r>
        <w:r w:rsidR="00436FD8">
          <w:rPr>
            <w:noProof/>
            <w:webHidden/>
          </w:rPr>
          <w:fldChar w:fldCharType="separate"/>
        </w:r>
        <w:r w:rsidR="00BC2773">
          <w:rPr>
            <w:noProof/>
            <w:webHidden/>
          </w:rPr>
          <w:t>85</w:t>
        </w:r>
        <w:r w:rsidR="00436FD8">
          <w:rPr>
            <w:noProof/>
            <w:webHidden/>
          </w:rPr>
          <w:fldChar w:fldCharType="end"/>
        </w:r>
      </w:hyperlink>
    </w:p>
    <w:p w14:paraId="3EDD7E3F" w14:textId="7654707A" w:rsidR="00436FD8" w:rsidRDefault="00641D4A" w:rsidP="00436FD8">
      <w:pPr>
        <w:pStyle w:val="TOC2"/>
        <w:ind w:right="-46"/>
        <w:rPr>
          <w:rFonts w:asciiTheme="minorHAnsi" w:eastAsiaTheme="minorEastAsia" w:hAnsiTheme="minorHAnsi" w:cstheme="minorBidi"/>
          <w:noProof/>
          <w:sz w:val="22"/>
          <w:szCs w:val="22"/>
        </w:rPr>
      </w:pPr>
      <w:hyperlink w:anchor="_Toc31381032" w:history="1">
        <w:r w:rsidR="00436FD8" w:rsidRPr="007E4489">
          <w:rPr>
            <w:rStyle w:val="Hyperlink"/>
            <w:noProof/>
          </w:rPr>
          <w:t>6.8   Systematic prevention of imports</w:t>
        </w:r>
        <w:r w:rsidR="00436FD8">
          <w:rPr>
            <w:noProof/>
            <w:webHidden/>
          </w:rPr>
          <w:tab/>
        </w:r>
        <w:r w:rsidR="00436FD8">
          <w:rPr>
            <w:noProof/>
            <w:webHidden/>
          </w:rPr>
          <w:fldChar w:fldCharType="begin"/>
        </w:r>
        <w:r w:rsidR="00436FD8">
          <w:rPr>
            <w:noProof/>
            <w:webHidden/>
          </w:rPr>
          <w:instrText xml:space="preserve"> PAGEREF _Toc31381032 \h </w:instrText>
        </w:r>
        <w:r w:rsidR="00436FD8">
          <w:rPr>
            <w:noProof/>
            <w:webHidden/>
          </w:rPr>
        </w:r>
        <w:r w:rsidR="00436FD8">
          <w:rPr>
            <w:noProof/>
            <w:webHidden/>
          </w:rPr>
          <w:fldChar w:fldCharType="separate"/>
        </w:r>
        <w:r w:rsidR="00BC2773">
          <w:rPr>
            <w:noProof/>
            <w:webHidden/>
          </w:rPr>
          <w:t>85</w:t>
        </w:r>
        <w:r w:rsidR="00436FD8">
          <w:rPr>
            <w:noProof/>
            <w:webHidden/>
          </w:rPr>
          <w:fldChar w:fldCharType="end"/>
        </w:r>
      </w:hyperlink>
    </w:p>
    <w:p w14:paraId="52410F60" w14:textId="4003E3F1" w:rsidR="00436FD8" w:rsidRDefault="00641D4A" w:rsidP="00436FD8">
      <w:pPr>
        <w:pStyle w:val="TOC2"/>
        <w:ind w:right="-46"/>
        <w:rPr>
          <w:rFonts w:asciiTheme="minorHAnsi" w:eastAsiaTheme="minorEastAsia" w:hAnsiTheme="minorHAnsi" w:cstheme="minorBidi"/>
          <w:noProof/>
          <w:sz w:val="22"/>
          <w:szCs w:val="22"/>
        </w:rPr>
      </w:pPr>
      <w:hyperlink w:anchor="_Toc31381033" w:history="1">
        <w:r w:rsidR="00436FD8" w:rsidRPr="007E4489">
          <w:rPr>
            <w:rStyle w:val="Hyperlink"/>
            <w:noProof/>
          </w:rPr>
          <w:t>6.9   Recommendation</w:t>
        </w:r>
        <w:r w:rsidR="00436FD8">
          <w:rPr>
            <w:noProof/>
            <w:webHidden/>
          </w:rPr>
          <w:tab/>
        </w:r>
        <w:r w:rsidR="00436FD8">
          <w:rPr>
            <w:noProof/>
            <w:webHidden/>
          </w:rPr>
          <w:fldChar w:fldCharType="begin"/>
        </w:r>
        <w:r w:rsidR="00436FD8">
          <w:rPr>
            <w:noProof/>
            <w:webHidden/>
          </w:rPr>
          <w:instrText xml:space="preserve"> PAGEREF _Toc31381033 \h </w:instrText>
        </w:r>
        <w:r w:rsidR="00436FD8">
          <w:rPr>
            <w:noProof/>
            <w:webHidden/>
          </w:rPr>
        </w:r>
        <w:r w:rsidR="00436FD8">
          <w:rPr>
            <w:noProof/>
            <w:webHidden/>
          </w:rPr>
          <w:fldChar w:fldCharType="separate"/>
        </w:r>
        <w:r w:rsidR="00BC2773">
          <w:rPr>
            <w:noProof/>
            <w:webHidden/>
          </w:rPr>
          <w:t>85</w:t>
        </w:r>
        <w:r w:rsidR="00436FD8">
          <w:rPr>
            <w:noProof/>
            <w:webHidden/>
          </w:rPr>
          <w:fldChar w:fldCharType="end"/>
        </w:r>
      </w:hyperlink>
    </w:p>
    <w:p w14:paraId="05081CF7" w14:textId="6BACBFBB" w:rsidR="00EF273A" w:rsidRPr="00F85DF3" w:rsidRDefault="00EF273A" w:rsidP="003D01DD">
      <w:pPr>
        <w:ind w:right="67"/>
      </w:pPr>
      <w:r w:rsidRPr="00F85DF3">
        <w:fldChar w:fldCharType="end"/>
      </w:r>
    </w:p>
    <w:p w14:paraId="234BD68C" w14:textId="77777777" w:rsidR="00CE3132" w:rsidRPr="00F85DF3" w:rsidRDefault="00CE371F" w:rsidP="00AB41A7">
      <w:pPr>
        <w:jc w:val="left"/>
      </w:pPr>
      <w:r w:rsidRPr="00F85DF3">
        <w:br w:type="page"/>
      </w:r>
    </w:p>
    <w:p w14:paraId="2F726FC8" w14:textId="77777777" w:rsidR="00AB41A7" w:rsidRPr="00F85DF3" w:rsidRDefault="00AB41A7" w:rsidP="00CE371F">
      <w:pPr>
        <w:pStyle w:val="Title"/>
      </w:pPr>
      <w:bookmarkStart w:id="1" w:name="Abbreviations"/>
      <w:r w:rsidRPr="00F85DF3">
        <w:lastRenderedPageBreak/>
        <w:t xml:space="preserve">ABBREVIATIONS </w:t>
      </w:r>
      <w:bookmarkEnd w:id="1"/>
      <w:r w:rsidRPr="00F85DF3">
        <w:t>USED IN THIS REPORT</w:t>
      </w:r>
    </w:p>
    <w:tbl>
      <w:tblPr>
        <w:tblStyle w:val="WTOTable1"/>
        <w:tblW w:w="9222" w:type="dxa"/>
        <w:tblLayout w:type="fixed"/>
        <w:tblLook w:val="0060" w:firstRow="1" w:lastRow="1" w:firstColumn="0" w:lastColumn="0" w:noHBand="0" w:noVBand="0"/>
      </w:tblPr>
      <w:tblGrid>
        <w:gridCol w:w="2600"/>
        <w:gridCol w:w="6622"/>
      </w:tblGrid>
      <w:tr w:rsidR="00AB41A7" w:rsidRPr="009578FC" w14:paraId="12A4F29C" w14:textId="77777777" w:rsidTr="00C72BA6">
        <w:trPr>
          <w:cnfStyle w:val="100000000000" w:firstRow="1" w:lastRow="0" w:firstColumn="0" w:lastColumn="0" w:oddVBand="0" w:evenVBand="0" w:oddHBand="0" w:evenHBand="0" w:firstRowFirstColumn="0" w:firstRowLastColumn="0" w:lastRowFirstColumn="0" w:lastRowLastColumn="0"/>
        </w:trPr>
        <w:tc>
          <w:tcPr>
            <w:tcW w:w="2600" w:type="dxa"/>
          </w:tcPr>
          <w:p w14:paraId="54372AF7" w14:textId="77777777" w:rsidR="00AB41A7" w:rsidRPr="009578FC" w:rsidRDefault="00AB41A7" w:rsidP="005564F2">
            <w:pPr>
              <w:keepLines/>
              <w:tabs>
                <w:tab w:val="left" w:pos="2268"/>
                <w:tab w:val="left" w:pos="4536"/>
              </w:tabs>
              <w:spacing w:before="60" w:after="60"/>
              <w:jc w:val="center"/>
              <w:rPr>
                <w:b w:val="0"/>
                <w:szCs w:val="18"/>
              </w:rPr>
            </w:pPr>
            <w:bookmarkStart w:id="2" w:name="_Hlk30421315"/>
            <w:r w:rsidRPr="009578FC">
              <w:rPr>
                <w:szCs w:val="18"/>
              </w:rPr>
              <w:t>Abbreviation</w:t>
            </w:r>
          </w:p>
        </w:tc>
        <w:tc>
          <w:tcPr>
            <w:tcW w:w="6622" w:type="dxa"/>
          </w:tcPr>
          <w:p w14:paraId="6378215E" w14:textId="77777777" w:rsidR="00AB41A7" w:rsidRPr="009578FC" w:rsidRDefault="00AB41A7" w:rsidP="005564F2">
            <w:pPr>
              <w:keepLines/>
              <w:tabs>
                <w:tab w:val="left" w:pos="2268"/>
                <w:tab w:val="left" w:pos="4536"/>
              </w:tabs>
              <w:spacing w:before="60" w:after="60"/>
              <w:jc w:val="center"/>
              <w:rPr>
                <w:b w:val="0"/>
                <w:szCs w:val="18"/>
              </w:rPr>
            </w:pPr>
            <w:r w:rsidRPr="009578FC">
              <w:rPr>
                <w:szCs w:val="18"/>
              </w:rPr>
              <w:t>Description</w:t>
            </w:r>
          </w:p>
        </w:tc>
      </w:tr>
      <w:tr w:rsidR="00F05A15" w:rsidRPr="009578FC" w14:paraId="346E03C0" w14:textId="77777777" w:rsidTr="00C72BA6">
        <w:tc>
          <w:tcPr>
            <w:tcW w:w="2600" w:type="dxa"/>
          </w:tcPr>
          <w:p w14:paraId="5CFC0DE2" w14:textId="6A08A731" w:rsidR="00F05A15" w:rsidRPr="009578FC" w:rsidRDefault="00F05A15" w:rsidP="005564F2">
            <w:pPr>
              <w:spacing w:before="60" w:after="60"/>
              <w:jc w:val="left"/>
              <w:rPr>
                <w:szCs w:val="18"/>
              </w:rPr>
            </w:pPr>
            <w:r w:rsidRPr="009578FC">
              <w:rPr>
                <w:rFonts w:cs="Arial"/>
                <w:szCs w:val="18"/>
              </w:rPr>
              <w:t>ART</w:t>
            </w:r>
          </w:p>
        </w:tc>
        <w:tc>
          <w:tcPr>
            <w:tcW w:w="6622" w:type="dxa"/>
          </w:tcPr>
          <w:p w14:paraId="4CAD6E51" w14:textId="6902FB23" w:rsidR="00F05A15" w:rsidRPr="009578FC" w:rsidRDefault="00F05A15" w:rsidP="005564F2">
            <w:pPr>
              <w:keepLines/>
              <w:tabs>
                <w:tab w:val="left" w:pos="2268"/>
                <w:tab w:val="left" w:pos="4536"/>
              </w:tabs>
              <w:spacing w:before="60" w:after="60"/>
              <w:jc w:val="left"/>
              <w:rPr>
                <w:szCs w:val="18"/>
              </w:rPr>
            </w:pPr>
            <w:r w:rsidRPr="009578FC">
              <w:rPr>
                <w:rFonts w:cs="Arial"/>
                <w:szCs w:val="18"/>
              </w:rPr>
              <w:t>Russian Federal Agency for Railway Transport</w:t>
            </w:r>
          </w:p>
        </w:tc>
      </w:tr>
      <w:tr w:rsidR="00F05A15" w:rsidRPr="009578FC" w14:paraId="4901089D" w14:textId="77777777" w:rsidTr="00C72BA6">
        <w:trPr>
          <w:cnfStyle w:val="000000010000" w:firstRow="0" w:lastRow="0" w:firstColumn="0" w:lastColumn="0" w:oddVBand="0" w:evenVBand="0" w:oddHBand="0" w:evenHBand="1" w:firstRowFirstColumn="0" w:firstRowLastColumn="0" w:lastRowFirstColumn="0" w:lastRowLastColumn="0"/>
        </w:trPr>
        <w:tc>
          <w:tcPr>
            <w:tcW w:w="2600" w:type="dxa"/>
          </w:tcPr>
          <w:p w14:paraId="7B92ACEC" w14:textId="62BC89C7" w:rsidR="00F05A15" w:rsidRPr="009578FC" w:rsidRDefault="00F05A15" w:rsidP="005564F2">
            <w:pPr>
              <w:spacing w:before="60" w:after="60"/>
              <w:jc w:val="left"/>
              <w:rPr>
                <w:i/>
                <w:szCs w:val="18"/>
              </w:rPr>
            </w:pPr>
            <w:r w:rsidRPr="009578FC">
              <w:rPr>
                <w:rFonts w:cs="Arial"/>
                <w:szCs w:val="18"/>
              </w:rPr>
              <w:t>Association Agreement</w:t>
            </w:r>
          </w:p>
        </w:tc>
        <w:tc>
          <w:tcPr>
            <w:tcW w:w="6622" w:type="dxa"/>
          </w:tcPr>
          <w:p w14:paraId="4500C136" w14:textId="18084AD4" w:rsidR="00F05A15" w:rsidRPr="009578FC" w:rsidRDefault="00F05A15" w:rsidP="005564F2">
            <w:pPr>
              <w:keepLines/>
              <w:tabs>
                <w:tab w:val="left" w:pos="2268"/>
                <w:tab w:val="left" w:pos="4536"/>
              </w:tabs>
              <w:spacing w:before="60" w:after="60"/>
              <w:jc w:val="left"/>
              <w:rPr>
                <w:szCs w:val="18"/>
              </w:rPr>
            </w:pPr>
            <w:r w:rsidRPr="009578FC">
              <w:rPr>
                <w:rFonts w:cs="Arial"/>
                <w:szCs w:val="18"/>
              </w:rPr>
              <w:t>Association Agreement by Ukraine with the European</w:t>
            </w:r>
            <w:r w:rsidR="00AE6EAE" w:rsidRPr="009578FC">
              <w:rPr>
                <w:rFonts w:cs="Arial"/>
                <w:szCs w:val="18"/>
              </w:rPr>
              <w:t> Union</w:t>
            </w:r>
          </w:p>
        </w:tc>
      </w:tr>
      <w:tr w:rsidR="00F05A15" w:rsidRPr="009578FC" w14:paraId="7BAC7C11" w14:textId="77777777" w:rsidTr="00C72BA6">
        <w:tc>
          <w:tcPr>
            <w:tcW w:w="2600" w:type="dxa"/>
          </w:tcPr>
          <w:p w14:paraId="47B43A43" w14:textId="2965C84E" w:rsidR="00F05A15" w:rsidRPr="009578FC" w:rsidRDefault="00F05A15" w:rsidP="005564F2">
            <w:pPr>
              <w:spacing w:before="60" w:after="60"/>
              <w:jc w:val="left"/>
              <w:rPr>
                <w:i/>
                <w:szCs w:val="18"/>
              </w:rPr>
            </w:pPr>
            <w:r w:rsidRPr="009578FC">
              <w:rPr>
                <w:rFonts w:cs="Arial"/>
                <w:szCs w:val="18"/>
              </w:rPr>
              <w:t>BCI</w:t>
            </w:r>
          </w:p>
        </w:tc>
        <w:tc>
          <w:tcPr>
            <w:tcW w:w="6622" w:type="dxa"/>
          </w:tcPr>
          <w:p w14:paraId="682C0443" w14:textId="40C20F42" w:rsidR="00F05A15" w:rsidRPr="009578FC" w:rsidRDefault="00F05A15" w:rsidP="005564F2">
            <w:pPr>
              <w:keepLines/>
              <w:tabs>
                <w:tab w:val="left" w:pos="2268"/>
                <w:tab w:val="left" w:pos="4536"/>
              </w:tabs>
              <w:spacing w:before="60" w:after="60"/>
              <w:jc w:val="left"/>
              <w:rPr>
                <w:szCs w:val="18"/>
              </w:rPr>
            </w:pPr>
            <w:r w:rsidRPr="009578FC">
              <w:rPr>
                <w:rFonts w:cs="Arial"/>
                <w:szCs w:val="18"/>
              </w:rPr>
              <w:t>business confidential information</w:t>
            </w:r>
          </w:p>
        </w:tc>
      </w:tr>
      <w:tr w:rsidR="00F05A15" w:rsidRPr="009578FC" w14:paraId="6725D57E" w14:textId="77777777" w:rsidTr="00C72BA6">
        <w:trPr>
          <w:cnfStyle w:val="000000010000" w:firstRow="0" w:lastRow="0" w:firstColumn="0" w:lastColumn="0" w:oddVBand="0" w:evenVBand="0" w:oddHBand="0" w:evenHBand="1" w:firstRowFirstColumn="0" w:firstRowLastColumn="0" w:lastRowFirstColumn="0" w:lastRowLastColumn="0"/>
        </w:trPr>
        <w:tc>
          <w:tcPr>
            <w:tcW w:w="2600" w:type="dxa"/>
          </w:tcPr>
          <w:p w14:paraId="23209070" w14:textId="1738CB1D" w:rsidR="00F05A15" w:rsidRPr="009578FC" w:rsidRDefault="00F05A15" w:rsidP="005564F2">
            <w:pPr>
              <w:spacing w:before="60" w:after="60"/>
              <w:jc w:val="left"/>
              <w:rPr>
                <w:i/>
                <w:szCs w:val="18"/>
              </w:rPr>
            </w:pPr>
            <w:r w:rsidRPr="009578FC">
              <w:rPr>
                <w:rFonts w:cs="Arial"/>
                <w:szCs w:val="18"/>
              </w:rPr>
              <w:t>CU</w:t>
            </w:r>
          </w:p>
        </w:tc>
        <w:tc>
          <w:tcPr>
            <w:tcW w:w="6622" w:type="dxa"/>
          </w:tcPr>
          <w:p w14:paraId="3351E0B2" w14:textId="413D8871" w:rsidR="00F05A15" w:rsidRPr="009578FC" w:rsidRDefault="00630715" w:rsidP="005564F2">
            <w:pPr>
              <w:keepLines/>
              <w:tabs>
                <w:tab w:val="left" w:pos="2268"/>
                <w:tab w:val="left" w:pos="4536"/>
              </w:tabs>
              <w:spacing w:before="60" w:after="60"/>
              <w:jc w:val="left"/>
              <w:rPr>
                <w:szCs w:val="18"/>
              </w:rPr>
            </w:pPr>
            <w:r w:rsidRPr="009578FC">
              <w:rPr>
                <w:rFonts w:cs="Arial"/>
                <w:szCs w:val="18"/>
              </w:rPr>
              <w:t>Eurasian Economic Union as established in accordance with the Treaty on Eurasian Economic Union of 29 May 2014 (former Customs Union of the Republic of Belarus, the Republic of Kazakhstan</w:t>
            </w:r>
            <w:r w:rsidR="00B62A86" w:rsidRPr="009578FC">
              <w:rPr>
                <w:rFonts w:cs="Arial"/>
                <w:szCs w:val="18"/>
              </w:rPr>
              <w:t>,</w:t>
            </w:r>
            <w:r w:rsidRPr="009578FC">
              <w:rPr>
                <w:rFonts w:cs="Arial"/>
                <w:szCs w:val="18"/>
              </w:rPr>
              <w:t xml:space="preserve"> and the Russian Federation)</w:t>
            </w:r>
          </w:p>
        </w:tc>
      </w:tr>
      <w:tr w:rsidR="00F05A15" w:rsidRPr="009578FC" w14:paraId="11A76618" w14:textId="77777777" w:rsidTr="00C72BA6">
        <w:tc>
          <w:tcPr>
            <w:tcW w:w="2600" w:type="dxa"/>
          </w:tcPr>
          <w:p w14:paraId="317C31E5" w14:textId="68EA90F1" w:rsidR="00F05A15" w:rsidRPr="009578FC" w:rsidRDefault="00F05A15" w:rsidP="005564F2">
            <w:pPr>
              <w:spacing w:before="60" w:after="60"/>
              <w:jc w:val="left"/>
              <w:rPr>
                <w:i/>
                <w:szCs w:val="18"/>
              </w:rPr>
            </w:pPr>
            <w:r w:rsidRPr="009578FC">
              <w:rPr>
                <w:rFonts w:cs="Arial"/>
                <w:szCs w:val="18"/>
              </w:rPr>
              <w:t>DSB</w:t>
            </w:r>
          </w:p>
        </w:tc>
        <w:tc>
          <w:tcPr>
            <w:tcW w:w="6622" w:type="dxa"/>
          </w:tcPr>
          <w:p w14:paraId="0492DFFB" w14:textId="09C76F68" w:rsidR="00F05A15" w:rsidRPr="009578FC" w:rsidRDefault="00F05A15" w:rsidP="005564F2">
            <w:pPr>
              <w:keepLines/>
              <w:tabs>
                <w:tab w:val="left" w:pos="2268"/>
                <w:tab w:val="left" w:pos="4536"/>
              </w:tabs>
              <w:spacing w:before="60" w:after="60"/>
              <w:jc w:val="left"/>
              <w:rPr>
                <w:szCs w:val="18"/>
              </w:rPr>
            </w:pPr>
            <w:r w:rsidRPr="009578FC">
              <w:rPr>
                <w:rFonts w:cs="Arial"/>
                <w:szCs w:val="18"/>
              </w:rPr>
              <w:t>Dispute Settlement Body</w:t>
            </w:r>
          </w:p>
        </w:tc>
      </w:tr>
      <w:tr w:rsidR="00F05A15" w:rsidRPr="009578FC" w14:paraId="736DF7C7" w14:textId="77777777" w:rsidTr="00C72BA6">
        <w:trPr>
          <w:cnfStyle w:val="000000010000" w:firstRow="0" w:lastRow="0" w:firstColumn="0" w:lastColumn="0" w:oddVBand="0" w:evenVBand="0" w:oddHBand="0" w:evenHBand="1" w:firstRowFirstColumn="0" w:firstRowLastColumn="0" w:lastRowFirstColumn="0" w:lastRowLastColumn="0"/>
        </w:trPr>
        <w:tc>
          <w:tcPr>
            <w:tcW w:w="2600" w:type="dxa"/>
          </w:tcPr>
          <w:p w14:paraId="5E046C40" w14:textId="743E8825" w:rsidR="00F05A15" w:rsidRPr="009578FC" w:rsidRDefault="00F05A15" w:rsidP="005564F2">
            <w:pPr>
              <w:spacing w:before="60" w:after="60"/>
              <w:jc w:val="left"/>
              <w:rPr>
                <w:i/>
                <w:szCs w:val="18"/>
              </w:rPr>
            </w:pPr>
            <w:r w:rsidRPr="009578FC">
              <w:rPr>
                <w:rFonts w:cs="Arial"/>
                <w:szCs w:val="18"/>
              </w:rPr>
              <w:t>DSU</w:t>
            </w:r>
          </w:p>
        </w:tc>
        <w:tc>
          <w:tcPr>
            <w:tcW w:w="6622" w:type="dxa"/>
          </w:tcPr>
          <w:p w14:paraId="6AB9C2AB" w14:textId="1DF9E76F" w:rsidR="00F05A15" w:rsidRPr="009578FC" w:rsidRDefault="00F05A15" w:rsidP="005564F2">
            <w:pPr>
              <w:keepLines/>
              <w:tabs>
                <w:tab w:val="left" w:pos="2268"/>
                <w:tab w:val="left" w:pos="4536"/>
              </w:tabs>
              <w:spacing w:before="60" w:after="60"/>
              <w:jc w:val="left"/>
              <w:rPr>
                <w:szCs w:val="18"/>
              </w:rPr>
            </w:pPr>
            <w:r w:rsidRPr="009578FC">
              <w:rPr>
                <w:rFonts w:cs="Arial"/>
                <w:szCs w:val="18"/>
              </w:rPr>
              <w:t>Understanding on Rules and Procedures Governing the Settlement of Disputes</w:t>
            </w:r>
          </w:p>
        </w:tc>
      </w:tr>
      <w:tr w:rsidR="00F05A15" w:rsidRPr="009578FC" w14:paraId="41E4099E" w14:textId="77777777" w:rsidTr="00C72BA6">
        <w:tc>
          <w:tcPr>
            <w:tcW w:w="2600" w:type="dxa"/>
          </w:tcPr>
          <w:p w14:paraId="5CC78F71" w14:textId="33D7B83E" w:rsidR="00F05A15" w:rsidRPr="009578FC" w:rsidRDefault="00F05A15" w:rsidP="005564F2">
            <w:pPr>
              <w:spacing w:before="60" w:after="60"/>
              <w:jc w:val="left"/>
              <w:rPr>
                <w:i/>
                <w:szCs w:val="18"/>
              </w:rPr>
            </w:pPr>
            <w:r w:rsidRPr="009578FC">
              <w:rPr>
                <w:rFonts w:cs="Arial"/>
                <w:szCs w:val="18"/>
              </w:rPr>
              <w:t>EAEU Treaty</w:t>
            </w:r>
          </w:p>
        </w:tc>
        <w:tc>
          <w:tcPr>
            <w:tcW w:w="6622" w:type="dxa"/>
          </w:tcPr>
          <w:p w14:paraId="6ED6CF85" w14:textId="75C3F4DE" w:rsidR="00F05A15" w:rsidRPr="009578FC" w:rsidRDefault="00F05A15" w:rsidP="005564F2">
            <w:pPr>
              <w:keepLines/>
              <w:tabs>
                <w:tab w:val="left" w:pos="2268"/>
                <w:tab w:val="left" w:pos="4536"/>
              </w:tabs>
              <w:spacing w:before="60" w:after="60"/>
              <w:jc w:val="left"/>
              <w:rPr>
                <w:szCs w:val="18"/>
              </w:rPr>
            </w:pPr>
            <w:r w:rsidRPr="009578FC">
              <w:rPr>
                <w:rFonts w:cs="Arial"/>
                <w:szCs w:val="18"/>
              </w:rPr>
              <w:t>Treaty on the Eurasian Economic Union</w:t>
            </w:r>
          </w:p>
        </w:tc>
      </w:tr>
      <w:tr w:rsidR="00F05A15" w:rsidRPr="009578FC" w14:paraId="21C33A78" w14:textId="77777777" w:rsidTr="00C72BA6">
        <w:trPr>
          <w:cnfStyle w:val="000000010000" w:firstRow="0" w:lastRow="0" w:firstColumn="0" w:lastColumn="0" w:oddVBand="0" w:evenVBand="0" w:oddHBand="0" w:evenHBand="1" w:firstRowFirstColumn="0" w:firstRowLastColumn="0" w:lastRowFirstColumn="0" w:lastRowLastColumn="0"/>
        </w:trPr>
        <w:tc>
          <w:tcPr>
            <w:tcW w:w="2600" w:type="dxa"/>
          </w:tcPr>
          <w:p w14:paraId="2F648ADA" w14:textId="2771AB74" w:rsidR="00F05A15" w:rsidRPr="009578FC" w:rsidRDefault="00F05A15" w:rsidP="005564F2">
            <w:pPr>
              <w:spacing w:before="60" w:after="60"/>
              <w:jc w:val="left"/>
              <w:rPr>
                <w:i/>
                <w:szCs w:val="18"/>
              </w:rPr>
            </w:pPr>
            <w:r w:rsidRPr="009578FC">
              <w:rPr>
                <w:rFonts w:cs="Arial"/>
                <w:szCs w:val="18"/>
              </w:rPr>
              <w:t>FBO</w:t>
            </w:r>
          </w:p>
        </w:tc>
        <w:tc>
          <w:tcPr>
            <w:tcW w:w="6622" w:type="dxa"/>
          </w:tcPr>
          <w:p w14:paraId="3F2FA46A" w14:textId="4ECB59B5" w:rsidR="00F05A15" w:rsidRPr="009578FC" w:rsidRDefault="00F05A15" w:rsidP="005564F2">
            <w:pPr>
              <w:keepLines/>
              <w:tabs>
                <w:tab w:val="left" w:pos="2268"/>
                <w:tab w:val="left" w:pos="4536"/>
              </w:tabs>
              <w:spacing w:before="60" w:after="60"/>
              <w:jc w:val="left"/>
              <w:rPr>
                <w:szCs w:val="18"/>
              </w:rPr>
            </w:pPr>
            <w:r w:rsidRPr="009578FC">
              <w:rPr>
                <w:rFonts w:cs="Arial"/>
                <w:szCs w:val="18"/>
              </w:rPr>
              <w:t xml:space="preserve">Federal Budgetary Organization </w:t>
            </w:r>
          </w:p>
        </w:tc>
      </w:tr>
      <w:tr w:rsidR="00F05A15" w:rsidRPr="009578FC" w14:paraId="56F28EAD" w14:textId="77777777" w:rsidTr="00C72BA6">
        <w:tc>
          <w:tcPr>
            <w:tcW w:w="2600" w:type="dxa"/>
          </w:tcPr>
          <w:p w14:paraId="43B6F32B" w14:textId="773ABB43" w:rsidR="00F05A15" w:rsidRPr="009578FC" w:rsidRDefault="00F05A15" w:rsidP="005564F2">
            <w:pPr>
              <w:spacing w:before="60" w:after="60"/>
              <w:jc w:val="left"/>
              <w:rPr>
                <w:rFonts w:cs="Arial"/>
                <w:szCs w:val="18"/>
              </w:rPr>
            </w:pPr>
            <w:r w:rsidRPr="009578FC">
              <w:rPr>
                <w:rFonts w:cs="Arial"/>
                <w:szCs w:val="18"/>
              </w:rPr>
              <w:t>FIRA</w:t>
            </w:r>
          </w:p>
        </w:tc>
        <w:tc>
          <w:tcPr>
            <w:tcW w:w="6622" w:type="dxa"/>
          </w:tcPr>
          <w:p w14:paraId="5C9B9010" w14:textId="527E8F0E" w:rsidR="00F05A15" w:rsidRPr="009578FC" w:rsidRDefault="00F05A15" w:rsidP="005564F2">
            <w:pPr>
              <w:keepLines/>
              <w:tabs>
                <w:tab w:val="left" w:pos="2268"/>
                <w:tab w:val="left" w:pos="4536"/>
              </w:tabs>
              <w:spacing w:before="60" w:after="60"/>
              <w:jc w:val="left"/>
              <w:rPr>
                <w:rFonts w:cs="Arial"/>
                <w:szCs w:val="18"/>
              </w:rPr>
            </w:pPr>
            <w:r w:rsidRPr="009578FC">
              <w:rPr>
                <w:rFonts w:cs="Arial"/>
                <w:szCs w:val="18"/>
              </w:rPr>
              <w:t>final import risk analysis report for apples from New Zealand of November 2006</w:t>
            </w:r>
          </w:p>
        </w:tc>
      </w:tr>
      <w:tr w:rsidR="00027A3D" w:rsidRPr="009578FC" w14:paraId="55B7380B" w14:textId="77777777" w:rsidTr="00C72BA6">
        <w:trPr>
          <w:cnfStyle w:val="000000010000" w:firstRow="0" w:lastRow="0" w:firstColumn="0" w:lastColumn="0" w:oddVBand="0" w:evenVBand="0" w:oddHBand="0" w:evenHBand="1" w:firstRowFirstColumn="0" w:firstRowLastColumn="0" w:lastRowFirstColumn="0" w:lastRowLastColumn="0"/>
        </w:trPr>
        <w:tc>
          <w:tcPr>
            <w:tcW w:w="2600" w:type="dxa"/>
          </w:tcPr>
          <w:p w14:paraId="39213104" w14:textId="43813202" w:rsidR="00027A3D" w:rsidRPr="009578FC" w:rsidRDefault="00027A3D" w:rsidP="005564F2">
            <w:pPr>
              <w:spacing w:before="60" w:after="60"/>
              <w:jc w:val="left"/>
              <w:rPr>
                <w:rFonts w:cs="Arial"/>
                <w:szCs w:val="18"/>
              </w:rPr>
            </w:pPr>
            <w:r w:rsidRPr="009578FC">
              <w:rPr>
                <w:rFonts w:cs="Arial"/>
                <w:szCs w:val="18"/>
              </w:rPr>
              <w:t>GATS</w:t>
            </w:r>
          </w:p>
        </w:tc>
        <w:tc>
          <w:tcPr>
            <w:tcW w:w="6622" w:type="dxa"/>
          </w:tcPr>
          <w:p w14:paraId="49622877" w14:textId="4C708698" w:rsidR="00027A3D" w:rsidRPr="009578FC" w:rsidRDefault="00027A3D" w:rsidP="005564F2">
            <w:pPr>
              <w:keepLines/>
              <w:tabs>
                <w:tab w:val="left" w:pos="2268"/>
                <w:tab w:val="left" w:pos="4536"/>
              </w:tabs>
              <w:spacing w:before="60" w:after="60"/>
              <w:jc w:val="left"/>
              <w:rPr>
                <w:rFonts w:cs="Arial"/>
                <w:szCs w:val="18"/>
              </w:rPr>
            </w:pPr>
            <w:r w:rsidRPr="009578FC">
              <w:rPr>
                <w:szCs w:val="18"/>
              </w:rPr>
              <w:t>General Agreement on Trade in Services</w:t>
            </w:r>
          </w:p>
        </w:tc>
      </w:tr>
      <w:tr w:rsidR="00027A3D" w:rsidRPr="009578FC" w14:paraId="2C891D8F" w14:textId="77777777" w:rsidTr="00C72BA6">
        <w:tc>
          <w:tcPr>
            <w:tcW w:w="2600" w:type="dxa"/>
          </w:tcPr>
          <w:p w14:paraId="391BA063" w14:textId="5187DC27" w:rsidR="00027A3D" w:rsidRPr="009578FC" w:rsidRDefault="00027A3D" w:rsidP="005564F2">
            <w:pPr>
              <w:spacing w:before="60" w:after="60"/>
              <w:jc w:val="left"/>
              <w:rPr>
                <w:i/>
                <w:szCs w:val="18"/>
              </w:rPr>
            </w:pPr>
            <w:r w:rsidRPr="009578FC">
              <w:rPr>
                <w:rFonts w:cs="Arial"/>
                <w:szCs w:val="18"/>
              </w:rPr>
              <w:t>GATT</w:t>
            </w:r>
            <w:r w:rsidR="00AE6EAE" w:rsidRPr="009578FC">
              <w:rPr>
                <w:rFonts w:cs="Arial"/>
                <w:szCs w:val="18"/>
              </w:rPr>
              <w:t> 1994</w:t>
            </w:r>
          </w:p>
        </w:tc>
        <w:tc>
          <w:tcPr>
            <w:tcW w:w="6622" w:type="dxa"/>
          </w:tcPr>
          <w:p w14:paraId="73E4D33F" w14:textId="3120BB5E" w:rsidR="00027A3D" w:rsidRPr="009578FC" w:rsidRDefault="00027A3D" w:rsidP="005564F2">
            <w:pPr>
              <w:keepLines/>
              <w:tabs>
                <w:tab w:val="left" w:pos="2268"/>
                <w:tab w:val="left" w:pos="4536"/>
              </w:tabs>
              <w:spacing w:before="60" w:after="60"/>
              <w:jc w:val="left"/>
              <w:rPr>
                <w:szCs w:val="18"/>
              </w:rPr>
            </w:pPr>
            <w:r w:rsidRPr="009578FC">
              <w:rPr>
                <w:rFonts w:cs="Arial"/>
                <w:szCs w:val="18"/>
              </w:rPr>
              <w:t>General Agreement on Tariffs and Trade 1994</w:t>
            </w:r>
          </w:p>
        </w:tc>
      </w:tr>
      <w:tr w:rsidR="00027A3D" w:rsidRPr="009578FC" w14:paraId="2CC3A7E7" w14:textId="77777777" w:rsidTr="00C72BA6">
        <w:trPr>
          <w:cnfStyle w:val="000000010000" w:firstRow="0" w:lastRow="0" w:firstColumn="0" w:lastColumn="0" w:oddVBand="0" w:evenVBand="0" w:oddHBand="0" w:evenHBand="1" w:firstRowFirstColumn="0" w:firstRowLastColumn="0" w:lastRowFirstColumn="0" w:lastRowLastColumn="0"/>
        </w:trPr>
        <w:tc>
          <w:tcPr>
            <w:tcW w:w="2600" w:type="dxa"/>
          </w:tcPr>
          <w:p w14:paraId="08165695" w14:textId="2023129C" w:rsidR="00027A3D" w:rsidRPr="009578FC" w:rsidRDefault="00027A3D" w:rsidP="005564F2">
            <w:pPr>
              <w:spacing w:before="60" w:after="60"/>
              <w:jc w:val="left"/>
              <w:rPr>
                <w:i/>
                <w:szCs w:val="18"/>
              </w:rPr>
            </w:pPr>
            <w:r w:rsidRPr="009578FC">
              <w:rPr>
                <w:rFonts w:cs="Arial"/>
                <w:szCs w:val="18"/>
              </w:rPr>
              <w:t>MOT</w:t>
            </w:r>
          </w:p>
        </w:tc>
        <w:tc>
          <w:tcPr>
            <w:tcW w:w="6622" w:type="dxa"/>
          </w:tcPr>
          <w:p w14:paraId="5C0451D1" w14:textId="55338E23" w:rsidR="00027A3D" w:rsidRPr="009578FC" w:rsidRDefault="00027A3D" w:rsidP="005564F2">
            <w:pPr>
              <w:keepLines/>
              <w:tabs>
                <w:tab w:val="left" w:pos="2268"/>
                <w:tab w:val="left" w:pos="4536"/>
              </w:tabs>
              <w:spacing w:before="60" w:after="60"/>
              <w:jc w:val="left"/>
              <w:rPr>
                <w:szCs w:val="18"/>
              </w:rPr>
            </w:pPr>
            <w:r w:rsidRPr="009578FC">
              <w:rPr>
                <w:rFonts w:cs="Arial"/>
                <w:szCs w:val="18"/>
              </w:rPr>
              <w:t>Ministry of Transport</w:t>
            </w:r>
            <w:r w:rsidR="00192C76" w:rsidRPr="009578FC">
              <w:rPr>
                <w:rFonts w:cs="Arial"/>
                <w:szCs w:val="18"/>
              </w:rPr>
              <w:t xml:space="preserve"> of the Russian Federation</w:t>
            </w:r>
          </w:p>
        </w:tc>
      </w:tr>
      <w:tr w:rsidR="00027A3D" w:rsidRPr="009578FC" w14:paraId="54EFE392" w14:textId="77777777" w:rsidTr="00C72BA6">
        <w:tc>
          <w:tcPr>
            <w:tcW w:w="2600" w:type="dxa"/>
          </w:tcPr>
          <w:p w14:paraId="39DCC3B6" w14:textId="2C3939E1" w:rsidR="00027A3D" w:rsidRPr="009578FC" w:rsidRDefault="00027A3D" w:rsidP="005564F2">
            <w:pPr>
              <w:spacing w:before="60" w:after="60"/>
              <w:jc w:val="left"/>
              <w:rPr>
                <w:rFonts w:cs="Arial"/>
                <w:szCs w:val="18"/>
              </w:rPr>
            </w:pPr>
            <w:r w:rsidRPr="009578FC">
              <w:rPr>
                <w:rFonts w:cs="Arial"/>
                <w:szCs w:val="18"/>
              </w:rPr>
              <w:t>OHCHR</w:t>
            </w:r>
          </w:p>
        </w:tc>
        <w:tc>
          <w:tcPr>
            <w:tcW w:w="6622" w:type="dxa"/>
          </w:tcPr>
          <w:p w14:paraId="654CF8C1" w14:textId="13C43535" w:rsidR="00027A3D" w:rsidRPr="009578FC" w:rsidRDefault="00027A3D" w:rsidP="005564F2">
            <w:pPr>
              <w:keepLines/>
              <w:tabs>
                <w:tab w:val="left" w:pos="2268"/>
                <w:tab w:val="left" w:pos="4536"/>
              </w:tabs>
              <w:spacing w:before="60" w:after="60"/>
              <w:jc w:val="left"/>
              <w:rPr>
                <w:rFonts w:cs="Arial"/>
                <w:szCs w:val="18"/>
              </w:rPr>
            </w:pPr>
            <w:r w:rsidRPr="009578FC">
              <w:rPr>
                <w:szCs w:val="18"/>
                <w:lang w:eastAsia="en-GB"/>
              </w:rPr>
              <w:t xml:space="preserve">Office of the </w:t>
            </w:r>
            <w:r w:rsidR="002F201F" w:rsidRPr="009578FC">
              <w:rPr>
                <w:szCs w:val="18"/>
                <w:lang w:eastAsia="en-GB"/>
              </w:rPr>
              <w:t xml:space="preserve">United Nations </w:t>
            </w:r>
            <w:r w:rsidRPr="009578FC">
              <w:rPr>
                <w:szCs w:val="18"/>
                <w:lang w:eastAsia="en-GB"/>
              </w:rPr>
              <w:t>High Commissioner for Human Rights</w:t>
            </w:r>
          </w:p>
        </w:tc>
      </w:tr>
      <w:tr w:rsidR="00027A3D" w:rsidRPr="009578FC" w14:paraId="11B42C84" w14:textId="77777777" w:rsidTr="00C72BA6">
        <w:trPr>
          <w:cnfStyle w:val="000000010000" w:firstRow="0" w:lastRow="0" w:firstColumn="0" w:lastColumn="0" w:oddVBand="0" w:evenVBand="0" w:oddHBand="0" w:evenHBand="1" w:firstRowFirstColumn="0" w:firstRowLastColumn="0" w:lastRowFirstColumn="0" w:lastRowLastColumn="0"/>
        </w:trPr>
        <w:tc>
          <w:tcPr>
            <w:tcW w:w="2600" w:type="dxa"/>
          </w:tcPr>
          <w:p w14:paraId="5A06E625" w14:textId="3DBBF5BA" w:rsidR="00027A3D" w:rsidRPr="009578FC" w:rsidRDefault="00027A3D" w:rsidP="005564F2">
            <w:pPr>
              <w:spacing w:before="60" w:after="60"/>
              <w:jc w:val="left"/>
              <w:rPr>
                <w:i/>
                <w:szCs w:val="18"/>
              </w:rPr>
            </w:pPr>
            <w:r w:rsidRPr="009578FC">
              <w:rPr>
                <w:rFonts w:cs="Arial"/>
                <w:szCs w:val="18"/>
              </w:rPr>
              <w:t>Panel Report</w:t>
            </w:r>
          </w:p>
        </w:tc>
        <w:tc>
          <w:tcPr>
            <w:tcW w:w="6622" w:type="dxa"/>
          </w:tcPr>
          <w:p w14:paraId="55B812C0" w14:textId="335F20D9" w:rsidR="00027A3D" w:rsidRPr="009578FC" w:rsidRDefault="00173547" w:rsidP="005564F2">
            <w:pPr>
              <w:keepLines/>
              <w:tabs>
                <w:tab w:val="left" w:pos="2268"/>
                <w:tab w:val="left" w:pos="4536"/>
              </w:tabs>
              <w:spacing w:before="60" w:after="60"/>
              <w:jc w:val="left"/>
              <w:rPr>
                <w:i/>
                <w:szCs w:val="18"/>
              </w:rPr>
            </w:pPr>
            <w:r w:rsidRPr="009578FC">
              <w:rPr>
                <w:rFonts w:cs="Arial"/>
                <w:szCs w:val="18"/>
              </w:rPr>
              <w:t>Panel</w:t>
            </w:r>
            <w:r w:rsidR="007D1FEF" w:rsidRPr="009578FC">
              <w:rPr>
                <w:rFonts w:cs="Arial"/>
                <w:szCs w:val="18"/>
              </w:rPr>
              <w:t> Report</w:t>
            </w:r>
            <w:r w:rsidRPr="009578FC">
              <w:rPr>
                <w:rFonts w:cs="Arial"/>
                <w:szCs w:val="18"/>
              </w:rPr>
              <w:t xml:space="preserve">, </w:t>
            </w:r>
            <w:r w:rsidR="00027A3D" w:rsidRPr="009578FC">
              <w:rPr>
                <w:rFonts w:cs="Arial"/>
                <w:i/>
                <w:szCs w:val="18"/>
              </w:rPr>
              <w:t>Russia – Measures Affecting the Importation of Railway Equipment and Parts Thereof</w:t>
            </w:r>
          </w:p>
        </w:tc>
      </w:tr>
      <w:tr w:rsidR="00027A3D" w:rsidRPr="009578FC" w14:paraId="12B91703" w14:textId="77777777" w:rsidTr="00C72BA6">
        <w:tc>
          <w:tcPr>
            <w:tcW w:w="2600" w:type="dxa"/>
          </w:tcPr>
          <w:p w14:paraId="25CFD4C6" w14:textId="3205BC84" w:rsidR="00027A3D" w:rsidRPr="009578FC" w:rsidRDefault="00027A3D" w:rsidP="005564F2">
            <w:pPr>
              <w:spacing w:before="60" w:after="60"/>
              <w:jc w:val="left"/>
              <w:rPr>
                <w:rFonts w:cs="Arial"/>
                <w:szCs w:val="18"/>
              </w:rPr>
            </w:pPr>
            <w:r w:rsidRPr="009578FC">
              <w:rPr>
                <w:rFonts w:cs="Arial"/>
                <w:szCs w:val="18"/>
              </w:rPr>
              <w:t>SPS</w:t>
            </w:r>
            <w:r w:rsidR="00AE6EAE" w:rsidRPr="009578FC">
              <w:rPr>
                <w:rFonts w:cs="Arial"/>
                <w:szCs w:val="18"/>
              </w:rPr>
              <w:t> Agreement</w:t>
            </w:r>
          </w:p>
        </w:tc>
        <w:tc>
          <w:tcPr>
            <w:tcW w:w="6622" w:type="dxa"/>
          </w:tcPr>
          <w:p w14:paraId="31227A43" w14:textId="772F1043" w:rsidR="00027A3D" w:rsidRPr="009578FC" w:rsidRDefault="00027A3D" w:rsidP="005564F2">
            <w:pPr>
              <w:keepLines/>
              <w:tabs>
                <w:tab w:val="left" w:pos="2268"/>
                <w:tab w:val="left" w:pos="4536"/>
              </w:tabs>
              <w:spacing w:before="60" w:after="60"/>
              <w:jc w:val="left"/>
              <w:rPr>
                <w:szCs w:val="18"/>
              </w:rPr>
            </w:pPr>
            <w:r w:rsidRPr="009578FC">
              <w:rPr>
                <w:rFonts w:cs="Arial"/>
                <w:szCs w:val="18"/>
              </w:rPr>
              <w:t>Agreement on the Application of Sanitary and Phytosanitary Measures</w:t>
            </w:r>
          </w:p>
        </w:tc>
      </w:tr>
      <w:tr w:rsidR="00027A3D" w:rsidRPr="009578FC" w14:paraId="219AE5D1" w14:textId="77777777" w:rsidTr="00C72BA6">
        <w:trPr>
          <w:cnfStyle w:val="000000010000" w:firstRow="0" w:lastRow="0" w:firstColumn="0" w:lastColumn="0" w:oddVBand="0" w:evenVBand="0" w:oddHBand="0" w:evenHBand="1" w:firstRowFirstColumn="0" w:firstRowLastColumn="0" w:lastRowFirstColumn="0" w:lastRowLastColumn="0"/>
        </w:trPr>
        <w:tc>
          <w:tcPr>
            <w:tcW w:w="2600" w:type="dxa"/>
          </w:tcPr>
          <w:p w14:paraId="2F8D4240" w14:textId="21BD6345" w:rsidR="00027A3D" w:rsidRPr="009578FC" w:rsidRDefault="00027A3D" w:rsidP="005564F2">
            <w:pPr>
              <w:spacing w:before="60" w:after="60"/>
              <w:jc w:val="left"/>
              <w:rPr>
                <w:rFonts w:cs="Arial"/>
                <w:szCs w:val="18"/>
              </w:rPr>
            </w:pPr>
            <w:r w:rsidRPr="009578FC">
              <w:rPr>
                <w:rFonts w:cs="Arial"/>
                <w:szCs w:val="18"/>
              </w:rPr>
              <w:t>TBT Agreement</w:t>
            </w:r>
          </w:p>
        </w:tc>
        <w:tc>
          <w:tcPr>
            <w:tcW w:w="6622" w:type="dxa"/>
          </w:tcPr>
          <w:p w14:paraId="593356EF" w14:textId="79961C23" w:rsidR="00027A3D" w:rsidRPr="009578FC" w:rsidRDefault="00027A3D" w:rsidP="005564F2">
            <w:pPr>
              <w:keepLines/>
              <w:tabs>
                <w:tab w:val="left" w:pos="2268"/>
                <w:tab w:val="left" w:pos="4536"/>
              </w:tabs>
              <w:spacing w:before="60" w:after="60"/>
              <w:jc w:val="left"/>
              <w:rPr>
                <w:rFonts w:cs="Arial"/>
                <w:szCs w:val="18"/>
              </w:rPr>
            </w:pPr>
            <w:r w:rsidRPr="009578FC">
              <w:rPr>
                <w:rFonts w:cs="Arial"/>
                <w:szCs w:val="18"/>
              </w:rPr>
              <w:t>Agreement on Technical Barriers to Trade</w:t>
            </w:r>
          </w:p>
        </w:tc>
      </w:tr>
      <w:tr w:rsidR="00027A3D" w:rsidRPr="009578FC" w14:paraId="16CA034C" w14:textId="77777777" w:rsidTr="00C72BA6">
        <w:tc>
          <w:tcPr>
            <w:tcW w:w="2600" w:type="dxa"/>
          </w:tcPr>
          <w:p w14:paraId="4C1AD538" w14:textId="259C5467" w:rsidR="00027A3D" w:rsidRPr="009578FC" w:rsidRDefault="00027A3D" w:rsidP="005564F2">
            <w:pPr>
              <w:spacing w:before="60" w:after="60"/>
              <w:jc w:val="left"/>
              <w:rPr>
                <w:rFonts w:cs="Arial"/>
                <w:szCs w:val="18"/>
              </w:rPr>
            </w:pPr>
            <w:r w:rsidRPr="009578FC">
              <w:rPr>
                <w:rFonts w:cs="Arial"/>
                <w:szCs w:val="18"/>
              </w:rPr>
              <w:t>TRRs</w:t>
            </w:r>
          </w:p>
        </w:tc>
        <w:tc>
          <w:tcPr>
            <w:tcW w:w="6622" w:type="dxa"/>
          </w:tcPr>
          <w:p w14:paraId="3C72AFAB" w14:textId="2F5D313F" w:rsidR="00027A3D" w:rsidRPr="009578FC" w:rsidRDefault="00027A3D" w:rsidP="005564F2">
            <w:pPr>
              <w:keepLines/>
              <w:tabs>
                <w:tab w:val="left" w:pos="2268"/>
                <w:tab w:val="left" w:pos="4536"/>
              </w:tabs>
              <w:spacing w:before="60" w:after="60"/>
              <w:jc w:val="left"/>
              <w:rPr>
                <w:rFonts w:cs="Arial"/>
                <w:szCs w:val="18"/>
              </w:rPr>
            </w:pPr>
            <w:r w:rsidRPr="009578FC">
              <w:rPr>
                <w:rFonts w:cs="Arial"/>
                <w:szCs w:val="18"/>
              </w:rPr>
              <w:t>trade</w:t>
            </w:r>
            <w:r w:rsidR="00B24926" w:rsidRPr="009578FC">
              <w:rPr>
                <w:rFonts w:cs="Arial"/>
                <w:szCs w:val="18"/>
              </w:rPr>
              <w:noBreakHyphen/>
            </w:r>
            <w:r w:rsidRPr="009578FC">
              <w:rPr>
                <w:rFonts w:cs="Arial"/>
                <w:szCs w:val="18"/>
              </w:rPr>
              <w:t>related requirements</w:t>
            </w:r>
          </w:p>
        </w:tc>
      </w:tr>
      <w:tr w:rsidR="00B24926" w:rsidRPr="009578FC" w14:paraId="21ACB5B1" w14:textId="77777777" w:rsidTr="00C72BA6">
        <w:trPr>
          <w:cnfStyle w:val="000000010000" w:firstRow="0" w:lastRow="0" w:firstColumn="0" w:lastColumn="0" w:oddVBand="0" w:evenVBand="0" w:oddHBand="0" w:evenHBand="1" w:firstRowFirstColumn="0" w:firstRowLastColumn="0" w:lastRowFirstColumn="0" w:lastRowLastColumn="0"/>
        </w:trPr>
        <w:tc>
          <w:tcPr>
            <w:tcW w:w="2600" w:type="dxa"/>
          </w:tcPr>
          <w:p w14:paraId="3DD777F0" w14:textId="1F580E5F" w:rsidR="00B24926" w:rsidRPr="009578FC" w:rsidRDefault="00B24926" w:rsidP="005564F2">
            <w:pPr>
              <w:spacing w:before="60" w:after="60"/>
              <w:jc w:val="left"/>
              <w:rPr>
                <w:rFonts w:cs="Arial"/>
                <w:szCs w:val="18"/>
              </w:rPr>
            </w:pPr>
            <w:r w:rsidRPr="009578FC">
              <w:rPr>
                <w:rFonts w:cs="Arial"/>
                <w:szCs w:val="18"/>
              </w:rPr>
              <w:t>Ukraine's panel request</w:t>
            </w:r>
          </w:p>
        </w:tc>
        <w:tc>
          <w:tcPr>
            <w:tcW w:w="6622" w:type="dxa"/>
          </w:tcPr>
          <w:p w14:paraId="0E20F6E7" w14:textId="1877A68C" w:rsidR="00B24926" w:rsidRPr="009578FC" w:rsidRDefault="00B24926" w:rsidP="005564F2">
            <w:pPr>
              <w:keepLines/>
              <w:tabs>
                <w:tab w:val="left" w:pos="2268"/>
                <w:tab w:val="left" w:pos="4536"/>
              </w:tabs>
              <w:spacing w:before="60" w:after="60"/>
              <w:jc w:val="left"/>
              <w:rPr>
                <w:rFonts w:cs="Arial"/>
                <w:szCs w:val="18"/>
              </w:rPr>
            </w:pPr>
            <w:r w:rsidRPr="009578FC">
              <w:rPr>
                <w:szCs w:val="18"/>
              </w:rPr>
              <w:t>Request for the Establishment of a Panel by Ukraine, WT/DS499/2</w:t>
            </w:r>
          </w:p>
        </w:tc>
      </w:tr>
      <w:tr w:rsidR="00027A3D" w:rsidRPr="009578FC" w14:paraId="7119AB38" w14:textId="77777777" w:rsidTr="00C72BA6">
        <w:tc>
          <w:tcPr>
            <w:tcW w:w="2600" w:type="dxa"/>
          </w:tcPr>
          <w:p w14:paraId="21F6CA44" w14:textId="719B5B0F" w:rsidR="00027A3D" w:rsidRPr="009578FC" w:rsidRDefault="00027A3D" w:rsidP="005564F2">
            <w:pPr>
              <w:spacing w:before="60" w:after="60"/>
              <w:jc w:val="left"/>
              <w:rPr>
                <w:rFonts w:cs="Arial"/>
                <w:szCs w:val="18"/>
              </w:rPr>
            </w:pPr>
            <w:r w:rsidRPr="009578FC">
              <w:rPr>
                <w:rFonts w:cs="Arial"/>
                <w:szCs w:val="18"/>
              </w:rPr>
              <w:t>Working Procedures</w:t>
            </w:r>
          </w:p>
        </w:tc>
        <w:tc>
          <w:tcPr>
            <w:tcW w:w="6622" w:type="dxa"/>
          </w:tcPr>
          <w:p w14:paraId="13BA674D" w14:textId="70013C5E" w:rsidR="00027A3D" w:rsidRPr="009578FC" w:rsidRDefault="00027A3D" w:rsidP="005564F2">
            <w:pPr>
              <w:keepLines/>
              <w:tabs>
                <w:tab w:val="left" w:pos="2268"/>
                <w:tab w:val="left" w:pos="4536"/>
              </w:tabs>
              <w:spacing w:before="60" w:after="60"/>
              <w:jc w:val="left"/>
              <w:rPr>
                <w:rFonts w:cs="Arial"/>
                <w:szCs w:val="18"/>
              </w:rPr>
            </w:pPr>
            <w:r w:rsidRPr="009578FC">
              <w:rPr>
                <w:rFonts w:cs="Arial"/>
                <w:szCs w:val="18"/>
              </w:rPr>
              <w:t>Working Procedures for Appellate Review</w:t>
            </w:r>
          </w:p>
        </w:tc>
      </w:tr>
      <w:tr w:rsidR="00027A3D" w:rsidRPr="009578FC" w14:paraId="1A58DA85" w14:textId="77777777" w:rsidTr="00C72BA6">
        <w:trPr>
          <w:cnfStyle w:val="000000010000" w:firstRow="0" w:lastRow="0" w:firstColumn="0" w:lastColumn="0" w:oddVBand="0" w:evenVBand="0" w:oddHBand="0" w:evenHBand="1" w:firstRowFirstColumn="0" w:firstRowLastColumn="0" w:lastRowFirstColumn="0" w:lastRowLastColumn="0"/>
        </w:trPr>
        <w:tc>
          <w:tcPr>
            <w:tcW w:w="2600" w:type="dxa"/>
          </w:tcPr>
          <w:p w14:paraId="6451C63E" w14:textId="05FA9927" w:rsidR="00027A3D" w:rsidRPr="009578FC" w:rsidRDefault="00027A3D" w:rsidP="005564F2">
            <w:pPr>
              <w:spacing w:before="60" w:after="60"/>
              <w:jc w:val="left"/>
              <w:rPr>
                <w:i/>
                <w:szCs w:val="18"/>
              </w:rPr>
            </w:pPr>
            <w:r w:rsidRPr="009578FC">
              <w:rPr>
                <w:rFonts w:cs="Arial"/>
                <w:szCs w:val="18"/>
              </w:rPr>
              <w:t>WTO</w:t>
            </w:r>
          </w:p>
        </w:tc>
        <w:tc>
          <w:tcPr>
            <w:tcW w:w="6622" w:type="dxa"/>
          </w:tcPr>
          <w:p w14:paraId="302F1C2E" w14:textId="79D21CF8" w:rsidR="00027A3D" w:rsidRPr="009578FC" w:rsidRDefault="00027A3D" w:rsidP="005564F2">
            <w:pPr>
              <w:keepLines/>
              <w:tabs>
                <w:tab w:val="left" w:pos="2268"/>
                <w:tab w:val="left" w:pos="4536"/>
              </w:tabs>
              <w:spacing w:before="60" w:after="60"/>
              <w:jc w:val="left"/>
              <w:rPr>
                <w:szCs w:val="18"/>
              </w:rPr>
            </w:pPr>
            <w:r w:rsidRPr="009578FC">
              <w:rPr>
                <w:rFonts w:cs="Arial"/>
                <w:szCs w:val="18"/>
              </w:rPr>
              <w:t>World Trade Organization</w:t>
            </w:r>
          </w:p>
        </w:tc>
      </w:tr>
      <w:bookmarkEnd w:id="2"/>
    </w:tbl>
    <w:p w14:paraId="5DC3D092" w14:textId="77777777" w:rsidR="00AB41A7" w:rsidRPr="00F85DF3" w:rsidRDefault="00AB41A7" w:rsidP="00CE371F"/>
    <w:p w14:paraId="6687D937" w14:textId="77777777" w:rsidR="005B1803" w:rsidRPr="00F85DF3" w:rsidRDefault="00AB41A7" w:rsidP="00BB7DD3">
      <w:pPr>
        <w:pStyle w:val="Title"/>
        <w:sectPr w:rsidR="005B1803" w:rsidRPr="00F85DF3" w:rsidSect="00AD4D5F">
          <w:headerReference w:type="even" r:id="rId8"/>
          <w:headerReference w:type="default" r:id="rId9"/>
          <w:footerReference w:type="even" r:id="rId10"/>
          <w:footerReference w:type="default" r:id="rId11"/>
          <w:headerReference w:type="first" r:id="rId12"/>
          <w:footerReference w:type="first" r:id="rId13"/>
          <w:footnotePr>
            <w:numFmt w:val="chicago"/>
            <w:numRestart w:val="eachSect"/>
          </w:footnotePr>
          <w:pgSz w:w="11906" w:h="16838" w:code="9"/>
          <w:pgMar w:top="1701" w:right="1440" w:bottom="1440" w:left="1440" w:header="720" w:footer="720" w:gutter="0"/>
          <w:cols w:space="708"/>
          <w:titlePg/>
          <w:docGrid w:linePitch="360"/>
        </w:sectPr>
      </w:pPr>
      <w:r w:rsidRPr="00F85DF3">
        <w:t>PANEL EXHIBITS CITED IN THIS REPORT</w:t>
      </w:r>
      <w:r w:rsidR="005B1803" w:rsidRPr="00F85DF3">
        <w:rPr>
          <w:rStyle w:val="FootnoteReference"/>
        </w:rPr>
        <w:footnoteReference w:id="1"/>
      </w:r>
    </w:p>
    <w:p w14:paraId="3C2549FB" w14:textId="694DBE3B" w:rsidR="00AB41A7" w:rsidRPr="00F85DF3" w:rsidRDefault="00AB41A7" w:rsidP="00D24122">
      <w:pPr>
        <w:pStyle w:val="Title"/>
        <w:spacing w:after="0"/>
      </w:pPr>
    </w:p>
    <w:tbl>
      <w:tblPr>
        <w:tblStyle w:val="WTOTable1"/>
        <w:tblW w:w="9222" w:type="dxa"/>
        <w:tblLayout w:type="fixed"/>
        <w:tblLook w:val="0060" w:firstRow="1" w:lastRow="1" w:firstColumn="0" w:lastColumn="0" w:noHBand="0" w:noVBand="0"/>
      </w:tblPr>
      <w:tblGrid>
        <w:gridCol w:w="2600"/>
        <w:gridCol w:w="6622"/>
      </w:tblGrid>
      <w:tr w:rsidR="00AB41A7" w:rsidRPr="009578FC" w14:paraId="4146B7A3" w14:textId="77777777" w:rsidTr="00C72BA6">
        <w:trPr>
          <w:cnfStyle w:val="100000000000" w:firstRow="1" w:lastRow="0" w:firstColumn="0" w:lastColumn="0" w:oddVBand="0" w:evenVBand="0" w:oddHBand="0" w:evenHBand="0" w:firstRowFirstColumn="0" w:firstRowLastColumn="0" w:lastRowFirstColumn="0" w:lastRowLastColumn="0"/>
          <w:tblHeader/>
        </w:trPr>
        <w:tc>
          <w:tcPr>
            <w:tcW w:w="2600" w:type="dxa"/>
          </w:tcPr>
          <w:p w14:paraId="7D93ECF5" w14:textId="07BB0F8F" w:rsidR="00AB41A7" w:rsidRPr="009578FC" w:rsidRDefault="00F37053" w:rsidP="005564F2">
            <w:pPr>
              <w:keepLines/>
              <w:tabs>
                <w:tab w:val="left" w:pos="2268"/>
                <w:tab w:val="left" w:pos="4536"/>
              </w:tabs>
              <w:spacing w:before="60" w:after="60"/>
              <w:jc w:val="center"/>
              <w:rPr>
                <w:b w:val="0"/>
                <w:szCs w:val="18"/>
              </w:rPr>
            </w:pPr>
            <w:bookmarkStart w:id="9" w:name="_Hlk30421047"/>
            <w:r w:rsidRPr="009578FC">
              <w:rPr>
                <w:szCs w:val="18"/>
              </w:rPr>
              <w:t>Exhibit N</w:t>
            </w:r>
            <w:r w:rsidR="001A0B9E" w:rsidRPr="009578FC">
              <w:rPr>
                <w:szCs w:val="18"/>
              </w:rPr>
              <w:t>umber</w:t>
            </w:r>
          </w:p>
        </w:tc>
        <w:tc>
          <w:tcPr>
            <w:tcW w:w="6622" w:type="dxa"/>
          </w:tcPr>
          <w:p w14:paraId="2EF67DD9" w14:textId="4AB41111" w:rsidR="00AB41A7" w:rsidRPr="009578FC" w:rsidRDefault="00B42018" w:rsidP="005564F2">
            <w:pPr>
              <w:keepLines/>
              <w:tabs>
                <w:tab w:val="left" w:pos="2268"/>
                <w:tab w:val="left" w:pos="4536"/>
              </w:tabs>
              <w:spacing w:before="60" w:after="60"/>
              <w:jc w:val="center"/>
              <w:rPr>
                <w:b w:val="0"/>
                <w:szCs w:val="18"/>
              </w:rPr>
            </w:pPr>
            <w:r>
              <w:rPr>
                <w:szCs w:val="18"/>
              </w:rPr>
              <w:t>Description</w:t>
            </w:r>
          </w:p>
        </w:tc>
      </w:tr>
      <w:tr w:rsidR="00FC0F86" w:rsidRPr="009578FC" w14:paraId="2EFA3ED6" w14:textId="77777777" w:rsidTr="00C72BA6">
        <w:tc>
          <w:tcPr>
            <w:tcW w:w="2600" w:type="dxa"/>
          </w:tcPr>
          <w:p w14:paraId="1D315F1B" w14:textId="5C68E100" w:rsidR="00FC0F86" w:rsidRPr="009578FC" w:rsidRDefault="002F201F" w:rsidP="005564F2">
            <w:pPr>
              <w:spacing w:before="60" w:after="60"/>
              <w:rPr>
                <w:szCs w:val="18"/>
              </w:rPr>
            </w:pPr>
            <w:r w:rsidRPr="009578FC">
              <w:rPr>
                <w:szCs w:val="18"/>
              </w:rPr>
              <w:t>RUS</w:t>
            </w:r>
            <w:r w:rsidRPr="009578FC">
              <w:rPr>
                <w:szCs w:val="18"/>
              </w:rPr>
              <w:noBreakHyphen/>
            </w:r>
            <w:r w:rsidR="00FC0F86" w:rsidRPr="009578FC">
              <w:rPr>
                <w:szCs w:val="18"/>
              </w:rPr>
              <w:t>23</w:t>
            </w:r>
          </w:p>
        </w:tc>
        <w:tc>
          <w:tcPr>
            <w:tcW w:w="6622" w:type="dxa"/>
          </w:tcPr>
          <w:p w14:paraId="0A1A534C" w14:textId="2E509972" w:rsidR="00FC0F86" w:rsidRPr="009578FC" w:rsidRDefault="00815C12" w:rsidP="005564F2">
            <w:pPr>
              <w:keepLines/>
              <w:tabs>
                <w:tab w:val="left" w:pos="2268"/>
                <w:tab w:val="left" w:pos="4536"/>
              </w:tabs>
              <w:spacing w:before="60" w:after="60"/>
              <w:jc w:val="left"/>
              <w:rPr>
                <w:szCs w:val="18"/>
              </w:rPr>
            </w:pPr>
            <w:r w:rsidRPr="009578FC">
              <w:rPr>
                <w:szCs w:val="18"/>
              </w:rPr>
              <w:t xml:space="preserve">Organization Standard СTO PC-FZT 08-2013 </w:t>
            </w:r>
            <w:r w:rsidR="00D13E2C" w:rsidRPr="009578FC">
              <w:rPr>
                <w:szCs w:val="18"/>
              </w:rPr>
              <w:t>"</w:t>
            </w:r>
            <w:r w:rsidRPr="009578FC">
              <w:rPr>
                <w:szCs w:val="18"/>
              </w:rPr>
              <w:t>Procedure of organization and implementation of inspection control of certified products</w:t>
            </w:r>
            <w:r w:rsidR="00D13E2C" w:rsidRPr="009578FC">
              <w:rPr>
                <w:szCs w:val="18"/>
              </w:rPr>
              <w:t>"</w:t>
            </w:r>
          </w:p>
        </w:tc>
      </w:tr>
      <w:tr w:rsidR="00AB41A7" w:rsidRPr="009578FC" w14:paraId="49867691" w14:textId="77777777" w:rsidTr="00C72BA6">
        <w:trPr>
          <w:cnfStyle w:val="000000010000" w:firstRow="0" w:lastRow="0" w:firstColumn="0" w:lastColumn="0" w:oddVBand="0" w:evenVBand="0" w:oddHBand="0" w:evenHBand="1" w:firstRowFirstColumn="0" w:firstRowLastColumn="0" w:lastRowFirstColumn="0" w:lastRowLastColumn="0"/>
        </w:trPr>
        <w:tc>
          <w:tcPr>
            <w:tcW w:w="2600" w:type="dxa"/>
          </w:tcPr>
          <w:p w14:paraId="50FFBED5" w14:textId="3757902B" w:rsidR="00AB41A7" w:rsidRPr="009578FC" w:rsidRDefault="002F201F" w:rsidP="005564F2">
            <w:pPr>
              <w:spacing w:before="60" w:after="60"/>
              <w:rPr>
                <w:i/>
                <w:szCs w:val="18"/>
              </w:rPr>
            </w:pPr>
            <w:r w:rsidRPr="009578FC">
              <w:rPr>
                <w:szCs w:val="18"/>
              </w:rPr>
              <w:t>RUS</w:t>
            </w:r>
            <w:r w:rsidRPr="009578FC">
              <w:rPr>
                <w:szCs w:val="18"/>
              </w:rPr>
              <w:noBreakHyphen/>
            </w:r>
            <w:r w:rsidR="00F05A15" w:rsidRPr="009578FC">
              <w:rPr>
                <w:szCs w:val="18"/>
              </w:rPr>
              <w:t xml:space="preserve">62 (BCI) </w:t>
            </w:r>
          </w:p>
        </w:tc>
        <w:tc>
          <w:tcPr>
            <w:tcW w:w="6622" w:type="dxa"/>
          </w:tcPr>
          <w:p w14:paraId="7E48CA51" w14:textId="78FFA871" w:rsidR="00AB41A7" w:rsidRPr="009578FC" w:rsidRDefault="008975DC" w:rsidP="005564F2">
            <w:pPr>
              <w:keepLines/>
              <w:tabs>
                <w:tab w:val="left" w:pos="2268"/>
                <w:tab w:val="left" w:pos="4536"/>
              </w:tabs>
              <w:spacing w:before="60" w:after="60"/>
              <w:jc w:val="left"/>
              <w:rPr>
                <w:szCs w:val="18"/>
              </w:rPr>
            </w:pPr>
            <w:r w:rsidRPr="009578FC">
              <w:rPr>
                <w:szCs w:val="18"/>
              </w:rPr>
              <w:t>D</w:t>
            </w:r>
            <w:r w:rsidR="00815C12" w:rsidRPr="009578FC">
              <w:rPr>
                <w:szCs w:val="18"/>
              </w:rPr>
              <w:t xml:space="preserve">ocuments of the FBO providing for the inconsistencies of the certified products of PJSC </w:t>
            </w:r>
            <w:r w:rsidR="00693196" w:rsidRPr="009578FC">
              <w:rPr>
                <w:b/>
                <w:szCs w:val="18"/>
              </w:rPr>
              <w:t>[BCI]</w:t>
            </w:r>
          </w:p>
        </w:tc>
      </w:tr>
      <w:tr w:rsidR="00F05A15" w:rsidRPr="009578FC" w14:paraId="5759C68B" w14:textId="77777777" w:rsidTr="00C72BA6">
        <w:tc>
          <w:tcPr>
            <w:tcW w:w="2600" w:type="dxa"/>
          </w:tcPr>
          <w:p w14:paraId="677E81F9" w14:textId="5627DCFD" w:rsidR="00F05A15" w:rsidRPr="009578FC" w:rsidRDefault="002F201F" w:rsidP="005564F2">
            <w:pPr>
              <w:spacing w:before="60" w:after="60"/>
              <w:rPr>
                <w:szCs w:val="18"/>
              </w:rPr>
            </w:pPr>
            <w:r w:rsidRPr="009578FC">
              <w:rPr>
                <w:szCs w:val="18"/>
              </w:rPr>
              <w:t>RUS</w:t>
            </w:r>
            <w:r w:rsidRPr="009578FC">
              <w:rPr>
                <w:szCs w:val="18"/>
              </w:rPr>
              <w:noBreakHyphen/>
            </w:r>
            <w:r w:rsidR="00F05A15" w:rsidRPr="009578FC">
              <w:rPr>
                <w:szCs w:val="18"/>
              </w:rPr>
              <w:t xml:space="preserve">63 (BCI) </w:t>
            </w:r>
          </w:p>
        </w:tc>
        <w:tc>
          <w:tcPr>
            <w:tcW w:w="6622" w:type="dxa"/>
          </w:tcPr>
          <w:p w14:paraId="7B4D1634" w14:textId="02EDED24" w:rsidR="00F05A15" w:rsidRPr="009578FC" w:rsidRDefault="008975DC" w:rsidP="005564F2">
            <w:pPr>
              <w:keepLines/>
              <w:tabs>
                <w:tab w:val="left" w:pos="2268"/>
                <w:tab w:val="left" w:pos="4536"/>
              </w:tabs>
              <w:spacing w:before="60" w:after="60"/>
              <w:jc w:val="left"/>
              <w:rPr>
                <w:szCs w:val="18"/>
              </w:rPr>
            </w:pPr>
            <w:r w:rsidRPr="009578FC">
              <w:rPr>
                <w:szCs w:val="18"/>
              </w:rPr>
              <w:t>D</w:t>
            </w:r>
            <w:r w:rsidR="00815C12" w:rsidRPr="009578FC">
              <w:rPr>
                <w:szCs w:val="18"/>
              </w:rPr>
              <w:t xml:space="preserve">ocuments of the FBO providing for the inconsistencies of the certified products of PJSC </w:t>
            </w:r>
            <w:r w:rsidR="00693196" w:rsidRPr="009578FC">
              <w:rPr>
                <w:b/>
                <w:szCs w:val="18"/>
              </w:rPr>
              <w:t>[BCI]</w:t>
            </w:r>
          </w:p>
        </w:tc>
      </w:tr>
      <w:tr w:rsidR="00F05A15" w:rsidRPr="009578FC" w14:paraId="79EB8543" w14:textId="77777777" w:rsidTr="00C72BA6">
        <w:trPr>
          <w:cnfStyle w:val="000000010000" w:firstRow="0" w:lastRow="0" w:firstColumn="0" w:lastColumn="0" w:oddVBand="0" w:evenVBand="0" w:oddHBand="0" w:evenHBand="1" w:firstRowFirstColumn="0" w:firstRowLastColumn="0" w:lastRowFirstColumn="0" w:lastRowLastColumn="0"/>
        </w:trPr>
        <w:tc>
          <w:tcPr>
            <w:tcW w:w="2600" w:type="dxa"/>
          </w:tcPr>
          <w:p w14:paraId="0CFFC054" w14:textId="3D2FDFD1" w:rsidR="00F05A15" w:rsidRPr="009578FC" w:rsidRDefault="002F201F" w:rsidP="005564F2">
            <w:pPr>
              <w:spacing w:before="60" w:after="60"/>
              <w:rPr>
                <w:szCs w:val="18"/>
              </w:rPr>
            </w:pPr>
            <w:r w:rsidRPr="009578FC">
              <w:rPr>
                <w:szCs w:val="18"/>
              </w:rPr>
              <w:t>RUS</w:t>
            </w:r>
            <w:r w:rsidRPr="009578FC">
              <w:rPr>
                <w:szCs w:val="18"/>
              </w:rPr>
              <w:noBreakHyphen/>
            </w:r>
            <w:r w:rsidR="00F05A15" w:rsidRPr="009578FC">
              <w:rPr>
                <w:szCs w:val="18"/>
              </w:rPr>
              <w:t xml:space="preserve">64 (BCI) </w:t>
            </w:r>
          </w:p>
        </w:tc>
        <w:tc>
          <w:tcPr>
            <w:tcW w:w="6622" w:type="dxa"/>
          </w:tcPr>
          <w:p w14:paraId="4A820AF7" w14:textId="7CAF3BBE" w:rsidR="00F05A15" w:rsidRPr="009578FC" w:rsidRDefault="008975DC" w:rsidP="005564F2">
            <w:pPr>
              <w:keepLines/>
              <w:tabs>
                <w:tab w:val="left" w:pos="2268"/>
                <w:tab w:val="left" w:pos="4536"/>
              </w:tabs>
              <w:spacing w:before="60" w:after="60"/>
              <w:jc w:val="left"/>
              <w:rPr>
                <w:szCs w:val="18"/>
              </w:rPr>
            </w:pPr>
            <w:r w:rsidRPr="009578FC">
              <w:rPr>
                <w:szCs w:val="18"/>
              </w:rPr>
              <w:t>D</w:t>
            </w:r>
            <w:r w:rsidR="00815C12" w:rsidRPr="009578FC">
              <w:rPr>
                <w:szCs w:val="18"/>
              </w:rPr>
              <w:t xml:space="preserve">ocuments of the FBO providing for the inconsistencies of the certified products of PJSC </w:t>
            </w:r>
            <w:r w:rsidR="00693196" w:rsidRPr="009578FC">
              <w:rPr>
                <w:b/>
                <w:szCs w:val="18"/>
              </w:rPr>
              <w:t>[BCI]</w:t>
            </w:r>
          </w:p>
        </w:tc>
      </w:tr>
      <w:tr w:rsidR="00815C12" w:rsidRPr="009578FC" w14:paraId="2322BDE8" w14:textId="77777777" w:rsidTr="00C72BA6">
        <w:tc>
          <w:tcPr>
            <w:tcW w:w="2600" w:type="dxa"/>
          </w:tcPr>
          <w:p w14:paraId="44076DB6" w14:textId="4CD95AFA" w:rsidR="00815C12" w:rsidRPr="009578FC" w:rsidRDefault="00815C12" w:rsidP="00815C12">
            <w:pPr>
              <w:spacing w:before="60" w:after="60"/>
              <w:rPr>
                <w:szCs w:val="18"/>
              </w:rPr>
            </w:pPr>
            <w:r w:rsidRPr="009578FC">
              <w:rPr>
                <w:szCs w:val="18"/>
              </w:rPr>
              <w:lastRenderedPageBreak/>
              <w:t>RUS</w:t>
            </w:r>
            <w:r w:rsidRPr="009578FC">
              <w:rPr>
                <w:szCs w:val="18"/>
              </w:rPr>
              <w:noBreakHyphen/>
              <w:t>65 (BCI)</w:t>
            </w:r>
          </w:p>
        </w:tc>
        <w:tc>
          <w:tcPr>
            <w:tcW w:w="6622" w:type="dxa"/>
          </w:tcPr>
          <w:p w14:paraId="6C08A805" w14:textId="67A0C8DB" w:rsidR="00815C12" w:rsidRPr="009578FC" w:rsidRDefault="008975DC" w:rsidP="00815C12">
            <w:pPr>
              <w:keepLines/>
              <w:tabs>
                <w:tab w:val="left" w:pos="2268"/>
                <w:tab w:val="left" w:pos="4536"/>
              </w:tabs>
              <w:spacing w:before="60" w:after="60"/>
              <w:jc w:val="left"/>
              <w:rPr>
                <w:szCs w:val="18"/>
              </w:rPr>
            </w:pPr>
            <w:r w:rsidRPr="009578FC">
              <w:rPr>
                <w:szCs w:val="18"/>
              </w:rPr>
              <w:t>D</w:t>
            </w:r>
            <w:r w:rsidR="00815C12" w:rsidRPr="009578FC">
              <w:rPr>
                <w:szCs w:val="18"/>
              </w:rPr>
              <w:t xml:space="preserve">ocuments of the FBO providing for the inconsistencies of the certified products </w:t>
            </w:r>
            <w:r w:rsidR="00D54287">
              <w:rPr>
                <w:szCs w:val="18"/>
              </w:rPr>
              <w:t xml:space="preserve">of </w:t>
            </w:r>
            <w:r w:rsidR="00815C12" w:rsidRPr="009578FC">
              <w:rPr>
                <w:szCs w:val="18"/>
              </w:rPr>
              <w:t xml:space="preserve">PJSC </w:t>
            </w:r>
            <w:r w:rsidR="00693196" w:rsidRPr="009578FC">
              <w:rPr>
                <w:b/>
                <w:szCs w:val="18"/>
              </w:rPr>
              <w:t>[BCI]</w:t>
            </w:r>
          </w:p>
        </w:tc>
      </w:tr>
      <w:tr w:rsidR="00815C12" w:rsidRPr="009578FC" w14:paraId="7AB0BDE1" w14:textId="77777777" w:rsidTr="00C72BA6">
        <w:trPr>
          <w:cnfStyle w:val="000000010000" w:firstRow="0" w:lastRow="0" w:firstColumn="0" w:lastColumn="0" w:oddVBand="0" w:evenVBand="0" w:oddHBand="0" w:evenHBand="1" w:firstRowFirstColumn="0" w:firstRowLastColumn="0" w:lastRowFirstColumn="0" w:lastRowLastColumn="0"/>
        </w:trPr>
        <w:tc>
          <w:tcPr>
            <w:tcW w:w="2600" w:type="dxa"/>
          </w:tcPr>
          <w:p w14:paraId="64D8B877" w14:textId="6907D7D2" w:rsidR="00815C12" w:rsidRPr="009578FC" w:rsidRDefault="00815C12" w:rsidP="00815C12">
            <w:pPr>
              <w:spacing w:before="60" w:after="60"/>
              <w:rPr>
                <w:szCs w:val="18"/>
              </w:rPr>
            </w:pPr>
            <w:r w:rsidRPr="009578FC">
              <w:rPr>
                <w:szCs w:val="18"/>
              </w:rPr>
              <w:t>RUS</w:t>
            </w:r>
            <w:r w:rsidRPr="009578FC">
              <w:rPr>
                <w:szCs w:val="18"/>
              </w:rPr>
              <w:noBreakHyphen/>
              <w:t>66 (BCI)</w:t>
            </w:r>
          </w:p>
        </w:tc>
        <w:tc>
          <w:tcPr>
            <w:tcW w:w="6622" w:type="dxa"/>
          </w:tcPr>
          <w:p w14:paraId="6929911C" w14:textId="11B0B0A2" w:rsidR="00815C12" w:rsidRPr="009578FC" w:rsidRDefault="008975DC" w:rsidP="00815C12">
            <w:pPr>
              <w:keepLines/>
              <w:tabs>
                <w:tab w:val="left" w:pos="2268"/>
                <w:tab w:val="left" w:pos="4536"/>
              </w:tabs>
              <w:spacing w:before="60" w:after="60"/>
              <w:jc w:val="left"/>
              <w:rPr>
                <w:szCs w:val="18"/>
              </w:rPr>
            </w:pPr>
            <w:r w:rsidRPr="009578FC">
              <w:rPr>
                <w:szCs w:val="18"/>
              </w:rPr>
              <w:t>D</w:t>
            </w:r>
            <w:r w:rsidR="00815C12" w:rsidRPr="009578FC">
              <w:rPr>
                <w:szCs w:val="18"/>
              </w:rPr>
              <w:t xml:space="preserve">ocuments of the FBO providing for the inconsistencies of the certified products </w:t>
            </w:r>
            <w:r w:rsidR="00D54287">
              <w:rPr>
                <w:szCs w:val="18"/>
              </w:rPr>
              <w:t xml:space="preserve">of </w:t>
            </w:r>
            <w:r w:rsidR="00815C12" w:rsidRPr="009578FC">
              <w:rPr>
                <w:szCs w:val="18"/>
              </w:rPr>
              <w:t xml:space="preserve">PJSC </w:t>
            </w:r>
            <w:r w:rsidR="00693196" w:rsidRPr="009578FC">
              <w:rPr>
                <w:b/>
                <w:szCs w:val="18"/>
              </w:rPr>
              <w:t>[BCI]</w:t>
            </w:r>
          </w:p>
        </w:tc>
      </w:tr>
      <w:tr w:rsidR="00815C12" w:rsidRPr="009578FC" w14:paraId="6D649CCE" w14:textId="77777777" w:rsidTr="00C72BA6">
        <w:tc>
          <w:tcPr>
            <w:tcW w:w="2600" w:type="dxa"/>
          </w:tcPr>
          <w:p w14:paraId="28715BBE" w14:textId="3DD1DC42" w:rsidR="00815C12" w:rsidRPr="009578FC" w:rsidRDefault="00815C12" w:rsidP="00815C12">
            <w:pPr>
              <w:spacing w:before="60" w:after="60"/>
              <w:rPr>
                <w:szCs w:val="18"/>
              </w:rPr>
            </w:pPr>
            <w:r w:rsidRPr="009578FC">
              <w:rPr>
                <w:szCs w:val="18"/>
              </w:rPr>
              <w:t>RUS</w:t>
            </w:r>
            <w:r w:rsidRPr="009578FC">
              <w:rPr>
                <w:szCs w:val="18"/>
              </w:rPr>
              <w:noBreakHyphen/>
              <w:t>67 (BCI)</w:t>
            </w:r>
          </w:p>
        </w:tc>
        <w:tc>
          <w:tcPr>
            <w:tcW w:w="6622" w:type="dxa"/>
          </w:tcPr>
          <w:p w14:paraId="1FD94624" w14:textId="04E9F5DE" w:rsidR="00815C12" w:rsidRPr="009578FC" w:rsidRDefault="00815C12" w:rsidP="00815C12">
            <w:pPr>
              <w:keepLines/>
              <w:tabs>
                <w:tab w:val="left" w:pos="2268"/>
                <w:tab w:val="left" w:pos="4536"/>
              </w:tabs>
              <w:spacing w:before="60" w:after="60"/>
              <w:jc w:val="left"/>
              <w:rPr>
                <w:szCs w:val="18"/>
              </w:rPr>
            </w:pPr>
            <w:r w:rsidRPr="009578FC">
              <w:rPr>
                <w:szCs w:val="18"/>
              </w:rPr>
              <w:t xml:space="preserve">Letter </w:t>
            </w:r>
            <w:r w:rsidR="00993292" w:rsidRPr="009578FC">
              <w:rPr>
                <w:szCs w:val="18"/>
              </w:rPr>
              <w:t xml:space="preserve">dated 23 May 2016 </w:t>
            </w:r>
            <w:r w:rsidRPr="009578FC">
              <w:rPr>
                <w:szCs w:val="18"/>
              </w:rPr>
              <w:t xml:space="preserve">from </w:t>
            </w:r>
            <w:r w:rsidR="00B42018" w:rsidRPr="009578FC">
              <w:rPr>
                <w:b/>
              </w:rPr>
              <w:t xml:space="preserve">[BCI] </w:t>
            </w:r>
            <w:r w:rsidRPr="009578FC">
              <w:rPr>
                <w:szCs w:val="18"/>
              </w:rPr>
              <w:t>to the FBO</w:t>
            </w:r>
          </w:p>
        </w:tc>
      </w:tr>
      <w:tr w:rsidR="00815C12" w:rsidRPr="009578FC" w14:paraId="77D7FAEF" w14:textId="77777777" w:rsidTr="00C72BA6">
        <w:trPr>
          <w:cnfStyle w:val="000000010000" w:firstRow="0" w:lastRow="0" w:firstColumn="0" w:lastColumn="0" w:oddVBand="0" w:evenVBand="0" w:oddHBand="0" w:evenHBand="1" w:firstRowFirstColumn="0" w:firstRowLastColumn="0" w:lastRowFirstColumn="0" w:lastRowLastColumn="0"/>
        </w:trPr>
        <w:tc>
          <w:tcPr>
            <w:tcW w:w="2600" w:type="dxa"/>
          </w:tcPr>
          <w:p w14:paraId="128ABD60" w14:textId="6CC32A38" w:rsidR="00815C12" w:rsidRPr="009578FC" w:rsidRDefault="00815C12" w:rsidP="00815C12">
            <w:pPr>
              <w:spacing w:before="60" w:after="60"/>
              <w:rPr>
                <w:szCs w:val="18"/>
              </w:rPr>
            </w:pPr>
            <w:r w:rsidRPr="009578FC">
              <w:rPr>
                <w:szCs w:val="18"/>
              </w:rPr>
              <w:t>RUS</w:t>
            </w:r>
            <w:r w:rsidRPr="009578FC">
              <w:rPr>
                <w:szCs w:val="18"/>
              </w:rPr>
              <w:noBreakHyphen/>
              <w:t>68 (BCI)</w:t>
            </w:r>
          </w:p>
        </w:tc>
        <w:tc>
          <w:tcPr>
            <w:tcW w:w="6622" w:type="dxa"/>
          </w:tcPr>
          <w:p w14:paraId="6F8FB9CE" w14:textId="69CB17A1" w:rsidR="00815C12" w:rsidRPr="009578FC" w:rsidRDefault="00815C12" w:rsidP="00815C12">
            <w:pPr>
              <w:keepLines/>
              <w:tabs>
                <w:tab w:val="left" w:pos="2268"/>
                <w:tab w:val="left" w:pos="4536"/>
              </w:tabs>
              <w:spacing w:before="60" w:after="60"/>
              <w:jc w:val="left"/>
              <w:rPr>
                <w:szCs w:val="18"/>
              </w:rPr>
            </w:pPr>
            <w:r w:rsidRPr="009578FC">
              <w:rPr>
                <w:szCs w:val="18"/>
              </w:rPr>
              <w:t xml:space="preserve">Letter </w:t>
            </w:r>
            <w:r w:rsidR="00BE796D" w:rsidRPr="009578FC">
              <w:rPr>
                <w:szCs w:val="18"/>
              </w:rPr>
              <w:t>dated 1</w:t>
            </w:r>
            <w:r w:rsidR="00B42018">
              <w:rPr>
                <w:szCs w:val="18"/>
              </w:rPr>
              <w:t>3</w:t>
            </w:r>
            <w:r w:rsidR="00BE796D" w:rsidRPr="009578FC">
              <w:rPr>
                <w:szCs w:val="18"/>
              </w:rPr>
              <w:t xml:space="preserve"> June 2013 </w:t>
            </w:r>
            <w:r w:rsidRPr="009578FC">
              <w:rPr>
                <w:szCs w:val="18"/>
              </w:rPr>
              <w:t xml:space="preserve">from </w:t>
            </w:r>
            <w:r w:rsidR="00B42018" w:rsidRPr="009578FC">
              <w:rPr>
                <w:b/>
              </w:rPr>
              <w:t xml:space="preserve">[BCI] </w:t>
            </w:r>
            <w:r w:rsidRPr="009578FC">
              <w:rPr>
                <w:szCs w:val="18"/>
              </w:rPr>
              <w:t xml:space="preserve">to the Deputy Minister of the </w:t>
            </w:r>
            <w:r w:rsidR="00A15ED1" w:rsidRPr="009578FC">
              <w:rPr>
                <w:szCs w:val="18"/>
              </w:rPr>
              <w:t>MOT</w:t>
            </w:r>
          </w:p>
        </w:tc>
      </w:tr>
      <w:tr w:rsidR="00815C12" w:rsidRPr="009578FC" w14:paraId="53887AC5" w14:textId="77777777" w:rsidTr="00C72BA6">
        <w:tc>
          <w:tcPr>
            <w:tcW w:w="2600" w:type="dxa"/>
          </w:tcPr>
          <w:p w14:paraId="467F7D4E" w14:textId="6F846009" w:rsidR="00815C12" w:rsidRPr="009578FC" w:rsidRDefault="00815C12" w:rsidP="00815C12">
            <w:pPr>
              <w:spacing w:before="60" w:after="60"/>
              <w:rPr>
                <w:i/>
                <w:szCs w:val="18"/>
              </w:rPr>
            </w:pPr>
            <w:r w:rsidRPr="009578FC">
              <w:rPr>
                <w:szCs w:val="18"/>
              </w:rPr>
              <w:t>RUS</w:t>
            </w:r>
            <w:r w:rsidRPr="009578FC">
              <w:rPr>
                <w:szCs w:val="18"/>
              </w:rPr>
              <w:noBreakHyphen/>
              <w:t>69 (BCI)</w:t>
            </w:r>
          </w:p>
        </w:tc>
        <w:tc>
          <w:tcPr>
            <w:tcW w:w="6622" w:type="dxa"/>
          </w:tcPr>
          <w:p w14:paraId="23F6F101" w14:textId="1F227D08" w:rsidR="00815C12" w:rsidRPr="009578FC" w:rsidRDefault="00815C12" w:rsidP="00815C12">
            <w:pPr>
              <w:keepLines/>
              <w:tabs>
                <w:tab w:val="left" w:pos="2268"/>
                <w:tab w:val="left" w:pos="4536"/>
              </w:tabs>
              <w:spacing w:before="60" w:after="60"/>
              <w:jc w:val="left"/>
              <w:rPr>
                <w:szCs w:val="18"/>
              </w:rPr>
            </w:pPr>
            <w:r w:rsidRPr="009578FC">
              <w:rPr>
                <w:szCs w:val="18"/>
              </w:rPr>
              <w:t xml:space="preserve">Letter </w:t>
            </w:r>
            <w:r w:rsidR="00BE796D" w:rsidRPr="009578FC">
              <w:rPr>
                <w:szCs w:val="18"/>
              </w:rPr>
              <w:t xml:space="preserve">dated 3 December 2015 </w:t>
            </w:r>
            <w:r w:rsidRPr="009578FC">
              <w:rPr>
                <w:szCs w:val="18"/>
              </w:rPr>
              <w:t xml:space="preserve">from </w:t>
            </w:r>
            <w:r w:rsidR="00B42018" w:rsidRPr="009578FC">
              <w:rPr>
                <w:b/>
              </w:rPr>
              <w:t xml:space="preserve">[BCI] </w:t>
            </w:r>
            <w:r w:rsidRPr="009578FC">
              <w:rPr>
                <w:szCs w:val="18"/>
              </w:rPr>
              <w:t>to the FBO</w:t>
            </w:r>
          </w:p>
        </w:tc>
      </w:tr>
      <w:tr w:rsidR="00815C12" w:rsidRPr="009578FC" w14:paraId="4CAF8BBC" w14:textId="77777777" w:rsidTr="00C72BA6">
        <w:trPr>
          <w:cnfStyle w:val="000000010000" w:firstRow="0" w:lastRow="0" w:firstColumn="0" w:lastColumn="0" w:oddVBand="0" w:evenVBand="0" w:oddHBand="0" w:evenHBand="1" w:firstRowFirstColumn="0" w:firstRowLastColumn="0" w:lastRowFirstColumn="0" w:lastRowLastColumn="0"/>
        </w:trPr>
        <w:tc>
          <w:tcPr>
            <w:tcW w:w="2600" w:type="dxa"/>
          </w:tcPr>
          <w:p w14:paraId="35DAB561" w14:textId="78861DB5" w:rsidR="00815C12" w:rsidRPr="009578FC" w:rsidRDefault="00815C12" w:rsidP="00815C12">
            <w:pPr>
              <w:spacing w:before="60" w:after="60"/>
              <w:rPr>
                <w:i/>
                <w:szCs w:val="18"/>
              </w:rPr>
            </w:pPr>
            <w:r w:rsidRPr="009578FC">
              <w:rPr>
                <w:szCs w:val="18"/>
              </w:rPr>
              <w:t>RUS</w:t>
            </w:r>
            <w:r w:rsidRPr="009578FC">
              <w:rPr>
                <w:szCs w:val="18"/>
              </w:rPr>
              <w:noBreakHyphen/>
              <w:t>70 (BCI)</w:t>
            </w:r>
          </w:p>
        </w:tc>
        <w:tc>
          <w:tcPr>
            <w:tcW w:w="6622" w:type="dxa"/>
          </w:tcPr>
          <w:p w14:paraId="226D0D9A" w14:textId="25B3D8F7" w:rsidR="00815C12" w:rsidRPr="009578FC" w:rsidRDefault="00815C12" w:rsidP="00815C12">
            <w:pPr>
              <w:keepLines/>
              <w:tabs>
                <w:tab w:val="left" w:pos="2268"/>
                <w:tab w:val="left" w:pos="4536"/>
              </w:tabs>
              <w:spacing w:before="60" w:after="60"/>
              <w:jc w:val="left"/>
              <w:rPr>
                <w:szCs w:val="18"/>
              </w:rPr>
            </w:pPr>
            <w:r w:rsidRPr="009578FC">
              <w:rPr>
                <w:szCs w:val="18"/>
              </w:rPr>
              <w:t xml:space="preserve">Letter </w:t>
            </w:r>
            <w:r w:rsidR="00BE796D" w:rsidRPr="009578FC">
              <w:rPr>
                <w:szCs w:val="18"/>
              </w:rPr>
              <w:t xml:space="preserve">dated 17 February 2013 </w:t>
            </w:r>
            <w:r w:rsidRPr="009578FC">
              <w:rPr>
                <w:szCs w:val="18"/>
              </w:rPr>
              <w:t xml:space="preserve">from </w:t>
            </w:r>
            <w:r w:rsidR="00B42018" w:rsidRPr="009578FC">
              <w:rPr>
                <w:b/>
              </w:rPr>
              <w:t xml:space="preserve">[BCI] </w:t>
            </w:r>
            <w:r w:rsidRPr="009578FC">
              <w:rPr>
                <w:szCs w:val="18"/>
              </w:rPr>
              <w:t>to the FBO</w:t>
            </w:r>
          </w:p>
        </w:tc>
      </w:tr>
      <w:tr w:rsidR="00815C12" w:rsidRPr="009578FC" w14:paraId="377100F4" w14:textId="77777777" w:rsidTr="00C72BA6">
        <w:tc>
          <w:tcPr>
            <w:tcW w:w="2600" w:type="dxa"/>
          </w:tcPr>
          <w:p w14:paraId="0E530BB8" w14:textId="63577BF6" w:rsidR="00815C12" w:rsidRPr="009578FC" w:rsidRDefault="00815C12" w:rsidP="00815C12">
            <w:pPr>
              <w:pStyle w:val="FootnoteText"/>
              <w:spacing w:before="60" w:after="60"/>
              <w:ind w:firstLine="0"/>
              <w:rPr>
                <w:sz w:val="18"/>
              </w:rPr>
            </w:pPr>
            <w:r w:rsidRPr="009578FC">
              <w:rPr>
                <w:sz w:val="18"/>
              </w:rPr>
              <w:t>UKR</w:t>
            </w:r>
            <w:r w:rsidRPr="009578FC">
              <w:rPr>
                <w:sz w:val="18"/>
              </w:rPr>
              <w:noBreakHyphen/>
              <w:t>3 (Corr.)</w:t>
            </w:r>
          </w:p>
        </w:tc>
        <w:tc>
          <w:tcPr>
            <w:tcW w:w="6622" w:type="dxa"/>
          </w:tcPr>
          <w:p w14:paraId="22F54BFD" w14:textId="5AF2CAFE" w:rsidR="00815C12" w:rsidRPr="009578FC" w:rsidRDefault="00815C12" w:rsidP="00815C12">
            <w:pPr>
              <w:pStyle w:val="FootnoteText"/>
              <w:spacing w:before="60" w:after="60"/>
              <w:ind w:firstLine="0"/>
              <w:rPr>
                <w:sz w:val="18"/>
              </w:rPr>
            </w:pPr>
            <w:r w:rsidRPr="009578FC">
              <w:rPr>
                <w:rFonts w:cs="Arial"/>
                <w:sz w:val="18"/>
                <w:lang w:eastAsia="zh-CN"/>
              </w:rPr>
              <w:t>Rules of the Certification System for Federal Railway Transport</w:t>
            </w:r>
            <w:r w:rsidR="00B42018">
              <w:rPr>
                <w:rFonts w:cs="Arial"/>
                <w:sz w:val="18"/>
                <w:lang w:eastAsia="zh-CN"/>
              </w:rPr>
              <w:t xml:space="preserve">. Procedure for organizing and conducting an inspection control. </w:t>
            </w:r>
            <w:r w:rsidRPr="009578FC">
              <w:rPr>
                <w:rFonts w:cs="Arial"/>
                <w:sz w:val="18"/>
                <w:lang w:eastAsia="zh-CN"/>
              </w:rPr>
              <w:t>(CS</w:t>
            </w:r>
            <w:r w:rsidR="00B42018">
              <w:rPr>
                <w:rFonts w:cs="Arial"/>
                <w:sz w:val="18"/>
                <w:lang w:eastAsia="zh-CN"/>
              </w:rPr>
              <w:t> </w:t>
            </w:r>
            <w:r w:rsidRPr="009578FC">
              <w:rPr>
                <w:rFonts w:cs="Arial"/>
                <w:sz w:val="18"/>
                <w:lang w:eastAsia="zh-CN"/>
              </w:rPr>
              <w:t>FRT 12-2003)</w:t>
            </w:r>
          </w:p>
        </w:tc>
      </w:tr>
      <w:tr w:rsidR="00815C12" w:rsidRPr="009578FC" w14:paraId="34E3F108" w14:textId="77777777" w:rsidTr="00C72BA6">
        <w:trPr>
          <w:cnfStyle w:val="000000010000" w:firstRow="0" w:lastRow="0" w:firstColumn="0" w:lastColumn="0" w:oddVBand="0" w:evenVBand="0" w:oddHBand="0" w:evenHBand="1" w:firstRowFirstColumn="0" w:firstRowLastColumn="0" w:lastRowFirstColumn="0" w:lastRowLastColumn="0"/>
        </w:trPr>
        <w:tc>
          <w:tcPr>
            <w:tcW w:w="2600" w:type="dxa"/>
          </w:tcPr>
          <w:p w14:paraId="5C1D2A1E" w14:textId="3D3C1255" w:rsidR="00815C12" w:rsidRPr="009578FC" w:rsidRDefault="00815C12" w:rsidP="00815C12">
            <w:pPr>
              <w:pStyle w:val="FootnoteText"/>
              <w:spacing w:before="60" w:after="60"/>
              <w:ind w:firstLine="0"/>
              <w:rPr>
                <w:sz w:val="18"/>
              </w:rPr>
            </w:pPr>
            <w:r w:rsidRPr="009578FC">
              <w:rPr>
                <w:sz w:val="18"/>
              </w:rPr>
              <w:t>UKR</w:t>
            </w:r>
            <w:r w:rsidRPr="009578FC">
              <w:rPr>
                <w:sz w:val="18"/>
              </w:rPr>
              <w:noBreakHyphen/>
              <w:t xml:space="preserve">18 (BCI) (Corr.) </w:t>
            </w:r>
          </w:p>
        </w:tc>
        <w:tc>
          <w:tcPr>
            <w:tcW w:w="6622" w:type="dxa"/>
          </w:tcPr>
          <w:p w14:paraId="65E59DCF" w14:textId="1544DC74" w:rsidR="00815C12" w:rsidRPr="009578FC" w:rsidRDefault="00815C12" w:rsidP="00815C12">
            <w:pPr>
              <w:pStyle w:val="FootnoteText"/>
              <w:spacing w:before="60" w:after="60"/>
              <w:ind w:firstLine="0"/>
              <w:rPr>
                <w:sz w:val="18"/>
              </w:rPr>
            </w:pPr>
            <w:r w:rsidRPr="009578FC">
              <w:rPr>
                <w:sz w:val="18"/>
                <w:lang w:eastAsia="zh-CN"/>
              </w:rPr>
              <w:t>Letter</w:t>
            </w:r>
            <w:r w:rsidR="001F51AB" w:rsidRPr="009578FC">
              <w:rPr>
                <w:sz w:val="18"/>
                <w:lang w:eastAsia="zh-CN"/>
              </w:rPr>
              <w:t xml:space="preserve"> </w:t>
            </w:r>
            <w:r w:rsidR="00693196" w:rsidRPr="009578FC">
              <w:rPr>
                <w:b/>
                <w:sz w:val="18"/>
              </w:rPr>
              <w:t>[BCI]</w:t>
            </w:r>
            <w:r w:rsidRPr="009578FC">
              <w:rPr>
                <w:sz w:val="18"/>
                <w:lang w:eastAsia="zh-CN"/>
              </w:rPr>
              <w:t xml:space="preserve"> from PJSC </w:t>
            </w:r>
            <w:r w:rsidR="00693196" w:rsidRPr="009578FC">
              <w:rPr>
                <w:b/>
                <w:sz w:val="18"/>
              </w:rPr>
              <w:t>[BCI]</w:t>
            </w:r>
            <w:r w:rsidR="00693196" w:rsidRPr="009578FC">
              <w:rPr>
                <w:sz w:val="18"/>
              </w:rPr>
              <w:t xml:space="preserve"> </w:t>
            </w:r>
            <w:r w:rsidRPr="009578FC">
              <w:rPr>
                <w:sz w:val="18"/>
                <w:lang w:eastAsia="zh-CN"/>
              </w:rPr>
              <w:t xml:space="preserve">to FBO </w:t>
            </w:r>
          </w:p>
        </w:tc>
      </w:tr>
      <w:tr w:rsidR="00815C12" w:rsidRPr="009578FC" w14:paraId="4CF66C54" w14:textId="77777777" w:rsidTr="00C72BA6">
        <w:tc>
          <w:tcPr>
            <w:tcW w:w="2600" w:type="dxa"/>
          </w:tcPr>
          <w:p w14:paraId="05908D62" w14:textId="104A5F76" w:rsidR="00815C12" w:rsidRPr="009578FC" w:rsidRDefault="00815C12" w:rsidP="00815C12">
            <w:pPr>
              <w:pStyle w:val="FootnoteText"/>
              <w:spacing w:before="60" w:after="60"/>
              <w:ind w:firstLine="0"/>
              <w:rPr>
                <w:sz w:val="18"/>
              </w:rPr>
            </w:pPr>
            <w:r w:rsidRPr="009578FC">
              <w:rPr>
                <w:sz w:val="18"/>
              </w:rPr>
              <w:t>UKR</w:t>
            </w:r>
            <w:r w:rsidRPr="009578FC">
              <w:rPr>
                <w:sz w:val="18"/>
              </w:rPr>
              <w:noBreakHyphen/>
              <w:t>48 (BCI)</w:t>
            </w:r>
          </w:p>
        </w:tc>
        <w:tc>
          <w:tcPr>
            <w:tcW w:w="6622" w:type="dxa"/>
          </w:tcPr>
          <w:p w14:paraId="158C932A" w14:textId="140DB47D" w:rsidR="00815C12" w:rsidRPr="009578FC" w:rsidRDefault="00815C12" w:rsidP="00815C12">
            <w:pPr>
              <w:pStyle w:val="FootnoteText"/>
              <w:spacing w:before="60" w:after="60"/>
              <w:ind w:firstLine="0"/>
              <w:rPr>
                <w:sz w:val="18"/>
              </w:rPr>
            </w:pPr>
            <w:r w:rsidRPr="009578FC">
              <w:rPr>
                <w:rFonts w:cs="Arial"/>
                <w:sz w:val="18"/>
                <w:lang w:eastAsia="zh-CN"/>
              </w:rPr>
              <w:t xml:space="preserve">Letter from the Federal </w:t>
            </w:r>
            <w:r w:rsidR="005C0DE2" w:rsidRPr="009578FC">
              <w:rPr>
                <w:rFonts w:cs="Arial"/>
                <w:sz w:val="18"/>
                <w:lang w:eastAsia="zh-CN"/>
              </w:rPr>
              <w:t xml:space="preserve">Agency for </w:t>
            </w:r>
            <w:r w:rsidRPr="009578FC">
              <w:rPr>
                <w:rFonts w:cs="Arial"/>
                <w:sz w:val="18"/>
                <w:lang w:eastAsia="zh-CN"/>
              </w:rPr>
              <w:t xml:space="preserve">Railway Transport of the </w:t>
            </w:r>
            <w:r w:rsidR="00E270C2" w:rsidRPr="009578FC">
              <w:rPr>
                <w:rFonts w:cs="Arial"/>
                <w:sz w:val="18"/>
                <w:lang w:eastAsia="zh-CN"/>
              </w:rPr>
              <w:t xml:space="preserve">MOT </w:t>
            </w:r>
            <w:r w:rsidRPr="009578FC">
              <w:rPr>
                <w:rFonts w:cs="Arial"/>
                <w:sz w:val="18"/>
                <w:lang w:eastAsia="zh-CN"/>
              </w:rPr>
              <w:t xml:space="preserve">to JSC </w:t>
            </w:r>
            <w:r w:rsidR="00693196" w:rsidRPr="009578FC">
              <w:rPr>
                <w:b/>
                <w:sz w:val="18"/>
              </w:rPr>
              <w:t>[BCI]</w:t>
            </w:r>
            <w:r w:rsidRPr="009578FC">
              <w:rPr>
                <w:rFonts w:cs="Arial"/>
                <w:sz w:val="18"/>
                <w:lang w:eastAsia="zh-CN"/>
              </w:rPr>
              <w:t xml:space="preserve"> accompanied to Protocol No. A 4-3 of 20 January 2015 of the </w:t>
            </w:r>
            <w:r w:rsidR="005C0DE2" w:rsidRPr="009578FC">
              <w:rPr>
                <w:rFonts w:cs="Arial"/>
                <w:sz w:val="18"/>
                <w:lang w:eastAsia="zh-CN"/>
              </w:rPr>
              <w:t xml:space="preserve">MOT </w:t>
            </w:r>
            <w:r w:rsidRPr="009578FC">
              <w:rPr>
                <w:rFonts w:cs="Arial"/>
                <w:sz w:val="18"/>
                <w:lang w:eastAsia="zh-CN"/>
              </w:rPr>
              <w:t xml:space="preserve">regarding issuance by the certification authority of the </w:t>
            </w:r>
            <w:r w:rsidR="005C0DE2" w:rsidRPr="009578FC">
              <w:rPr>
                <w:rFonts w:cs="Arial"/>
                <w:sz w:val="18"/>
                <w:lang w:eastAsia="zh-CN"/>
              </w:rPr>
              <w:t xml:space="preserve">CU </w:t>
            </w:r>
            <w:r w:rsidRPr="009578FC">
              <w:rPr>
                <w:rFonts w:cs="Arial"/>
                <w:sz w:val="18"/>
                <w:lang w:eastAsia="zh-CN"/>
              </w:rPr>
              <w:t>of the certificates of conformity for products manufactured by third</w:t>
            </w:r>
            <w:r w:rsidR="00D13E2C" w:rsidRPr="009578FC">
              <w:rPr>
                <w:rFonts w:cs="Arial"/>
                <w:sz w:val="18"/>
                <w:lang w:eastAsia="zh-CN"/>
              </w:rPr>
              <w:t xml:space="preserve"> </w:t>
            </w:r>
            <w:r w:rsidRPr="009578FC">
              <w:rPr>
                <w:rFonts w:cs="Arial"/>
                <w:sz w:val="18"/>
                <w:lang w:eastAsia="zh-CN"/>
              </w:rPr>
              <w:t>countries</w:t>
            </w:r>
          </w:p>
        </w:tc>
      </w:tr>
      <w:tr w:rsidR="00815C12" w:rsidRPr="009578FC" w14:paraId="22A7AA1E" w14:textId="77777777" w:rsidTr="00C72BA6">
        <w:trPr>
          <w:cnfStyle w:val="000000010000" w:firstRow="0" w:lastRow="0" w:firstColumn="0" w:lastColumn="0" w:oddVBand="0" w:evenVBand="0" w:oddHBand="0" w:evenHBand="1" w:firstRowFirstColumn="0" w:firstRowLastColumn="0" w:lastRowFirstColumn="0" w:lastRowLastColumn="0"/>
        </w:trPr>
        <w:tc>
          <w:tcPr>
            <w:tcW w:w="2600" w:type="dxa"/>
          </w:tcPr>
          <w:p w14:paraId="24A6A397" w14:textId="6C0D6B13" w:rsidR="00815C12" w:rsidRPr="009578FC" w:rsidRDefault="00815C12" w:rsidP="00815C12">
            <w:pPr>
              <w:pStyle w:val="FootnoteText"/>
              <w:spacing w:before="60" w:after="60"/>
              <w:ind w:firstLine="0"/>
              <w:rPr>
                <w:sz w:val="18"/>
              </w:rPr>
            </w:pPr>
            <w:r w:rsidRPr="009578FC">
              <w:rPr>
                <w:sz w:val="18"/>
              </w:rPr>
              <w:t>UKR</w:t>
            </w:r>
            <w:r w:rsidRPr="009578FC">
              <w:rPr>
                <w:sz w:val="18"/>
              </w:rPr>
              <w:noBreakHyphen/>
              <w:t>49 (BCI)</w:t>
            </w:r>
            <w:r w:rsidR="00061341">
              <w:rPr>
                <w:sz w:val="18"/>
              </w:rPr>
              <w:t xml:space="preserve"> (Corr.)</w:t>
            </w:r>
          </w:p>
        </w:tc>
        <w:tc>
          <w:tcPr>
            <w:tcW w:w="6622" w:type="dxa"/>
          </w:tcPr>
          <w:p w14:paraId="27DE9FDD" w14:textId="37F15CE5" w:rsidR="00815C12" w:rsidRPr="009578FC" w:rsidRDefault="00815C12" w:rsidP="00815C12">
            <w:pPr>
              <w:pStyle w:val="FootnoteText"/>
              <w:spacing w:before="60" w:after="60"/>
              <w:ind w:firstLine="0"/>
              <w:rPr>
                <w:sz w:val="18"/>
              </w:rPr>
            </w:pPr>
            <w:r w:rsidRPr="009578FC">
              <w:rPr>
                <w:rFonts w:cs="Arial"/>
                <w:sz w:val="18"/>
                <w:lang w:eastAsia="zh-CN"/>
              </w:rPr>
              <w:t xml:space="preserve">Letter </w:t>
            </w:r>
            <w:r w:rsidR="005C0DE2" w:rsidRPr="009578FC">
              <w:rPr>
                <w:rFonts w:cs="Arial"/>
                <w:sz w:val="18"/>
                <w:lang w:eastAsia="zh-CN"/>
              </w:rPr>
              <w:t>dated</w:t>
            </w:r>
            <w:r w:rsidR="00B42018">
              <w:rPr>
                <w:rFonts w:cs="Arial"/>
                <w:sz w:val="18"/>
                <w:lang w:eastAsia="zh-CN"/>
              </w:rPr>
              <w:t xml:space="preserve"> 4 February 2016</w:t>
            </w:r>
            <w:r w:rsidR="005C0DE2" w:rsidRPr="009578FC">
              <w:rPr>
                <w:rFonts w:cs="Arial"/>
                <w:sz w:val="18"/>
                <w:lang w:eastAsia="zh-CN"/>
              </w:rPr>
              <w:t xml:space="preserve"> </w:t>
            </w:r>
            <w:r w:rsidRPr="009578FC">
              <w:rPr>
                <w:rFonts w:cs="Arial"/>
                <w:sz w:val="18"/>
                <w:lang w:eastAsia="zh-CN"/>
              </w:rPr>
              <w:t xml:space="preserve">from the Federal Agency for Railway Transport to </w:t>
            </w:r>
            <w:r w:rsidR="00693196" w:rsidRPr="009578FC">
              <w:rPr>
                <w:b/>
                <w:sz w:val="18"/>
              </w:rPr>
              <w:t>[BCI]</w:t>
            </w:r>
            <w:r w:rsidRPr="009578FC">
              <w:rPr>
                <w:rFonts w:cs="Arial"/>
                <w:sz w:val="18"/>
                <w:lang w:eastAsia="zh-CN"/>
              </w:rPr>
              <w:t xml:space="preserve"> on validity of certificates</w:t>
            </w:r>
          </w:p>
        </w:tc>
      </w:tr>
      <w:tr w:rsidR="002E2B34" w:rsidRPr="009578FC" w14:paraId="5C59C532" w14:textId="77777777" w:rsidTr="00C72BA6">
        <w:tc>
          <w:tcPr>
            <w:tcW w:w="2600" w:type="dxa"/>
          </w:tcPr>
          <w:p w14:paraId="153609A8" w14:textId="5D2F44F9" w:rsidR="002E2B34" w:rsidRPr="009578FC" w:rsidRDefault="002E2B34" w:rsidP="002E2B34">
            <w:pPr>
              <w:pStyle w:val="FootnoteText"/>
              <w:spacing w:before="60" w:after="60"/>
              <w:ind w:firstLine="0"/>
              <w:rPr>
                <w:sz w:val="18"/>
              </w:rPr>
            </w:pPr>
            <w:r w:rsidRPr="009578FC">
              <w:rPr>
                <w:sz w:val="18"/>
              </w:rPr>
              <w:t>UKR</w:t>
            </w:r>
            <w:r w:rsidRPr="009578FC">
              <w:rPr>
                <w:sz w:val="18"/>
              </w:rPr>
              <w:noBreakHyphen/>
              <w:t>141 (BCI)</w:t>
            </w:r>
          </w:p>
        </w:tc>
        <w:tc>
          <w:tcPr>
            <w:tcW w:w="6622" w:type="dxa"/>
          </w:tcPr>
          <w:p w14:paraId="551D33D1" w14:textId="53E8A11F" w:rsidR="002E2B34" w:rsidRPr="009578FC" w:rsidRDefault="002E2B34" w:rsidP="002E2B34">
            <w:pPr>
              <w:pStyle w:val="FootnoteText"/>
              <w:spacing w:before="60" w:after="60"/>
              <w:ind w:firstLine="0"/>
              <w:rPr>
                <w:sz w:val="18"/>
              </w:rPr>
            </w:pPr>
            <w:r w:rsidRPr="009578FC">
              <w:rPr>
                <w:sz w:val="18"/>
              </w:rPr>
              <w:t xml:space="preserve">Letter </w:t>
            </w:r>
            <w:r w:rsidR="00693196" w:rsidRPr="009578FC">
              <w:rPr>
                <w:sz w:val="18"/>
              </w:rPr>
              <w:t>dated</w:t>
            </w:r>
            <w:r w:rsidR="00B42018">
              <w:rPr>
                <w:sz w:val="18"/>
              </w:rPr>
              <w:t xml:space="preserve"> 10 August 2016</w:t>
            </w:r>
            <w:r w:rsidR="00693196" w:rsidRPr="009578FC">
              <w:rPr>
                <w:b/>
                <w:sz w:val="18"/>
              </w:rPr>
              <w:t xml:space="preserve"> </w:t>
            </w:r>
            <w:r w:rsidRPr="009578FC">
              <w:rPr>
                <w:sz w:val="18"/>
              </w:rPr>
              <w:t xml:space="preserve">from the Federal Agency for Railway Transport to JSC </w:t>
            </w:r>
            <w:r w:rsidR="00693196" w:rsidRPr="009578FC">
              <w:rPr>
                <w:b/>
                <w:sz w:val="18"/>
              </w:rPr>
              <w:t xml:space="preserve">[BCI] </w:t>
            </w:r>
            <w:r w:rsidRPr="009578FC">
              <w:rPr>
                <w:sz w:val="18"/>
              </w:rPr>
              <w:t>on validity of certificates</w:t>
            </w:r>
          </w:p>
        </w:tc>
      </w:tr>
      <w:tr w:rsidR="002E2B34" w:rsidRPr="009578FC" w14:paraId="6A77EB62" w14:textId="77777777" w:rsidTr="00C72BA6">
        <w:trPr>
          <w:cnfStyle w:val="000000010000" w:firstRow="0" w:lastRow="0" w:firstColumn="0" w:lastColumn="0" w:oddVBand="0" w:evenVBand="0" w:oddHBand="0" w:evenHBand="1" w:firstRowFirstColumn="0" w:firstRowLastColumn="0" w:lastRowFirstColumn="0" w:lastRowLastColumn="0"/>
        </w:trPr>
        <w:tc>
          <w:tcPr>
            <w:tcW w:w="2600" w:type="dxa"/>
          </w:tcPr>
          <w:p w14:paraId="7AEEFB0F" w14:textId="3B6A896F" w:rsidR="002E2B34" w:rsidRPr="009578FC" w:rsidRDefault="002E2B34" w:rsidP="002E2B34">
            <w:pPr>
              <w:pStyle w:val="FootnoteText"/>
              <w:spacing w:before="60" w:after="60"/>
              <w:ind w:firstLine="0"/>
              <w:rPr>
                <w:sz w:val="18"/>
              </w:rPr>
            </w:pPr>
            <w:r w:rsidRPr="009578FC">
              <w:rPr>
                <w:sz w:val="18"/>
              </w:rPr>
              <w:t>UKR</w:t>
            </w:r>
            <w:r w:rsidRPr="009578FC">
              <w:rPr>
                <w:sz w:val="18"/>
              </w:rPr>
              <w:noBreakHyphen/>
              <w:t>151 (BCI)</w:t>
            </w:r>
          </w:p>
        </w:tc>
        <w:tc>
          <w:tcPr>
            <w:tcW w:w="6622" w:type="dxa"/>
          </w:tcPr>
          <w:p w14:paraId="3D225DDE" w14:textId="7C3C678A" w:rsidR="002E2B34" w:rsidRPr="009578FC" w:rsidRDefault="005C0DE2" w:rsidP="002E2B34">
            <w:pPr>
              <w:pStyle w:val="FootnoteText"/>
              <w:spacing w:before="60" w:after="60"/>
              <w:ind w:firstLine="0"/>
              <w:rPr>
                <w:sz w:val="18"/>
              </w:rPr>
            </w:pPr>
            <w:r w:rsidRPr="009578FC">
              <w:rPr>
                <w:rFonts w:cs="Arial"/>
                <w:sz w:val="18"/>
              </w:rPr>
              <w:t>Act of i</w:t>
            </w:r>
            <w:r w:rsidR="002E2B34" w:rsidRPr="009578FC">
              <w:rPr>
                <w:rFonts w:cs="Arial"/>
                <w:sz w:val="18"/>
              </w:rPr>
              <w:t xml:space="preserve">nspection </w:t>
            </w:r>
            <w:r w:rsidR="00B42018">
              <w:rPr>
                <w:rFonts w:cs="Arial"/>
                <w:sz w:val="18"/>
              </w:rPr>
              <w:t xml:space="preserve">dated 23 January 2014 </w:t>
            </w:r>
            <w:r w:rsidR="002E2B34" w:rsidRPr="009578FC">
              <w:rPr>
                <w:rFonts w:cs="Arial"/>
                <w:sz w:val="18"/>
              </w:rPr>
              <w:t xml:space="preserve">of certified products </w:t>
            </w:r>
            <w:r w:rsidRPr="009578FC">
              <w:rPr>
                <w:rFonts w:cs="Arial"/>
                <w:sz w:val="18"/>
              </w:rPr>
              <w:t xml:space="preserve">produced by </w:t>
            </w:r>
            <w:r w:rsidR="002E2B34" w:rsidRPr="009578FC">
              <w:rPr>
                <w:rFonts w:cs="Arial"/>
                <w:sz w:val="18"/>
              </w:rPr>
              <w:t xml:space="preserve">PJSC </w:t>
            </w:r>
            <w:r w:rsidR="00693196" w:rsidRPr="009578FC">
              <w:rPr>
                <w:b/>
                <w:sz w:val="18"/>
              </w:rPr>
              <w:t>[BCI]</w:t>
            </w:r>
          </w:p>
        </w:tc>
      </w:tr>
      <w:tr w:rsidR="002E2B34" w:rsidRPr="009578FC" w14:paraId="6AE5B395" w14:textId="77777777" w:rsidTr="00C72BA6">
        <w:tc>
          <w:tcPr>
            <w:tcW w:w="2600" w:type="dxa"/>
          </w:tcPr>
          <w:p w14:paraId="158DF15C" w14:textId="5AED2F11" w:rsidR="002E2B34" w:rsidRPr="009578FC" w:rsidRDefault="002E2B34" w:rsidP="002E2B34">
            <w:pPr>
              <w:pStyle w:val="FootnoteText"/>
              <w:spacing w:before="60" w:after="60"/>
              <w:ind w:firstLine="0"/>
              <w:rPr>
                <w:sz w:val="18"/>
              </w:rPr>
            </w:pPr>
            <w:r w:rsidRPr="009578FC">
              <w:rPr>
                <w:sz w:val="18"/>
              </w:rPr>
              <w:t>UKR</w:t>
            </w:r>
            <w:r w:rsidRPr="009578FC">
              <w:rPr>
                <w:sz w:val="18"/>
              </w:rPr>
              <w:noBreakHyphen/>
              <w:t>152 (BCI)</w:t>
            </w:r>
          </w:p>
        </w:tc>
        <w:tc>
          <w:tcPr>
            <w:tcW w:w="6622" w:type="dxa"/>
          </w:tcPr>
          <w:p w14:paraId="01711956" w14:textId="00901427" w:rsidR="002E2B34" w:rsidRPr="009578FC" w:rsidRDefault="00B42018" w:rsidP="002E2B34">
            <w:pPr>
              <w:pStyle w:val="FootnoteText"/>
              <w:spacing w:before="60" w:after="60"/>
              <w:ind w:firstLine="0"/>
              <w:rPr>
                <w:sz w:val="18"/>
              </w:rPr>
            </w:pPr>
            <w:r w:rsidRPr="009578FC">
              <w:rPr>
                <w:rFonts w:cs="Arial"/>
                <w:sz w:val="18"/>
              </w:rPr>
              <w:t xml:space="preserve">Act of inspection </w:t>
            </w:r>
            <w:r>
              <w:rPr>
                <w:rFonts w:cs="Arial"/>
                <w:sz w:val="18"/>
              </w:rPr>
              <w:t xml:space="preserve">dated 24 January 2014 </w:t>
            </w:r>
            <w:r w:rsidR="005C0DE2" w:rsidRPr="009578FC">
              <w:rPr>
                <w:rFonts w:cs="Arial"/>
                <w:sz w:val="18"/>
              </w:rPr>
              <w:t xml:space="preserve">of </w:t>
            </w:r>
            <w:r w:rsidR="002E2B34" w:rsidRPr="009578FC">
              <w:rPr>
                <w:rFonts w:cs="Arial"/>
                <w:sz w:val="18"/>
              </w:rPr>
              <w:t xml:space="preserve">certified products </w:t>
            </w:r>
            <w:r w:rsidR="005C0DE2" w:rsidRPr="009578FC">
              <w:rPr>
                <w:rFonts w:cs="Arial"/>
                <w:sz w:val="18"/>
              </w:rPr>
              <w:t xml:space="preserve">produced by </w:t>
            </w:r>
            <w:r w:rsidR="002E2B34" w:rsidRPr="009578FC">
              <w:rPr>
                <w:rFonts w:cs="Arial"/>
                <w:sz w:val="18"/>
              </w:rPr>
              <w:t xml:space="preserve">PJSC </w:t>
            </w:r>
            <w:r w:rsidR="00693196" w:rsidRPr="009578FC">
              <w:rPr>
                <w:b/>
                <w:sz w:val="18"/>
              </w:rPr>
              <w:t>[BCI]</w:t>
            </w:r>
          </w:p>
        </w:tc>
      </w:tr>
      <w:bookmarkEnd w:id="9"/>
    </w:tbl>
    <w:p w14:paraId="01EED592" w14:textId="5587F161" w:rsidR="00AB41A7" w:rsidRDefault="00AB41A7" w:rsidP="00CE371F"/>
    <w:p w14:paraId="262E83D8" w14:textId="77777777" w:rsidR="00771172" w:rsidRPr="00F85DF3" w:rsidRDefault="00771172" w:rsidP="00771172">
      <w:pPr>
        <w:pStyle w:val="Title"/>
      </w:pPr>
      <w:r w:rsidRPr="00F85DF3">
        <w:t>CASES CITED IN THIS REPORT</w:t>
      </w:r>
    </w:p>
    <w:tbl>
      <w:tblPr>
        <w:tblStyle w:val="WTOTable1"/>
        <w:tblW w:w="9224" w:type="dxa"/>
        <w:tblLayout w:type="fixed"/>
        <w:tblLook w:val="0060" w:firstRow="1" w:lastRow="1" w:firstColumn="0" w:lastColumn="0" w:noHBand="0" w:noVBand="0"/>
      </w:tblPr>
      <w:tblGrid>
        <w:gridCol w:w="2602"/>
        <w:gridCol w:w="6622"/>
      </w:tblGrid>
      <w:tr w:rsidR="00771172" w:rsidRPr="00C72BA6" w14:paraId="7EFE60A6" w14:textId="77777777" w:rsidTr="00EB6B84">
        <w:trPr>
          <w:cnfStyle w:val="100000000000" w:firstRow="1" w:lastRow="0" w:firstColumn="0" w:lastColumn="0" w:oddVBand="0" w:evenVBand="0" w:oddHBand="0" w:evenHBand="0" w:firstRowFirstColumn="0" w:firstRowLastColumn="0" w:lastRowFirstColumn="0" w:lastRowLastColumn="0"/>
          <w:cantSplit/>
          <w:tblHeader/>
        </w:trPr>
        <w:tc>
          <w:tcPr>
            <w:tcW w:w="2602" w:type="dxa"/>
          </w:tcPr>
          <w:p w14:paraId="611A65CB" w14:textId="77777777" w:rsidR="00771172" w:rsidRPr="00C72BA6" w:rsidRDefault="00771172" w:rsidP="00EB6B84">
            <w:pPr>
              <w:keepLines/>
              <w:tabs>
                <w:tab w:val="left" w:pos="2268"/>
                <w:tab w:val="left" w:pos="4536"/>
              </w:tabs>
              <w:spacing w:before="60" w:after="60"/>
              <w:jc w:val="center"/>
              <w:rPr>
                <w:sz w:val="16"/>
                <w:szCs w:val="16"/>
              </w:rPr>
            </w:pPr>
            <w:bookmarkStart w:id="10" w:name="_Hlk27401713"/>
            <w:r w:rsidRPr="00C72BA6">
              <w:rPr>
                <w:sz w:val="16"/>
                <w:szCs w:val="16"/>
              </w:rPr>
              <w:t>Short Title</w:t>
            </w:r>
          </w:p>
        </w:tc>
        <w:tc>
          <w:tcPr>
            <w:tcW w:w="6622" w:type="dxa"/>
          </w:tcPr>
          <w:p w14:paraId="4CC00EA3" w14:textId="77777777" w:rsidR="00771172" w:rsidRPr="00C72BA6" w:rsidRDefault="00771172" w:rsidP="00EB6B84">
            <w:pPr>
              <w:keepLines/>
              <w:tabs>
                <w:tab w:val="left" w:pos="2268"/>
                <w:tab w:val="left" w:pos="4536"/>
              </w:tabs>
              <w:spacing w:before="60" w:after="60"/>
              <w:jc w:val="center"/>
              <w:rPr>
                <w:sz w:val="16"/>
                <w:szCs w:val="16"/>
              </w:rPr>
            </w:pPr>
            <w:r w:rsidRPr="00C72BA6">
              <w:rPr>
                <w:sz w:val="16"/>
                <w:szCs w:val="16"/>
              </w:rPr>
              <w:t>Full Case Title and Citation</w:t>
            </w:r>
          </w:p>
        </w:tc>
      </w:tr>
      <w:tr w:rsidR="00771172" w:rsidRPr="00C72BA6" w14:paraId="02B6C66D" w14:textId="77777777" w:rsidTr="00EB6B84">
        <w:trPr>
          <w:cantSplit/>
        </w:trPr>
        <w:tc>
          <w:tcPr>
            <w:tcW w:w="2602" w:type="dxa"/>
          </w:tcPr>
          <w:p w14:paraId="7FCEAD8C" w14:textId="77777777" w:rsidR="00771172" w:rsidRPr="00C72BA6" w:rsidRDefault="00771172" w:rsidP="00EB6B84">
            <w:pPr>
              <w:spacing w:before="60" w:after="60"/>
              <w:jc w:val="left"/>
              <w:rPr>
                <w:i/>
                <w:sz w:val="16"/>
                <w:szCs w:val="16"/>
              </w:rPr>
            </w:pPr>
            <w:r w:rsidRPr="00C72BA6">
              <w:rPr>
                <w:i/>
                <w:sz w:val="16"/>
                <w:szCs w:val="16"/>
              </w:rPr>
              <w:t>Argentina</w:t>
            </w:r>
            <w:r>
              <w:rPr>
                <w:i/>
                <w:sz w:val="16"/>
                <w:szCs w:val="16"/>
              </w:rPr>
              <w:t xml:space="preserve"> – </w:t>
            </w:r>
            <w:r w:rsidRPr="00C72BA6">
              <w:rPr>
                <w:i/>
                <w:sz w:val="16"/>
                <w:szCs w:val="16"/>
              </w:rPr>
              <w:t>Import</w:t>
            </w:r>
            <w:r>
              <w:rPr>
                <w:i/>
                <w:sz w:val="16"/>
                <w:szCs w:val="16"/>
              </w:rPr>
              <w:t xml:space="preserve"> </w:t>
            </w:r>
            <w:r w:rsidRPr="00C72BA6">
              <w:rPr>
                <w:i/>
                <w:sz w:val="16"/>
                <w:szCs w:val="16"/>
              </w:rPr>
              <w:t>Measures</w:t>
            </w:r>
          </w:p>
        </w:tc>
        <w:tc>
          <w:tcPr>
            <w:tcW w:w="6622" w:type="dxa"/>
          </w:tcPr>
          <w:p w14:paraId="36E4CDC5" w14:textId="4BF533FA" w:rsidR="00771172" w:rsidRPr="00C72BA6" w:rsidRDefault="00771172" w:rsidP="00EB6B84">
            <w:pPr>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Reports, </w:t>
            </w:r>
            <w:r w:rsidRPr="00C72BA6">
              <w:rPr>
                <w:i/>
                <w:color w:val="000000"/>
                <w:sz w:val="16"/>
                <w:szCs w:val="16"/>
              </w:rPr>
              <w:t>Argentina – Measures Affecting the Importation of Goods</w:t>
            </w:r>
            <w:r w:rsidRPr="00C72BA6">
              <w:rPr>
                <w:color w:val="000000"/>
                <w:sz w:val="16"/>
                <w:szCs w:val="16"/>
              </w:rPr>
              <w:t xml:space="preserve">, </w:t>
            </w:r>
            <w:r w:rsidRPr="00C72BA6">
              <w:rPr>
                <w:sz w:val="16"/>
                <w:szCs w:val="16"/>
              </w:rPr>
              <w:t>WT/DS438/AB/R</w:t>
            </w:r>
            <w:r w:rsidRPr="00C72BA6">
              <w:rPr>
                <w:color w:val="000000"/>
                <w:sz w:val="16"/>
                <w:szCs w:val="16"/>
              </w:rPr>
              <w:t xml:space="preserve"> / </w:t>
            </w:r>
            <w:r w:rsidRPr="00C72BA6">
              <w:rPr>
                <w:sz w:val="16"/>
                <w:szCs w:val="16"/>
              </w:rPr>
              <w:t>WT/DS444/AB/R</w:t>
            </w:r>
            <w:r w:rsidRPr="00C72BA6">
              <w:rPr>
                <w:color w:val="000000"/>
                <w:sz w:val="16"/>
                <w:szCs w:val="16"/>
              </w:rPr>
              <w:t xml:space="preserve"> / </w:t>
            </w:r>
            <w:r w:rsidRPr="00C72BA6">
              <w:rPr>
                <w:sz w:val="16"/>
                <w:szCs w:val="16"/>
              </w:rPr>
              <w:t>WT/DS445/AB/R</w:t>
            </w:r>
            <w:r w:rsidRPr="00C72BA6">
              <w:rPr>
                <w:color w:val="000000"/>
                <w:sz w:val="16"/>
                <w:szCs w:val="16"/>
              </w:rPr>
              <w:t>, adopted 26</w:t>
            </w:r>
            <w:r>
              <w:rPr>
                <w:color w:val="000000"/>
                <w:sz w:val="16"/>
                <w:szCs w:val="16"/>
              </w:rPr>
              <w:t> </w:t>
            </w:r>
            <w:r w:rsidRPr="00C72BA6">
              <w:rPr>
                <w:color w:val="000000"/>
                <w:sz w:val="16"/>
                <w:szCs w:val="16"/>
              </w:rPr>
              <w:t>January</w:t>
            </w:r>
            <w:r>
              <w:rPr>
                <w:color w:val="000000"/>
                <w:sz w:val="16"/>
                <w:szCs w:val="16"/>
              </w:rPr>
              <w:t xml:space="preserve"> </w:t>
            </w:r>
            <w:r w:rsidRPr="00C72BA6">
              <w:rPr>
                <w:color w:val="000000"/>
                <w:sz w:val="16"/>
                <w:szCs w:val="16"/>
              </w:rPr>
              <w:t>2015, DSR 2015:II, p.</w:t>
            </w:r>
            <w:r>
              <w:rPr>
                <w:color w:val="000000"/>
                <w:sz w:val="16"/>
                <w:szCs w:val="16"/>
              </w:rPr>
              <w:t xml:space="preserve"> </w:t>
            </w:r>
            <w:r w:rsidRPr="00C72BA6">
              <w:rPr>
                <w:color w:val="000000"/>
                <w:sz w:val="16"/>
                <w:szCs w:val="16"/>
              </w:rPr>
              <w:t>579</w:t>
            </w:r>
          </w:p>
        </w:tc>
      </w:tr>
      <w:tr w:rsidR="00771172" w:rsidRPr="00C72BA6" w14:paraId="62FD9BF8"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38E6FE7E" w14:textId="77777777" w:rsidR="00771172" w:rsidRPr="00C72BA6" w:rsidRDefault="00771172" w:rsidP="00EB6B84">
            <w:pPr>
              <w:spacing w:before="60" w:after="60"/>
              <w:jc w:val="left"/>
              <w:rPr>
                <w:i/>
                <w:sz w:val="16"/>
                <w:szCs w:val="16"/>
              </w:rPr>
            </w:pPr>
            <w:r w:rsidRPr="00C72BA6">
              <w:rPr>
                <w:i/>
                <w:sz w:val="16"/>
                <w:szCs w:val="16"/>
              </w:rPr>
              <w:t>Argentina</w:t>
            </w:r>
            <w:r>
              <w:rPr>
                <w:i/>
                <w:sz w:val="16"/>
                <w:szCs w:val="16"/>
              </w:rPr>
              <w:t xml:space="preserve"> – </w:t>
            </w:r>
            <w:r w:rsidRPr="00C72BA6">
              <w:rPr>
                <w:i/>
                <w:sz w:val="16"/>
                <w:szCs w:val="16"/>
              </w:rPr>
              <w:t>Import</w:t>
            </w:r>
            <w:r>
              <w:rPr>
                <w:i/>
                <w:sz w:val="16"/>
                <w:szCs w:val="16"/>
              </w:rPr>
              <w:t xml:space="preserve"> </w:t>
            </w:r>
            <w:r w:rsidRPr="00C72BA6">
              <w:rPr>
                <w:i/>
                <w:sz w:val="16"/>
                <w:szCs w:val="16"/>
              </w:rPr>
              <w:t>Measures</w:t>
            </w:r>
          </w:p>
        </w:tc>
        <w:tc>
          <w:tcPr>
            <w:tcW w:w="6622" w:type="dxa"/>
          </w:tcPr>
          <w:p w14:paraId="10BDF8C7"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Panel</w:t>
            </w:r>
            <w:r>
              <w:rPr>
                <w:color w:val="000000"/>
                <w:sz w:val="16"/>
                <w:szCs w:val="16"/>
              </w:rPr>
              <w:t xml:space="preserve"> </w:t>
            </w:r>
            <w:r w:rsidRPr="00C72BA6">
              <w:rPr>
                <w:color w:val="000000"/>
                <w:sz w:val="16"/>
                <w:szCs w:val="16"/>
              </w:rPr>
              <w:t xml:space="preserve">Reports, </w:t>
            </w:r>
            <w:r w:rsidRPr="00C72BA6">
              <w:rPr>
                <w:i/>
                <w:color w:val="000000"/>
                <w:sz w:val="16"/>
                <w:szCs w:val="16"/>
              </w:rPr>
              <w:t>Argentina – Measures Affecting the Importation of Goods</w:t>
            </w:r>
            <w:r w:rsidRPr="00C72BA6">
              <w:rPr>
                <w:color w:val="000000"/>
                <w:sz w:val="16"/>
                <w:szCs w:val="16"/>
              </w:rPr>
              <w:t xml:space="preserve">, </w:t>
            </w:r>
            <w:r w:rsidRPr="00C72BA6">
              <w:rPr>
                <w:sz w:val="16"/>
                <w:szCs w:val="16"/>
              </w:rPr>
              <w:t>WT/DS438/R</w:t>
            </w:r>
            <w:r w:rsidRPr="00C72BA6">
              <w:rPr>
                <w:color w:val="000000"/>
                <w:sz w:val="16"/>
                <w:szCs w:val="16"/>
              </w:rPr>
              <w:t xml:space="preserve"> and Add.1 / </w:t>
            </w:r>
            <w:r w:rsidRPr="00C72BA6">
              <w:rPr>
                <w:sz w:val="16"/>
                <w:szCs w:val="16"/>
              </w:rPr>
              <w:t>WT/DS444/R</w:t>
            </w:r>
            <w:r w:rsidRPr="00C72BA6">
              <w:rPr>
                <w:color w:val="000000"/>
                <w:sz w:val="16"/>
                <w:szCs w:val="16"/>
              </w:rPr>
              <w:t xml:space="preserve"> and Add.1 / </w:t>
            </w:r>
            <w:r w:rsidRPr="00C72BA6">
              <w:rPr>
                <w:sz w:val="16"/>
                <w:szCs w:val="16"/>
              </w:rPr>
              <w:t>WT/DS445/R</w:t>
            </w:r>
            <w:r w:rsidRPr="00C72BA6">
              <w:rPr>
                <w:color w:val="000000"/>
                <w:sz w:val="16"/>
                <w:szCs w:val="16"/>
              </w:rPr>
              <w:t xml:space="preserve"> and Add.1, adopted 26</w:t>
            </w:r>
            <w:r>
              <w:rPr>
                <w:color w:val="000000"/>
                <w:sz w:val="16"/>
                <w:szCs w:val="16"/>
              </w:rPr>
              <w:t xml:space="preserve"> </w:t>
            </w:r>
            <w:r w:rsidRPr="00C72BA6">
              <w:rPr>
                <w:color w:val="000000"/>
                <w:sz w:val="16"/>
                <w:szCs w:val="16"/>
              </w:rPr>
              <w:t>January</w:t>
            </w:r>
            <w:r>
              <w:rPr>
                <w:color w:val="000000"/>
                <w:sz w:val="16"/>
                <w:szCs w:val="16"/>
              </w:rPr>
              <w:t xml:space="preserve"> </w:t>
            </w:r>
            <w:r w:rsidRPr="00C72BA6">
              <w:rPr>
                <w:color w:val="000000"/>
                <w:sz w:val="16"/>
                <w:szCs w:val="16"/>
              </w:rPr>
              <w:t>2015, as modified (WT/DS438/R) and upheld (WT/DS444/R / WT/DS445/R) by Appellate</w:t>
            </w:r>
            <w:r>
              <w:rPr>
                <w:color w:val="000000"/>
                <w:sz w:val="16"/>
                <w:szCs w:val="16"/>
              </w:rPr>
              <w:t xml:space="preserve"> </w:t>
            </w:r>
            <w:r w:rsidRPr="00C72BA6">
              <w:rPr>
                <w:color w:val="000000"/>
                <w:sz w:val="16"/>
                <w:szCs w:val="16"/>
              </w:rPr>
              <w:t>Body Reports WT/DS438/AB/R / WT/DS444/AB/R / WT/DS445/AB/R, DSR</w:t>
            </w:r>
            <w:r>
              <w:rPr>
                <w:color w:val="000000"/>
                <w:sz w:val="16"/>
                <w:szCs w:val="16"/>
              </w:rPr>
              <w:t xml:space="preserve"> </w:t>
            </w:r>
            <w:r w:rsidRPr="00C72BA6">
              <w:rPr>
                <w:color w:val="000000"/>
                <w:sz w:val="16"/>
                <w:szCs w:val="16"/>
              </w:rPr>
              <w:t>2015:II, p.</w:t>
            </w:r>
            <w:r>
              <w:rPr>
                <w:color w:val="000000"/>
                <w:sz w:val="16"/>
                <w:szCs w:val="16"/>
              </w:rPr>
              <w:t xml:space="preserve"> </w:t>
            </w:r>
            <w:r w:rsidRPr="00C72BA6">
              <w:rPr>
                <w:color w:val="000000"/>
                <w:sz w:val="16"/>
                <w:szCs w:val="16"/>
              </w:rPr>
              <w:t>783</w:t>
            </w:r>
          </w:p>
        </w:tc>
      </w:tr>
      <w:tr w:rsidR="00771172" w:rsidRPr="00C72BA6" w14:paraId="5E9AB394" w14:textId="77777777" w:rsidTr="00EB6B84">
        <w:trPr>
          <w:cantSplit/>
        </w:trPr>
        <w:tc>
          <w:tcPr>
            <w:tcW w:w="2602" w:type="dxa"/>
          </w:tcPr>
          <w:p w14:paraId="36556358" w14:textId="77777777" w:rsidR="00771172" w:rsidRPr="00C72BA6" w:rsidRDefault="00771172" w:rsidP="00EB6B84">
            <w:pPr>
              <w:spacing w:before="60" w:after="60"/>
              <w:jc w:val="left"/>
              <w:rPr>
                <w:i/>
                <w:sz w:val="16"/>
                <w:szCs w:val="16"/>
              </w:rPr>
            </w:pPr>
            <w:r w:rsidRPr="00C72BA6">
              <w:rPr>
                <w:i/>
                <w:sz w:val="16"/>
                <w:szCs w:val="16"/>
              </w:rPr>
              <w:t>Australia</w:t>
            </w:r>
            <w:r>
              <w:rPr>
                <w:i/>
                <w:sz w:val="16"/>
                <w:szCs w:val="16"/>
              </w:rPr>
              <w:t xml:space="preserve"> – </w:t>
            </w:r>
            <w:r w:rsidRPr="00C72BA6">
              <w:rPr>
                <w:i/>
                <w:sz w:val="16"/>
                <w:szCs w:val="16"/>
              </w:rPr>
              <w:t>Apples</w:t>
            </w:r>
          </w:p>
        </w:tc>
        <w:tc>
          <w:tcPr>
            <w:tcW w:w="6622" w:type="dxa"/>
          </w:tcPr>
          <w:p w14:paraId="04D0F02D"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Australia – Measures Affecting the Importation of Apples from New Zealand</w:t>
            </w:r>
            <w:r w:rsidRPr="00C72BA6">
              <w:rPr>
                <w:iCs/>
                <w:color w:val="000000"/>
                <w:sz w:val="16"/>
                <w:szCs w:val="16"/>
              </w:rPr>
              <w:t xml:space="preserve">, </w:t>
            </w:r>
            <w:r w:rsidRPr="00C72BA6">
              <w:rPr>
                <w:iCs/>
                <w:sz w:val="16"/>
                <w:szCs w:val="16"/>
              </w:rPr>
              <w:t>WT/DS367/AB/R</w:t>
            </w:r>
            <w:r w:rsidRPr="00C72BA6">
              <w:rPr>
                <w:iCs/>
                <w:color w:val="000000"/>
                <w:sz w:val="16"/>
                <w:szCs w:val="16"/>
              </w:rPr>
              <w:t xml:space="preserve">, </w:t>
            </w:r>
            <w:r w:rsidRPr="00C72BA6">
              <w:rPr>
                <w:color w:val="000000"/>
                <w:sz w:val="16"/>
                <w:szCs w:val="16"/>
              </w:rPr>
              <w:t>adopted 17</w:t>
            </w:r>
            <w:r>
              <w:rPr>
                <w:color w:val="000000"/>
                <w:sz w:val="16"/>
                <w:szCs w:val="16"/>
              </w:rPr>
              <w:t xml:space="preserve"> </w:t>
            </w:r>
            <w:r w:rsidRPr="00C72BA6">
              <w:rPr>
                <w:color w:val="000000"/>
                <w:sz w:val="16"/>
                <w:szCs w:val="16"/>
              </w:rPr>
              <w:t>December</w:t>
            </w:r>
            <w:r>
              <w:rPr>
                <w:color w:val="000000"/>
                <w:sz w:val="16"/>
                <w:szCs w:val="16"/>
              </w:rPr>
              <w:t xml:space="preserve"> </w:t>
            </w:r>
            <w:r w:rsidRPr="00C72BA6">
              <w:rPr>
                <w:color w:val="000000"/>
                <w:sz w:val="16"/>
                <w:szCs w:val="16"/>
              </w:rPr>
              <w:t>2010, DSR 2010:V, p.</w:t>
            </w:r>
            <w:r>
              <w:rPr>
                <w:color w:val="000000"/>
                <w:sz w:val="16"/>
                <w:szCs w:val="16"/>
              </w:rPr>
              <w:t xml:space="preserve"> </w:t>
            </w:r>
            <w:r w:rsidRPr="00C72BA6">
              <w:rPr>
                <w:color w:val="000000"/>
                <w:sz w:val="16"/>
                <w:szCs w:val="16"/>
              </w:rPr>
              <w:t>2175</w:t>
            </w:r>
          </w:p>
        </w:tc>
      </w:tr>
      <w:tr w:rsidR="00771172" w:rsidRPr="00C72BA6" w14:paraId="502E7CED"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6FE82EAC" w14:textId="77777777" w:rsidR="00771172" w:rsidRPr="00C72BA6" w:rsidRDefault="00771172" w:rsidP="00EB6B84">
            <w:pPr>
              <w:spacing w:before="60" w:after="60"/>
              <w:jc w:val="left"/>
              <w:rPr>
                <w:i/>
                <w:sz w:val="16"/>
                <w:szCs w:val="16"/>
              </w:rPr>
            </w:pPr>
            <w:r w:rsidRPr="00C72BA6">
              <w:rPr>
                <w:i/>
                <w:sz w:val="16"/>
                <w:szCs w:val="16"/>
              </w:rPr>
              <w:t>Australia</w:t>
            </w:r>
            <w:r>
              <w:rPr>
                <w:i/>
                <w:sz w:val="16"/>
                <w:szCs w:val="16"/>
              </w:rPr>
              <w:t xml:space="preserve"> – </w:t>
            </w:r>
            <w:r w:rsidRPr="00C72BA6">
              <w:rPr>
                <w:i/>
                <w:sz w:val="16"/>
                <w:szCs w:val="16"/>
              </w:rPr>
              <w:t>Apples</w:t>
            </w:r>
          </w:p>
        </w:tc>
        <w:tc>
          <w:tcPr>
            <w:tcW w:w="6622" w:type="dxa"/>
          </w:tcPr>
          <w:p w14:paraId="39536AA1"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Panel</w:t>
            </w:r>
            <w:r>
              <w:rPr>
                <w:color w:val="000000"/>
                <w:sz w:val="16"/>
                <w:szCs w:val="16"/>
              </w:rPr>
              <w:t xml:space="preserve"> </w:t>
            </w:r>
            <w:r w:rsidRPr="00C72BA6">
              <w:rPr>
                <w:color w:val="000000"/>
                <w:sz w:val="16"/>
                <w:szCs w:val="16"/>
              </w:rPr>
              <w:t xml:space="preserve">Report, </w:t>
            </w:r>
            <w:r w:rsidRPr="00C72BA6">
              <w:rPr>
                <w:i/>
                <w:color w:val="000000"/>
                <w:sz w:val="16"/>
                <w:szCs w:val="16"/>
              </w:rPr>
              <w:t>Australia – Measures Affecting the Importation of Apples from New Zealand</w:t>
            </w:r>
            <w:r w:rsidRPr="00C72BA6">
              <w:rPr>
                <w:iCs/>
                <w:color w:val="000000"/>
                <w:sz w:val="16"/>
                <w:szCs w:val="16"/>
              </w:rPr>
              <w:t xml:space="preserve">, </w:t>
            </w:r>
            <w:r w:rsidRPr="00C72BA6">
              <w:rPr>
                <w:iCs/>
                <w:sz w:val="16"/>
                <w:szCs w:val="16"/>
              </w:rPr>
              <w:t>WT/DS367/R</w:t>
            </w:r>
            <w:r w:rsidRPr="00C72BA6">
              <w:rPr>
                <w:iCs/>
                <w:color w:val="000000"/>
                <w:sz w:val="16"/>
                <w:szCs w:val="16"/>
              </w:rPr>
              <w:t xml:space="preserve">, </w:t>
            </w:r>
            <w:r w:rsidRPr="00C72BA6">
              <w:rPr>
                <w:color w:val="000000"/>
                <w:sz w:val="16"/>
                <w:szCs w:val="16"/>
              </w:rPr>
              <w:t>adopted 17</w:t>
            </w:r>
            <w:r>
              <w:rPr>
                <w:color w:val="000000"/>
                <w:sz w:val="16"/>
                <w:szCs w:val="16"/>
              </w:rPr>
              <w:t xml:space="preserve"> </w:t>
            </w:r>
            <w:r w:rsidRPr="00C72BA6">
              <w:rPr>
                <w:color w:val="000000"/>
                <w:sz w:val="16"/>
                <w:szCs w:val="16"/>
              </w:rPr>
              <w:t>December 2010, as modified by Appellate</w:t>
            </w:r>
            <w:r>
              <w:rPr>
                <w:color w:val="000000"/>
                <w:sz w:val="16"/>
                <w:szCs w:val="16"/>
              </w:rPr>
              <w:t xml:space="preserve"> </w:t>
            </w:r>
            <w:r w:rsidRPr="00C72BA6">
              <w:rPr>
                <w:color w:val="000000"/>
                <w:sz w:val="16"/>
                <w:szCs w:val="16"/>
              </w:rPr>
              <w:t>Body Report WT/DS367/AB/R, DSR 2010:VI, p.</w:t>
            </w:r>
            <w:r>
              <w:rPr>
                <w:color w:val="000000"/>
                <w:sz w:val="16"/>
                <w:szCs w:val="16"/>
              </w:rPr>
              <w:t xml:space="preserve"> </w:t>
            </w:r>
            <w:r w:rsidRPr="00C72BA6">
              <w:rPr>
                <w:color w:val="000000"/>
                <w:sz w:val="16"/>
                <w:szCs w:val="16"/>
              </w:rPr>
              <w:t>2371</w:t>
            </w:r>
          </w:p>
        </w:tc>
      </w:tr>
      <w:tr w:rsidR="00771172" w:rsidRPr="00C72BA6" w14:paraId="3BD5CADD" w14:textId="77777777" w:rsidTr="00EB6B84">
        <w:trPr>
          <w:cantSplit/>
        </w:trPr>
        <w:tc>
          <w:tcPr>
            <w:tcW w:w="2602" w:type="dxa"/>
          </w:tcPr>
          <w:p w14:paraId="227B7328" w14:textId="77777777" w:rsidR="00771172" w:rsidRPr="00C72BA6" w:rsidRDefault="00771172" w:rsidP="00EB6B84">
            <w:pPr>
              <w:spacing w:before="60" w:after="60"/>
              <w:jc w:val="left"/>
              <w:rPr>
                <w:i/>
                <w:sz w:val="16"/>
                <w:szCs w:val="16"/>
              </w:rPr>
            </w:pPr>
            <w:r w:rsidRPr="00C72BA6">
              <w:rPr>
                <w:i/>
                <w:sz w:val="16"/>
                <w:szCs w:val="16"/>
              </w:rPr>
              <w:t>Australia</w:t>
            </w:r>
            <w:r>
              <w:rPr>
                <w:i/>
                <w:sz w:val="16"/>
                <w:szCs w:val="16"/>
              </w:rPr>
              <w:t xml:space="preserve"> – </w:t>
            </w:r>
            <w:r w:rsidRPr="00C72BA6">
              <w:rPr>
                <w:i/>
                <w:sz w:val="16"/>
                <w:szCs w:val="16"/>
              </w:rPr>
              <w:t>Salmon</w:t>
            </w:r>
          </w:p>
        </w:tc>
        <w:tc>
          <w:tcPr>
            <w:tcW w:w="6622" w:type="dxa"/>
          </w:tcPr>
          <w:p w14:paraId="74FD7DF3"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Australia – Measures Affecting Importation of Salmon</w:t>
            </w:r>
            <w:r w:rsidRPr="00C72BA6">
              <w:rPr>
                <w:color w:val="000000"/>
                <w:sz w:val="16"/>
                <w:szCs w:val="16"/>
              </w:rPr>
              <w:t xml:space="preserve">, </w:t>
            </w:r>
            <w:r w:rsidRPr="00C72BA6">
              <w:rPr>
                <w:sz w:val="16"/>
                <w:szCs w:val="16"/>
              </w:rPr>
              <w:t>WT/DS18/AB/R</w:t>
            </w:r>
            <w:r w:rsidRPr="00C72BA6">
              <w:rPr>
                <w:color w:val="000000"/>
                <w:sz w:val="16"/>
                <w:szCs w:val="16"/>
              </w:rPr>
              <w:t>, adopted 6</w:t>
            </w:r>
            <w:r>
              <w:rPr>
                <w:color w:val="000000"/>
                <w:sz w:val="16"/>
                <w:szCs w:val="16"/>
              </w:rPr>
              <w:t xml:space="preserve"> </w:t>
            </w:r>
            <w:r w:rsidRPr="00C72BA6">
              <w:rPr>
                <w:color w:val="000000"/>
                <w:sz w:val="16"/>
                <w:szCs w:val="16"/>
              </w:rPr>
              <w:t>November</w:t>
            </w:r>
            <w:r>
              <w:rPr>
                <w:color w:val="000000"/>
                <w:sz w:val="16"/>
                <w:szCs w:val="16"/>
              </w:rPr>
              <w:t xml:space="preserve"> </w:t>
            </w:r>
            <w:r w:rsidRPr="00C72BA6">
              <w:rPr>
                <w:color w:val="000000"/>
                <w:sz w:val="16"/>
                <w:szCs w:val="16"/>
              </w:rPr>
              <w:t>1998, DSR 1998:VIII, p.</w:t>
            </w:r>
            <w:r>
              <w:rPr>
                <w:color w:val="000000"/>
                <w:sz w:val="16"/>
                <w:szCs w:val="16"/>
              </w:rPr>
              <w:t xml:space="preserve"> </w:t>
            </w:r>
            <w:r w:rsidRPr="00C72BA6">
              <w:rPr>
                <w:color w:val="000000"/>
                <w:sz w:val="16"/>
                <w:szCs w:val="16"/>
              </w:rPr>
              <w:t>3327</w:t>
            </w:r>
          </w:p>
        </w:tc>
      </w:tr>
      <w:tr w:rsidR="00771172" w:rsidRPr="00C72BA6" w14:paraId="25AB6DB0"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13D4563B" w14:textId="77777777" w:rsidR="00771172" w:rsidRPr="00C72BA6" w:rsidRDefault="00771172" w:rsidP="00EB6B84">
            <w:pPr>
              <w:spacing w:before="60" w:after="60"/>
              <w:jc w:val="left"/>
              <w:rPr>
                <w:i/>
                <w:sz w:val="16"/>
                <w:szCs w:val="16"/>
              </w:rPr>
            </w:pPr>
            <w:r w:rsidRPr="00C72BA6">
              <w:rPr>
                <w:i/>
                <w:sz w:val="16"/>
                <w:szCs w:val="16"/>
              </w:rPr>
              <w:t>Brazil</w:t>
            </w:r>
            <w:r>
              <w:rPr>
                <w:i/>
                <w:sz w:val="16"/>
                <w:szCs w:val="16"/>
              </w:rPr>
              <w:t xml:space="preserve"> – </w:t>
            </w:r>
            <w:r w:rsidRPr="00C72BA6">
              <w:rPr>
                <w:i/>
                <w:sz w:val="16"/>
                <w:szCs w:val="16"/>
              </w:rPr>
              <w:t>Desiccated</w:t>
            </w:r>
            <w:r>
              <w:rPr>
                <w:i/>
                <w:sz w:val="16"/>
                <w:szCs w:val="16"/>
              </w:rPr>
              <w:t xml:space="preserve"> </w:t>
            </w:r>
            <w:r w:rsidRPr="00C72BA6">
              <w:rPr>
                <w:i/>
                <w:sz w:val="16"/>
                <w:szCs w:val="16"/>
              </w:rPr>
              <w:t>Coconut</w:t>
            </w:r>
          </w:p>
        </w:tc>
        <w:tc>
          <w:tcPr>
            <w:tcW w:w="6622" w:type="dxa"/>
          </w:tcPr>
          <w:p w14:paraId="53FCD605"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Brazil – Measures Affecting Desiccated Coconut</w:t>
            </w:r>
            <w:r w:rsidRPr="00C72BA6">
              <w:rPr>
                <w:color w:val="000000"/>
                <w:sz w:val="16"/>
                <w:szCs w:val="16"/>
              </w:rPr>
              <w:t xml:space="preserve">, </w:t>
            </w:r>
            <w:r w:rsidRPr="00C72BA6">
              <w:rPr>
                <w:sz w:val="16"/>
                <w:szCs w:val="16"/>
              </w:rPr>
              <w:t>WT/DS22/AB/R</w:t>
            </w:r>
            <w:r w:rsidRPr="00C72BA6">
              <w:rPr>
                <w:color w:val="000000"/>
                <w:sz w:val="16"/>
                <w:szCs w:val="16"/>
              </w:rPr>
              <w:t>, adopted 20</w:t>
            </w:r>
            <w:r>
              <w:rPr>
                <w:color w:val="000000"/>
                <w:sz w:val="16"/>
                <w:szCs w:val="16"/>
              </w:rPr>
              <w:t xml:space="preserve"> </w:t>
            </w:r>
            <w:r w:rsidRPr="00C72BA6">
              <w:rPr>
                <w:color w:val="000000"/>
                <w:sz w:val="16"/>
                <w:szCs w:val="16"/>
              </w:rPr>
              <w:t>March</w:t>
            </w:r>
            <w:r>
              <w:rPr>
                <w:color w:val="000000"/>
                <w:sz w:val="16"/>
                <w:szCs w:val="16"/>
              </w:rPr>
              <w:t xml:space="preserve"> </w:t>
            </w:r>
            <w:r w:rsidRPr="00C72BA6">
              <w:rPr>
                <w:color w:val="000000"/>
                <w:sz w:val="16"/>
                <w:szCs w:val="16"/>
              </w:rPr>
              <w:t>1997, DSR</w:t>
            </w:r>
            <w:r>
              <w:rPr>
                <w:color w:val="000000"/>
                <w:sz w:val="16"/>
                <w:szCs w:val="16"/>
              </w:rPr>
              <w:t xml:space="preserve"> </w:t>
            </w:r>
            <w:r w:rsidRPr="00C72BA6">
              <w:rPr>
                <w:color w:val="000000"/>
                <w:sz w:val="16"/>
                <w:szCs w:val="16"/>
              </w:rPr>
              <w:t>1997:I, p.</w:t>
            </w:r>
            <w:r>
              <w:rPr>
                <w:color w:val="000000"/>
                <w:sz w:val="16"/>
                <w:szCs w:val="16"/>
              </w:rPr>
              <w:t xml:space="preserve"> </w:t>
            </w:r>
            <w:r w:rsidRPr="00C72BA6">
              <w:rPr>
                <w:color w:val="000000"/>
                <w:sz w:val="16"/>
                <w:szCs w:val="16"/>
              </w:rPr>
              <w:t>167</w:t>
            </w:r>
          </w:p>
        </w:tc>
      </w:tr>
      <w:tr w:rsidR="00771172" w:rsidRPr="00C72BA6" w14:paraId="581D4D7E" w14:textId="77777777" w:rsidTr="00EB6B84">
        <w:trPr>
          <w:cantSplit/>
        </w:trPr>
        <w:tc>
          <w:tcPr>
            <w:tcW w:w="2602" w:type="dxa"/>
          </w:tcPr>
          <w:p w14:paraId="3C9BB3AF" w14:textId="77777777" w:rsidR="00771172" w:rsidRPr="00C72BA6" w:rsidRDefault="00771172" w:rsidP="00EB6B84">
            <w:pPr>
              <w:spacing w:before="60" w:after="60"/>
              <w:jc w:val="left"/>
              <w:rPr>
                <w:i/>
                <w:sz w:val="16"/>
                <w:szCs w:val="16"/>
              </w:rPr>
            </w:pPr>
            <w:r w:rsidRPr="00C72BA6">
              <w:rPr>
                <w:i/>
                <w:sz w:val="16"/>
                <w:szCs w:val="16"/>
              </w:rPr>
              <w:lastRenderedPageBreak/>
              <w:t>Brazil</w:t>
            </w:r>
            <w:r>
              <w:rPr>
                <w:i/>
                <w:sz w:val="16"/>
                <w:szCs w:val="16"/>
              </w:rPr>
              <w:t xml:space="preserve"> – </w:t>
            </w:r>
            <w:r w:rsidRPr="00C72BA6">
              <w:rPr>
                <w:i/>
                <w:sz w:val="16"/>
                <w:szCs w:val="16"/>
              </w:rPr>
              <w:t>Retreaded</w:t>
            </w:r>
            <w:r>
              <w:rPr>
                <w:i/>
                <w:sz w:val="16"/>
                <w:szCs w:val="16"/>
              </w:rPr>
              <w:t xml:space="preserve"> </w:t>
            </w:r>
            <w:r w:rsidRPr="00C72BA6">
              <w:rPr>
                <w:i/>
                <w:sz w:val="16"/>
                <w:szCs w:val="16"/>
              </w:rPr>
              <w:t>Tyres</w:t>
            </w:r>
          </w:p>
        </w:tc>
        <w:tc>
          <w:tcPr>
            <w:tcW w:w="6622" w:type="dxa"/>
          </w:tcPr>
          <w:p w14:paraId="3C4903A3"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Brazil – Measures Affecting Imports of Retreaded Tyres</w:t>
            </w:r>
            <w:r w:rsidRPr="00C72BA6">
              <w:rPr>
                <w:color w:val="000000"/>
                <w:sz w:val="16"/>
                <w:szCs w:val="16"/>
              </w:rPr>
              <w:t xml:space="preserve">, </w:t>
            </w:r>
            <w:r w:rsidRPr="00C72BA6">
              <w:rPr>
                <w:sz w:val="16"/>
                <w:szCs w:val="16"/>
              </w:rPr>
              <w:t>WT/DS332/AB/R</w:t>
            </w:r>
            <w:r w:rsidRPr="00C72BA6">
              <w:rPr>
                <w:color w:val="000000"/>
                <w:sz w:val="16"/>
                <w:szCs w:val="16"/>
              </w:rPr>
              <w:t>, adopted 17</w:t>
            </w:r>
            <w:r>
              <w:rPr>
                <w:color w:val="000000"/>
                <w:sz w:val="16"/>
                <w:szCs w:val="16"/>
              </w:rPr>
              <w:t xml:space="preserve"> </w:t>
            </w:r>
            <w:r w:rsidRPr="00C72BA6">
              <w:rPr>
                <w:color w:val="000000"/>
                <w:sz w:val="16"/>
                <w:szCs w:val="16"/>
              </w:rPr>
              <w:t>December</w:t>
            </w:r>
            <w:r>
              <w:rPr>
                <w:color w:val="000000"/>
                <w:sz w:val="16"/>
                <w:szCs w:val="16"/>
              </w:rPr>
              <w:t xml:space="preserve"> </w:t>
            </w:r>
            <w:r w:rsidRPr="00C72BA6">
              <w:rPr>
                <w:color w:val="000000"/>
                <w:sz w:val="16"/>
                <w:szCs w:val="16"/>
              </w:rPr>
              <w:t>2007, DSR 2007:IV, p.</w:t>
            </w:r>
            <w:r>
              <w:rPr>
                <w:color w:val="000000"/>
                <w:sz w:val="16"/>
                <w:szCs w:val="16"/>
              </w:rPr>
              <w:t xml:space="preserve"> </w:t>
            </w:r>
            <w:r w:rsidRPr="00C72BA6">
              <w:rPr>
                <w:color w:val="000000"/>
                <w:sz w:val="16"/>
                <w:szCs w:val="16"/>
              </w:rPr>
              <w:t>1527</w:t>
            </w:r>
          </w:p>
        </w:tc>
      </w:tr>
      <w:tr w:rsidR="00771172" w:rsidRPr="00C72BA6" w14:paraId="54E3C510"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7732CD56" w14:textId="0F75916B" w:rsidR="00771172" w:rsidRPr="00C72BA6" w:rsidRDefault="00771172" w:rsidP="00EB6B84">
            <w:pPr>
              <w:spacing w:before="60" w:after="60"/>
              <w:jc w:val="left"/>
              <w:rPr>
                <w:i/>
                <w:sz w:val="16"/>
                <w:szCs w:val="16"/>
              </w:rPr>
            </w:pPr>
            <w:r w:rsidRPr="00C72BA6">
              <w:rPr>
                <w:i/>
                <w:sz w:val="16"/>
                <w:szCs w:val="16"/>
              </w:rPr>
              <w:t>Canada</w:t>
            </w:r>
            <w:r>
              <w:rPr>
                <w:i/>
                <w:sz w:val="16"/>
                <w:szCs w:val="16"/>
              </w:rPr>
              <w:t xml:space="preserve"> – </w:t>
            </w:r>
            <w:r w:rsidRPr="00C72BA6">
              <w:rPr>
                <w:i/>
                <w:sz w:val="16"/>
                <w:szCs w:val="16"/>
              </w:rPr>
              <w:t>Dairy</w:t>
            </w:r>
            <w:r>
              <w:rPr>
                <w:i/>
                <w:sz w:val="16"/>
                <w:szCs w:val="16"/>
              </w:rPr>
              <w:t xml:space="preserve"> </w:t>
            </w:r>
            <w:r w:rsidRPr="00C72BA6">
              <w:rPr>
                <w:i/>
                <w:sz w:val="16"/>
                <w:szCs w:val="16"/>
              </w:rPr>
              <w:t>(Article</w:t>
            </w:r>
            <w:r>
              <w:rPr>
                <w:i/>
                <w:sz w:val="16"/>
                <w:szCs w:val="16"/>
              </w:rPr>
              <w:t> </w:t>
            </w:r>
            <w:r w:rsidRPr="00C72BA6">
              <w:rPr>
                <w:i/>
                <w:sz w:val="16"/>
                <w:szCs w:val="16"/>
              </w:rPr>
              <w:t>21.5</w:t>
            </w:r>
            <w:r>
              <w:rPr>
                <w:i/>
                <w:sz w:val="16"/>
                <w:szCs w:val="16"/>
              </w:rPr>
              <w:t xml:space="preserve"> – </w:t>
            </w:r>
            <w:r w:rsidRPr="00C72BA6">
              <w:rPr>
                <w:i/>
                <w:sz w:val="16"/>
                <w:szCs w:val="16"/>
              </w:rPr>
              <w:t>New</w:t>
            </w:r>
            <w:r>
              <w:rPr>
                <w:i/>
                <w:sz w:val="16"/>
                <w:szCs w:val="16"/>
              </w:rPr>
              <w:t xml:space="preserve"> </w:t>
            </w:r>
            <w:r w:rsidRPr="00C72BA6">
              <w:rPr>
                <w:i/>
                <w:sz w:val="16"/>
                <w:szCs w:val="16"/>
              </w:rPr>
              <w:t>Zealand and</w:t>
            </w:r>
            <w:r>
              <w:rPr>
                <w:i/>
                <w:sz w:val="16"/>
                <w:szCs w:val="16"/>
              </w:rPr>
              <w:t xml:space="preserve"> </w:t>
            </w:r>
            <w:r w:rsidRPr="00C72BA6">
              <w:rPr>
                <w:i/>
                <w:sz w:val="16"/>
                <w:szCs w:val="16"/>
              </w:rPr>
              <w:t>US</w:t>
            </w:r>
            <w:r>
              <w:rPr>
                <w:i/>
                <w:sz w:val="16"/>
                <w:szCs w:val="16"/>
              </w:rPr>
              <w:t xml:space="preserve"> </w:t>
            </w:r>
            <w:r w:rsidRPr="00C72BA6">
              <w:rPr>
                <w:i/>
                <w:sz w:val="16"/>
                <w:szCs w:val="16"/>
              </w:rPr>
              <w:t>II)</w:t>
            </w:r>
          </w:p>
        </w:tc>
        <w:tc>
          <w:tcPr>
            <w:tcW w:w="6622" w:type="dxa"/>
          </w:tcPr>
          <w:p w14:paraId="72FC5207"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Canada – Measures Affecting the Importation of Milk and the Exportation of Dairy Products – Second Recourse to Article</w:t>
            </w:r>
            <w:r>
              <w:rPr>
                <w:i/>
                <w:color w:val="000000"/>
                <w:sz w:val="16"/>
                <w:szCs w:val="16"/>
              </w:rPr>
              <w:t xml:space="preserve"> </w:t>
            </w:r>
            <w:r w:rsidRPr="00C72BA6">
              <w:rPr>
                <w:i/>
                <w:color w:val="000000"/>
                <w:sz w:val="16"/>
                <w:szCs w:val="16"/>
              </w:rPr>
              <w:t>21.5 of the DSU by New Zealand and the United</w:t>
            </w:r>
            <w:r>
              <w:rPr>
                <w:i/>
                <w:color w:val="000000"/>
                <w:sz w:val="16"/>
                <w:szCs w:val="16"/>
              </w:rPr>
              <w:t xml:space="preserve"> </w:t>
            </w:r>
            <w:r w:rsidRPr="00C72BA6">
              <w:rPr>
                <w:i/>
                <w:color w:val="000000"/>
                <w:sz w:val="16"/>
                <w:szCs w:val="16"/>
              </w:rPr>
              <w:t>States</w:t>
            </w:r>
            <w:r w:rsidRPr="00C72BA6">
              <w:rPr>
                <w:color w:val="000000"/>
                <w:sz w:val="16"/>
                <w:szCs w:val="16"/>
              </w:rPr>
              <w:t xml:space="preserve">, </w:t>
            </w:r>
            <w:r w:rsidRPr="00C72BA6">
              <w:rPr>
                <w:sz w:val="16"/>
                <w:szCs w:val="16"/>
              </w:rPr>
              <w:t>WT/DS103/AB/RW2</w:t>
            </w:r>
            <w:r w:rsidRPr="00C72BA6">
              <w:rPr>
                <w:color w:val="000000"/>
                <w:sz w:val="16"/>
                <w:szCs w:val="16"/>
              </w:rPr>
              <w:t xml:space="preserve">, </w:t>
            </w:r>
            <w:r w:rsidRPr="00C72BA6">
              <w:rPr>
                <w:sz w:val="16"/>
                <w:szCs w:val="16"/>
              </w:rPr>
              <w:t>WT/DS113/AB/RW2</w:t>
            </w:r>
            <w:r w:rsidRPr="00C72BA6">
              <w:rPr>
                <w:color w:val="000000"/>
                <w:sz w:val="16"/>
                <w:szCs w:val="16"/>
              </w:rPr>
              <w:t>, adopted 17</w:t>
            </w:r>
            <w:r>
              <w:rPr>
                <w:color w:val="000000"/>
                <w:sz w:val="16"/>
                <w:szCs w:val="16"/>
              </w:rPr>
              <w:t xml:space="preserve"> </w:t>
            </w:r>
            <w:r w:rsidRPr="00C72BA6">
              <w:rPr>
                <w:color w:val="000000"/>
                <w:sz w:val="16"/>
                <w:szCs w:val="16"/>
              </w:rPr>
              <w:t>January</w:t>
            </w:r>
            <w:r>
              <w:rPr>
                <w:color w:val="000000"/>
                <w:sz w:val="16"/>
                <w:szCs w:val="16"/>
              </w:rPr>
              <w:t xml:space="preserve"> </w:t>
            </w:r>
            <w:r w:rsidRPr="00C72BA6">
              <w:rPr>
                <w:color w:val="000000"/>
                <w:sz w:val="16"/>
                <w:szCs w:val="16"/>
              </w:rPr>
              <w:t>2003, DSR 2003:I, p.</w:t>
            </w:r>
            <w:r>
              <w:rPr>
                <w:color w:val="000000"/>
                <w:sz w:val="16"/>
                <w:szCs w:val="16"/>
              </w:rPr>
              <w:t xml:space="preserve"> </w:t>
            </w:r>
            <w:r w:rsidRPr="00C72BA6">
              <w:rPr>
                <w:color w:val="000000"/>
                <w:sz w:val="16"/>
                <w:szCs w:val="16"/>
              </w:rPr>
              <w:t>213</w:t>
            </w:r>
          </w:p>
        </w:tc>
      </w:tr>
      <w:tr w:rsidR="00771172" w:rsidRPr="00C72BA6" w14:paraId="55BF1F5E" w14:textId="77777777" w:rsidTr="00EB6B84">
        <w:trPr>
          <w:cantSplit/>
        </w:trPr>
        <w:tc>
          <w:tcPr>
            <w:tcW w:w="2602" w:type="dxa"/>
          </w:tcPr>
          <w:p w14:paraId="410BCDA8" w14:textId="77777777" w:rsidR="00771172" w:rsidRPr="00C72BA6" w:rsidRDefault="00771172" w:rsidP="00EB6B84">
            <w:pPr>
              <w:spacing w:before="60" w:after="60"/>
              <w:jc w:val="left"/>
              <w:rPr>
                <w:i/>
                <w:sz w:val="16"/>
                <w:szCs w:val="16"/>
              </w:rPr>
            </w:pPr>
            <w:r w:rsidRPr="00C72BA6">
              <w:rPr>
                <w:i/>
                <w:sz w:val="16"/>
                <w:szCs w:val="16"/>
              </w:rPr>
              <w:t>Canada</w:t>
            </w:r>
            <w:r>
              <w:rPr>
                <w:i/>
                <w:sz w:val="16"/>
                <w:szCs w:val="16"/>
              </w:rPr>
              <w:t xml:space="preserve"> – </w:t>
            </w:r>
            <w:r w:rsidRPr="00C72BA6">
              <w:rPr>
                <w:i/>
                <w:sz w:val="16"/>
                <w:szCs w:val="16"/>
              </w:rPr>
              <w:t>Periodicals</w:t>
            </w:r>
          </w:p>
        </w:tc>
        <w:tc>
          <w:tcPr>
            <w:tcW w:w="6622" w:type="dxa"/>
          </w:tcPr>
          <w:p w14:paraId="7CDD6D82"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Canada – Certain Measures Concerning Periodicals</w:t>
            </w:r>
            <w:r w:rsidRPr="00C72BA6">
              <w:rPr>
                <w:color w:val="000000"/>
                <w:sz w:val="16"/>
                <w:szCs w:val="16"/>
              </w:rPr>
              <w:t xml:space="preserve">, </w:t>
            </w:r>
            <w:r w:rsidRPr="00C72BA6">
              <w:rPr>
                <w:sz w:val="16"/>
                <w:szCs w:val="16"/>
              </w:rPr>
              <w:t>WT/DS31/AB/R</w:t>
            </w:r>
            <w:r w:rsidRPr="00C72BA6">
              <w:rPr>
                <w:color w:val="000000"/>
                <w:sz w:val="16"/>
                <w:szCs w:val="16"/>
              </w:rPr>
              <w:t>, adopted 30</w:t>
            </w:r>
            <w:r>
              <w:rPr>
                <w:color w:val="000000"/>
                <w:sz w:val="16"/>
                <w:szCs w:val="16"/>
              </w:rPr>
              <w:t xml:space="preserve"> </w:t>
            </w:r>
            <w:r w:rsidRPr="00C72BA6">
              <w:rPr>
                <w:color w:val="000000"/>
                <w:sz w:val="16"/>
                <w:szCs w:val="16"/>
              </w:rPr>
              <w:t>July</w:t>
            </w:r>
            <w:r>
              <w:rPr>
                <w:color w:val="000000"/>
                <w:sz w:val="16"/>
                <w:szCs w:val="16"/>
              </w:rPr>
              <w:t xml:space="preserve"> </w:t>
            </w:r>
            <w:r w:rsidRPr="00C72BA6">
              <w:rPr>
                <w:color w:val="000000"/>
                <w:sz w:val="16"/>
                <w:szCs w:val="16"/>
              </w:rPr>
              <w:t>1997, DSR 1997:I, p.</w:t>
            </w:r>
            <w:r>
              <w:rPr>
                <w:color w:val="000000"/>
                <w:sz w:val="16"/>
                <w:szCs w:val="16"/>
              </w:rPr>
              <w:t xml:space="preserve"> </w:t>
            </w:r>
            <w:r w:rsidRPr="00C72BA6">
              <w:rPr>
                <w:color w:val="000000"/>
                <w:sz w:val="16"/>
                <w:szCs w:val="16"/>
              </w:rPr>
              <w:t>449</w:t>
            </w:r>
          </w:p>
        </w:tc>
      </w:tr>
      <w:tr w:rsidR="00771172" w:rsidRPr="00C72BA6" w14:paraId="1954B93F"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20233ED4" w14:textId="77777777" w:rsidR="00771172" w:rsidRPr="00C72BA6" w:rsidRDefault="00771172" w:rsidP="00EB6B84">
            <w:pPr>
              <w:spacing w:before="60" w:after="60"/>
              <w:jc w:val="left"/>
              <w:rPr>
                <w:i/>
                <w:sz w:val="16"/>
                <w:szCs w:val="16"/>
              </w:rPr>
            </w:pPr>
            <w:r w:rsidRPr="00C72BA6">
              <w:rPr>
                <w:i/>
                <w:sz w:val="16"/>
                <w:szCs w:val="16"/>
              </w:rPr>
              <w:t>Canada</w:t>
            </w:r>
            <w:r>
              <w:rPr>
                <w:i/>
                <w:sz w:val="16"/>
                <w:szCs w:val="16"/>
              </w:rPr>
              <w:t xml:space="preserve"> – </w:t>
            </w:r>
            <w:r w:rsidRPr="00C72BA6">
              <w:rPr>
                <w:i/>
                <w:sz w:val="16"/>
                <w:szCs w:val="16"/>
              </w:rPr>
              <w:t>Wheat</w:t>
            </w:r>
            <w:r>
              <w:rPr>
                <w:i/>
                <w:sz w:val="16"/>
                <w:szCs w:val="16"/>
              </w:rPr>
              <w:t xml:space="preserve"> </w:t>
            </w:r>
            <w:r w:rsidRPr="00C72BA6">
              <w:rPr>
                <w:i/>
                <w:sz w:val="16"/>
                <w:szCs w:val="16"/>
              </w:rPr>
              <w:t>Exports</w:t>
            </w:r>
            <w:r>
              <w:rPr>
                <w:i/>
                <w:sz w:val="16"/>
                <w:szCs w:val="16"/>
              </w:rPr>
              <w:t xml:space="preserve"> </w:t>
            </w:r>
            <w:r w:rsidRPr="00C72BA6">
              <w:rPr>
                <w:i/>
                <w:sz w:val="16"/>
                <w:szCs w:val="16"/>
              </w:rPr>
              <w:t>and</w:t>
            </w:r>
            <w:r>
              <w:rPr>
                <w:i/>
                <w:sz w:val="16"/>
                <w:szCs w:val="16"/>
              </w:rPr>
              <w:t xml:space="preserve"> </w:t>
            </w:r>
            <w:r w:rsidRPr="00C72BA6">
              <w:rPr>
                <w:i/>
                <w:sz w:val="16"/>
                <w:szCs w:val="16"/>
              </w:rPr>
              <w:t>Grain</w:t>
            </w:r>
            <w:r>
              <w:rPr>
                <w:i/>
                <w:sz w:val="16"/>
                <w:szCs w:val="16"/>
              </w:rPr>
              <w:t xml:space="preserve"> </w:t>
            </w:r>
            <w:r w:rsidRPr="00C72BA6">
              <w:rPr>
                <w:i/>
                <w:sz w:val="16"/>
                <w:szCs w:val="16"/>
              </w:rPr>
              <w:t>Imports</w:t>
            </w:r>
          </w:p>
        </w:tc>
        <w:tc>
          <w:tcPr>
            <w:tcW w:w="6622" w:type="dxa"/>
          </w:tcPr>
          <w:p w14:paraId="032E1127"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Canada – Measures Relating to Exports of Wheat and Treatment of Imported Grain</w:t>
            </w:r>
            <w:r w:rsidRPr="00C72BA6">
              <w:rPr>
                <w:color w:val="000000"/>
                <w:sz w:val="16"/>
                <w:szCs w:val="16"/>
              </w:rPr>
              <w:t xml:space="preserve">, </w:t>
            </w:r>
            <w:r w:rsidRPr="00C72BA6">
              <w:rPr>
                <w:sz w:val="16"/>
                <w:szCs w:val="16"/>
              </w:rPr>
              <w:t>WT/DS276/AB/R</w:t>
            </w:r>
            <w:r w:rsidRPr="00C72BA6">
              <w:rPr>
                <w:color w:val="000000"/>
                <w:sz w:val="16"/>
                <w:szCs w:val="16"/>
              </w:rPr>
              <w:t>, adopted 27</w:t>
            </w:r>
            <w:r>
              <w:rPr>
                <w:color w:val="000000"/>
                <w:sz w:val="16"/>
                <w:szCs w:val="16"/>
              </w:rPr>
              <w:t xml:space="preserve"> </w:t>
            </w:r>
            <w:r w:rsidRPr="00C72BA6">
              <w:rPr>
                <w:color w:val="000000"/>
                <w:sz w:val="16"/>
                <w:szCs w:val="16"/>
              </w:rPr>
              <w:t>September</w:t>
            </w:r>
            <w:r>
              <w:rPr>
                <w:color w:val="000000"/>
                <w:sz w:val="16"/>
                <w:szCs w:val="16"/>
              </w:rPr>
              <w:t xml:space="preserve"> </w:t>
            </w:r>
            <w:r w:rsidRPr="00C72BA6">
              <w:rPr>
                <w:color w:val="000000"/>
                <w:sz w:val="16"/>
                <w:szCs w:val="16"/>
              </w:rPr>
              <w:t>2004, DSR 2004:VI, p.</w:t>
            </w:r>
            <w:r>
              <w:rPr>
                <w:color w:val="000000"/>
                <w:sz w:val="16"/>
                <w:szCs w:val="16"/>
              </w:rPr>
              <w:t xml:space="preserve"> </w:t>
            </w:r>
            <w:r w:rsidRPr="00C72BA6">
              <w:rPr>
                <w:color w:val="000000"/>
                <w:sz w:val="16"/>
                <w:szCs w:val="16"/>
              </w:rPr>
              <w:t>2739</w:t>
            </w:r>
          </w:p>
        </w:tc>
      </w:tr>
      <w:tr w:rsidR="00771172" w:rsidRPr="00C72BA6" w14:paraId="0EE9B8BF" w14:textId="77777777" w:rsidTr="00EB6B84">
        <w:trPr>
          <w:cantSplit/>
        </w:trPr>
        <w:tc>
          <w:tcPr>
            <w:tcW w:w="2602" w:type="dxa"/>
          </w:tcPr>
          <w:p w14:paraId="62536294" w14:textId="77777777" w:rsidR="00771172" w:rsidRPr="00C72BA6" w:rsidRDefault="00771172" w:rsidP="00EB6B84">
            <w:pPr>
              <w:spacing w:before="60" w:after="60"/>
              <w:jc w:val="left"/>
              <w:rPr>
                <w:i/>
                <w:sz w:val="16"/>
                <w:szCs w:val="16"/>
              </w:rPr>
            </w:pPr>
            <w:r w:rsidRPr="00C72BA6">
              <w:rPr>
                <w:i/>
                <w:sz w:val="16"/>
                <w:szCs w:val="16"/>
              </w:rPr>
              <w:t>Chile</w:t>
            </w:r>
            <w:r>
              <w:rPr>
                <w:i/>
                <w:sz w:val="16"/>
                <w:szCs w:val="16"/>
              </w:rPr>
              <w:t xml:space="preserve"> – </w:t>
            </w:r>
            <w:r w:rsidRPr="00C72BA6">
              <w:rPr>
                <w:i/>
                <w:sz w:val="16"/>
                <w:szCs w:val="16"/>
              </w:rPr>
              <w:t>Price</w:t>
            </w:r>
            <w:r>
              <w:rPr>
                <w:i/>
                <w:sz w:val="16"/>
                <w:szCs w:val="16"/>
              </w:rPr>
              <w:t xml:space="preserve"> </w:t>
            </w:r>
            <w:r w:rsidRPr="00C72BA6">
              <w:rPr>
                <w:i/>
                <w:sz w:val="16"/>
                <w:szCs w:val="16"/>
              </w:rPr>
              <w:t>Band</w:t>
            </w:r>
            <w:r>
              <w:rPr>
                <w:i/>
                <w:sz w:val="16"/>
                <w:szCs w:val="16"/>
              </w:rPr>
              <w:t xml:space="preserve"> </w:t>
            </w:r>
            <w:r w:rsidRPr="00C72BA6">
              <w:rPr>
                <w:i/>
                <w:sz w:val="16"/>
                <w:szCs w:val="16"/>
              </w:rPr>
              <w:t>System</w:t>
            </w:r>
            <w:r>
              <w:rPr>
                <w:i/>
                <w:sz w:val="16"/>
                <w:szCs w:val="16"/>
              </w:rPr>
              <w:t xml:space="preserve"> </w:t>
            </w:r>
            <w:r w:rsidRPr="00C72BA6">
              <w:rPr>
                <w:i/>
                <w:sz w:val="16"/>
                <w:szCs w:val="16"/>
              </w:rPr>
              <w:t>(Article</w:t>
            </w:r>
            <w:r>
              <w:rPr>
                <w:i/>
                <w:sz w:val="16"/>
                <w:szCs w:val="16"/>
              </w:rPr>
              <w:t xml:space="preserve"> </w:t>
            </w:r>
            <w:r w:rsidRPr="00C72BA6">
              <w:rPr>
                <w:i/>
                <w:sz w:val="16"/>
                <w:szCs w:val="16"/>
              </w:rPr>
              <w:t>21.5</w:t>
            </w:r>
            <w:r>
              <w:rPr>
                <w:i/>
                <w:sz w:val="16"/>
                <w:szCs w:val="16"/>
              </w:rPr>
              <w:t xml:space="preserve"> </w:t>
            </w:r>
            <w:r w:rsidRPr="00C72BA6">
              <w:rPr>
                <w:i/>
                <w:sz w:val="16"/>
                <w:szCs w:val="16"/>
              </w:rPr>
              <w:t>–Argentina)</w:t>
            </w:r>
          </w:p>
        </w:tc>
        <w:tc>
          <w:tcPr>
            <w:tcW w:w="6622" w:type="dxa"/>
          </w:tcPr>
          <w:p w14:paraId="33F9BD8E" w14:textId="18D7DD0F"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Chile – Price Band System and Safeguard Measures Relating to Certain Agricultural Products – Recourse to Article</w:t>
            </w:r>
            <w:r>
              <w:rPr>
                <w:i/>
                <w:color w:val="000000"/>
                <w:sz w:val="16"/>
                <w:szCs w:val="16"/>
              </w:rPr>
              <w:t xml:space="preserve"> </w:t>
            </w:r>
            <w:r w:rsidRPr="00C72BA6">
              <w:rPr>
                <w:i/>
                <w:color w:val="000000"/>
                <w:sz w:val="16"/>
                <w:szCs w:val="16"/>
              </w:rPr>
              <w:t>21.5 of the DSU by Argentina</w:t>
            </w:r>
            <w:r w:rsidRPr="00C72BA6">
              <w:rPr>
                <w:color w:val="000000"/>
                <w:sz w:val="16"/>
                <w:szCs w:val="16"/>
              </w:rPr>
              <w:t xml:space="preserve">, </w:t>
            </w:r>
            <w:r w:rsidRPr="00C72BA6">
              <w:rPr>
                <w:sz w:val="16"/>
                <w:szCs w:val="16"/>
              </w:rPr>
              <w:t>WT/DS207/AB/RW</w:t>
            </w:r>
            <w:r w:rsidRPr="00C72BA6">
              <w:rPr>
                <w:color w:val="000000"/>
                <w:sz w:val="16"/>
                <w:szCs w:val="16"/>
              </w:rPr>
              <w:t>, adopted 22</w:t>
            </w:r>
            <w:r>
              <w:rPr>
                <w:color w:val="000000"/>
                <w:sz w:val="16"/>
                <w:szCs w:val="16"/>
              </w:rPr>
              <w:t xml:space="preserve"> </w:t>
            </w:r>
            <w:r w:rsidRPr="00C72BA6">
              <w:rPr>
                <w:color w:val="000000"/>
                <w:sz w:val="16"/>
                <w:szCs w:val="16"/>
              </w:rPr>
              <w:t>May</w:t>
            </w:r>
            <w:r>
              <w:rPr>
                <w:color w:val="000000"/>
                <w:sz w:val="16"/>
                <w:szCs w:val="16"/>
              </w:rPr>
              <w:t xml:space="preserve"> </w:t>
            </w:r>
            <w:r w:rsidRPr="00C72BA6">
              <w:rPr>
                <w:color w:val="000000"/>
                <w:sz w:val="16"/>
                <w:szCs w:val="16"/>
              </w:rPr>
              <w:t>2007, DSR 2007:II, p.</w:t>
            </w:r>
            <w:r>
              <w:rPr>
                <w:color w:val="000000"/>
                <w:sz w:val="16"/>
                <w:szCs w:val="16"/>
              </w:rPr>
              <w:t xml:space="preserve"> </w:t>
            </w:r>
            <w:r w:rsidRPr="00C72BA6">
              <w:rPr>
                <w:color w:val="000000"/>
                <w:sz w:val="16"/>
                <w:szCs w:val="16"/>
              </w:rPr>
              <w:t>513</w:t>
            </w:r>
          </w:p>
        </w:tc>
      </w:tr>
      <w:tr w:rsidR="00771172" w:rsidRPr="00C72BA6" w14:paraId="306067E1"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376127CB" w14:textId="77777777" w:rsidR="00771172" w:rsidRPr="00C72BA6" w:rsidRDefault="00771172" w:rsidP="00EB6B84">
            <w:pPr>
              <w:spacing w:before="60" w:after="60"/>
              <w:jc w:val="left"/>
              <w:rPr>
                <w:i/>
                <w:sz w:val="16"/>
                <w:szCs w:val="16"/>
              </w:rPr>
            </w:pPr>
            <w:r w:rsidRPr="00C72BA6">
              <w:rPr>
                <w:i/>
                <w:sz w:val="16"/>
                <w:szCs w:val="16"/>
              </w:rPr>
              <w:t>China</w:t>
            </w:r>
            <w:r>
              <w:rPr>
                <w:i/>
                <w:sz w:val="16"/>
                <w:szCs w:val="16"/>
              </w:rPr>
              <w:t xml:space="preserve"> – </w:t>
            </w:r>
            <w:r w:rsidRPr="00C72BA6">
              <w:rPr>
                <w:i/>
                <w:sz w:val="16"/>
                <w:szCs w:val="16"/>
              </w:rPr>
              <w:t>Auto</w:t>
            </w:r>
            <w:r>
              <w:rPr>
                <w:i/>
                <w:sz w:val="16"/>
                <w:szCs w:val="16"/>
              </w:rPr>
              <w:t xml:space="preserve"> </w:t>
            </w:r>
            <w:r w:rsidRPr="00C72BA6">
              <w:rPr>
                <w:i/>
                <w:sz w:val="16"/>
                <w:szCs w:val="16"/>
              </w:rPr>
              <w:t>Parts</w:t>
            </w:r>
          </w:p>
        </w:tc>
        <w:tc>
          <w:tcPr>
            <w:tcW w:w="6622" w:type="dxa"/>
          </w:tcPr>
          <w:p w14:paraId="25405743" w14:textId="3C581800"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Reports, </w:t>
            </w:r>
            <w:r w:rsidRPr="00C72BA6">
              <w:rPr>
                <w:i/>
                <w:color w:val="000000"/>
                <w:sz w:val="16"/>
                <w:szCs w:val="16"/>
              </w:rPr>
              <w:t>China – Measures Affecting Imports of Automobile Parts</w:t>
            </w:r>
            <w:r w:rsidRPr="00C72BA6">
              <w:rPr>
                <w:color w:val="000000"/>
                <w:sz w:val="16"/>
                <w:szCs w:val="16"/>
              </w:rPr>
              <w:t xml:space="preserve">, </w:t>
            </w:r>
            <w:r w:rsidRPr="00C72BA6">
              <w:rPr>
                <w:sz w:val="16"/>
                <w:szCs w:val="16"/>
              </w:rPr>
              <w:t>WT/DS339/AB/R</w:t>
            </w:r>
            <w:r w:rsidRPr="00C72BA6">
              <w:rPr>
                <w:color w:val="000000"/>
                <w:sz w:val="16"/>
                <w:szCs w:val="16"/>
              </w:rPr>
              <w:t xml:space="preserve"> / </w:t>
            </w:r>
            <w:r w:rsidRPr="00C72BA6">
              <w:rPr>
                <w:sz w:val="16"/>
                <w:szCs w:val="16"/>
              </w:rPr>
              <w:t>WT/DS340/AB/R</w:t>
            </w:r>
            <w:r w:rsidRPr="00C72BA6">
              <w:rPr>
                <w:color w:val="000000"/>
                <w:sz w:val="16"/>
                <w:szCs w:val="16"/>
              </w:rPr>
              <w:t xml:space="preserve"> / </w:t>
            </w:r>
            <w:r w:rsidRPr="00C72BA6">
              <w:rPr>
                <w:sz w:val="16"/>
                <w:szCs w:val="16"/>
              </w:rPr>
              <w:t>WT/DS342/AB/R</w:t>
            </w:r>
            <w:r w:rsidRPr="00C72BA6">
              <w:rPr>
                <w:color w:val="000000"/>
                <w:sz w:val="16"/>
                <w:szCs w:val="16"/>
              </w:rPr>
              <w:t>, adopted 12</w:t>
            </w:r>
            <w:r w:rsidR="00991A84">
              <w:rPr>
                <w:color w:val="000000"/>
                <w:sz w:val="16"/>
                <w:szCs w:val="16"/>
              </w:rPr>
              <w:t> </w:t>
            </w:r>
            <w:r w:rsidRPr="00C72BA6">
              <w:rPr>
                <w:color w:val="000000"/>
                <w:sz w:val="16"/>
                <w:szCs w:val="16"/>
              </w:rPr>
              <w:t>January</w:t>
            </w:r>
            <w:r>
              <w:rPr>
                <w:color w:val="000000"/>
                <w:sz w:val="16"/>
                <w:szCs w:val="16"/>
              </w:rPr>
              <w:t xml:space="preserve"> </w:t>
            </w:r>
            <w:r w:rsidRPr="00C72BA6">
              <w:rPr>
                <w:color w:val="000000"/>
                <w:sz w:val="16"/>
                <w:szCs w:val="16"/>
              </w:rPr>
              <w:t>2009, DSR 2009:I, p.</w:t>
            </w:r>
            <w:r>
              <w:rPr>
                <w:color w:val="000000"/>
                <w:sz w:val="16"/>
                <w:szCs w:val="16"/>
              </w:rPr>
              <w:t xml:space="preserve"> </w:t>
            </w:r>
            <w:r w:rsidRPr="00C72BA6">
              <w:rPr>
                <w:color w:val="000000"/>
                <w:sz w:val="16"/>
                <w:szCs w:val="16"/>
              </w:rPr>
              <w:t>3</w:t>
            </w:r>
          </w:p>
        </w:tc>
      </w:tr>
      <w:tr w:rsidR="00771172" w:rsidRPr="00C72BA6" w14:paraId="24A03897" w14:textId="77777777" w:rsidTr="00EB6B84">
        <w:trPr>
          <w:cantSplit/>
        </w:trPr>
        <w:tc>
          <w:tcPr>
            <w:tcW w:w="2602" w:type="dxa"/>
          </w:tcPr>
          <w:p w14:paraId="7D7DE19A" w14:textId="77777777" w:rsidR="00771172" w:rsidRPr="00C72BA6" w:rsidRDefault="00771172" w:rsidP="00EB6B84">
            <w:pPr>
              <w:spacing w:before="60" w:after="60"/>
              <w:jc w:val="left"/>
              <w:rPr>
                <w:i/>
                <w:sz w:val="16"/>
                <w:szCs w:val="16"/>
                <w:lang w:val="fr-CH"/>
              </w:rPr>
            </w:pPr>
            <w:r w:rsidRPr="00C72BA6">
              <w:rPr>
                <w:i/>
                <w:sz w:val="16"/>
                <w:szCs w:val="16"/>
                <w:lang w:val="fr-CH"/>
              </w:rPr>
              <w:t>China</w:t>
            </w:r>
            <w:r>
              <w:rPr>
                <w:i/>
                <w:sz w:val="16"/>
                <w:szCs w:val="16"/>
                <w:lang w:val="fr-CH"/>
              </w:rPr>
              <w:t xml:space="preserve"> – </w:t>
            </w:r>
            <w:r w:rsidRPr="00C72BA6">
              <w:rPr>
                <w:i/>
                <w:sz w:val="16"/>
                <w:szCs w:val="16"/>
                <w:lang w:val="fr-CH"/>
              </w:rPr>
              <w:t>HP</w:t>
            </w:r>
            <w:r w:rsidRPr="00C72BA6">
              <w:rPr>
                <w:i/>
                <w:sz w:val="16"/>
                <w:szCs w:val="16"/>
                <w:lang w:val="fr-CH"/>
              </w:rPr>
              <w:noBreakHyphen/>
              <w:t>SSST</w:t>
            </w:r>
            <w:r>
              <w:rPr>
                <w:i/>
                <w:sz w:val="16"/>
                <w:szCs w:val="16"/>
                <w:lang w:val="fr-CH"/>
              </w:rPr>
              <w:t xml:space="preserve"> </w:t>
            </w:r>
            <w:r w:rsidRPr="00C72BA6">
              <w:rPr>
                <w:i/>
                <w:sz w:val="16"/>
                <w:szCs w:val="16"/>
                <w:lang w:val="fr-CH"/>
              </w:rPr>
              <w:t>(Japan)</w:t>
            </w:r>
            <w:r>
              <w:rPr>
                <w:i/>
                <w:sz w:val="16"/>
                <w:szCs w:val="16"/>
                <w:lang w:val="fr-CH"/>
              </w:rPr>
              <w:t xml:space="preserve"> </w:t>
            </w:r>
            <w:r w:rsidRPr="00C72BA6">
              <w:rPr>
                <w:i/>
                <w:sz w:val="16"/>
                <w:szCs w:val="16"/>
                <w:lang w:val="fr-CH"/>
              </w:rPr>
              <w:t>/</w:t>
            </w:r>
            <w:r>
              <w:rPr>
                <w:i/>
                <w:sz w:val="16"/>
                <w:szCs w:val="16"/>
                <w:lang w:val="fr-CH"/>
              </w:rPr>
              <w:t xml:space="preserve"> </w:t>
            </w:r>
            <w:r w:rsidRPr="00C72BA6">
              <w:rPr>
                <w:i/>
                <w:sz w:val="16"/>
                <w:szCs w:val="16"/>
                <w:lang w:val="fr-CH"/>
              </w:rPr>
              <w:t>China</w:t>
            </w:r>
            <w:r>
              <w:rPr>
                <w:i/>
                <w:sz w:val="16"/>
                <w:szCs w:val="16"/>
                <w:lang w:val="fr-CH"/>
              </w:rPr>
              <w:t xml:space="preserve"> </w:t>
            </w:r>
            <w:r w:rsidRPr="00C72BA6">
              <w:rPr>
                <w:i/>
                <w:sz w:val="16"/>
                <w:szCs w:val="16"/>
                <w:lang w:val="fr-CH"/>
              </w:rPr>
              <w:t>– HP</w:t>
            </w:r>
            <w:r w:rsidRPr="00C72BA6">
              <w:rPr>
                <w:i/>
                <w:sz w:val="16"/>
                <w:szCs w:val="16"/>
                <w:lang w:val="fr-CH"/>
              </w:rPr>
              <w:noBreakHyphen/>
              <w:t>SSST</w:t>
            </w:r>
            <w:r>
              <w:rPr>
                <w:i/>
                <w:sz w:val="16"/>
                <w:szCs w:val="16"/>
                <w:lang w:val="fr-CH"/>
              </w:rPr>
              <w:t xml:space="preserve"> </w:t>
            </w:r>
            <w:r w:rsidRPr="00C72BA6">
              <w:rPr>
                <w:i/>
                <w:sz w:val="16"/>
                <w:szCs w:val="16"/>
                <w:lang w:val="fr-CH"/>
              </w:rPr>
              <w:t>(EU)</w:t>
            </w:r>
          </w:p>
        </w:tc>
        <w:tc>
          <w:tcPr>
            <w:tcW w:w="6622" w:type="dxa"/>
          </w:tcPr>
          <w:p w14:paraId="6144B9FE" w14:textId="77777777" w:rsidR="00771172" w:rsidRPr="00C72BA6" w:rsidRDefault="00771172" w:rsidP="00EB6B84">
            <w:pPr>
              <w:tabs>
                <w:tab w:val="left" w:pos="2268"/>
                <w:tab w:val="left" w:pos="4536"/>
              </w:tabs>
              <w:spacing w:before="60" w:after="60"/>
              <w:jc w:val="left"/>
              <w:rPr>
                <w:color w:val="000000"/>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Reports, </w:t>
            </w:r>
            <w:r w:rsidRPr="00C72BA6">
              <w:rPr>
                <w:i/>
                <w:color w:val="000000"/>
                <w:sz w:val="16"/>
                <w:szCs w:val="16"/>
              </w:rPr>
              <w:t>China – Measures Imposing Anti</w:t>
            </w:r>
            <w:r w:rsidRPr="00C72BA6">
              <w:rPr>
                <w:i/>
                <w:color w:val="000000"/>
                <w:sz w:val="16"/>
                <w:szCs w:val="16"/>
              </w:rPr>
              <w:noBreakHyphen/>
              <w:t>Dumping Duties on High-Performance Stainless Steel Seamless Tubes ("HP-SSST") from Japan / China – Measures Imposing Anti-Dumping Duties on High-Performance Stainless Steel Seamless Tubes ("HP-SSST") from the European</w:t>
            </w:r>
            <w:r>
              <w:rPr>
                <w:i/>
                <w:color w:val="000000"/>
                <w:sz w:val="16"/>
                <w:szCs w:val="16"/>
              </w:rPr>
              <w:t xml:space="preserve"> </w:t>
            </w:r>
            <w:r w:rsidRPr="00C72BA6">
              <w:rPr>
                <w:i/>
                <w:color w:val="000000"/>
                <w:sz w:val="16"/>
                <w:szCs w:val="16"/>
              </w:rPr>
              <w:t>Union</w:t>
            </w:r>
            <w:r w:rsidRPr="00C72BA6">
              <w:rPr>
                <w:color w:val="000000"/>
                <w:sz w:val="16"/>
                <w:szCs w:val="16"/>
              </w:rPr>
              <w:t xml:space="preserve">, </w:t>
            </w:r>
            <w:r w:rsidRPr="00C72BA6">
              <w:rPr>
                <w:sz w:val="16"/>
                <w:szCs w:val="16"/>
              </w:rPr>
              <w:t>WT/DS454/AB/R</w:t>
            </w:r>
            <w:r w:rsidRPr="00C72BA6">
              <w:rPr>
                <w:color w:val="000000"/>
                <w:sz w:val="16"/>
                <w:szCs w:val="16"/>
              </w:rPr>
              <w:t xml:space="preserve"> and Add.1 / </w:t>
            </w:r>
            <w:r w:rsidRPr="00C72BA6">
              <w:rPr>
                <w:sz w:val="16"/>
                <w:szCs w:val="16"/>
              </w:rPr>
              <w:t>WT/DS460/AB/R</w:t>
            </w:r>
            <w:r w:rsidRPr="00C72BA6">
              <w:rPr>
                <w:color w:val="000000"/>
                <w:sz w:val="16"/>
                <w:szCs w:val="16"/>
              </w:rPr>
              <w:t xml:space="preserve"> and Add.1, adopted 28</w:t>
            </w:r>
            <w:r>
              <w:rPr>
                <w:color w:val="000000"/>
                <w:sz w:val="16"/>
                <w:szCs w:val="16"/>
              </w:rPr>
              <w:t xml:space="preserve"> </w:t>
            </w:r>
            <w:r w:rsidRPr="00C72BA6">
              <w:rPr>
                <w:color w:val="000000"/>
                <w:sz w:val="16"/>
                <w:szCs w:val="16"/>
              </w:rPr>
              <w:t>October</w:t>
            </w:r>
            <w:r>
              <w:rPr>
                <w:color w:val="000000"/>
                <w:sz w:val="16"/>
                <w:szCs w:val="16"/>
              </w:rPr>
              <w:t xml:space="preserve"> </w:t>
            </w:r>
            <w:r w:rsidRPr="00C72BA6">
              <w:rPr>
                <w:color w:val="000000"/>
                <w:sz w:val="16"/>
                <w:szCs w:val="16"/>
              </w:rPr>
              <w:t>2015, DSR 2015:IX, p.</w:t>
            </w:r>
            <w:r>
              <w:rPr>
                <w:color w:val="000000"/>
                <w:sz w:val="16"/>
                <w:szCs w:val="16"/>
              </w:rPr>
              <w:t xml:space="preserve"> </w:t>
            </w:r>
            <w:r w:rsidRPr="00C72BA6">
              <w:rPr>
                <w:color w:val="000000"/>
                <w:sz w:val="16"/>
                <w:szCs w:val="16"/>
              </w:rPr>
              <w:t>4573</w:t>
            </w:r>
          </w:p>
        </w:tc>
      </w:tr>
      <w:tr w:rsidR="00771172" w:rsidRPr="00C72BA6" w14:paraId="07DE041C"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31A7C13D" w14:textId="77777777" w:rsidR="00771172" w:rsidRPr="00C72BA6" w:rsidRDefault="00771172" w:rsidP="00EB6B84">
            <w:pPr>
              <w:spacing w:before="60" w:after="60"/>
              <w:jc w:val="left"/>
              <w:rPr>
                <w:i/>
                <w:sz w:val="16"/>
                <w:szCs w:val="16"/>
              </w:rPr>
            </w:pPr>
            <w:r w:rsidRPr="00C72BA6">
              <w:rPr>
                <w:i/>
                <w:sz w:val="16"/>
                <w:szCs w:val="16"/>
              </w:rPr>
              <w:t>China</w:t>
            </w:r>
            <w:r>
              <w:rPr>
                <w:i/>
                <w:sz w:val="16"/>
                <w:szCs w:val="16"/>
              </w:rPr>
              <w:t xml:space="preserve"> – </w:t>
            </w:r>
            <w:r w:rsidRPr="00C72BA6">
              <w:rPr>
                <w:i/>
                <w:sz w:val="16"/>
                <w:szCs w:val="16"/>
              </w:rPr>
              <w:t>Publications</w:t>
            </w:r>
            <w:r>
              <w:rPr>
                <w:i/>
                <w:sz w:val="16"/>
                <w:szCs w:val="16"/>
              </w:rPr>
              <w:t xml:space="preserve"> </w:t>
            </w:r>
            <w:r w:rsidRPr="00C72BA6">
              <w:rPr>
                <w:i/>
                <w:sz w:val="16"/>
                <w:szCs w:val="16"/>
              </w:rPr>
              <w:t>and</w:t>
            </w:r>
            <w:r>
              <w:rPr>
                <w:i/>
                <w:sz w:val="16"/>
                <w:szCs w:val="16"/>
              </w:rPr>
              <w:t xml:space="preserve"> </w:t>
            </w:r>
            <w:r w:rsidRPr="00C72BA6">
              <w:rPr>
                <w:i/>
                <w:sz w:val="16"/>
                <w:szCs w:val="16"/>
              </w:rPr>
              <w:t>Audiovisual Products</w:t>
            </w:r>
          </w:p>
        </w:tc>
        <w:tc>
          <w:tcPr>
            <w:tcW w:w="6622" w:type="dxa"/>
          </w:tcPr>
          <w:p w14:paraId="0BAD0679"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China –</w:t>
            </w:r>
            <w:r w:rsidRPr="00C72BA6">
              <w:rPr>
                <w:color w:val="000000"/>
                <w:sz w:val="16"/>
                <w:szCs w:val="16"/>
              </w:rPr>
              <w:t xml:space="preserve"> </w:t>
            </w:r>
            <w:r w:rsidRPr="00C72BA6">
              <w:rPr>
                <w:i/>
                <w:color w:val="000000"/>
                <w:sz w:val="16"/>
                <w:szCs w:val="16"/>
              </w:rPr>
              <w:t>Measures Affecting Trading Rights and Distribution Services for Certain Publications and Audiovisual Entertainment Products</w:t>
            </w:r>
            <w:r w:rsidRPr="00C72BA6">
              <w:rPr>
                <w:color w:val="000000"/>
                <w:sz w:val="16"/>
                <w:szCs w:val="16"/>
              </w:rPr>
              <w:t xml:space="preserve">, </w:t>
            </w:r>
            <w:r w:rsidRPr="00C72BA6">
              <w:rPr>
                <w:sz w:val="16"/>
                <w:szCs w:val="16"/>
              </w:rPr>
              <w:t>WT/DS363/AB/R</w:t>
            </w:r>
            <w:r w:rsidRPr="00C72BA6">
              <w:rPr>
                <w:color w:val="000000"/>
                <w:sz w:val="16"/>
                <w:szCs w:val="16"/>
              </w:rPr>
              <w:t>, adopted 19</w:t>
            </w:r>
            <w:r>
              <w:rPr>
                <w:color w:val="000000"/>
                <w:sz w:val="16"/>
                <w:szCs w:val="16"/>
              </w:rPr>
              <w:t xml:space="preserve"> </w:t>
            </w:r>
            <w:r w:rsidRPr="00C72BA6">
              <w:rPr>
                <w:color w:val="000000"/>
                <w:sz w:val="16"/>
                <w:szCs w:val="16"/>
              </w:rPr>
              <w:t>January</w:t>
            </w:r>
            <w:r>
              <w:rPr>
                <w:color w:val="000000"/>
                <w:sz w:val="16"/>
                <w:szCs w:val="16"/>
              </w:rPr>
              <w:t xml:space="preserve"> </w:t>
            </w:r>
            <w:r w:rsidRPr="00C72BA6">
              <w:rPr>
                <w:color w:val="000000"/>
                <w:sz w:val="16"/>
                <w:szCs w:val="16"/>
              </w:rPr>
              <w:t>2010, DSR 2010:I, p.</w:t>
            </w:r>
            <w:r>
              <w:rPr>
                <w:color w:val="000000"/>
                <w:sz w:val="16"/>
                <w:szCs w:val="16"/>
              </w:rPr>
              <w:t xml:space="preserve"> </w:t>
            </w:r>
            <w:r w:rsidRPr="00C72BA6">
              <w:rPr>
                <w:color w:val="000000"/>
                <w:sz w:val="16"/>
                <w:szCs w:val="16"/>
              </w:rPr>
              <w:t>3</w:t>
            </w:r>
          </w:p>
        </w:tc>
      </w:tr>
      <w:tr w:rsidR="00771172" w:rsidRPr="00C72BA6" w14:paraId="165DD6BF" w14:textId="77777777" w:rsidTr="00EB6B84">
        <w:trPr>
          <w:cantSplit/>
        </w:trPr>
        <w:tc>
          <w:tcPr>
            <w:tcW w:w="2602" w:type="dxa"/>
          </w:tcPr>
          <w:p w14:paraId="6B5069D4" w14:textId="77777777" w:rsidR="00771172" w:rsidRPr="00C72BA6" w:rsidRDefault="00771172" w:rsidP="00EB6B84">
            <w:pPr>
              <w:spacing w:before="60" w:after="60"/>
              <w:jc w:val="left"/>
              <w:rPr>
                <w:i/>
                <w:sz w:val="16"/>
                <w:szCs w:val="16"/>
              </w:rPr>
            </w:pPr>
            <w:r w:rsidRPr="00C72BA6">
              <w:rPr>
                <w:i/>
                <w:sz w:val="16"/>
                <w:szCs w:val="16"/>
              </w:rPr>
              <w:t>China</w:t>
            </w:r>
            <w:r>
              <w:rPr>
                <w:i/>
                <w:sz w:val="16"/>
                <w:szCs w:val="16"/>
              </w:rPr>
              <w:t xml:space="preserve"> – </w:t>
            </w:r>
            <w:r w:rsidRPr="00C72BA6">
              <w:rPr>
                <w:i/>
                <w:sz w:val="16"/>
                <w:szCs w:val="16"/>
              </w:rPr>
              <w:t>Rare</w:t>
            </w:r>
            <w:r>
              <w:rPr>
                <w:i/>
                <w:sz w:val="16"/>
                <w:szCs w:val="16"/>
              </w:rPr>
              <w:t xml:space="preserve"> </w:t>
            </w:r>
            <w:r w:rsidRPr="00C72BA6">
              <w:rPr>
                <w:i/>
                <w:sz w:val="16"/>
                <w:szCs w:val="16"/>
              </w:rPr>
              <w:t>Earths</w:t>
            </w:r>
          </w:p>
        </w:tc>
        <w:tc>
          <w:tcPr>
            <w:tcW w:w="6622" w:type="dxa"/>
          </w:tcPr>
          <w:p w14:paraId="06F8EB0C"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Reports, </w:t>
            </w:r>
            <w:r w:rsidRPr="00C72BA6">
              <w:rPr>
                <w:i/>
                <w:color w:val="000000"/>
                <w:sz w:val="16"/>
                <w:szCs w:val="16"/>
              </w:rPr>
              <w:t>China – Measures Related to the Exportation of Rare Earths, Tungsten, and Molybdenum</w:t>
            </w:r>
            <w:r w:rsidRPr="00C72BA6">
              <w:rPr>
                <w:color w:val="000000"/>
                <w:sz w:val="16"/>
                <w:szCs w:val="16"/>
              </w:rPr>
              <w:t xml:space="preserve">, </w:t>
            </w:r>
            <w:r w:rsidRPr="00C72BA6">
              <w:rPr>
                <w:sz w:val="16"/>
                <w:szCs w:val="16"/>
              </w:rPr>
              <w:t>WT/DS431/AB/R</w:t>
            </w:r>
            <w:r w:rsidRPr="00C72BA6">
              <w:rPr>
                <w:color w:val="000000"/>
                <w:sz w:val="16"/>
                <w:szCs w:val="16"/>
              </w:rPr>
              <w:t xml:space="preserve"> / </w:t>
            </w:r>
            <w:r w:rsidRPr="00C72BA6">
              <w:rPr>
                <w:sz w:val="16"/>
                <w:szCs w:val="16"/>
              </w:rPr>
              <w:t>WT/DS432/AB/R</w:t>
            </w:r>
            <w:r w:rsidRPr="00C72BA6">
              <w:rPr>
                <w:color w:val="000000"/>
                <w:sz w:val="16"/>
                <w:szCs w:val="16"/>
              </w:rPr>
              <w:t xml:space="preserve"> / </w:t>
            </w:r>
            <w:r w:rsidRPr="00C72BA6">
              <w:rPr>
                <w:sz w:val="16"/>
                <w:szCs w:val="16"/>
              </w:rPr>
              <w:t>WT/DS433/AB/R</w:t>
            </w:r>
            <w:r w:rsidRPr="00C72BA6">
              <w:rPr>
                <w:color w:val="000000"/>
                <w:sz w:val="16"/>
                <w:szCs w:val="16"/>
              </w:rPr>
              <w:t>, adopted 29</w:t>
            </w:r>
            <w:r>
              <w:rPr>
                <w:color w:val="000000"/>
                <w:sz w:val="16"/>
                <w:szCs w:val="16"/>
              </w:rPr>
              <w:t xml:space="preserve"> </w:t>
            </w:r>
            <w:r w:rsidRPr="00C72BA6">
              <w:rPr>
                <w:color w:val="000000"/>
                <w:sz w:val="16"/>
                <w:szCs w:val="16"/>
              </w:rPr>
              <w:t>August</w:t>
            </w:r>
            <w:r>
              <w:rPr>
                <w:color w:val="000000"/>
                <w:sz w:val="16"/>
                <w:szCs w:val="16"/>
              </w:rPr>
              <w:t xml:space="preserve"> </w:t>
            </w:r>
            <w:r w:rsidRPr="00C72BA6">
              <w:rPr>
                <w:color w:val="000000"/>
                <w:sz w:val="16"/>
                <w:szCs w:val="16"/>
              </w:rPr>
              <w:t>2014, DSR 2014:III, p.</w:t>
            </w:r>
            <w:r>
              <w:rPr>
                <w:color w:val="000000"/>
                <w:sz w:val="16"/>
                <w:szCs w:val="16"/>
              </w:rPr>
              <w:t xml:space="preserve"> </w:t>
            </w:r>
            <w:r w:rsidRPr="00C72BA6">
              <w:rPr>
                <w:color w:val="000000"/>
                <w:sz w:val="16"/>
                <w:szCs w:val="16"/>
              </w:rPr>
              <w:t>805</w:t>
            </w:r>
          </w:p>
        </w:tc>
      </w:tr>
      <w:tr w:rsidR="00771172" w:rsidRPr="00C72BA6" w14:paraId="6A49EFE1"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29041762" w14:textId="77777777" w:rsidR="00771172" w:rsidRPr="00C72BA6" w:rsidRDefault="00771172" w:rsidP="00EB6B84">
            <w:pPr>
              <w:spacing w:before="60" w:after="60"/>
              <w:jc w:val="left"/>
              <w:rPr>
                <w:i/>
                <w:sz w:val="16"/>
                <w:szCs w:val="16"/>
              </w:rPr>
            </w:pPr>
            <w:r w:rsidRPr="00C72BA6">
              <w:rPr>
                <w:i/>
                <w:sz w:val="16"/>
                <w:szCs w:val="16"/>
              </w:rPr>
              <w:t>China</w:t>
            </w:r>
            <w:r>
              <w:rPr>
                <w:i/>
                <w:sz w:val="16"/>
                <w:szCs w:val="16"/>
              </w:rPr>
              <w:t xml:space="preserve"> – </w:t>
            </w:r>
            <w:r w:rsidRPr="00C72BA6">
              <w:rPr>
                <w:i/>
                <w:sz w:val="16"/>
                <w:szCs w:val="16"/>
              </w:rPr>
              <w:t>Raw</w:t>
            </w:r>
            <w:r>
              <w:rPr>
                <w:i/>
                <w:sz w:val="16"/>
                <w:szCs w:val="16"/>
              </w:rPr>
              <w:t xml:space="preserve"> </w:t>
            </w:r>
            <w:r w:rsidRPr="00C72BA6">
              <w:rPr>
                <w:i/>
                <w:sz w:val="16"/>
                <w:szCs w:val="16"/>
              </w:rPr>
              <w:t>Materials</w:t>
            </w:r>
          </w:p>
        </w:tc>
        <w:tc>
          <w:tcPr>
            <w:tcW w:w="6622" w:type="dxa"/>
          </w:tcPr>
          <w:p w14:paraId="1D01D4B5"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Reports, </w:t>
            </w:r>
            <w:r w:rsidRPr="00C72BA6">
              <w:rPr>
                <w:i/>
                <w:color w:val="000000"/>
                <w:sz w:val="16"/>
                <w:szCs w:val="16"/>
              </w:rPr>
              <w:t>China – Measures Related to the Exportation of Various Raw Materials</w:t>
            </w:r>
            <w:r w:rsidRPr="00C72BA6">
              <w:rPr>
                <w:color w:val="000000"/>
                <w:sz w:val="16"/>
                <w:szCs w:val="16"/>
              </w:rPr>
              <w:t xml:space="preserve">, </w:t>
            </w:r>
            <w:r w:rsidRPr="00C72BA6">
              <w:rPr>
                <w:sz w:val="16"/>
                <w:szCs w:val="16"/>
              </w:rPr>
              <w:t>WT/DS394/AB/R</w:t>
            </w:r>
            <w:r w:rsidRPr="00C72BA6">
              <w:rPr>
                <w:color w:val="000000"/>
                <w:sz w:val="16"/>
                <w:szCs w:val="16"/>
              </w:rPr>
              <w:t xml:space="preserve"> / </w:t>
            </w:r>
            <w:r w:rsidRPr="00C72BA6">
              <w:rPr>
                <w:sz w:val="16"/>
                <w:szCs w:val="16"/>
              </w:rPr>
              <w:t>WT/DS395/AB/R</w:t>
            </w:r>
            <w:r w:rsidRPr="00C72BA6">
              <w:rPr>
                <w:color w:val="000000"/>
                <w:sz w:val="16"/>
                <w:szCs w:val="16"/>
              </w:rPr>
              <w:t xml:space="preserve"> / </w:t>
            </w:r>
            <w:r w:rsidRPr="00C72BA6">
              <w:rPr>
                <w:sz w:val="16"/>
                <w:szCs w:val="16"/>
              </w:rPr>
              <w:t>WT/DS398/AB/R</w:t>
            </w:r>
            <w:r w:rsidRPr="00C72BA6">
              <w:rPr>
                <w:color w:val="000000"/>
                <w:sz w:val="16"/>
                <w:szCs w:val="16"/>
              </w:rPr>
              <w:t>, adopted 22</w:t>
            </w:r>
            <w:r>
              <w:rPr>
                <w:color w:val="000000"/>
                <w:sz w:val="16"/>
                <w:szCs w:val="16"/>
              </w:rPr>
              <w:t xml:space="preserve"> </w:t>
            </w:r>
            <w:r w:rsidRPr="00C72BA6">
              <w:rPr>
                <w:color w:val="000000"/>
                <w:sz w:val="16"/>
                <w:szCs w:val="16"/>
              </w:rPr>
              <w:t>February</w:t>
            </w:r>
            <w:r>
              <w:rPr>
                <w:color w:val="000000"/>
                <w:sz w:val="16"/>
                <w:szCs w:val="16"/>
              </w:rPr>
              <w:t xml:space="preserve"> </w:t>
            </w:r>
            <w:r w:rsidRPr="00C72BA6">
              <w:rPr>
                <w:color w:val="000000"/>
                <w:sz w:val="16"/>
                <w:szCs w:val="16"/>
              </w:rPr>
              <w:t>2012, DSR 2012:VII, p.</w:t>
            </w:r>
            <w:r>
              <w:rPr>
                <w:color w:val="000000"/>
                <w:sz w:val="16"/>
                <w:szCs w:val="16"/>
              </w:rPr>
              <w:t xml:space="preserve"> </w:t>
            </w:r>
            <w:r w:rsidRPr="00C72BA6">
              <w:rPr>
                <w:color w:val="000000"/>
                <w:sz w:val="16"/>
                <w:szCs w:val="16"/>
              </w:rPr>
              <w:t>3295</w:t>
            </w:r>
          </w:p>
        </w:tc>
      </w:tr>
      <w:tr w:rsidR="00771172" w:rsidRPr="00C72BA6" w14:paraId="00789A78" w14:textId="77777777" w:rsidTr="00EB6B84">
        <w:trPr>
          <w:cantSplit/>
        </w:trPr>
        <w:tc>
          <w:tcPr>
            <w:tcW w:w="2602" w:type="dxa"/>
          </w:tcPr>
          <w:p w14:paraId="3184798F" w14:textId="77777777" w:rsidR="00771172" w:rsidRPr="00C72BA6" w:rsidRDefault="00771172" w:rsidP="00EB6B84">
            <w:pPr>
              <w:spacing w:before="60" w:after="60"/>
              <w:jc w:val="left"/>
              <w:rPr>
                <w:i/>
                <w:sz w:val="16"/>
                <w:szCs w:val="16"/>
              </w:rPr>
            </w:pPr>
            <w:r w:rsidRPr="00C72BA6">
              <w:rPr>
                <w:i/>
                <w:sz w:val="16"/>
                <w:szCs w:val="16"/>
              </w:rPr>
              <w:t>Colombia</w:t>
            </w:r>
            <w:r>
              <w:rPr>
                <w:i/>
                <w:sz w:val="16"/>
                <w:szCs w:val="16"/>
              </w:rPr>
              <w:t xml:space="preserve"> – </w:t>
            </w:r>
            <w:r w:rsidRPr="00C72BA6">
              <w:rPr>
                <w:i/>
                <w:sz w:val="16"/>
                <w:szCs w:val="16"/>
              </w:rPr>
              <w:t>Textiles</w:t>
            </w:r>
          </w:p>
        </w:tc>
        <w:tc>
          <w:tcPr>
            <w:tcW w:w="6622" w:type="dxa"/>
          </w:tcPr>
          <w:p w14:paraId="42382F3A"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Colombia – Measures Relating to the Importation of Textiles, Apparel and Footwear</w:t>
            </w:r>
            <w:r w:rsidRPr="00C72BA6">
              <w:rPr>
                <w:color w:val="000000"/>
                <w:sz w:val="16"/>
                <w:szCs w:val="16"/>
              </w:rPr>
              <w:t>,</w:t>
            </w:r>
            <w:r w:rsidRPr="00C72BA6">
              <w:rPr>
                <w:color w:val="76923C"/>
                <w:sz w:val="16"/>
                <w:szCs w:val="16"/>
              </w:rPr>
              <w:t xml:space="preserve"> </w:t>
            </w:r>
            <w:r w:rsidRPr="00C72BA6">
              <w:rPr>
                <w:sz w:val="16"/>
                <w:szCs w:val="16"/>
              </w:rPr>
              <w:t>WT/DS461/AB/R</w:t>
            </w:r>
            <w:r w:rsidRPr="00C72BA6">
              <w:rPr>
                <w:color w:val="76923C"/>
                <w:sz w:val="16"/>
                <w:szCs w:val="16"/>
              </w:rPr>
              <w:t xml:space="preserve"> </w:t>
            </w:r>
            <w:r w:rsidRPr="00C72BA6">
              <w:rPr>
                <w:color w:val="000000"/>
                <w:sz w:val="16"/>
                <w:szCs w:val="16"/>
              </w:rPr>
              <w:t>and Add.1, adopted 22</w:t>
            </w:r>
            <w:r>
              <w:rPr>
                <w:color w:val="000000"/>
                <w:sz w:val="16"/>
                <w:szCs w:val="16"/>
              </w:rPr>
              <w:t xml:space="preserve"> </w:t>
            </w:r>
            <w:r w:rsidRPr="00C72BA6">
              <w:rPr>
                <w:color w:val="000000"/>
                <w:sz w:val="16"/>
                <w:szCs w:val="16"/>
              </w:rPr>
              <w:t>June</w:t>
            </w:r>
            <w:r>
              <w:rPr>
                <w:color w:val="000000"/>
                <w:sz w:val="16"/>
                <w:szCs w:val="16"/>
              </w:rPr>
              <w:t xml:space="preserve"> </w:t>
            </w:r>
            <w:r w:rsidRPr="00C72BA6">
              <w:rPr>
                <w:color w:val="000000"/>
                <w:sz w:val="16"/>
                <w:szCs w:val="16"/>
              </w:rPr>
              <w:t>2016, DSR</w:t>
            </w:r>
            <w:r>
              <w:rPr>
                <w:color w:val="000000"/>
                <w:sz w:val="16"/>
                <w:szCs w:val="16"/>
              </w:rPr>
              <w:t xml:space="preserve"> </w:t>
            </w:r>
            <w:r w:rsidRPr="00C72BA6">
              <w:rPr>
                <w:color w:val="000000"/>
                <w:sz w:val="16"/>
                <w:szCs w:val="16"/>
              </w:rPr>
              <w:t>2016:III, p.</w:t>
            </w:r>
            <w:r>
              <w:rPr>
                <w:color w:val="000000"/>
                <w:sz w:val="16"/>
                <w:szCs w:val="16"/>
              </w:rPr>
              <w:t xml:space="preserve"> </w:t>
            </w:r>
            <w:r w:rsidRPr="00C72BA6">
              <w:rPr>
                <w:color w:val="000000"/>
                <w:sz w:val="16"/>
                <w:szCs w:val="16"/>
              </w:rPr>
              <w:t>1131</w:t>
            </w:r>
          </w:p>
        </w:tc>
      </w:tr>
      <w:tr w:rsidR="00771172" w:rsidRPr="00C72BA6" w14:paraId="0F3AFB54"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2DCA8B44" w14:textId="77777777" w:rsidR="00771172" w:rsidRPr="00C72BA6" w:rsidRDefault="00771172" w:rsidP="00EB6B84">
            <w:pPr>
              <w:spacing w:before="60" w:after="60"/>
              <w:jc w:val="left"/>
              <w:rPr>
                <w:i/>
                <w:sz w:val="16"/>
                <w:szCs w:val="16"/>
              </w:rPr>
            </w:pPr>
            <w:r w:rsidRPr="00C72BA6">
              <w:rPr>
                <w:i/>
                <w:sz w:val="16"/>
                <w:szCs w:val="16"/>
              </w:rPr>
              <w:t>Dominican</w:t>
            </w:r>
            <w:r>
              <w:rPr>
                <w:i/>
                <w:sz w:val="16"/>
                <w:szCs w:val="16"/>
              </w:rPr>
              <w:t xml:space="preserve"> </w:t>
            </w:r>
            <w:r w:rsidRPr="00C72BA6">
              <w:rPr>
                <w:i/>
                <w:sz w:val="16"/>
                <w:szCs w:val="16"/>
              </w:rPr>
              <w:t>Republic</w:t>
            </w:r>
            <w:r>
              <w:rPr>
                <w:i/>
                <w:sz w:val="16"/>
                <w:szCs w:val="16"/>
              </w:rPr>
              <w:t xml:space="preserve"> – </w:t>
            </w:r>
            <w:r w:rsidRPr="00C72BA6">
              <w:rPr>
                <w:i/>
                <w:sz w:val="16"/>
                <w:szCs w:val="16"/>
              </w:rPr>
              <w:t>Import</w:t>
            </w:r>
            <w:r>
              <w:rPr>
                <w:i/>
                <w:sz w:val="16"/>
                <w:szCs w:val="16"/>
              </w:rPr>
              <w:t xml:space="preserve"> </w:t>
            </w:r>
            <w:r w:rsidRPr="00C72BA6">
              <w:rPr>
                <w:i/>
                <w:sz w:val="16"/>
                <w:szCs w:val="16"/>
              </w:rPr>
              <w:t>and</w:t>
            </w:r>
            <w:r>
              <w:rPr>
                <w:i/>
                <w:sz w:val="16"/>
                <w:szCs w:val="16"/>
              </w:rPr>
              <w:t xml:space="preserve"> </w:t>
            </w:r>
            <w:r w:rsidRPr="00C72BA6">
              <w:rPr>
                <w:i/>
                <w:sz w:val="16"/>
                <w:szCs w:val="16"/>
              </w:rPr>
              <w:t>Sale</w:t>
            </w:r>
            <w:r>
              <w:rPr>
                <w:i/>
                <w:sz w:val="16"/>
                <w:szCs w:val="16"/>
              </w:rPr>
              <w:t xml:space="preserve"> </w:t>
            </w:r>
            <w:r w:rsidRPr="00C72BA6">
              <w:rPr>
                <w:i/>
                <w:sz w:val="16"/>
                <w:szCs w:val="16"/>
              </w:rPr>
              <w:t>of Cigarettes</w:t>
            </w:r>
          </w:p>
        </w:tc>
        <w:tc>
          <w:tcPr>
            <w:tcW w:w="6622" w:type="dxa"/>
          </w:tcPr>
          <w:p w14:paraId="4E4D86D8"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Dominican</w:t>
            </w:r>
            <w:r>
              <w:rPr>
                <w:i/>
                <w:color w:val="000000"/>
                <w:sz w:val="16"/>
                <w:szCs w:val="16"/>
              </w:rPr>
              <w:t xml:space="preserve"> </w:t>
            </w:r>
            <w:r w:rsidRPr="00C72BA6">
              <w:rPr>
                <w:i/>
                <w:color w:val="000000"/>
                <w:sz w:val="16"/>
                <w:szCs w:val="16"/>
              </w:rPr>
              <w:t>Republic – Measures Affecting the Importation and Internal Sale of Cigarettes</w:t>
            </w:r>
            <w:r w:rsidRPr="00C72BA6">
              <w:rPr>
                <w:color w:val="000000"/>
                <w:sz w:val="16"/>
                <w:szCs w:val="16"/>
              </w:rPr>
              <w:t xml:space="preserve">, </w:t>
            </w:r>
            <w:r w:rsidRPr="00C72BA6">
              <w:rPr>
                <w:sz w:val="16"/>
                <w:szCs w:val="16"/>
              </w:rPr>
              <w:t>WT/DS302/AB/R</w:t>
            </w:r>
            <w:r w:rsidRPr="00C72BA6">
              <w:rPr>
                <w:color w:val="000000"/>
                <w:sz w:val="16"/>
                <w:szCs w:val="16"/>
              </w:rPr>
              <w:t>, adopted 19</w:t>
            </w:r>
            <w:r>
              <w:rPr>
                <w:color w:val="000000"/>
                <w:sz w:val="16"/>
                <w:szCs w:val="16"/>
              </w:rPr>
              <w:t xml:space="preserve"> </w:t>
            </w:r>
            <w:r w:rsidRPr="00C72BA6">
              <w:rPr>
                <w:color w:val="000000"/>
                <w:sz w:val="16"/>
                <w:szCs w:val="16"/>
              </w:rPr>
              <w:t>May</w:t>
            </w:r>
            <w:r>
              <w:rPr>
                <w:color w:val="000000"/>
                <w:sz w:val="16"/>
                <w:szCs w:val="16"/>
              </w:rPr>
              <w:t xml:space="preserve"> </w:t>
            </w:r>
            <w:r w:rsidRPr="00C72BA6">
              <w:rPr>
                <w:color w:val="000000"/>
                <w:sz w:val="16"/>
                <w:szCs w:val="16"/>
              </w:rPr>
              <w:t>2005, DSR 2005:XV, p.</w:t>
            </w:r>
            <w:r>
              <w:rPr>
                <w:color w:val="000000"/>
                <w:sz w:val="16"/>
                <w:szCs w:val="16"/>
              </w:rPr>
              <w:t xml:space="preserve"> </w:t>
            </w:r>
            <w:r w:rsidRPr="00C72BA6">
              <w:rPr>
                <w:color w:val="000000"/>
                <w:sz w:val="16"/>
                <w:szCs w:val="16"/>
              </w:rPr>
              <w:t>7367</w:t>
            </w:r>
          </w:p>
        </w:tc>
      </w:tr>
      <w:tr w:rsidR="00771172" w:rsidRPr="00C72BA6" w14:paraId="53591F13" w14:textId="77777777" w:rsidTr="00EB6B84">
        <w:trPr>
          <w:cantSplit/>
        </w:trPr>
        <w:tc>
          <w:tcPr>
            <w:tcW w:w="2602" w:type="dxa"/>
          </w:tcPr>
          <w:p w14:paraId="64C8820E" w14:textId="77777777" w:rsidR="00771172" w:rsidRPr="00C72BA6" w:rsidRDefault="00771172" w:rsidP="00EB6B84">
            <w:pPr>
              <w:spacing w:before="60" w:after="60"/>
              <w:jc w:val="left"/>
              <w:rPr>
                <w:i/>
                <w:sz w:val="16"/>
                <w:szCs w:val="16"/>
              </w:rPr>
            </w:pPr>
            <w:r w:rsidRPr="00C72BA6">
              <w:rPr>
                <w:i/>
                <w:sz w:val="16"/>
                <w:szCs w:val="16"/>
              </w:rPr>
              <w:t>EC</w:t>
            </w:r>
            <w:r>
              <w:rPr>
                <w:i/>
                <w:sz w:val="16"/>
                <w:szCs w:val="16"/>
              </w:rPr>
              <w:t xml:space="preserve"> – </w:t>
            </w:r>
            <w:r w:rsidRPr="00C72BA6">
              <w:rPr>
                <w:i/>
                <w:sz w:val="16"/>
                <w:szCs w:val="16"/>
              </w:rPr>
              <w:t>Bananas</w:t>
            </w:r>
            <w:r>
              <w:rPr>
                <w:i/>
                <w:sz w:val="16"/>
                <w:szCs w:val="16"/>
              </w:rPr>
              <w:t xml:space="preserve"> </w:t>
            </w:r>
            <w:r w:rsidRPr="00C72BA6">
              <w:rPr>
                <w:i/>
                <w:sz w:val="16"/>
                <w:szCs w:val="16"/>
              </w:rPr>
              <w:t>III</w:t>
            </w:r>
          </w:p>
        </w:tc>
        <w:tc>
          <w:tcPr>
            <w:tcW w:w="6622" w:type="dxa"/>
          </w:tcPr>
          <w:p w14:paraId="7B324A4B"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European</w:t>
            </w:r>
            <w:r>
              <w:rPr>
                <w:i/>
                <w:color w:val="000000"/>
                <w:sz w:val="16"/>
                <w:szCs w:val="16"/>
              </w:rPr>
              <w:t xml:space="preserve"> </w:t>
            </w:r>
            <w:r w:rsidRPr="00C72BA6">
              <w:rPr>
                <w:i/>
                <w:color w:val="000000"/>
                <w:sz w:val="16"/>
                <w:szCs w:val="16"/>
              </w:rPr>
              <w:t>Communities – Regime for the Importation, Sale and Distribution of Bananas</w:t>
            </w:r>
            <w:r w:rsidRPr="00C72BA6">
              <w:rPr>
                <w:color w:val="000000"/>
                <w:sz w:val="16"/>
                <w:szCs w:val="16"/>
              </w:rPr>
              <w:t xml:space="preserve">, </w:t>
            </w:r>
            <w:r w:rsidRPr="00C72BA6">
              <w:rPr>
                <w:sz w:val="16"/>
                <w:szCs w:val="16"/>
              </w:rPr>
              <w:t>WT/DS27/AB/R</w:t>
            </w:r>
            <w:r w:rsidRPr="00C72BA6">
              <w:rPr>
                <w:color w:val="000000"/>
                <w:sz w:val="16"/>
                <w:szCs w:val="16"/>
              </w:rPr>
              <w:t>, adopted 25</w:t>
            </w:r>
            <w:r>
              <w:rPr>
                <w:color w:val="000000"/>
                <w:sz w:val="16"/>
                <w:szCs w:val="16"/>
              </w:rPr>
              <w:t xml:space="preserve"> </w:t>
            </w:r>
            <w:r w:rsidRPr="00C72BA6">
              <w:rPr>
                <w:color w:val="000000"/>
                <w:sz w:val="16"/>
                <w:szCs w:val="16"/>
              </w:rPr>
              <w:t>September</w:t>
            </w:r>
            <w:r>
              <w:rPr>
                <w:color w:val="000000"/>
                <w:sz w:val="16"/>
                <w:szCs w:val="16"/>
              </w:rPr>
              <w:t xml:space="preserve"> </w:t>
            </w:r>
            <w:r w:rsidRPr="00C72BA6">
              <w:rPr>
                <w:color w:val="000000"/>
                <w:sz w:val="16"/>
                <w:szCs w:val="16"/>
              </w:rPr>
              <w:t>1997, DSR 1997:II, p.</w:t>
            </w:r>
            <w:r>
              <w:rPr>
                <w:color w:val="000000"/>
                <w:sz w:val="16"/>
                <w:szCs w:val="16"/>
              </w:rPr>
              <w:t xml:space="preserve"> </w:t>
            </w:r>
            <w:r w:rsidRPr="00C72BA6">
              <w:rPr>
                <w:color w:val="000000"/>
                <w:sz w:val="16"/>
                <w:szCs w:val="16"/>
              </w:rPr>
              <w:t>591</w:t>
            </w:r>
          </w:p>
        </w:tc>
      </w:tr>
      <w:tr w:rsidR="00771172" w:rsidRPr="00C72BA6" w14:paraId="3354F39D"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1D09F140" w14:textId="77777777" w:rsidR="00771172" w:rsidRPr="00C72BA6" w:rsidRDefault="00771172" w:rsidP="00EB6B84">
            <w:pPr>
              <w:spacing w:before="60" w:after="60"/>
              <w:jc w:val="left"/>
              <w:rPr>
                <w:i/>
                <w:sz w:val="16"/>
                <w:szCs w:val="16"/>
              </w:rPr>
            </w:pPr>
            <w:r w:rsidRPr="00C72BA6">
              <w:rPr>
                <w:i/>
                <w:sz w:val="16"/>
                <w:szCs w:val="16"/>
              </w:rPr>
              <w:t>EC</w:t>
            </w:r>
            <w:r>
              <w:rPr>
                <w:i/>
                <w:sz w:val="16"/>
                <w:szCs w:val="16"/>
              </w:rPr>
              <w:t xml:space="preserve"> – </w:t>
            </w:r>
            <w:r w:rsidRPr="00C72BA6">
              <w:rPr>
                <w:i/>
                <w:sz w:val="16"/>
                <w:szCs w:val="16"/>
              </w:rPr>
              <w:t>Chicken</w:t>
            </w:r>
            <w:r>
              <w:rPr>
                <w:i/>
                <w:sz w:val="16"/>
                <w:szCs w:val="16"/>
              </w:rPr>
              <w:t xml:space="preserve"> </w:t>
            </w:r>
            <w:r w:rsidRPr="00C72BA6">
              <w:rPr>
                <w:i/>
                <w:sz w:val="16"/>
                <w:szCs w:val="16"/>
              </w:rPr>
              <w:t>Cuts</w:t>
            </w:r>
          </w:p>
        </w:tc>
        <w:tc>
          <w:tcPr>
            <w:tcW w:w="6622" w:type="dxa"/>
          </w:tcPr>
          <w:p w14:paraId="2178D375" w14:textId="64E6F074"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European</w:t>
            </w:r>
            <w:r>
              <w:rPr>
                <w:color w:val="000000"/>
                <w:sz w:val="16"/>
                <w:szCs w:val="16"/>
              </w:rPr>
              <w:t xml:space="preserve"> </w:t>
            </w:r>
            <w:r w:rsidRPr="00C72BA6">
              <w:rPr>
                <w:color w:val="000000"/>
                <w:sz w:val="16"/>
                <w:szCs w:val="16"/>
              </w:rPr>
              <w:t>Communities</w:t>
            </w:r>
            <w:r w:rsidRPr="00C72BA6">
              <w:rPr>
                <w:i/>
                <w:color w:val="000000"/>
                <w:sz w:val="16"/>
                <w:szCs w:val="16"/>
              </w:rPr>
              <w:t xml:space="preserve"> – Customs Classification of Frozen Boneless Chicken Cuts</w:t>
            </w:r>
            <w:r w:rsidRPr="00C72BA6">
              <w:rPr>
                <w:color w:val="000000"/>
                <w:sz w:val="16"/>
                <w:szCs w:val="16"/>
              </w:rPr>
              <w:t xml:space="preserve">, </w:t>
            </w:r>
            <w:r w:rsidRPr="00C72BA6">
              <w:rPr>
                <w:sz w:val="16"/>
                <w:szCs w:val="16"/>
              </w:rPr>
              <w:t>WT/DS269/AB/R</w:t>
            </w:r>
            <w:r w:rsidRPr="00C72BA6">
              <w:rPr>
                <w:color w:val="000000"/>
                <w:sz w:val="16"/>
                <w:szCs w:val="16"/>
              </w:rPr>
              <w:t xml:space="preserve">, </w:t>
            </w:r>
            <w:r w:rsidRPr="00C72BA6">
              <w:rPr>
                <w:sz w:val="16"/>
                <w:szCs w:val="16"/>
              </w:rPr>
              <w:t>WT/DS286/AB/R</w:t>
            </w:r>
            <w:r w:rsidRPr="00C72BA6">
              <w:rPr>
                <w:color w:val="000000"/>
                <w:sz w:val="16"/>
                <w:szCs w:val="16"/>
              </w:rPr>
              <w:t>, adopted 27</w:t>
            </w:r>
            <w:r w:rsidR="00991A84">
              <w:rPr>
                <w:color w:val="000000"/>
                <w:sz w:val="16"/>
                <w:szCs w:val="16"/>
              </w:rPr>
              <w:t> </w:t>
            </w:r>
            <w:r w:rsidRPr="00C72BA6">
              <w:rPr>
                <w:color w:val="000000"/>
                <w:sz w:val="16"/>
                <w:szCs w:val="16"/>
              </w:rPr>
              <w:t>September</w:t>
            </w:r>
            <w:r>
              <w:rPr>
                <w:color w:val="000000"/>
                <w:sz w:val="16"/>
                <w:szCs w:val="16"/>
              </w:rPr>
              <w:t xml:space="preserve"> </w:t>
            </w:r>
            <w:r w:rsidRPr="00C72BA6">
              <w:rPr>
                <w:color w:val="000000"/>
                <w:sz w:val="16"/>
                <w:szCs w:val="16"/>
              </w:rPr>
              <w:t>2005, and Corr.1, DSR 2005:XIX, p.</w:t>
            </w:r>
            <w:r>
              <w:rPr>
                <w:color w:val="000000"/>
                <w:sz w:val="16"/>
                <w:szCs w:val="16"/>
              </w:rPr>
              <w:t xml:space="preserve"> </w:t>
            </w:r>
            <w:r w:rsidRPr="00C72BA6">
              <w:rPr>
                <w:color w:val="000000"/>
                <w:sz w:val="16"/>
                <w:szCs w:val="16"/>
              </w:rPr>
              <w:t>9157</w:t>
            </w:r>
          </w:p>
        </w:tc>
      </w:tr>
      <w:tr w:rsidR="00771172" w:rsidRPr="00C72BA6" w14:paraId="5D384F84" w14:textId="77777777" w:rsidTr="00EB6B84">
        <w:trPr>
          <w:cantSplit/>
        </w:trPr>
        <w:tc>
          <w:tcPr>
            <w:tcW w:w="2602" w:type="dxa"/>
          </w:tcPr>
          <w:p w14:paraId="5D12AC25" w14:textId="77777777" w:rsidR="00771172" w:rsidRPr="00C72BA6" w:rsidRDefault="00771172" w:rsidP="00EB6B84">
            <w:pPr>
              <w:spacing w:before="60" w:after="60"/>
              <w:jc w:val="left"/>
              <w:rPr>
                <w:i/>
                <w:sz w:val="16"/>
                <w:szCs w:val="16"/>
              </w:rPr>
            </w:pPr>
            <w:r w:rsidRPr="00C72BA6">
              <w:rPr>
                <w:i/>
                <w:sz w:val="16"/>
                <w:szCs w:val="16"/>
              </w:rPr>
              <w:t>EC</w:t>
            </w:r>
            <w:r>
              <w:rPr>
                <w:i/>
                <w:sz w:val="16"/>
                <w:szCs w:val="16"/>
              </w:rPr>
              <w:t xml:space="preserve"> – </w:t>
            </w:r>
            <w:r w:rsidRPr="00C72BA6">
              <w:rPr>
                <w:i/>
                <w:sz w:val="16"/>
                <w:szCs w:val="16"/>
              </w:rPr>
              <w:t>Fasteners</w:t>
            </w:r>
            <w:r>
              <w:rPr>
                <w:i/>
                <w:sz w:val="16"/>
                <w:szCs w:val="16"/>
              </w:rPr>
              <w:t xml:space="preserve"> </w:t>
            </w:r>
            <w:r w:rsidRPr="00C72BA6">
              <w:rPr>
                <w:i/>
                <w:sz w:val="16"/>
                <w:szCs w:val="16"/>
              </w:rPr>
              <w:t>(China)</w:t>
            </w:r>
          </w:p>
        </w:tc>
        <w:tc>
          <w:tcPr>
            <w:tcW w:w="6622" w:type="dxa"/>
          </w:tcPr>
          <w:p w14:paraId="3062E6AD"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iCs/>
                <w:color w:val="000000"/>
                <w:sz w:val="16"/>
                <w:szCs w:val="16"/>
              </w:rPr>
              <w:t>European</w:t>
            </w:r>
            <w:r>
              <w:rPr>
                <w:i/>
                <w:iCs/>
                <w:color w:val="000000"/>
                <w:sz w:val="16"/>
                <w:szCs w:val="16"/>
              </w:rPr>
              <w:t xml:space="preserve"> </w:t>
            </w:r>
            <w:r w:rsidRPr="00C72BA6">
              <w:rPr>
                <w:i/>
                <w:iCs/>
                <w:color w:val="000000"/>
                <w:sz w:val="16"/>
                <w:szCs w:val="16"/>
              </w:rPr>
              <w:t>Communities – Definitive Anti-Dumping Measures on Certain Iron or Steel Fasteners from China</w:t>
            </w:r>
            <w:r w:rsidRPr="00C72BA6">
              <w:rPr>
                <w:color w:val="000000"/>
                <w:sz w:val="16"/>
                <w:szCs w:val="16"/>
              </w:rPr>
              <w:t xml:space="preserve">, </w:t>
            </w:r>
            <w:r w:rsidRPr="00C72BA6">
              <w:rPr>
                <w:sz w:val="16"/>
                <w:szCs w:val="16"/>
              </w:rPr>
              <w:t>WT/DS397/AB/R</w:t>
            </w:r>
            <w:r w:rsidRPr="00C72BA6">
              <w:rPr>
                <w:color w:val="000000"/>
                <w:sz w:val="16"/>
                <w:szCs w:val="16"/>
              </w:rPr>
              <w:t>, adopted 28</w:t>
            </w:r>
            <w:r>
              <w:rPr>
                <w:color w:val="000000"/>
                <w:sz w:val="16"/>
                <w:szCs w:val="16"/>
              </w:rPr>
              <w:t xml:space="preserve"> </w:t>
            </w:r>
            <w:r w:rsidRPr="00C72BA6">
              <w:rPr>
                <w:color w:val="000000"/>
                <w:sz w:val="16"/>
                <w:szCs w:val="16"/>
              </w:rPr>
              <w:t>July</w:t>
            </w:r>
            <w:r>
              <w:rPr>
                <w:color w:val="000000"/>
                <w:sz w:val="16"/>
                <w:szCs w:val="16"/>
              </w:rPr>
              <w:t xml:space="preserve"> </w:t>
            </w:r>
            <w:r w:rsidRPr="00C72BA6">
              <w:rPr>
                <w:color w:val="000000"/>
                <w:sz w:val="16"/>
                <w:szCs w:val="16"/>
              </w:rPr>
              <w:t>2011, DSR</w:t>
            </w:r>
            <w:r>
              <w:rPr>
                <w:color w:val="000000"/>
                <w:sz w:val="16"/>
                <w:szCs w:val="16"/>
              </w:rPr>
              <w:t xml:space="preserve"> </w:t>
            </w:r>
            <w:r w:rsidRPr="00C72BA6">
              <w:rPr>
                <w:color w:val="000000"/>
                <w:sz w:val="16"/>
                <w:szCs w:val="16"/>
              </w:rPr>
              <w:t>2011:VII, p.</w:t>
            </w:r>
            <w:r>
              <w:rPr>
                <w:color w:val="000000"/>
                <w:sz w:val="16"/>
                <w:szCs w:val="16"/>
              </w:rPr>
              <w:t xml:space="preserve"> </w:t>
            </w:r>
            <w:r w:rsidRPr="00C72BA6">
              <w:rPr>
                <w:color w:val="000000"/>
                <w:sz w:val="16"/>
                <w:szCs w:val="16"/>
              </w:rPr>
              <w:t>3995</w:t>
            </w:r>
          </w:p>
        </w:tc>
      </w:tr>
      <w:tr w:rsidR="00771172" w:rsidRPr="00C72BA6" w14:paraId="53EEC50C"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544F5E88" w14:textId="77777777" w:rsidR="00771172" w:rsidRPr="00C72BA6" w:rsidRDefault="00771172" w:rsidP="00EB6B84">
            <w:pPr>
              <w:spacing w:before="60" w:after="60"/>
              <w:jc w:val="left"/>
              <w:rPr>
                <w:i/>
                <w:sz w:val="16"/>
                <w:szCs w:val="16"/>
              </w:rPr>
            </w:pPr>
            <w:r w:rsidRPr="00C72BA6">
              <w:rPr>
                <w:i/>
                <w:sz w:val="16"/>
                <w:szCs w:val="16"/>
              </w:rPr>
              <w:t>EC</w:t>
            </w:r>
            <w:r>
              <w:rPr>
                <w:i/>
                <w:sz w:val="16"/>
                <w:szCs w:val="16"/>
              </w:rPr>
              <w:t xml:space="preserve"> – </w:t>
            </w:r>
            <w:r w:rsidRPr="00C72BA6">
              <w:rPr>
                <w:i/>
                <w:sz w:val="16"/>
                <w:szCs w:val="16"/>
              </w:rPr>
              <w:t>Hormones</w:t>
            </w:r>
          </w:p>
        </w:tc>
        <w:tc>
          <w:tcPr>
            <w:tcW w:w="6622" w:type="dxa"/>
          </w:tcPr>
          <w:p w14:paraId="03EA709C" w14:textId="28FC61C6" w:rsidR="00771172" w:rsidRPr="00C72BA6" w:rsidRDefault="00771172" w:rsidP="00EB6B84">
            <w:pPr>
              <w:keepLines/>
              <w:tabs>
                <w:tab w:val="left" w:pos="2268"/>
                <w:tab w:val="left" w:pos="4536"/>
              </w:tabs>
              <w:spacing w:before="60" w:after="60"/>
              <w:jc w:val="left"/>
              <w:rPr>
                <w:sz w:val="16"/>
                <w:szCs w:val="16"/>
              </w:rPr>
            </w:pPr>
            <w:bookmarkStart w:id="11" w:name="_Hlk536785626"/>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European</w:t>
            </w:r>
            <w:r>
              <w:rPr>
                <w:i/>
                <w:color w:val="000000"/>
                <w:sz w:val="16"/>
                <w:szCs w:val="16"/>
              </w:rPr>
              <w:t xml:space="preserve"> </w:t>
            </w:r>
            <w:r w:rsidRPr="00C72BA6">
              <w:rPr>
                <w:i/>
                <w:color w:val="000000"/>
                <w:sz w:val="16"/>
                <w:szCs w:val="16"/>
              </w:rPr>
              <w:t>Communities – Measures Concerning Meat and Meat Products (Hormones)</w:t>
            </w:r>
            <w:r w:rsidRPr="00C72BA6">
              <w:rPr>
                <w:color w:val="000000"/>
                <w:sz w:val="16"/>
                <w:szCs w:val="16"/>
              </w:rPr>
              <w:t xml:space="preserve">, </w:t>
            </w:r>
            <w:r w:rsidRPr="00C72BA6">
              <w:rPr>
                <w:sz w:val="16"/>
                <w:szCs w:val="16"/>
              </w:rPr>
              <w:t>WT/DS26/AB/R</w:t>
            </w:r>
            <w:r w:rsidRPr="00C72BA6">
              <w:rPr>
                <w:color w:val="000000"/>
                <w:sz w:val="16"/>
                <w:szCs w:val="16"/>
              </w:rPr>
              <w:t xml:space="preserve">, </w:t>
            </w:r>
            <w:r w:rsidRPr="00C72BA6">
              <w:rPr>
                <w:sz w:val="16"/>
                <w:szCs w:val="16"/>
              </w:rPr>
              <w:t>WT/DS48/AB/R</w:t>
            </w:r>
            <w:r w:rsidRPr="00C72BA6">
              <w:rPr>
                <w:color w:val="000000"/>
                <w:sz w:val="16"/>
                <w:szCs w:val="16"/>
              </w:rPr>
              <w:t>, adopted 13</w:t>
            </w:r>
            <w:r w:rsidR="00991A84">
              <w:rPr>
                <w:color w:val="000000"/>
                <w:sz w:val="16"/>
                <w:szCs w:val="16"/>
              </w:rPr>
              <w:t> </w:t>
            </w:r>
            <w:r w:rsidRPr="00C72BA6">
              <w:rPr>
                <w:color w:val="000000"/>
                <w:sz w:val="16"/>
                <w:szCs w:val="16"/>
              </w:rPr>
              <w:t>February</w:t>
            </w:r>
            <w:r>
              <w:rPr>
                <w:color w:val="000000"/>
                <w:sz w:val="16"/>
                <w:szCs w:val="16"/>
              </w:rPr>
              <w:t xml:space="preserve"> </w:t>
            </w:r>
            <w:r w:rsidRPr="00C72BA6">
              <w:rPr>
                <w:color w:val="000000"/>
                <w:sz w:val="16"/>
                <w:szCs w:val="16"/>
              </w:rPr>
              <w:t>1998, DSR 1998:I, p.</w:t>
            </w:r>
            <w:r>
              <w:rPr>
                <w:color w:val="000000"/>
                <w:sz w:val="16"/>
                <w:szCs w:val="16"/>
              </w:rPr>
              <w:t xml:space="preserve"> </w:t>
            </w:r>
            <w:r w:rsidRPr="00C72BA6">
              <w:rPr>
                <w:color w:val="000000"/>
                <w:sz w:val="16"/>
                <w:szCs w:val="16"/>
              </w:rPr>
              <w:t>135</w:t>
            </w:r>
            <w:bookmarkEnd w:id="11"/>
          </w:p>
        </w:tc>
      </w:tr>
      <w:tr w:rsidR="00771172" w:rsidRPr="00C72BA6" w14:paraId="1DFA82C7" w14:textId="77777777" w:rsidTr="00EB6B84">
        <w:trPr>
          <w:cantSplit/>
        </w:trPr>
        <w:tc>
          <w:tcPr>
            <w:tcW w:w="2602" w:type="dxa"/>
          </w:tcPr>
          <w:p w14:paraId="0A0A35EE" w14:textId="77777777" w:rsidR="00771172" w:rsidRPr="00C72BA6" w:rsidRDefault="00771172" w:rsidP="00EB6B84">
            <w:pPr>
              <w:spacing w:before="60" w:after="60"/>
              <w:jc w:val="left"/>
              <w:rPr>
                <w:i/>
                <w:sz w:val="16"/>
                <w:szCs w:val="16"/>
              </w:rPr>
            </w:pPr>
            <w:r w:rsidRPr="00C72BA6">
              <w:rPr>
                <w:i/>
                <w:sz w:val="16"/>
                <w:szCs w:val="16"/>
              </w:rPr>
              <w:t>EC</w:t>
            </w:r>
            <w:r>
              <w:rPr>
                <w:i/>
                <w:sz w:val="16"/>
                <w:szCs w:val="16"/>
              </w:rPr>
              <w:t xml:space="preserve"> – </w:t>
            </w:r>
            <w:r w:rsidRPr="00C72BA6">
              <w:rPr>
                <w:i/>
                <w:sz w:val="16"/>
                <w:szCs w:val="16"/>
              </w:rPr>
              <w:t>Sardines</w:t>
            </w:r>
          </w:p>
        </w:tc>
        <w:tc>
          <w:tcPr>
            <w:tcW w:w="6622" w:type="dxa"/>
          </w:tcPr>
          <w:p w14:paraId="44C39366"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European</w:t>
            </w:r>
            <w:r>
              <w:rPr>
                <w:i/>
                <w:color w:val="000000"/>
                <w:sz w:val="16"/>
                <w:szCs w:val="16"/>
              </w:rPr>
              <w:t xml:space="preserve"> </w:t>
            </w:r>
            <w:r w:rsidRPr="00C72BA6">
              <w:rPr>
                <w:i/>
                <w:color w:val="000000"/>
                <w:sz w:val="16"/>
                <w:szCs w:val="16"/>
              </w:rPr>
              <w:t>Communities – Trade Description of Sardines</w:t>
            </w:r>
            <w:r w:rsidRPr="00C72BA6">
              <w:rPr>
                <w:color w:val="000000"/>
                <w:sz w:val="16"/>
                <w:szCs w:val="16"/>
              </w:rPr>
              <w:t xml:space="preserve">, </w:t>
            </w:r>
            <w:r w:rsidRPr="00C72BA6">
              <w:rPr>
                <w:sz w:val="16"/>
                <w:szCs w:val="16"/>
              </w:rPr>
              <w:t>WT/DS231/AB/R</w:t>
            </w:r>
            <w:r w:rsidRPr="00C72BA6">
              <w:rPr>
                <w:color w:val="000000"/>
                <w:sz w:val="16"/>
                <w:szCs w:val="16"/>
              </w:rPr>
              <w:t>, adopted 23</w:t>
            </w:r>
            <w:r>
              <w:rPr>
                <w:color w:val="000000"/>
                <w:sz w:val="16"/>
                <w:szCs w:val="16"/>
              </w:rPr>
              <w:t xml:space="preserve"> </w:t>
            </w:r>
            <w:r w:rsidRPr="00C72BA6">
              <w:rPr>
                <w:color w:val="000000"/>
                <w:sz w:val="16"/>
                <w:szCs w:val="16"/>
              </w:rPr>
              <w:t>October 2002, DSR 2002:VIII, p.</w:t>
            </w:r>
            <w:r>
              <w:rPr>
                <w:color w:val="000000"/>
                <w:sz w:val="16"/>
                <w:szCs w:val="16"/>
              </w:rPr>
              <w:t xml:space="preserve"> </w:t>
            </w:r>
            <w:r w:rsidRPr="00C72BA6">
              <w:rPr>
                <w:color w:val="000000"/>
                <w:sz w:val="16"/>
                <w:szCs w:val="16"/>
              </w:rPr>
              <w:t>3359</w:t>
            </w:r>
          </w:p>
        </w:tc>
      </w:tr>
      <w:tr w:rsidR="00771172" w:rsidRPr="00C72BA6" w14:paraId="523A11CF"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2E77D427" w14:textId="77777777" w:rsidR="00771172" w:rsidRPr="00C72BA6" w:rsidRDefault="00771172" w:rsidP="00EB6B84">
            <w:pPr>
              <w:spacing w:before="60" w:after="60"/>
              <w:jc w:val="left"/>
              <w:rPr>
                <w:i/>
                <w:sz w:val="16"/>
                <w:szCs w:val="16"/>
              </w:rPr>
            </w:pPr>
            <w:r w:rsidRPr="00C72BA6">
              <w:rPr>
                <w:i/>
                <w:sz w:val="16"/>
                <w:szCs w:val="16"/>
              </w:rPr>
              <w:t>EC</w:t>
            </w:r>
            <w:r>
              <w:rPr>
                <w:i/>
                <w:sz w:val="16"/>
                <w:szCs w:val="16"/>
              </w:rPr>
              <w:t xml:space="preserve"> – </w:t>
            </w:r>
            <w:r w:rsidRPr="00C72BA6">
              <w:rPr>
                <w:i/>
                <w:sz w:val="16"/>
                <w:szCs w:val="16"/>
              </w:rPr>
              <w:t>Seal</w:t>
            </w:r>
            <w:r>
              <w:rPr>
                <w:i/>
                <w:sz w:val="16"/>
                <w:szCs w:val="16"/>
              </w:rPr>
              <w:t xml:space="preserve"> </w:t>
            </w:r>
            <w:r w:rsidRPr="00C72BA6">
              <w:rPr>
                <w:i/>
                <w:sz w:val="16"/>
                <w:szCs w:val="16"/>
              </w:rPr>
              <w:t>Products</w:t>
            </w:r>
          </w:p>
        </w:tc>
        <w:tc>
          <w:tcPr>
            <w:tcW w:w="6622" w:type="dxa"/>
          </w:tcPr>
          <w:p w14:paraId="46129710"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Reports, </w:t>
            </w:r>
            <w:r w:rsidRPr="00C72BA6">
              <w:rPr>
                <w:i/>
                <w:color w:val="000000"/>
                <w:sz w:val="16"/>
                <w:szCs w:val="16"/>
              </w:rPr>
              <w:t>European</w:t>
            </w:r>
            <w:r>
              <w:rPr>
                <w:i/>
                <w:color w:val="000000"/>
                <w:sz w:val="16"/>
                <w:szCs w:val="16"/>
              </w:rPr>
              <w:t xml:space="preserve"> </w:t>
            </w:r>
            <w:r w:rsidRPr="00C72BA6">
              <w:rPr>
                <w:i/>
                <w:color w:val="000000"/>
                <w:sz w:val="16"/>
                <w:szCs w:val="16"/>
              </w:rPr>
              <w:t>Communities – Measures Prohibiting the Importation and Marketing of Seal Products</w:t>
            </w:r>
            <w:r w:rsidRPr="00C72BA6">
              <w:rPr>
                <w:color w:val="000000"/>
                <w:sz w:val="16"/>
                <w:szCs w:val="16"/>
              </w:rPr>
              <w:t xml:space="preserve">, </w:t>
            </w:r>
            <w:r w:rsidRPr="00C72BA6">
              <w:rPr>
                <w:sz w:val="16"/>
                <w:szCs w:val="16"/>
              </w:rPr>
              <w:t>WT/DS400/AB/R</w:t>
            </w:r>
            <w:r w:rsidRPr="00C72BA6">
              <w:rPr>
                <w:color w:val="000000"/>
                <w:sz w:val="16"/>
                <w:szCs w:val="16"/>
              </w:rPr>
              <w:t xml:space="preserve"> / </w:t>
            </w:r>
            <w:r w:rsidRPr="00C72BA6">
              <w:rPr>
                <w:sz w:val="16"/>
                <w:szCs w:val="16"/>
              </w:rPr>
              <w:t>WT/DS401/AB/R</w:t>
            </w:r>
            <w:r w:rsidRPr="00C72BA6">
              <w:rPr>
                <w:color w:val="000000"/>
                <w:sz w:val="16"/>
                <w:szCs w:val="16"/>
              </w:rPr>
              <w:t>, adopted 18</w:t>
            </w:r>
            <w:r>
              <w:rPr>
                <w:color w:val="000000"/>
                <w:sz w:val="16"/>
                <w:szCs w:val="16"/>
              </w:rPr>
              <w:t xml:space="preserve"> </w:t>
            </w:r>
            <w:r w:rsidRPr="00C72BA6">
              <w:rPr>
                <w:color w:val="000000"/>
                <w:sz w:val="16"/>
                <w:szCs w:val="16"/>
              </w:rPr>
              <w:t>June</w:t>
            </w:r>
            <w:r>
              <w:rPr>
                <w:color w:val="000000"/>
                <w:sz w:val="16"/>
                <w:szCs w:val="16"/>
              </w:rPr>
              <w:t xml:space="preserve"> </w:t>
            </w:r>
            <w:r w:rsidRPr="00C72BA6">
              <w:rPr>
                <w:color w:val="000000"/>
                <w:sz w:val="16"/>
                <w:szCs w:val="16"/>
              </w:rPr>
              <w:t>2014, DSR 2014:I, p.</w:t>
            </w:r>
            <w:r>
              <w:rPr>
                <w:color w:val="000000"/>
                <w:sz w:val="16"/>
                <w:szCs w:val="16"/>
              </w:rPr>
              <w:t xml:space="preserve"> </w:t>
            </w:r>
            <w:r w:rsidRPr="00C72BA6">
              <w:rPr>
                <w:color w:val="000000"/>
                <w:sz w:val="16"/>
                <w:szCs w:val="16"/>
              </w:rPr>
              <w:t>7</w:t>
            </w:r>
          </w:p>
        </w:tc>
      </w:tr>
      <w:tr w:rsidR="00771172" w:rsidRPr="00C72BA6" w14:paraId="1C9A40F0" w14:textId="77777777" w:rsidTr="00EB6B84">
        <w:trPr>
          <w:cantSplit/>
        </w:trPr>
        <w:tc>
          <w:tcPr>
            <w:tcW w:w="2602" w:type="dxa"/>
          </w:tcPr>
          <w:p w14:paraId="18CA199A" w14:textId="77777777" w:rsidR="00771172" w:rsidRPr="00C72BA6" w:rsidRDefault="00771172" w:rsidP="00EB6B84">
            <w:pPr>
              <w:spacing w:before="60" w:after="60"/>
              <w:jc w:val="left"/>
              <w:rPr>
                <w:i/>
                <w:sz w:val="16"/>
                <w:szCs w:val="16"/>
              </w:rPr>
            </w:pPr>
            <w:r w:rsidRPr="00C72BA6">
              <w:rPr>
                <w:i/>
                <w:sz w:val="16"/>
                <w:szCs w:val="16"/>
              </w:rPr>
              <w:lastRenderedPageBreak/>
              <w:t>EC</w:t>
            </w:r>
            <w:r>
              <w:rPr>
                <w:i/>
                <w:sz w:val="16"/>
                <w:szCs w:val="16"/>
              </w:rPr>
              <w:t xml:space="preserve"> – </w:t>
            </w:r>
            <w:r w:rsidRPr="00C72BA6">
              <w:rPr>
                <w:i/>
                <w:sz w:val="16"/>
                <w:szCs w:val="16"/>
              </w:rPr>
              <w:t>Selected</w:t>
            </w:r>
            <w:r>
              <w:rPr>
                <w:i/>
                <w:sz w:val="16"/>
                <w:szCs w:val="16"/>
              </w:rPr>
              <w:t xml:space="preserve"> </w:t>
            </w:r>
            <w:r w:rsidRPr="00C72BA6">
              <w:rPr>
                <w:i/>
                <w:sz w:val="16"/>
                <w:szCs w:val="16"/>
              </w:rPr>
              <w:t>Customs</w:t>
            </w:r>
            <w:r>
              <w:rPr>
                <w:i/>
                <w:sz w:val="16"/>
                <w:szCs w:val="16"/>
              </w:rPr>
              <w:t xml:space="preserve"> </w:t>
            </w:r>
            <w:r w:rsidRPr="00C72BA6">
              <w:rPr>
                <w:i/>
                <w:sz w:val="16"/>
                <w:szCs w:val="16"/>
              </w:rPr>
              <w:t>Matters</w:t>
            </w:r>
          </w:p>
        </w:tc>
        <w:tc>
          <w:tcPr>
            <w:tcW w:w="6622" w:type="dxa"/>
          </w:tcPr>
          <w:p w14:paraId="1C44F5E6"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European</w:t>
            </w:r>
            <w:r>
              <w:rPr>
                <w:i/>
                <w:color w:val="000000"/>
                <w:sz w:val="16"/>
                <w:szCs w:val="16"/>
              </w:rPr>
              <w:t xml:space="preserve"> </w:t>
            </w:r>
            <w:r w:rsidRPr="00C72BA6">
              <w:rPr>
                <w:i/>
                <w:color w:val="000000"/>
                <w:sz w:val="16"/>
                <w:szCs w:val="16"/>
              </w:rPr>
              <w:t>Communities – Selected Customs Matters</w:t>
            </w:r>
            <w:r w:rsidRPr="00C72BA6">
              <w:rPr>
                <w:color w:val="000000"/>
                <w:sz w:val="16"/>
                <w:szCs w:val="16"/>
              </w:rPr>
              <w:t xml:space="preserve">, </w:t>
            </w:r>
            <w:r w:rsidRPr="00C72BA6">
              <w:rPr>
                <w:sz w:val="16"/>
                <w:szCs w:val="16"/>
              </w:rPr>
              <w:t>WT/DS315/AB/R</w:t>
            </w:r>
            <w:r w:rsidRPr="00C72BA6">
              <w:rPr>
                <w:color w:val="000000"/>
                <w:sz w:val="16"/>
                <w:szCs w:val="16"/>
              </w:rPr>
              <w:t>, adopted 11</w:t>
            </w:r>
            <w:r>
              <w:rPr>
                <w:color w:val="000000"/>
                <w:sz w:val="16"/>
                <w:szCs w:val="16"/>
              </w:rPr>
              <w:t xml:space="preserve"> </w:t>
            </w:r>
            <w:r w:rsidRPr="00C72BA6">
              <w:rPr>
                <w:color w:val="000000"/>
                <w:sz w:val="16"/>
                <w:szCs w:val="16"/>
              </w:rPr>
              <w:t>December</w:t>
            </w:r>
            <w:r>
              <w:rPr>
                <w:color w:val="000000"/>
                <w:sz w:val="16"/>
                <w:szCs w:val="16"/>
              </w:rPr>
              <w:t xml:space="preserve"> </w:t>
            </w:r>
            <w:r w:rsidRPr="00C72BA6">
              <w:rPr>
                <w:color w:val="000000"/>
                <w:sz w:val="16"/>
                <w:szCs w:val="16"/>
              </w:rPr>
              <w:t>2006, DSR 2006:IX, p.</w:t>
            </w:r>
            <w:r>
              <w:rPr>
                <w:color w:val="000000"/>
                <w:sz w:val="16"/>
                <w:szCs w:val="16"/>
              </w:rPr>
              <w:t xml:space="preserve"> </w:t>
            </w:r>
            <w:r w:rsidRPr="00C72BA6">
              <w:rPr>
                <w:color w:val="000000"/>
                <w:sz w:val="16"/>
                <w:szCs w:val="16"/>
              </w:rPr>
              <w:t>3791</w:t>
            </w:r>
            <w:r>
              <w:rPr>
                <w:sz w:val="16"/>
                <w:szCs w:val="16"/>
              </w:rPr>
              <w:t xml:space="preserve"> </w:t>
            </w:r>
          </w:p>
        </w:tc>
      </w:tr>
      <w:tr w:rsidR="00771172" w:rsidRPr="00C72BA6" w14:paraId="1A59C055"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64B9FC7F" w14:textId="77777777" w:rsidR="00771172" w:rsidRPr="00C72BA6" w:rsidRDefault="00771172" w:rsidP="00EB6B84">
            <w:pPr>
              <w:spacing w:before="60" w:after="60"/>
              <w:jc w:val="left"/>
              <w:rPr>
                <w:i/>
                <w:sz w:val="16"/>
                <w:szCs w:val="16"/>
              </w:rPr>
            </w:pPr>
            <w:r w:rsidRPr="00C72BA6">
              <w:rPr>
                <w:i/>
                <w:sz w:val="16"/>
                <w:szCs w:val="16"/>
              </w:rPr>
              <w:t>EC</w:t>
            </w:r>
            <w:r>
              <w:rPr>
                <w:i/>
                <w:sz w:val="16"/>
                <w:szCs w:val="16"/>
              </w:rPr>
              <w:t xml:space="preserve"> </w:t>
            </w:r>
            <w:r w:rsidRPr="00C72BA6">
              <w:rPr>
                <w:i/>
                <w:sz w:val="16"/>
                <w:szCs w:val="16"/>
              </w:rPr>
              <w:t>and</w:t>
            </w:r>
            <w:r>
              <w:rPr>
                <w:i/>
                <w:sz w:val="16"/>
                <w:szCs w:val="16"/>
              </w:rPr>
              <w:t xml:space="preserve"> </w:t>
            </w:r>
            <w:r w:rsidRPr="00C72BA6">
              <w:rPr>
                <w:i/>
                <w:sz w:val="16"/>
                <w:szCs w:val="16"/>
              </w:rPr>
              <w:t>certain</w:t>
            </w:r>
            <w:r>
              <w:rPr>
                <w:i/>
                <w:sz w:val="16"/>
                <w:szCs w:val="16"/>
              </w:rPr>
              <w:t xml:space="preserve"> </w:t>
            </w:r>
            <w:r w:rsidRPr="00C72BA6">
              <w:rPr>
                <w:i/>
                <w:sz w:val="16"/>
                <w:szCs w:val="16"/>
              </w:rPr>
              <w:t>member</w:t>
            </w:r>
            <w:r>
              <w:rPr>
                <w:i/>
                <w:sz w:val="16"/>
                <w:szCs w:val="16"/>
              </w:rPr>
              <w:t xml:space="preserve"> </w:t>
            </w:r>
            <w:r w:rsidRPr="00C72BA6">
              <w:rPr>
                <w:i/>
                <w:sz w:val="16"/>
                <w:szCs w:val="16"/>
              </w:rPr>
              <w:t>States</w:t>
            </w:r>
            <w:r>
              <w:rPr>
                <w:i/>
                <w:sz w:val="16"/>
                <w:szCs w:val="16"/>
              </w:rPr>
              <w:t xml:space="preserve"> – </w:t>
            </w:r>
            <w:r w:rsidRPr="00C72BA6">
              <w:rPr>
                <w:i/>
                <w:sz w:val="16"/>
                <w:szCs w:val="16"/>
              </w:rPr>
              <w:t>Large</w:t>
            </w:r>
            <w:r>
              <w:rPr>
                <w:i/>
                <w:sz w:val="16"/>
                <w:szCs w:val="16"/>
              </w:rPr>
              <w:t xml:space="preserve"> </w:t>
            </w:r>
            <w:r w:rsidRPr="00C72BA6">
              <w:rPr>
                <w:i/>
                <w:sz w:val="16"/>
                <w:szCs w:val="16"/>
              </w:rPr>
              <w:t>Civil</w:t>
            </w:r>
            <w:r>
              <w:rPr>
                <w:i/>
                <w:sz w:val="16"/>
                <w:szCs w:val="16"/>
              </w:rPr>
              <w:t xml:space="preserve"> </w:t>
            </w:r>
            <w:r w:rsidRPr="00C72BA6">
              <w:rPr>
                <w:i/>
                <w:sz w:val="16"/>
                <w:szCs w:val="16"/>
              </w:rPr>
              <w:t>Aircraft</w:t>
            </w:r>
          </w:p>
        </w:tc>
        <w:tc>
          <w:tcPr>
            <w:tcW w:w="6622" w:type="dxa"/>
          </w:tcPr>
          <w:p w14:paraId="4E186EA6" w14:textId="69696DB1"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iCs/>
                <w:color w:val="000000"/>
                <w:sz w:val="16"/>
                <w:szCs w:val="16"/>
              </w:rPr>
              <w:t>European</w:t>
            </w:r>
            <w:r>
              <w:rPr>
                <w:i/>
                <w:iCs/>
                <w:color w:val="000000"/>
                <w:sz w:val="16"/>
                <w:szCs w:val="16"/>
              </w:rPr>
              <w:t xml:space="preserve"> </w:t>
            </w:r>
            <w:r w:rsidRPr="00C72BA6">
              <w:rPr>
                <w:i/>
                <w:iCs/>
                <w:color w:val="000000"/>
                <w:sz w:val="16"/>
                <w:szCs w:val="16"/>
              </w:rPr>
              <w:t>Communities and Certain Member States – Measures Affecting Trade in Large Civil Aircraft</w:t>
            </w:r>
            <w:r w:rsidRPr="00C72BA6">
              <w:rPr>
                <w:color w:val="000000"/>
                <w:sz w:val="16"/>
                <w:szCs w:val="16"/>
              </w:rPr>
              <w:t xml:space="preserve">, </w:t>
            </w:r>
            <w:r w:rsidRPr="00C72BA6">
              <w:rPr>
                <w:sz w:val="16"/>
                <w:szCs w:val="16"/>
              </w:rPr>
              <w:t>WT/DS316/AB/R</w:t>
            </w:r>
            <w:r w:rsidRPr="00C72BA6">
              <w:rPr>
                <w:color w:val="000000"/>
                <w:sz w:val="16"/>
                <w:szCs w:val="16"/>
              </w:rPr>
              <w:t>, adopted 1</w:t>
            </w:r>
            <w:r>
              <w:rPr>
                <w:color w:val="000000"/>
                <w:sz w:val="16"/>
                <w:szCs w:val="16"/>
              </w:rPr>
              <w:t> </w:t>
            </w:r>
            <w:r w:rsidRPr="00C72BA6">
              <w:rPr>
                <w:color w:val="000000"/>
                <w:sz w:val="16"/>
                <w:szCs w:val="16"/>
              </w:rPr>
              <w:t>June</w:t>
            </w:r>
            <w:r>
              <w:rPr>
                <w:color w:val="000000"/>
                <w:sz w:val="16"/>
                <w:szCs w:val="16"/>
              </w:rPr>
              <w:t xml:space="preserve"> </w:t>
            </w:r>
            <w:r w:rsidRPr="00C72BA6">
              <w:rPr>
                <w:color w:val="000000"/>
                <w:sz w:val="16"/>
                <w:szCs w:val="16"/>
              </w:rPr>
              <w:t>2011, DSR 2011:I, p.</w:t>
            </w:r>
            <w:r>
              <w:rPr>
                <w:color w:val="000000"/>
                <w:sz w:val="16"/>
                <w:szCs w:val="16"/>
              </w:rPr>
              <w:t xml:space="preserve"> </w:t>
            </w:r>
            <w:r w:rsidRPr="00C72BA6">
              <w:rPr>
                <w:color w:val="000000"/>
                <w:sz w:val="16"/>
                <w:szCs w:val="16"/>
              </w:rPr>
              <w:t>7</w:t>
            </w:r>
          </w:p>
        </w:tc>
      </w:tr>
      <w:tr w:rsidR="00771172" w:rsidRPr="00C72BA6" w14:paraId="1E6D4020" w14:textId="77777777" w:rsidTr="00EB6B84">
        <w:trPr>
          <w:cantSplit/>
        </w:trPr>
        <w:tc>
          <w:tcPr>
            <w:tcW w:w="2602" w:type="dxa"/>
          </w:tcPr>
          <w:p w14:paraId="0034312F" w14:textId="77777777" w:rsidR="00771172" w:rsidRPr="00C72BA6" w:rsidRDefault="00771172" w:rsidP="00EB6B84">
            <w:pPr>
              <w:spacing w:before="60" w:after="60"/>
              <w:jc w:val="left"/>
              <w:rPr>
                <w:i/>
                <w:sz w:val="16"/>
                <w:szCs w:val="16"/>
              </w:rPr>
            </w:pPr>
            <w:r w:rsidRPr="00C72BA6">
              <w:rPr>
                <w:i/>
                <w:sz w:val="16"/>
                <w:szCs w:val="16"/>
              </w:rPr>
              <w:t>EC</w:t>
            </w:r>
            <w:r>
              <w:rPr>
                <w:i/>
                <w:sz w:val="16"/>
                <w:szCs w:val="16"/>
              </w:rPr>
              <w:t xml:space="preserve"> </w:t>
            </w:r>
            <w:r w:rsidRPr="00C72BA6">
              <w:rPr>
                <w:i/>
                <w:sz w:val="16"/>
                <w:szCs w:val="16"/>
              </w:rPr>
              <w:t>and</w:t>
            </w:r>
            <w:r>
              <w:rPr>
                <w:i/>
                <w:sz w:val="16"/>
                <w:szCs w:val="16"/>
              </w:rPr>
              <w:t xml:space="preserve"> </w:t>
            </w:r>
            <w:r w:rsidRPr="00C72BA6">
              <w:rPr>
                <w:i/>
                <w:sz w:val="16"/>
                <w:szCs w:val="16"/>
              </w:rPr>
              <w:t>certain</w:t>
            </w:r>
            <w:r>
              <w:rPr>
                <w:i/>
                <w:sz w:val="16"/>
                <w:szCs w:val="16"/>
              </w:rPr>
              <w:t xml:space="preserve"> </w:t>
            </w:r>
            <w:r w:rsidRPr="00C72BA6">
              <w:rPr>
                <w:i/>
                <w:sz w:val="16"/>
                <w:szCs w:val="16"/>
              </w:rPr>
              <w:t>member</w:t>
            </w:r>
            <w:r>
              <w:rPr>
                <w:i/>
                <w:sz w:val="16"/>
                <w:szCs w:val="16"/>
              </w:rPr>
              <w:t xml:space="preserve"> </w:t>
            </w:r>
            <w:r w:rsidRPr="00C72BA6">
              <w:rPr>
                <w:i/>
                <w:sz w:val="16"/>
                <w:szCs w:val="16"/>
              </w:rPr>
              <w:t>States</w:t>
            </w:r>
            <w:r>
              <w:rPr>
                <w:i/>
                <w:sz w:val="16"/>
                <w:szCs w:val="16"/>
              </w:rPr>
              <w:t xml:space="preserve"> – </w:t>
            </w:r>
            <w:r w:rsidRPr="00C72BA6">
              <w:rPr>
                <w:i/>
                <w:sz w:val="16"/>
                <w:szCs w:val="16"/>
              </w:rPr>
              <w:t>Large</w:t>
            </w:r>
            <w:r>
              <w:rPr>
                <w:i/>
                <w:sz w:val="16"/>
                <w:szCs w:val="16"/>
              </w:rPr>
              <w:t xml:space="preserve"> </w:t>
            </w:r>
            <w:r w:rsidRPr="00C72BA6">
              <w:rPr>
                <w:i/>
                <w:sz w:val="16"/>
                <w:szCs w:val="16"/>
              </w:rPr>
              <w:t>Civil</w:t>
            </w:r>
            <w:r>
              <w:rPr>
                <w:i/>
                <w:sz w:val="16"/>
                <w:szCs w:val="16"/>
              </w:rPr>
              <w:t xml:space="preserve"> </w:t>
            </w:r>
            <w:r w:rsidRPr="00C72BA6">
              <w:rPr>
                <w:i/>
                <w:sz w:val="16"/>
                <w:szCs w:val="16"/>
              </w:rPr>
              <w:t>Aircraft</w:t>
            </w:r>
            <w:r>
              <w:rPr>
                <w:i/>
                <w:sz w:val="16"/>
                <w:szCs w:val="16"/>
              </w:rPr>
              <w:t xml:space="preserve"> </w:t>
            </w:r>
            <w:r w:rsidRPr="00C72BA6">
              <w:rPr>
                <w:i/>
                <w:sz w:val="16"/>
                <w:szCs w:val="16"/>
              </w:rPr>
              <w:t>(Article</w:t>
            </w:r>
            <w:r>
              <w:rPr>
                <w:i/>
                <w:sz w:val="16"/>
                <w:szCs w:val="16"/>
              </w:rPr>
              <w:t xml:space="preserve"> </w:t>
            </w:r>
            <w:r w:rsidRPr="00C72BA6">
              <w:rPr>
                <w:i/>
                <w:sz w:val="16"/>
                <w:szCs w:val="16"/>
              </w:rPr>
              <w:t>21.5</w:t>
            </w:r>
            <w:r>
              <w:rPr>
                <w:i/>
                <w:sz w:val="16"/>
                <w:szCs w:val="16"/>
              </w:rPr>
              <w:t xml:space="preserve"> – </w:t>
            </w:r>
            <w:r w:rsidRPr="00C72BA6">
              <w:rPr>
                <w:i/>
                <w:sz w:val="16"/>
                <w:szCs w:val="16"/>
              </w:rPr>
              <w:t>US)</w:t>
            </w:r>
          </w:p>
        </w:tc>
        <w:tc>
          <w:tcPr>
            <w:tcW w:w="6622" w:type="dxa"/>
          </w:tcPr>
          <w:p w14:paraId="6D4F834E"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iCs/>
                <w:color w:val="000000"/>
                <w:sz w:val="16"/>
                <w:szCs w:val="16"/>
              </w:rPr>
              <w:t>European</w:t>
            </w:r>
            <w:r>
              <w:rPr>
                <w:i/>
                <w:iCs/>
                <w:color w:val="000000"/>
                <w:sz w:val="16"/>
                <w:szCs w:val="16"/>
              </w:rPr>
              <w:t xml:space="preserve"> </w:t>
            </w:r>
            <w:r w:rsidRPr="00C72BA6">
              <w:rPr>
                <w:i/>
                <w:iCs/>
                <w:color w:val="000000"/>
                <w:sz w:val="16"/>
                <w:szCs w:val="16"/>
              </w:rPr>
              <w:t>Communities and Certain Member States – Measures Affecting Trade in Large Civil Aircraft</w:t>
            </w:r>
            <w:r w:rsidRPr="00C72BA6">
              <w:rPr>
                <w:i/>
                <w:color w:val="000000"/>
                <w:sz w:val="16"/>
                <w:szCs w:val="16"/>
              </w:rPr>
              <w:t xml:space="preserve"> – Recourse to Article</w:t>
            </w:r>
            <w:r>
              <w:rPr>
                <w:i/>
                <w:color w:val="000000"/>
                <w:sz w:val="16"/>
                <w:szCs w:val="16"/>
              </w:rPr>
              <w:t xml:space="preserve"> </w:t>
            </w:r>
            <w:r w:rsidRPr="00C72BA6">
              <w:rPr>
                <w:i/>
                <w:color w:val="000000"/>
                <w:sz w:val="16"/>
                <w:szCs w:val="16"/>
              </w:rPr>
              <w:t>21.5 of the DSU by the United</w:t>
            </w:r>
            <w:r>
              <w:rPr>
                <w:i/>
                <w:color w:val="000000"/>
                <w:sz w:val="16"/>
                <w:szCs w:val="16"/>
              </w:rPr>
              <w:t xml:space="preserve"> </w:t>
            </w:r>
            <w:r w:rsidRPr="00C72BA6">
              <w:rPr>
                <w:i/>
                <w:color w:val="000000"/>
                <w:sz w:val="16"/>
                <w:szCs w:val="16"/>
              </w:rPr>
              <w:t>States</w:t>
            </w:r>
            <w:r w:rsidRPr="00C72BA6">
              <w:rPr>
                <w:color w:val="000000"/>
                <w:sz w:val="16"/>
                <w:szCs w:val="16"/>
              </w:rPr>
              <w:t xml:space="preserve">, </w:t>
            </w:r>
            <w:r w:rsidRPr="00C72BA6">
              <w:rPr>
                <w:sz w:val="16"/>
                <w:szCs w:val="16"/>
              </w:rPr>
              <w:t>WT/DS316/AB/RW</w:t>
            </w:r>
            <w:r w:rsidRPr="00C72BA6">
              <w:rPr>
                <w:color w:val="000000"/>
                <w:sz w:val="16"/>
                <w:szCs w:val="16"/>
              </w:rPr>
              <w:t xml:space="preserve"> and Add.1, adopted 28</w:t>
            </w:r>
            <w:r>
              <w:rPr>
                <w:color w:val="000000"/>
                <w:sz w:val="16"/>
                <w:szCs w:val="16"/>
              </w:rPr>
              <w:t xml:space="preserve"> </w:t>
            </w:r>
            <w:r w:rsidRPr="00C72BA6">
              <w:rPr>
                <w:color w:val="000000"/>
                <w:sz w:val="16"/>
                <w:szCs w:val="16"/>
              </w:rPr>
              <w:t>May</w:t>
            </w:r>
            <w:r>
              <w:rPr>
                <w:color w:val="000000"/>
                <w:sz w:val="16"/>
                <w:szCs w:val="16"/>
              </w:rPr>
              <w:t xml:space="preserve"> </w:t>
            </w:r>
            <w:r w:rsidRPr="00C72BA6">
              <w:rPr>
                <w:color w:val="000000"/>
                <w:sz w:val="16"/>
                <w:szCs w:val="16"/>
              </w:rPr>
              <w:t>2018</w:t>
            </w:r>
          </w:p>
        </w:tc>
      </w:tr>
      <w:tr w:rsidR="00771172" w:rsidRPr="00C72BA6" w14:paraId="2B3DD83B"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6041C5FE" w14:textId="77777777" w:rsidR="00771172" w:rsidRPr="00C72BA6" w:rsidRDefault="00771172" w:rsidP="00EB6B84">
            <w:pPr>
              <w:spacing w:before="60" w:after="60"/>
              <w:jc w:val="left"/>
              <w:rPr>
                <w:i/>
                <w:sz w:val="16"/>
                <w:szCs w:val="16"/>
              </w:rPr>
            </w:pPr>
            <w:r w:rsidRPr="00C72BA6">
              <w:rPr>
                <w:i/>
                <w:sz w:val="16"/>
                <w:szCs w:val="16"/>
              </w:rPr>
              <w:t>EU</w:t>
            </w:r>
            <w:r>
              <w:rPr>
                <w:i/>
                <w:sz w:val="16"/>
                <w:szCs w:val="16"/>
              </w:rPr>
              <w:t xml:space="preserve"> – </w:t>
            </w:r>
            <w:r w:rsidRPr="00C72BA6">
              <w:rPr>
                <w:i/>
                <w:sz w:val="16"/>
                <w:szCs w:val="16"/>
              </w:rPr>
              <w:t>Biodiesel</w:t>
            </w:r>
            <w:r>
              <w:rPr>
                <w:i/>
                <w:sz w:val="16"/>
                <w:szCs w:val="16"/>
              </w:rPr>
              <w:t xml:space="preserve"> </w:t>
            </w:r>
            <w:r w:rsidRPr="00C72BA6">
              <w:rPr>
                <w:i/>
                <w:sz w:val="16"/>
                <w:szCs w:val="16"/>
              </w:rPr>
              <w:t>(Argentina)</w:t>
            </w:r>
          </w:p>
        </w:tc>
        <w:tc>
          <w:tcPr>
            <w:tcW w:w="6622" w:type="dxa"/>
          </w:tcPr>
          <w:p w14:paraId="56558E38"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European</w:t>
            </w:r>
            <w:r>
              <w:rPr>
                <w:i/>
                <w:color w:val="000000"/>
                <w:sz w:val="16"/>
                <w:szCs w:val="16"/>
              </w:rPr>
              <w:t xml:space="preserve"> </w:t>
            </w:r>
            <w:r w:rsidRPr="00C72BA6">
              <w:rPr>
                <w:i/>
                <w:color w:val="000000"/>
                <w:sz w:val="16"/>
                <w:szCs w:val="16"/>
              </w:rPr>
              <w:t>Union – Anti-Dumping Measures on Biodiesel from Argentina</w:t>
            </w:r>
            <w:r w:rsidRPr="00C72BA6">
              <w:rPr>
                <w:color w:val="000000"/>
                <w:sz w:val="16"/>
                <w:szCs w:val="16"/>
              </w:rPr>
              <w:t xml:space="preserve">, </w:t>
            </w:r>
            <w:r w:rsidRPr="00C72BA6">
              <w:rPr>
                <w:sz w:val="16"/>
                <w:szCs w:val="16"/>
              </w:rPr>
              <w:t>WT/DS473/AB/R</w:t>
            </w:r>
            <w:r w:rsidRPr="00C72BA6">
              <w:rPr>
                <w:color w:val="000000"/>
                <w:sz w:val="16"/>
                <w:szCs w:val="16"/>
              </w:rPr>
              <w:t xml:space="preserve"> </w:t>
            </w:r>
            <w:r w:rsidRPr="00C72BA6">
              <w:rPr>
                <w:color w:val="000000"/>
                <w:spacing w:val="-2"/>
                <w:sz w:val="16"/>
                <w:szCs w:val="16"/>
              </w:rPr>
              <w:t xml:space="preserve">and Add.1, </w:t>
            </w:r>
            <w:r w:rsidRPr="00C72BA6">
              <w:rPr>
                <w:color w:val="000000"/>
                <w:sz w:val="16"/>
                <w:szCs w:val="16"/>
              </w:rPr>
              <w:t>adopted 26</w:t>
            </w:r>
            <w:r>
              <w:rPr>
                <w:color w:val="000000"/>
                <w:sz w:val="16"/>
                <w:szCs w:val="16"/>
              </w:rPr>
              <w:t xml:space="preserve"> </w:t>
            </w:r>
            <w:r w:rsidRPr="00C72BA6">
              <w:rPr>
                <w:color w:val="000000"/>
                <w:sz w:val="16"/>
                <w:szCs w:val="16"/>
              </w:rPr>
              <w:t>October</w:t>
            </w:r>
            <w:r>
              <w:rPr>
                <w:color w:val="000000"/>
                <w:sz w:val="16"/>
                <w:szCs w:val="16"/>
              </w:rPr>
              <w:t xml:space="preserve"> </w:t>
            </w:r>
            <w:r w:rsidRPr="00C72BA6">
              <w:rPr>
                <w:color w:val="000000"/>
                <w:sz w:val="16"/>
                <w:szCs w:val="16"/>
              </w:rPr>
              <w:t>2016, DSR 2016:VI, p.</w:t>
            </w:r>
            <w:r>
              <w:rPr>
                <w:color w:val="000000"/>
                <w:sz w:val="16"/>
                <w:szCs w:val="16"/>
              </w:rPr>
              <w:t xml:space="preserve"> </w:t>
            </w:r>
            <w:r w:rsidRPr="00C72BA6">
              <w:rPr>
                <w:color w:val="000000"/>
                <w:sz w:val="16"/>
                <w:szCs w:val="16"/>
              </w:rPr>
              <w:t>2871</w:t>
            </w:r>
          </w:p>
        </w:tc>
      </w:tr>
      <w:tr w:rsidR="00771172" w:rsidRPr="00C72BA6" w14:paraId="44FD038B" w14:textId="77777777" w:rsidTr="00EB6B84">
        <w:trPr>
          <w:cantSplit/>
        </w:trPr>
        <w:tc>
          <w:tcPr>
            <w:tcW w:w="2602" w:type="dxa"/>
          </w:tcPr>
          <w:p w14:paraId="7E9D19C2" w14:textId="77777777" w:rsidR="00771172" w:rsidRPr="00C72BA6" w:rsidRDefault="00771172" w:rsidP="00EB6B84">
            <w:pPr>
              <w:spacing w:before="60" w:after="60"/>
              <w:jc w:val="left"/>
              <w:rPr>
                <w:i/>
                <w:sz w:val="16"/>
                <w:szCs w:val="16"/>
              </w:rPr>
            </w:pPr>
            <w:r w:rsidRPr="00C72BA6">
              <w:rPr>
                <w:i/>
                <w:sz w:val="16"/>
                <w:szCs w:val="16"/>
              </w:rPr>
              <w:t>Guatemala</w:t>
            </w:r>
            <w:r>
              <w:rPr>
                <w:i/>
                <w:sz w:val="16"/>
                <w:szCs w:val="16"/>
              </w:rPr>
              <w:t xml:space="preserve"> – </w:t>
            </w:r>
            <w:r w:rsidRPr="00C72BA6">
              <w:rPr>
                <w:i/>
                <w:sz w:val="16"/>
                <w:szCs w:val="16"/>
              </w:rPr>
              <w:t>Cement</w:t>
            </w:r>
            <w:r>
              <w:rPr>
                <w:i/>
                <w:sz w:val="16"/>
                <w:szCs w:val="16"/>
              </w:rPr>
              <w:t xml:space="preserve"> </w:t>
            </w:r>
            <w:r w:rsidRPr="00C72BA6">
              <w:rPr>
                <w:i/>
                <w:sz w:val="16"/>
                <w:szCs w:val="16"/>
              </w:rPr>
              <w:t>I</w:t>
            </w:r>
          </w:p>
        </w:tc>
        <w:tc>
          <w:tcPr>
            <w:tcW w:w="6622" w:type="dxa"/>
          </w:tcPr>
          <w:p w14:paraId="6BF22EDF" w14:textId="77777777" w:rsidR="00771172" w:rsidRPr="00C72BA6" w:rsidRDefault="00771172" w:rsidP="00EB6B84">
            <w:pPr>
              <w:tabs>
                <w:tab w:val="left" w:pos="2268"/>
                <w:tab w:val="left" w:pos="4536"/>
              </w:tabs>
              <w:spacing w:before="60" w:after="60"/>
              <w:jc w:val="left"/>
              <w:rPr>
                <w:color w:val="000000"/>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Guatemala – Anti-Dumping Investigation Regarding Portland Cement from Mexico</w:t>
            </w:r>
            <w:r w:rsidRPr="00C72BA6">
              <w:rPr>
                <w:color w:val="000000"/>
                <w:sz w:val="16"/>
                <w:szCs w:val="16"/>
              </w:rPr>
              <w:t xml:space="preserve">, </w:t>
            </w:r>
            <w:r w:rsidRPr="00C72BA6">
              <w:rPr>
                <w:sz w:val="16"/>
                <w:szCs w:val="16"/>
              </w:rPr>
              <w:t>WT/DS60/AB/R</w:t>
            </w:r>
            <w:r w:rsidRPr="00C72BA6">
              <w:rPr>
                <w:color w:val="000000"/>
                <w:sz w:val="16"/>
                <w:szCs w:val="16"/>
              </w:rPr>
              <w:t>, adopted 25</w:t>
            </w:r>
            <w:r>
              <w:rPr>
                <w:color w:val="000000"/>
                <w:sz w:val="16"/>
                <w:szCs w:val="16"/>
              </w:rPr>
              <w:t xml:space="preserve"> </w:t>
            </w:r>
            <w:r w:rsidRPr="00C72BA6">
              <w:rPr>
                <w:color w:val="000000"/>
                <w:sz w:val="16"/>
                <w:szCs w:val="16"/>
              </w:rPr>
              <w:t>November</w:t>
            </w:r>
            <w:r>
              <w:rPr>
                <w:color w:val="000000"/>
                <w:sz w:val="16"/>
                <w:szCs w:val="16"/>
              </w:rPr>
              <w:t xml:space="preserve"> </w:t>
            </w:r>
            <w:r w:rsidRPr="00C72BA6">
              <w:rPr>
                <w:color w:val="000000"/>
                <w:sz w:val="16"/>
                <w:szCs w:val="16"/>
              </w:rPr>
              <w:t>1998, DSR 1998:IX, p.</w:t>
            </w:r>
            <w:r>
              <w:rPr>
                <w:color w:val="000000"/>
                <w:sz w:val="16"/>
                <w:szCs w:val="16"/>
              </w:rPr>
              <w:t xml:space="preserve"> </w:t>
            </w:r>
            <w:r w:rsidRPr="00C72BA6">
              <w:rPr>
                <w:color w:val="000000"/>
                <w:sz w:val="16"/>
                <w:szCs w:val="16"/>
              </w:rPr>
              <w:t>3767</w:t>
            </w:r>
          </w:p>
        </w:tc>
      </w:tr>
      <w:tr w:rsidR="00771172" w:rsidRPr="00C72BA6" w14:paraId="39A13345"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397DBFF1" w14:textId="77777777" w:rsidR="00771172" w:rsidRPr="00C72BA6" w:rsidRDefault="00771172" w:rsidP="00EB6B84">
            <w:pPr>
              <w:spacing w:before="60" w:after="60"/>
              <w:jc w:val="left"/>
              <w:rPr>
                <w:i/>
                <w:sz w:val="16"/>
                <w:szCs w:val="16"/>
              </w:rPr>
            </w:pPr>
            <w:r w:rsidRPr="00C72BA6">
              <w:rPr>
                <w:i/>
                <w:sz w:val="16"/>
                <w:szCs w:val="16"/>
              </w:rPr>
              <w:t>Indonesia</w:t>
            </w:r>
            <w:r>
              <w:rPr>
                <w:i/>
                <w:sz w:val="16"/>
                <w:szCs w:val="16"/>
              </w:rPr>
              <w:t xml:space="preserve"> – </w:t>
            </w:r>
            <w:r w:rsidRPr="00C72BA6">
              <w:rPr>
                <w:i/>
                <w:sz w:val="16"/>
                <w:szCs w:val="16"/>
              </w:rPr>
              <w:t>Chicken</w:t>
            </w:r>
          </w:p>
        </w:tc>
        <w:tc>
          <w:tcPr>
            <w:tcW w:w="6622" w:type="dxa"/>
          </w:tcPr>
          <w:p w14:paraId="28394F3A"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Panel</w:t>
            </w:r>
            <w:r>
              <w:rPr>
                <w:color w:val="000000"/>
                <w:sz w:val="16"/>
                <w:szCs w:val="16"/>
              </w:rPr>
              <w:t xml:space="preserve"> </w:t>
            </w:r>
            <w:r w:rsidRPr="00C72BA6">
              <w:rPr>
                <w:color w:val="000000"/>
                <w:sz w:val="16"/>
                <w:szCs w:val="16"/>
              </w:rPr>
              <w:t xml:space="preserve">Report, </w:t>
            </w:r>
            <w:r w:rsidRPr="00C72BA6">
              <w:rPr>
                <w:i/>
                <w:color w:val="000000"/>
                <w:sz w:val="16"/>
                <w:szCs w:val="16"/>
              </w:rPr>
              <w:t>Indonesia – Measures Concerning the Importation of Chicken Meat and Chicken Products</w:t>
            </w:r>
            <w:r w:rsidRPr="00C72BA6">
              <w:rPr>
                <w:color w:val="000000"/>
                <w:sz w:val="16"/>
                <w:szCs w:val="16"/>
              </w:rPr>
              <w:t xml:space="preserve">, </w:t>
            </w:r>
            <w:r w:rsidRPr="00C72BA6">
              <w:rPr>
                <w:sz w:val="16"/>
                <w:szCs w:val="16"/>
              </w:rPr>
              <w:t>WT/DS484/R</w:t>
            </w:r>
            <w:r w:rsidRPr="00C72BA6">
              <w:rPr>
                <w:color w:val="000000"/>
                <w:sz w:val="16"/>
                <w:szCs w:val="16"/>
              </w:rPr>
              <w:t xml:space="preserve"> and Add.1, adopted 22</w:t>
            </w:r>
            <w:r>
              <w:rPr>
                <w:color w:val="000000"/>
                <w:sz w:val="16"/>
                <w:szCs w:val="16"/>
              </w:rPr>
              <w:t xml:space="preserve"> </w:t>
            </w:r>
            <w:r w:rsidRPr="00C72BA6">
              <w:rPr>
                <w:color w:val="000000"/>
                <w:sz w:val="16"/>
                <w:szCs w:val="16"/>
              </w:rPr>
              <w:t>November</w:t>
            </w:r>
            <w:r>
              <w:rPr>
                <w:color w:val="000000"/>
                <w:sz w:val="16"/>
                <w:szCs w:val="16"/>
              </w:rPr>
              <w:t xml:space="preserve"> </w:t>
            </w:r>
            <w:r w:rsidRPr="00C72BA6">
              <w:rPr>
                <w:color w:val="000000"/>
                <w:sz w:val="16"/>
                <w:szCs w:val="16"/>
              </w:rPr>
              <w:t>2017, DSR</w:t>
            </w:r>
            <w:r>
              <w:rPr>
                <w:color w:val="000000"/>
                <w:sz w:val="16"/>
                <w:szCs w:val="16"/>
              </w:rPr>
              <w:t xml:space="preserve"> </w:t>
            </w:r>
            <w:r w:rsidRPr="00C72BA6">
              <w:rPr>
                <w:color w:val="000000"/>
                <w:sz w:val="16"/>
                <w:szCs w:val="16"/>
              </w:rPr>
              <w:t>2017:VIII, p.</w:t>
            </w:r>
            <w:r>
              <w:rPr>
                <w:color w:val="000000"/>
                <w:sz w:val="16"/>
                <w:szCs w:val="16"/>
              </w:rPr>
              <w:t xml:space="preserve"> </w:t>
            </w:r>
            <w:r w:rsidRPr="00C72BA6">
              <w:rPr>
                <w:color w:val="000000"/>
                <w:sz w:val="16"/>
                <w:szCs w:val="16"/>
              </w:rPr>
              <w:t>3769</w:t>
            </w:r>
          </w:p>
        </w:tc>
      </w:tr>
      <w:tr w:rsidR="00771172" w:rsidRPr="00C72BA6" w14:paraId="0D67FC70" w14:textId="77777777" w:rsidTr="00EB6B84">
        <w:trPr>
          <w:cantSplit/>
        </w:trPr>
        <w:tc>
          <w:tcPr>
            <w:tcW w:w="2602" w:type="dxa"/>
          </w:tcPr>
          <w:p w14:paraId="7838B7AD" w14:textId="77777777" w:rsidR="00771172" w:rsidRPr="00C72BA6" w:rsidRDefault="00771172" w:rsidP="00EB6B84">
            <w:pPr>
              <w:spacing w:before="60" w:after="60"/>
              <w:jc w:val="left"/>
              <w:rPr>
                <w:i/>
                <w:sz w:val="16"/>
                <w:szCs w:val="16"/>
              </w:rPr>
            </w:pPr>
            <w:r w:rsidRPr="00C72BA6">
              <w:rPr>
                <w:i/>
                <w:sz w:val="16"/>
                <w:szCs w:val="16"/>
              </w:rPr>
              <w:t>Indonesia</w:t>
            </w:r>
            <w:r>
              <w:rPr>
                <w:i/>
                <w:sz w:val="16"/>
                <w:szCs w:val="16"/>
              </w:rPr>
              <w:t xml:space="preserve"> – </w:t>
            </w:r>
            <w:r w:rsidRPr="00C72BA6">
              <w:rPr>
                <w:i/>
                <w:sz w:val="16"/>
                <w:szCs w:val="16"/>
              </w:rPr>
              <w:t>Iron</w:t>
            </w:r>
            <w:r>
              <w:rPr>
                <w:i/>
                <w:sz w:val="16"/>
                <w:szCs w:val="16"/>
              </w:rPr>
              <w:t xml:space="preserve"> </w:t>
            </w:r>
            <w:r w:rsidRPr="00C72BA6">
              <w:rPr>
                <w:i/>
                <w:sz w:val="16"/>
                <w:szCs w:val="16"/>
              </w:rPr>
              <w:t>or</w:t>
            </w:r>
            <w:r>
              <w:rPr>
                <w:i/>
                <w:sz w:val="16"/>
                <w:szCs w:val="16"/>
              </w:rPr>
              <w:t xml:space="preserve"> </w:t>
            </w:r>
            <w:r w:rsidRPr="00C72BA6">
              <w:rPr>
                <w:i/>
                <w:sz w:val="16"/>
                <w:szCs w:val="16"/>
              </w:rPr>
              <w:t>Steel</w:t>
            </w:r>
            <w:r>
              <w:rPr>
                <w:i/>
                <w:sz w:val="16"/>
                <w:szCs w:val="16"/>
              </w:rPr>
              <w:t xml:space="preserve"> </w:t>
            </w:r>
            <w:r w:rsidRPr="00C72BA6">
              <w:rPr>
                <w:i/>
                <w:sz w:val="16"/>
                <w:szCs w:val="16"/>
              </w:rPr>
              <w:t>Products</w:t>
            </w:r>
          </w:p>
        </w:tc>
        <w:tc>
          <w:tcPr>
            <w:tcW w:w="6622" w:type="dxa"/>
          </w:tcPr>
          <w:p w14:paraId="32EB7158"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Indonesia – Safeguard on Certain Iron or Steel Products</w:t>
            </w:r>
            <w:r w:rsidRPr="00C72BA6">
              <w:rPr>
                <w:color w:val="000000"/>
                <w:sz w:val="16"/>
                <w:szCs w:val="16"/>
              </w:rPr>
              <w:t xml:space="preserve">, </w:t>
            </w:r>
            <w:r w:rsidRPr="00C72BA6">
              <w:rPr>
                <w:sz w:val="16"/>
                <w:szCs w:val="16"/>
              </w:rPr>
              <w:t>WT/DS490/AB/R</w:t>
            </w:r>
            <w:r w:rsidRPr="00C72BA6">
              <w:rPr>
                <w:color w:val="000000"/>
                <w:sz w:val="16"/>
                <w:szCs w:val="16"/>
              </w:rPr>
              <w:t xml:space="preserve">, </w:t>
            </w:r>
            <w:r w:rsidRPr="00C72BA6">
              <w:rPr>
                <w:sz w:val="16"/>
                <w:szCs w:val="16"/>
              </w:rPr>
              <w:t>WT/DS496/AB/R</w:t>
            </w:r>
            <w:r w:rsidRPr="00C72BA6">
              <w:rPr>
                <w:color w:val="000000"/>
                <w:sz w:val="16"/>
                <w:szCs w:val="16"/>
              </w:rPr>
              <w:t>, and Add.1, adopted 27</w:t>
            </w:r>
            <w:r>
              <w:rPr>
                <w:color w:val="000000"/>
                <w:sz w:val="16"/>
                <w:szCs w:val="16"/>
              </w:rPr>
              <w:t xml:space="preserve"> </w:t>
            </w:r>
            <w:r w:rsidRPr="00C72BA6">
              <w:rPr>
                <w:color w:val="000000"/>
                <w:sz w:val="16"/>
                <w:szCs w:val="16"/>
              </w:rPr>
              <w:t>August</w:t>
            </w:r>
            <w:r>
              <w:rPr>
                <w:color w:val="000000"/>
                <w:sz w:val="16"/>
                <w:szCs w:val="16"/>
              </w:rPr>
              <w:t xml:space="preserve"> </w:t>
            </w:r>
            <w:r w:rsidRPr="00C72BA6">
              <w:rPr>
                <w:color w:val="000000"/>
                <w:sz w:val="16"/>
                <w:szCs w:val="16"/>
              </w:rPr>
              <w:t>2018</w:t>
            </w:r>
          </w:p>
        </w:tc>
      </w:tr>
      <w:tr w:rsidR="00771172" w:rsidRPr="00C72BA6" w14:paraId="62B61E44"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694C0264" w14:textId="199FF696" w:rsidR="00771172" w:rsidRPr="00C72BA6" w:rsidRDefault="00771172" w:rsidP="00EB6B84">
            <w:pPr>
              <w:spacing w:before="60" w:after="60"/>
              <w:jc w:val="left"/>
              <w:rPr>
                <w:i/>
                <w:sz w:val="16"/>
                <w:szCs w:val="16"/>
              </w:rPr>
            </w:pPr>
            <w:r w:rsidRPr="00C72BA6">
              <w:rPr>
                <w:i/>
                <w:sz w:val="16"/>
                <w:szCs w:val="16"/>
              </w:rPr>
              <w:t>Japan</w:t>
            </w:r>
            <w:r>
              <w:rPr>
                <w:i/>
                <w:sz w:val="16"/>
                <w:szCs w:val="16"/>
              </w:rPr>
              <w:t xml:space="preserve"> – </w:t>
            </w:r>
            <w:r w:rsidRPr="00C72BA6">
              <w:rPr>
                <w:i/>
                <w:sz w:val="16"/>
                <w:szCs w:val="16"/>
              </w:rPr>
              <w:t>Agricultural</w:t>
            </w:r>
            <w:r>
              <w:rPr>
                <w:i/>
                <w:sz w:val="16"/>
                <w:szCs w:val="16"/>
              </w:rPr>
              <w:t xml:space="preserve"> </w:t>
            </w:r>
            <w:r>
              <w:rPr>
                <w:i/>
                <w:sz w:val="16"/>
                <w:szCs w:val="16"/>
              </w:rPr>
              <w:br/>
            </w:r>
            <w:r w:rsidRPr="00C72BA6">
              <w:rPr>
                <w:i/>
                <w:sz w:val="16"/>
                <w:szCs w:val="16"/>
              </w:rPr>
              <w:t>Products</w:t>
            </w:r>
            <w:r>
              <w:rPr>
                <w:i/>
                <w:sz w:val="16"/>
                <w:szCs w:val="16"/>
              </w:rPr>
              <w:t xml:space="preserve"> </w:t>
            </w:r>
            <w:r w:rsidRPr="00C72BA6">
              <w:rPr>
                <w:i/>
                <w:sz w:val="16"/>
                <w:szCs w:val="16"/>
              </w:rPr>
              <w:t>II</w:t>
            </w:r>
          </w:p>
        </w:tc>
        <w:tc>
          <w:tcPr>
            <w:tcW w:w="6622" w:type="dxa"/>
          </w:tcPr>
          <w:p w14:paraId="2404AEE4"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Japan – Measures Affecting Agricultural Products</w:t>
            </w:r>
            <w:r w:rsidRPr="00C72BA6">
              <w:rPr>
                <w:color w:val="000000"/>
                <w:sz w:val="16"/>
                <w:szCs w:val="16"/>
              </w:rPr>
              <w:t xml:space="preserve">, </w:t>
            </w:r>
            <w:r w:rsidRPr="00C72BA6">
              <w:rPr>
                <w:sz w:val="16"/>
                <w:szCs w:val="16"/>
              </w:rPr>
              <w:t>WT/DS76/AB/R</w:t>
            </w:r>
            <w:r w:rsidRPr="00C72BA6">
              <w:rPr>
                <w:color w:val="000000"/>
                <w:sz w:val="16"/>
                <w:szCs w:val="16"/>
              </w:rPr>
              <w:t>, adopted 19</w:t>
            </w:r>
            <w:r>
              <w:rPr>
                <w:color w:val="000000"/>
                <w:sz w:val="16"/>
                <w:szCs w:val="16"/>
              </w:rPr>
              <w:t xml:space="preserve"> </w:t>
            </w:r>
            <w:r w:rsidRPr="00C72BA6">
              <w:rPr>
                <w:color w:val="000000"/>
                <w:sz w:val="16"/>
                <w:szCs w:val="16"/>
              </w:rPr>
              <w:t>March</w:t>
            </w:r>
            <w:r>
              <w:rPr>
                <w:color w:val="000000"/>
                <w:sz w:val="16"/>
                <w:szCs w:val="16"/>
              </w:rPr>
              <w:t xml:space="preserve"> </w:t>
            </w:r>
            <w:r w:rsidRPr="00C72BA6">
              <w:rPr>
                <w:color w:val="000000"/>
                <w:sz w:val="16"/>
                <w:szCs w:val="16"/>
              </w:rPr>
              <w:t>1999, DSR 1999:I, p.</w:t>
            </w:r>
            <w:r>
              <w:rPr>
                <w:color w:val="000000"/>
                <w:sz w:val="16"/>
                <w:szCs w:val="16"/>
              </w:rPr>
              <w:t xml:space="preserve"> </w:t>
            </w:r>
            <w:r w:rsidRPr="00C72BA6">
              <w:rPr>
                <w:color w:val="000000"/>
                <w:sz w:val="16"/>
                <w:szCs w:val="16"/>
              </w:rPr>
              <w:t>277</w:t>
            </w:r>
          </w:p>
        </w:tc>
      </w:tr>
      <w:tr w:rsidR="00771172" w:rsidRPr="00C72BA6" w14:paraId="1E883C3E" w14:textId="77777777" w:rsidTr="00EB6B84">
        <w:trPr>
          <w:cantSplit/>
        </w:trPr>
        <w:tc>
          <w:tcPr>
            <w:tcW w:w="2602" w:type="dxa"/>
          </w:tcPr>
          <w:p w14:paraId="7FB414CE" w14:textId="77777777" w:rsidR="00771172" w:rsidRPr="00C72BA6" w:rsidRDefault="00771172" w:rsidP="00EB6B84">
            <w:pPr>
              <w:spacing w:before="60" w:after="60"/>
              <w:jc w:val="left"/>
              <w:rPr>
                <w:i/>
                <w:sz w:val="16"/>
                <w:szCs w:val="16"/>
              </w:rPr>
            </w:pPr>
            <w:r w:rsidRPr="00C72BA6">
              <w:rPr>
                <w:i/>
                <w:sz w:val="16"/>
                <w:szCs w:val="16"/>
              </w:rPr>
              <w:t>Japan</w:t>
            </w:r>
            <w:r>
              <w:rPr>
                <w:i/>
                <w:sz w:val="16"/>
                <w:szCs w:val="16"/>
              </w:rPr>
              <w:t xml:space="preserve"> – </w:t>
            </w:r>
            <w:r w:rsidRPr="00C72BA6">
              <w:rPr>
                <w:i/>
                <w:sz w:val="16"/>
                <w:szCs w:val="16"/>
              </w:rPr>
              <w:t>DRAMS</w:t>
            </w:r>
            <w:r>
              <w:rPr>
                <w:i/>
                <w:sz w:val="16"/>
                <w:szCs w:val="16"/>
              </w:rPr>
              <w:t xml:space="preserve"> </w:t>
            </w:r>
            <w:r w:rsidRPr="00C72BA6">
              <w:rPr>
                <w:i/>
                <w:sz w:val="16"/>
                <w:szCs w:val="16"/>
              </w:rPr>
              <w:t>(Korea)</w:t>
            </w:r>
          </w:p>
        </w:tc>
        <w:tc>
          <w:tcPr>
            <w:tcW w:w="6622" w:type="dxa"/>
          </w:tcPr>
          <w:p w14:paraId="3A8F1793" w14:textId="3F2CF13D"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Japan – Countervailing Duties on Dynamic Random Access Memories from Korea</w:t>
            </w:r>
            <w:r w:rsidRPr="00C72BA6">
              <w:rPr>
                <w:color w:val="000000"/>
                <w:sz w:val="16"/>
                <w:szCs w:val="16"/>
              </w:rPr>
              <w:t xml:space="preserve">, </w:t>
            </w:r>
            <w:r w:rsidRPr="00C72BA6">
              <w:rPr>
                <w:sz w:val="16"/>
                <w:szCs w:val="16"/>
              </w:rPr>
              <w:t>WT/DS336/AB/R</w:t>
            </w:r>
            <w:r w:rsidRPr="00C72BA6">
              <w:rPr>
                <w:color w:val="000000"/>
                <w:sz w:val="16"/>
                <w:szCs w:val="16"/>
              </w:rPr>
              <w:t xml:space="preserve"> and Corr.1, adopted 17</w:t>
            </w:r>
            <w:r>
              <w:rPr>
                <w:color w:val="000000"/>
                <w:sz w:val="16"/>
                <w:szCs w:val="16"/>
              </w:rPr>
              <w:t> </w:t>
            </w:r>
            <w:r w:rsidRPr="00C72BA6">
              <w:rPr>
                <w:color w:val="000000"/>
                <w:sz w:val="16"/>
                <w:szCs w:val="16"/>
              </w:rPr>
              <w:t>December</w:t>
            </w:r>
            <w:r>
              <w:rPr>
                <w:color w:val="000000"/>
                <w:sz w:val="16"/>
                <w:szCs w:val="16"/>
              </w:rPr>
              <w:t xml:space="preserve"> </w:t>
            </w:r>
            <w:r w:rsidRPr="00C72BA6">
              <w:rPr>
                <w:color w:val="000000"/>
                <w:sz w:val="16"/>
                <w:szCs w:val="16"/>
              </w:rPr>
              <w:t>2007, DSR 2007:VII, p.</w:t>
            </w:r>
            <w:r>
              <w:rPr>
                <w:color w:val="000000"/>
                <w:sz w:val="16"/>
                <w:szCs w:val="16"/>
              </w:rPr>
              <w:t xml:space="preserve"> </w:t>
            </w:r>
            <w:r w:rsidRPr="00C72BA6">
              <w:rPr>
                <w:color w:val="000000"/>
                <w:sz w:val="16"/>
                <w:szCs w:val="16"/>
              </w:rPr>
              <w:t>2703</w:t>
            </w:r>
          </w:p>
        </w:tc>
      </w:tr>
      <w:tr w:rsidR="00771172" w:rsidRPr="00C72BA6" w14:paraId="6D00D8E2"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6B7BE831" w14:textId="77777777" w:rsidR="00771172" w:rsidRPr="00C72BA6" w:rsidRDefault="00771172" w:rsidP="00EB6B84">
            <w:pPr>
              <w:spacing w:before="60" w:after="60"/>
              <w:jc w:val="left"/>
              <w:rPr>
                <w:i/>
                <w:sz w:val="16"/>
                <w:szCs w:val="16"/>
              </w:rPr>
            </w:pPr>
            <w:r w:rsidRPr="00C72BA6">
              <w:rPr>
                <w:i/>
                <w:sz w:val="16"/>
                <w:szCs w:val="16"/>
              </w:rPr>
              <w:t>Korea</w:t>
            </w:r>
            <w:r>
              <w:rPr>
                <w:i/>
                <w:sz w:val="16"/>
                <w:szCs w:val="16"/>
              </w:rPr>
              <w:t xml:space="preserve"> – </w:t>
            </w:r>
            <w:r w:rsidRPr="00C72BA6">
              <w:rPr>
                <w:i/>
                <w:sz w:val="16"/>
                <w:szCs w:val="16"/>
              </w:rPr>
              <w:t>Dairy</w:t>
            </w:r>
          </w:p>
        </w:tc>
        <w:tc>
          <w:tcPr>
            <w:tcW w:w="6622" w:type="dxa"/>
          </w:tcPr>
          <w:p w14:paraId="0B879F8F"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Korea – Definitive Safeguard Measure on Imports of Certain Dairy Products</w:t>
            </w:r>
            <w:r w:rsidRPr="00C72BA6">
              <w:rPr>
                <w:color w:val="000000"/>
                <w:sz w:val="16"/>
                <w:szCs w:val="16"/>
              </w:rPr>
              <w:t xml:space="preserve">, </w:t>
            </w:r>
            <w:r w:rsidRPr="00C72BA6">
              <w:rPr>
                <w:sz w:val="16"/>
                <w:szCs w:val="16"/>
              </w:rPr>
              <w:t>WT/DS98/AB/R</w:t>
            </w:r>
            <w:r w:rsidRPr="00C72BA6">
              <w:rPr>
                <w:color w:val="000000"/>
                <w:sz w:val="16"/>
                <w:szCs w:val="16"/>
              </w:rPr>
              <w:t>, adopted 12</w:t>
            </w:r>
            <w:r>
              <w:rPr>
                <w:color w:val="000000"/>
                <w:sz w:val="16"/>
                <w:szCs w:val="16"/>
              </w:rPr>
              <w:t xml:space="preserve"> </w:t>
            </w:r>
            <w:r w:rsidRPr="00C72BA6">
              <w:rPr>
                <w:color w:val="000000"/>
                <w:sz w:val="16"/>
                <w:szCs w:val="16"/>
              </w:rPr>
              <w:t>January</w:t>
            </w:r>
            <w:r>
              <w:rPr>
                <w:color w:val="000000"/>
                <w:sz w:val="16"/>
                <w:szCs w:val="16"/>
              </w:rPr>
              <w:t xml:space="preserve"> </w:t>
            </w:r>
            <w:r w:rsidRPr="00C72BA6">
              <w:rPr>
                <w:color w:val="000000"/>
                <w:sz w:val="16"/>
                <w:szCs w:val="16"/>
              </w:rPr>
              <w:t>2000, DSR 2000:I, p.</w:t>
            </w:r>
            <w:r>
              <w:rPr>
                <w:color w:val="000000"/>
                <w:sz w:val="16"/>
                <w:szCs w:val="16"/>
              </w:rPr>
              <w:t xml:space="preserve"> </w:t>
            </w:r>
            <w:r w:rsidRPr="00C72BA6">
              <w:rPr>
                <w:color w:val="000000"/>
                <w:sz w:val="16"/>
                <w:szCs w:val="16"/>
              </w:rPr>
              <w:t>3</w:t>
            </w:r>
          </w:p>
        </w:tc>
      </w:tr>
      <w:tr w:rsidR="00771172" w:rsidRPr="00C72BA6" w14:paraId="0F959A82" w14:textId="77777777" w:rsidTr="00EB6B84">
        <w:trPr>
          <w:cantSplit/>
        </w:trPr>
        <w:tc>
          <w:tcPr>
            <w:tcW w:w="2602" w:type="dxa"/>
          </w:tcPr>
          <w:p w14:paraId="548D4F2F" w14:textId="77777777" w:rsidR="00771172" w:rsidRPr="00C72BA6" w:rsidRDefault="00771172" w:rsidP="00EB6B84">
            <w:pPr>
              <w:spacing w:before="60" w:after="60"/>
              <w:jc w:val="left"/>
              <w:rPr>
                <w:i/>
                <w:sz w:val="16"/>
                <w:szCs w:val="16"/>
              </w:rPr>
            </w:pPr>
            <w:r w:rsidRPr="00C72BA6">
              <w:rPr>
                <w:i/>
                <w:sz w:val="16"/>
                <w:szCs w:val="16"/>
              </w:rPr>
              <w:t>Korea</w:t>
            </w:r>
            <w:r>
              <w:rPr>
                <w:i/>
                <w:sz w:val="16"/>
                <w:szCs w:val="16"/>
              </w:rPr>
              <w:t xml:space="preserve"> – </w:t>
            </w:r>
            <w:r w:rsidRPr="00C72BA6">
              <w:rPr>
                <w:i/>
                <w:sz w:val="16"/>
                <w:szCs w:val="16"/>
              </w:rPr>
              <w:t>Pneumatic</w:t>
            </w:r>
            <w:r>
              <w:rPr>
                <w:i/>
                <w:sz w:val="16"/>
                <w:szCs w:val="16"/>
              </w:rPr>
              <w:t xml:space="preserve"> </w:t>
            </w:r>
            <w:r w:rsidRPr="00C72BA6">
              <w:rPr>
                <w:i/>
                <w:sz w:val="16"/>
                <w:szCs w:val="16"/>
              </w:rPr>
              <w:t>Valves</w:t>
            </w:r>
            <w:r>
              <w:rPr>
                <w:i/>
                <w:sz w:val="16"/>
                <w:szCs w:val="16"/>
              </w:rPr>
              <w:t xml:space="preserve"> </w:t>
            </w:r>
            <w:r w:rsidRPr="00C72BA6">
              <w:rPr>
                <w:i/>
                <w:sz w:val="16"/>
                <w:szCs w:val="16"/>
              </w:rPr>
              <w:t>(Japan)</w:t>
            </w:r>
          </w:p>
        </w:tc>
        <w:tc>
          <w:tcPr>
            <w:tcW w:w="6622" w:type="dxa"/>
          </w:tcPr>
          <w:p w14:paraId="4C23AC4B"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Korea – Anti-Dumping Duties on Pneumatic Valves from Japan</w:t>
            </w:r>
            <w:r w:rsidRPr="00C72BA6">
              <w:rPr>
                <w:color w:val="000000"/>
                <w:sz w:val="16"/>
                <w:szCs w:val="16"/>
              </w:rPr>
              <w:t xml:space="preserve">, </w:t>
            </w:r>
            <w:r w:rsidRPr="00C72BA6">
              <w:rPr>
                <w:sz w:val="16"/>
                <w:szCs w:val="16"/>
              </w:rPr>
              <w:t>WT/DS504/AB/R</w:t>
            </w:r>
            <w:r w:rsidRPr="00C72BA6">
              <w:rPr>
                <w:color w:val="000000"/>
                <w:sz w:val="16"/>
                <w:szCs w:val="16"/>
              </w:rPr>
              <w:t xml:space="preserve"> and Add.1, adopted 30</w:t>
            </w:r>
            <w:r>
              <w:rPr>
                <w:color w:val="000000"/>
                <w:sz w:val="16"/>
                <w:szCs w:val="16"/>
              </w:rPr>
              <w:t xml:space="preserve"> </w:t>
            </w:r>
            <w:r w:rsidRPr="00C72BA6">
              <w:rPr>
                <w:color w:val="000000"/>
                <w:sz w:val="16"/>
                <w:szCs w:val="16"/>
              </w:rPr>
              <w:t>September</w:t>
            </w:r>
            <w:r>
              <w:rPr>
                <w:color w:val="000000"/>
                <w:sz w:val="16"/>
                <w:szCs w:val="16"/>
              </w:rPr>
              <w:t xml:space="preserve"> </w:t>
            </w:r>
            <w:r w:rsidRPr="00C72BA6">
              <w:rPr>
                <w:color w:val="000000"/>
                <w:sz w:val="16"/>
                <w:szCs w:val="16"/>
              </w:rPr>
              <w:t>2019</w:t>
            </w:r>
          </w:p>
        </w:tc>
      </w:tr>
      <w:tr w:rsidR="00771172" w:rsidRPr="00C72BA6" w14:paraId="08A74F1B"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795517DC" w14:textId="77777777" w:rsidR="00771172" w:rsidRPr="00C72BA6" w:rsidRDefault="00771172" w:rsidP="00EB6B84">
            <w:pPr>
              <w:spacing w:before="60" w:after="60"/>
              <w:jc w:val="left"/>
              <w:rPr>
                <w:i/>
                <w:sz w:val="16"/>
                <w:szCs w:val="16"/>
              </w:rPr>
            </w:pPr>
            <w:r w:rsidRPr="00C72BA6">
              <w:rPr>
                <w:i/>
                <w:sz w:val="16"/>
                <w:szCs w:val="16"/>
              </w:rPr>
              <w:t>Korea</w:t>
            </w:r>
            <w:r>
              <w:rPr>
                <w:i/>
                <w:sz w:val="16"/>
                <w:szCs w:val="16"/>
              </w:rPr>
              <w:t xml:space="preserve"> – </w:t>
            </w:r>
            <w:r w:rsidRPr="00C72BA6">
              <w:rPr>
                <w:i/>
                <w:sz w:val="16"/>
                <w:szCs w:val="16"/>
              </w:rPr>
              <w:t>Radionuclides</w:t>
            </w:r>
          </w:p>
        </w:tc>
        <w:tc>
          <w:tcPr>
            <w:tcW w:w="6622" w:type="dxa"/>
          </w:tcPr>
          <w:p w14:paraId="50813A52" w14:textId="77777777" w:rsidR="00771172" w:rsidRPr="00C72BA6" w:rsidRDefault="00771172" w:rsidP="00EB6B84">
            <w:pPr>
              <w:keepLines/>
              <w:tabs>
                <w:tab w:val="left" w:pos="2268"/>
                <w:tab w:val="left" w:pos="4536"/>
              </w:tabs>
              <w:spacing w:before="60" w:after="60"/>
              <w:jc w:val="left"/>
              <w:rPr>
                <w:sz w:val="16"/>
                <w:szCs w:val="16"/>
              </w:rPr>
            </w:pPr>
            <w:bookmarkStart w:id="12" w:name="_Hlk7181636"/>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Korea – Import Bans, and Testing and Certification Requirements for Radionuclides</w:t>
            </w:r>
            <w:r w:rsidRPr="00C72BA6">
              <w:rPr>
                <w:color w:val="000000"/>
                <w:sz w:val="16"/>
                <w:szCs w:val="16"/>
              </w:rPr>
              <w:t xml:space="preserve">, </w:t>
            </w:r>
            <w:r w:rsidRPr="00C72BA6">
              <w:rPr>
                <w:sz w:val="16"/>
                <w:szCs w:val="16"/>
              </w:rPr>
              <w:t>WT/DS495/AB/R</w:t>
            </w:r>
            <w:r w:rsidRPr="00C72BA6">
              <w:rPr>
                <w:color w:val="000000"/>
                <w:sz w:val="16"/>
                <w:szCs w:val="16"/>
              </w:rPr>
              <w:t xml:space="preserve"> and Add.1, adopted 26</w:t>
            </w:r>
            <w:r>
              <w:rPr>
                <w:color w:val="000000"/>
                <w:sz w:val="16"/>
                <w:szCs w:val="16"/>
              </w:rPr>
              <w:t xml:space="preserve"> </w:t>
            </w:r>
            <w:r w:rsidRPr="00C72BA6">
              <w:rPr>
                <w:color w:val="000000"/>
                <w:sz w:val="16"/>
                <w:szCs w:val="16"/>
              </w:rPr>
              <w:t>April</w:t>
            </w:r>
            <w:r>
              <w:rPr>
                <w:color w:val="000000"/>
                <w:sz w:val="16"/>
                <w:szCs w:val="16"/>
              </w:rPr>
              <w:t xml:space="preserve"> </w:t>
            </w:r>
            <w:r w:rsidRPr="00C72BA6">
              <w:rPr>
                <w:color w:val="000000"/>
                <w:sz w:val="16"/>
                <w:szCs w:val="16"/>
              </w:rPr>
              <w:t>2019</w:t>
            </w:r>
            <w:bookmarkEnd w:id="12"/>
          </w:p>
        </w:tc>
      </w:tr>
      <w:tr w:rsidR="00771172" w:rsidRPr="00C72BA6" w14:paraId="446494AF" w14:textId="77777777" w:rsidTr="00EB6B84">
        <w:trPr>
          <w:cantSplit/>
        </w:trPr>
        <w:tc>
          <w:tcPr>
            <w:tcW w:w="2602" w:type="dxa"/>
          </w:tcPr>
          <w:p w14:paraId="15928731" w14:textId="328B90E5" w:rsidR="00771172" w:rsidRPr="00C72BA6" w:rsidRDefault="00771172" w:rsidP="00EB6B84">
            <w:pPr>
              <w:spacing w:before="60" w:after="60"/>
              <w:jc w:val="left"/>
              <w:rPr>
                <w:i/>
                <w:sz w:val="16"/>
                <w:szCs w:val="16"/>
              </w:rPr>
            </w:pPr>
            <w:r w:rsidRPr="00C72BA6">
              <w:rPr>
                <w:i/>
                <w:sz w:val="16"/>
                <w:szCs w:val="16"/>
              </w:rPr>
              <w:t>Korea</w:t>
            </w:r>
            <w:r>
              <w:rPr>
                <w:i/>
                <w:sz w:val="16"/>
                <w:szCs w:val="16"/>
              </w:rPr>
              <w:t xml:space="preserve"> – </w:t>
            </w:r>
            <w:r w:rsidRPr="00C72BA6">
              <w:rPr>
                <w:i/>
                <w:sz w:val="16"/>
                <w:szCs w:val="16"/>
              </w:rPr>
              <w:t>Various</w:t>
            </w:r>
            <w:r>
              <w:rPr>
                <w:i/>
                <w:sz w:val="16"/>
                <w:szCs w:val="16"/>
              </w:rPr>
              <w:t xml:space="preserve"> </w:t>
            </w:r>
            <w:r w:rsidRPr="00C72BA6">
              <w:rPr>
                <w:i/>
                <w:sz w:val="16"/>
                <w:szCs w:val="16"/>
              </w:rPr>
              <w:t>Measures</w:t>
            </w:r>
            <w:r>
              <w:rPr>
                <w:i/>
                <w:sz w:val="16"/>
                <w:szCs w:val="16"/>
              </w:rPr>
              <w:t xml:space="preserve"> </w:t>
            </w:r>
            <w:r w:rsidR="00C60A59">
              <w:rPr>
                <w:i/>
                <w:sz w:val="16"/>
                <w:szCs w:val="16"/>
              </w:rPr>
              <w:br/>
            </w:r>
            <w:r w:rsidRPr="00C72BA6">
              <w:rPr>
                <w:i/>
                <w:sz w:val="16"/>
                <w:szCs w:val="16"/>
              </w:rPr>
              <w:t>on</w:t>
            </w:r>
            <w:r>
              <w:rPr>
                <w:i/>
                <w:sz w:val="16"/>
                <w:szCs w:val="16"/>
              </w:rPr>
              <w:t xml:space="preserve"> </w:t>
            </w:r>
            <w:r w:rsidRPr="00C72BA6">
              <w:rPr>
                <w:i/>
                <w:sz w:val="16"/>
                <w:szCs w:val="16"/>
              </w:rPr>
              <w:t>Beef</w:t>
            </w:r>
          </w:p>
        </w:tc>
        <w:tc>
          <w:tcPr>
            <w:tcW w:w="6622" w:type="dxa"/>
          </w:tcPr>
          <w:p w14:paraId="3159281C"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Korea – Measures Affecting Imports of Fresh, Chilled and Frozen Beef</w:t>
            </w:r>
            <w:r w:rsidRPr="00C72BA6">
              <w:rPr>
                <w:color w:val="000000"/>
                <w:sz w:val="16"/>
                <w:szCs w:val="16"/>
              </w:rPr>
              <w:t xml:space="preserve">, </w:t>
            </w:r>
            <w:r w:rsidRPr="00C72BA6">
              <w:rPr>
                <w:sz w:val="16"/>
                <w:szCs w:val="16"/>
              </w:rPr>
              <w:t>WT/DS161/AB/R</w:t>
            </w:r>
            <w:r w:rsidRPr="00C72BA6">
              <w:rPr>
                <w:color w:val="000000"/>
                <w:sz w:val="16"/>
                <w:szCs w:val="16"/>
              </w:rPr>
              <w:t xml:space="preserve">, </w:t>
            </w:r>
            <w:r w:rsidRPr="00C72BA6">
              <w:rPr>
                <w:sz w:val="16"/>
                <w:szCs w:val="16"/>
              </w:rPr>
              <w:t>WT/DS169/AB/R</w:t>
            </w:r>
            <w:r w:rsidRPr="00C72BA6">
              <w:rPr>
                <w:color w:val="000000"/>
                <w:sz w:val="16"/>
                <w:szCs w:val="16"/>
              </w:rPr>
              <w:t>, adopted 10</w:t>
            </w:r>
            <w:r>
              <w:rPr>
                <w:color w:val="000000"/>
                <w:sz w:val="16"/>
                <w:szCs w:val="16"/>
              </w:rPr>
              <w:t xml:space="preserve"> </w:t>
            </w:r>
            <w:r w:rsidRPr="00C72BA6">
              <w:rPr>
                <w:color w:val="000000"/>
                <w:sz w:val="16"/>
                <w:szCs w:val="16"/>
              </w:rPr>
              <w:t>January</w:t>
            </w:r>
            <w:r>
              <w:rPr>
                <w:color w:val="000000"/>
                <w:sz w:val="16"/>
                <w:szCs w:val="16"/>
              </w:rPr>
              <w:t xml:space="preserve"> </w:t>
            </w:r>
            <w:r w:rsidRPr="00C72BA6">
              <w:rPr>
                <w:color w:val="000000"/>
                <w:sz w:val="16"/>
                <w:szCs w:val="16"/>
              </w:rPr>
              <w:t>2001, DSR 2001:I, p.</w:t>
            </w:r>
            <w:r>
              <w:rPr>
                <w:color w:val="000000"/>
                <w:sz w:val="16"/>
                <w:szCs w:val="16"/>
              </w:rPr>
              <w:t xml:space="preserve"> </w:t>
            </w:r>
            <w:r w:rsidRPr="00C72BA6">
              <w:rPr>
                <w:color w:val="000000"/>
                <w:sz w:val="16"/>
                <w:szCs w:val="16"/>
              </w:rPr>
              <w:t>5</w:t>
            </w:r>
          </w:p>
        </w:tc>
      </w:tr>
      <w:tr w:rsidR="00771172" w:rsidRPr="00C72BA6" w14:paraId="7FEE497B"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61A8E799" w14:textId="77777777" w:rsidR="00771172" w:rsidRPr="00C72BA6" w:rsidRDefault="00771172" w:rsidP="00EB6B84">
            <w:pPr>
              <w:spacing w:before="60" w:after="60"/>
              <w:jc w:val="left"/>
              <w:rPr>
                <w:i/>
                <w:sz w:val="16"/>
                <w:szCs w:val="16"/>
              </w:rPr>
            </w:pPr>
            <w:r w:rsidRPr="00C72BA6">
              <w:rPr>
                <w:i/>
                <w:sz w:val="16"/>
                <w:szCs w:val="16"/>
              </w:rPr>
              <w:t>Russia</w:t>
            </w:r>
            <w:r>
              <w:rPr>
                <w:i/>
                <w:sz w:val="16"/>
                <w:szCs w:val="16"/>
              </w:rPr>
              <w:t xml:space="preserve"> – </w:t>
            </w:r>
            <w:r w:rsidRPr="00C72BA6">
              <w:rPr>
                <w:i/>
                <w:sz w:val="16"/>
                <w:szCs w:val="16"/>
              </w:rPr>
              <w:t>Commercial</w:t>
            </w:r>
            <w:r>
              <w:rPr>
                <w:i/>
                <w:sz w:val="16"/>
                <w:szCs w:val="16"/>
              </w:rPr>
              <w:t xml:space="preserve"> </w:t>
            </w:r>
            <w:r w:rsidRPr="00C72BA6">
              <w:rPr>
                <w:i/>
                <w:sz w:val="16"/>
                <w:szCs w:val="16"/>
              </w:rPr>
              <w:t>Vehicles</w:t>
            </w:r>
          </w:p>
        </w:tc>
        <w:tc>
          <w:tcPr>
            <w:tcW w:w="6622" w:type="dxa"/>
          </w:tcPr>
          <w:p w14:paraId="27C9B33F" w14:textId="77777777" w:rsidR="00771172" w:rsidRPr="00C72BA6" w:rsidRDefault="00771172" w:rsidP="00EB6B84">
            <w:pPr>
              <w:keepLines/>
              <w:tabs>
                <w:tab w:val="left" w:pos="2268"/>
                <w:tab w:val="left" w:pos="4536"/>
              </w:tabs>
              <w:spacing w:before="60" w:after="60"/>
              <w:jc w:val="left"/>
              <w:rPr>
                <w:color w:val="000000"/>
                <w:sz w:val="16"/>
                <w:szCs w:val="16"/>
              </w:rPr>
            </w:pPr>
            <w:r w:rsidRPr="00C72BA6">
              <w:rPr>
                <w:color w:val="000000"/>
                <w:sz w:val="16"/>
                <w:szCs w:val="16"/>
              </w:rPr>
              <w:t>Appellate</w:t>
            </w:r>
            <w:r>
              <w:rPr>
                <w:color w:val="000000"/>
                <w:sz w:val="16"/>
                <w:szCs w:val="16"/>
              </w:rPr>
              <w:t xml:space="preserve"> </w:t>
            </w:r>
            <w:r w:rsidRPr="00C72BA6">
              <w:rPr>
                <w:color w:val="000000"/>
                <w:sz w:val="16"/>
                <w:szCs w:val="16"/>
              </w:rPr>
              <w:t>Body Report,</w:t>
            </w:r>
            <w:r w:rsidRPr="00C72BA6">
              <w:rPr>
                <w:i/>
                <w:color w:val="000000"/>
                <w:sz w:val="16"/>
                <w:szCs w:val="16"/>
              </w:rPr>
              <w:t xml:space="preserve"> Russia – Anti-Dumping Duties on Light Commercial Vehicles from Germany and Italy</w:t>
            </w:r>
            <w:r w:rsidRPr="00C72BA6">
              <w:rPr>
                <w:color w:val="000000"/>
                <w:sz w:val="16"/>
                <w:szCs w:val="16"/>
              </w:rPr>
              <w:t xml:space="preserve">, </w:t>
            </w:r>
            <w:r w:rsidRPr="00C72BA6">
              <w:rPr>
                <w:sz w:val="16"/>
                <w:szCs w:val="16"/>
              </w:rPr>
              <w:t>WT/DS479/AB/R</w:t>
            </w:r>
            <w:r w:rsidRPr="00C72BA6">
              <w:rPr>
                <w:color w:val="000000"/>
                <w:sz w:val="16"/>
                <w:szCs w:val="16"/>
              </w:rPr>
              <w:t xml:space="preserve"> and Add.1, adopted 9</w:t>
            </w:r>
            <w:r>
              <w:rPr>
                <w:color w:val="000000"/>
                <w:sz w:val="16"/>
                <w:szCs w:val="16"/>
              </w:rPr>
              <w:t xml:space="preserve"> </w:t>
            </w:r>
            <w:r w:rsidRPr="00C72BA6">
              <w:rPr>
                <w:color w:val="000000"/>
                <w:sz w:val="16"/>
                <w:szCs w:val="16"/>
              </w:rPr>
              <w:t>April</w:t>
            </w:r>
            <w:r>
              <w:rPr>
                <w:color w:val="000000"/>
                <w:sz w:val="16"/>
                <w:szCs w:val="16"/>
              </w:rPr>
              <w:t xml:space="preserve"> </w:t>
            </w:r>
            <w:r w:rsidRPr="00C72BA6">
              <w:rPr>
                <w:color w:val="000000"/>
                <w:sz w:val="16"/>
                <w:szCs w:val="16"/>
              </w:rPr>
              <w:t>2018</w:t>
            </w:r>
          </w:p>
        </w:tc>
      </w:tr>
      <w:tr w:rsidR="00771172" w:rsidRPr="00C72BA6" w14:paraId="2F31AE01" w14:textId="77777777" w:rsidTr="00EB6B84">
        <w:trPr>
          <w:cantSplit/>
        </w:trPr>
        <w:tc>
          <w:tcPr>
            <w:tcW w:w="2602" w:type="dxa"/>
          </w:tcPr>
          <w:p w14:paraId="7385EC77" w14:textId="77777777" w:rsidR="00771172" w:rsidRPr="00C72BA6" w:rsidRDefault="00771172" w:rsidP="00EB6B84">
            <w:pPr>
              <w:spacing w:before="60" w:after="60"/>
              <w:jc w:val="left"/>
              <w:rPr>
                <w:i/>
                <w:sz w:val="16"/>
                <w:szCs w:val="16"/>
              </w:rPr>
            </w:pPr>
            <w:r w:rsidRPr="00C72BA6">
              <w:rPr>
                <w:i/>
                <w:sz w:val="16"/>
                <w:szCs w:val="16"/>
              </w:rPr>
              <w:t>Russia</w:t>
            </w:r>
            <w:r>
              <w:rPr>
                <w:i/>
                <w:sz w:val="16"/>
                <w:szCs w:val="16"/>
              </w:rPr>
              <w:t xml:space="preserve"> – </w:t>
            </w:r>
            <w:r w:rsidRPr="00C72BA6">
              <w:rPr>
                <w:i/>
                <w:sz w:val="16"/>
                <w:szCs w:val="16"/>
              </w:rPr>
              <w:t>Pigs</w:t>
            </w:r>
            <w:r>
              <w:rPr>
                <w:i/>
                <w:sz w:val="16"/>
                <w:szCs w:val="16"/>
              </w:rPr>
              <w:t xml:space="preserve"> </w:t>
            </w:r>
            <w:r w:rsidRPr="00C72BA6">
              <w:rPr>
                <w:i/>
                <w:sz w:val="16"/>
                <w:szCs w:val="16"/>
              </w:rPr>
              <w:t>(EU)</w:t>
            </w:r>
          </w:p>
        </w:tc>
        <w:tc>
          <w:tcPr>
            <w:tcW w:w="6622" w:type="dxa"/>
          </w:tcPr>
          <w:p w14:paraId="73CD89F0" w14:textId="77777777" w:rsidR="00771172" w:rsidRPr="00C72BA6" w:rsidRDefault="00771172" w:rsidP="00EB6B84">
            <w:pPr>
              <w:keepLines/>
              <w:tabs>
                <w:tab w:val="left" w:pos="2268"/>
                <w:tab w:val="left" w:pos="4536"/>
              </w:tabs>
              <w:spacing w:before="60" w:after="60"/>
              <w:jc w:val="left"/>
              <w:rPr>
                <w:color w:val="000000"/>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iCs/>
                <w:color w:val="000000"/>
                <w:sz w:val="16"/>
                <w:szCs w:val="16"/>
              </w:rPr>
              <w:t>Russian Federation – Measures on the Importation of Live Pigs, Pork and Other Pig Products from the European</w:t>
            </w:r>
            <w:r>
              <w:rPr>
                <w:i/>
                <w:iCs/>
                <w:color w:val="000000"/>
                <w:sz w:val="16"/>
                <w:szCs w:val="16"/>
              </w:rPr>
              <w:t xml:space="preserve"> </w:t>
            </w:r>
            <w:r w:rsidRPr="00C72BA6">
              <w:rPr>
                <w:i/>
                <w:iCs/>
                <w:color w:val="000000"/>
                <w:sz w:val="16"/>
                <w:szCs w:val="16"/>
              </w:rPr>
              <w:t>Union</w:t>
            </w:r>
            <w:r w:rsidRPr="00C72BA6">
              <w:rPr>
                <w:iCs/>
                <w:color w:val="000000"/>
                <w:sz w:val="16"/>
                <w:szCs w:val="16"/>
              </w:rPr>
              <w:t xml:space="preserve">, </w:t>
            </w:r>
            <w:r w:rsidRPr="00C72BA6">
              <w:rPr>
                <w:iCs/>
                <w:sz w:val="16"/>
                <w:szCs w:val="16"/>
              </w:rPr>
              <w:t>WT/DS475/AB/R</w:t>
            </w:r>
            <w:r w:rsidRPr="00C72BA6">
              <w:rPr>
                <w:iCs/>
                <w:color w:val="000000"/>
                <w:sz w:val="16"/>
                <w:szCs w:val="16"/>
              </w:rPr>
              <w:t xml:space="preserve"> and Add.1, adopted 21</w:t>
            </w:r>
            <w:r>
              <w:rPr>
                <w:iCs/>
                <w:color w:val="000000"/>
                <w:sz w:val="16"/>
                <w:szCs w:val="16"/>
              </w:rPr>
              <w:t xml:space="preserve"> </w:t>
            </w:r>
            <w:r w:rsidRPr="00C72BA6">
              <w:rPr>
                <w:iCs/>
                <w:color w:val="000000"/>
                <w:sz w:val="16"/>
                <w:szCs w:val="16"/>
              </w:rPr>
              <w:t>March 2017, DSR 2017:I, p.</w:t>
            </w:r>
            <w:r>
              <w:rPr>
                <w:iCs/>
                <w:color w:val="000000"/>
                <w:sz w:val="16"/>
                <w:szCs w:val="16"/>
              </w:rPr>
              <w:t xml:space="preserve"> </w:t>
            </w:r>
            <w:r w:rsidRPr="00C72BA6">
              <w:rPr>
                <w:iCs/>
                <w:color w:val="000000"/>
                <w:sz w:val="16"/>
                <w:szCs w:val="16"/>
              </w:rPr>
              <w:t>207</w:t>
            </w:r>
          </w:p>
        </w:tc>
      </w:tr>
      <w:tr w:rsidR="00771172" w:rsidRPr="00C72BA6" w14:paraId="08CA4C84"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1FED32E8" w14:textId="77777777" w:rsidR="00771172" w:rsidRPr="00C72BA6" w:rsidRDefault="00771172" w:rsidP="00EB6B84">
            <w:pPr>
              <w:spacing w:before="60" w:after="60"/>
              <w:jc w:val="left"/>
              <w:rPr>
                <w:i/>
                <w:sz w:val="16"/>
                <w:szCs w:val="16"/>
              </w:rPr>
            </w:pPr>
            <w:r w:rsidRPr="00C72BA6">
              <w:rPr>
                <w:i/>
                <w:sz w:val="16"/>
                <w:szCs w:val="16"/>
              </w:rPr>
              <w:t>Russia – Railway Equipment</w:t>
            </w:r>
          </w:p>
        </w:tc>
        <w:tc>
          <w:tcPr>
            <w:tcW w:w="6622" w:type="dxa"/>
          </w:tcPr>
          <w:p w14:paraId="69C6C040"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Panel</w:t>
            </w:r>
            <w:r>
              <w:rPr>
                <w:color w:val="000000"/>
                <w:sz w:val="16"/>
                <w:szCs w:val="16"/>
              </w:rPr>
              <w:t xml:space="preserve"> </w:t>
            </w:r>
            <w:r w:rsidRPr="00C72BA6">
              <w:rPr>
                <w:color w:val="000000"/>
                <w:sz w:val="16"/>
                <w:szCs w:val="16"/>
              </w:rPr>
              <w:t xml:space="preserve">Report, </w:t>
            </w:r>
            <w:r w:rsidRPr="00C72BA6">
              <w:rPr>
                <w:i/>
                <w:color w:val="000000"/>
                <w:sz w:val="16"/>
                <w:szCs w:val="16"/>
              </w:rPr>
              <w:t>Russia – Measures Affecting the Importation of Railway Equipment and Parts Thereof</w:t>
            </w:r>
            <w:r w:rsidRPr="00C72BA6">
              <w:rPr>
                <w:color w:val="000000"/>
                <w:sz w:val="16"/>
                <w:szCs w:val="16"/>
              </w:rPr>
              <w:t xml:space="preserve">, </w:t>
            </w:r>
            <w:r w:rsidRPr="00C72BA6">
              <w:rPr>
                <w:sz w:val="16"/>
                <w:szCs w:val="16"/>
              </w:rPr>
              <w:t>WT/DS499/R</w:t>
            </w:r>
            <w:r w:rsidRPr="00C72BA6">
              <w:rPr>
                <w:color w:val="000000"/>
                <w:sz w:val="16"/>
                <w:szCs w:val="16"/>
              </w:rPr>
              <w:t xml:space="preserve"> a</w:t>
            </w:r>
            <w:r w:rsidRPr="00C72BA6">
              <w:rPr>
                <w:iCs/>
                <w:color w:val="000000"/>
                <w:sz w:val="16"/>
                <w:szCs w:val="16"/>
              </w:rPr>
              <w:t>nd Add.1, circulated to WTO Members 30</w:t>
            </w:r>
            <w:r>
              <w:rPr>
                <w:iCs/>
                <w:color w:val="000000"/>
                <w:sz w:val="16"/>
                <w:szCs w:val="16"/>
              </w:rPr>
              <w:t xml:space="preserve"> </w:t>
            </w:r>
            <w:r w:rsidRPr="00C72BA6">
              <w:rPr>
                <w:iCs/>
                <w:color w:val="000000"/>
                <w:sz w:val="16"/>
                <w:szCs w:val="16"/>
              </w:rPr>
              <w:t>July</w:t>
            </w:r>
            <w:r>
              <w:rPr>
                <w:iCs/>
                <w:color w:val="000000"/>
                <w:sz w:val="16"/>
                <w:szCs w:val="16"/>
              </w:rPr>
              <w:t xml:space="preserve"> </w:t>
            </w:r>
            <w:r w:rsidRPr="00C72BA6">
              <w:rPr>
                <w:iCs/>
                <w:color w:val="000000"/>
                <w:sz w:val="16"/>
                <w:szCs w:val="16"/>
              </w:rPr>
              <w:t>2018</w:t>
            </w:r>
          </w:p>
        </w:tc>
      </w:tr>
      <w:tr w:rsidR="00771172" w:rsidRPr="00C72BA6" w14:paraId="3989D343" w14:textId="77777777" w:rsidTr="00EB6B84">
        <w:trPr>
          <w:cantSplit/>
        </w:trPr>
        <w:tc>
          <w:tcPr>
            <w:tcW w:w="2602" w:type="dxa"/>
          </w:tcPr>
          <w:p w14:paraId="53E621B1" w14:textId="77777777" w:rsidR="00771172" w:rsidRPr="00C72BA6" w:rsidRDefault="00771172" w:rsidP="00EB6B84">
            <w:pPr>
              <w:spacing w:before="60" w:after="60"/>
              <w:jc w:val="left"/>
              <w:rPr>
                <w:i/>
                <w:sz w:val="16"/>
                <w:szCs w:val="16"/>
              </w:rPr>
            </w:pPr>
            <w:r w:rsidRPr="00C72BA6">
              <w:rPr>
                <w:i/>
                <w:sz w:val="16"/>
                <w:szCs w:val="16"/>
              </w:rPr>
              <w:t>Russia</w:t>
            </w:r>
            <w:r>
              <w:rPr>
                <w:i/>
                <w:sz w:val="16"/>
                <w:szCs w:val="16"/>
              </w:rPr>
              <w:t xml:space="preserve"> – </w:t>
            </w:r>
            <w:r w:rsidRPr="00C72BA6">
              <w:rPr>
                <w:i/>
                <w:sz w:val="16"/>
                <w:szCs w:val="16"/>
              </w:rPr>
              <w:t>Tariff</w:t>
            </w:r>
            <w:r>
              <w:rPr>
                <w:i/>
                <w:sz w:val="16"/>
                <w:szCs w:val="16"/>
              </w:rPr>
              <w:t xml:space="preserve"> </w:t>
            </w:r>
            <w:r w:rsidRPr="00C72BA6">
              <w:rPr>
                <w:i/>
                <w:sz w:val="16"/>
                <w:szCs w:val="16"/>
              </w:rPr>
              <w:t>Treatment</w:t>
            </w:r>
          </w:p>
        </w:tc>
        <w:tc>
          <w:tcPr>
            <w:tcW w:w="6622" w:type="dxa"/>
          </w:tcPr>
          <w:p w14:paraId="3EA776EA" w14:textId="4CC372DF"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Panel</w:t>
            </w:r>
            <w:r>
              <w:rPr>
                <w:color w:val="000000"/>
                <w:sz w:val="16"/>
                <w:szCs w:val="16"/>
              </w:rPr>
              <w:t xml:space="preserve"> </w:t>
            </w:r>
            <w:r w:rsidRPr="00C72BA6">
              <w:rPr>
                <w:color w:val="000000"/>
                <w:sz w:val="16"/>
                <w:szCs w:val="16"/>
              </w:rPr>
              <w:t xml:space="preserve">Report, </w:t>
            </w:r>
            <w:r w:rsidRPr="00C72BA6">
              <w:rPr>
                <w:i/>
                <w:color w:val="000000"/>
                <w:sz w:val="16"/>
                <w:szCs w:val="16"/>
              </w:rPr>
              <w:t>Russia – Tariff Treatment of Certain Agricultural and Manufacturing Products</w:t>
            </w:r>
            <w:r w:rsidRPr="00C72BA6">
              <w:rPr>
                <w:color w:val="000000"/>
                <w:sz w:val="16"/>
                <w:szCs w:val="16"/>
              </w:rPr>
              <w:t xml:space="preserve">, </w:t>
            </w:r>
            <w:r w:rsidRPr="00C72BA6">
              <w:rPr>
                <w:sz w:val="16"/>
                <w:szCs w:val="16"/>
              </w:rPr>
              <w:t>WT/DS485/R</w:t>
            </w:r>
            <w:r w:rsidRPr="00C72BA6">
              <w:rPr>
                <w:color w:val="000000"/>
                <w:sz w:val="16"/>
                <w:szCs w:val="16"/>
              </w:rPr>
              <w:t>, Add.1, Corr.1, and Corr.2, adopted 26</w:t>
            </w:r>
            <w:r>
              <w:rPr>
                <w:color w:val="000000"/>
                <w:sz w:val="16"/>
                <w:szCs w:val="16"/>
              </w:rPr>
              <w:t> </w:t>
            </w:r>
            <w:r w:rsidRPr="00C72BA6">
              <w:rPr>
                <w:color w:val="000000"/>
                <w:sz w:val="16"/>
                <w:szCs w:val="16"/>
              </w:rPr>
              <w:t>September</w:t>
            </w:r>
            <w:r>
              <w:rPr>
                <w:color w:val="000000"/>
                <w:sz w:val="16"/>
                <w:szCs w:val="16"/>
              </w:rPr>
              <w:t xml:space="preserve"> </w:t>
            </w:r>
            <w:r w:rsidRPr="00C72BA6">
              <w:rPr>
                <w:color w:val="000000"/>
                <w:sz w:val="16"/>
                <w:szCs w:val="16"/>
              </w:rPr>
              <w:t>2016, DSR 2016:IV, p.</w:t>
            </w:r>
            <w:r>
              <w:rPr>
                <w:color w:val="000000"/>
                <w:sz w:val="16"/>
                <w:szCs w:val="16"/>
              </w:rPr>
              <w:t xml:space="preserve"> </w:t>
            </w:r>
            <w:r w:rsidRPr="00C72BA6">
              <w:rPr>
                <w:color w:val="000000"/>
                <w:sz w:val="16"/>
                <w:szCs w:val="16"/>
              </w:rPr>
              <w:t>1547</w:t>
            </w:r>
          </w:p>
        </w:tc>
      </w:tr>
      <w:tr w:rsidR="00771172" w:rsidRPr="00C72BA6" w14:paraId="1C123C07"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777A8C86" w14:textId="77777777" w:rsidR="00771172" w:rsidRPr="00C72BA6" w:rsidRDefault="00771172" w:rsidP="00EB6B84">
            <w:pPr>
              <w:spacing w:before="60" w:after="60"/>
              <w:jc w:val="left"/>
              <w:rPr>
                <w:i/>
                <w:sz w:val="16"/>
                <w:szCs w:val="16"/>
              </w:rPr>
            </w:pPr>
            <w:r w:rsidRPr="00C72BA6">
              <w:rPr>
                <w:i/>
                <w:sz w:val="16"/>
                <w:szCs w:val="16"/>
              </w:rPr>
              <w:t>Thailand</w:t>
            </w:r>
            <w:r>
              <w:rPr>
                <w:i/>
                <w:sz w:val="16"/>
                <w:szCs w:val="16"/>
              </w:rPr>
              <w:t xml:space="preserve"> – </w:t>
            </w:r>
            <w:r w:rsidRPr="00C72BA6">
              <w:rPr>
                <w:i/>
                <w:sz w:val="16"/>
                <w:szCs w:val="16"/>
              </w:rPr>
              <w:t>H</w:t>
            </w:r>
            <w:r w:rsidRPr="00C72BA6">
              <w:rPr>
                <w:i/>
                <w:sz w:val="16"/>
                <w:szCs w:val="16"/>
              </w:rPr>
              <w:noBreakHyphen/>
              <w:t>Beams</w:t>
            </w:r>
          </w:p>
        </w:tc>
        <w:tc>
          <w:tcPr>
            <w:tcW w:w="6622" w:type="dxa"/>
          </w:tcPr>
          <w:p w14:paraId="336DF30E"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Thailand – Anti-Dumping Duties on Angles, Shapes and Sections of Iron or Non-Alloy Steel and H-Beams from Poland</w:t>
            </w:r>
            <w:r w:rsidRPr="00C72BA6">
              <w:rPr>
                <w:color w:val="000000"/>
                <w:sz w:val="16"/>
                <w:szCs w:val="16"/>
              </w:rPr>
              <w:t xml:space="preserve">, </w:t>
            </w:r>
            <w:r w:rsidRPr="00C72BA6">
              <w:rPr>
                <w:sz w:val="16"/>
                <w:szCs w:val="16"/>
              </w:rPr>
              <w:t>WT/DS122/AB/R</w:t>
            </w:r>
            <w:r w:rsidRPr="00C72BA6">
              <w:rPr>
                <w:color w:val="000000"/>
                <w:sz w:val="16"/>
                <w:szCs w:val="16"/>
              </w:rPr>
              <w:t>, adopted 5</w:t>
            </w:r>
            <w:r>
              <w:rPr>
                <w:color w:val="000000"/>
                <w:sz w:val="16"/>
                <w:szCs w:val="16"/>
              </w:rPr>
              <w:t xml:space="preserve"> </w:t>
            </w:r>
            <w:r w:rsidRPr="00C72BA6">
              <w:rPr>
                <w:color w:val="000000"/>
                <w:sz w:val="16"/>
                <w:szCs w:val="16"/>
              </w:rPr>
              <w:t>April</w:t>
            </w:r>
            <w:r>
              <w:rPr>
                <w:color w:val="000000"/>
                <w:sz w:val="16"/>
                <w:szCs w:val="16"/>
              </w:rPr>
              <w:t xml:space="preserve"> </w:t>
            </w:r>
            <w:r w:rsidRPr="00C72BA6">
              <w:rPr>
                <w:color w:val="000000"/>
                <w:sz w:val="16"/>
                <w:szCs w:val="16"/>
              </w:rPr>
              <w:t>2001, DSR 2001:VII, p.</w:t>
            </w:r>
            <w:r>
              <w:rPr>
                <w:color w:val="000000"/>
                <w:sz w:val="16"/>
                <w:szCs w:val="16"/>
              </w:rPr>
              <w:t xml:space="preserve"> </w:t>
            </w:r>
            <w:r w:rsidRPr="00C72BA6">
              <w:rPr>
                <w:color w:val="000000"/>
                <w:sz w:val="16"/>
                <w:szCs w:val="16"/>
              </w:rPr>
              <w:t>2701</w:t>
            </w:r>
          </w:p>
        </w:tc>
      </w:tr>
      <w:tr w:rsidR="00771172" w:rsidRPr="00C72BA6" w14:paraId="56794AE8" w14:textId="77777777" w:rsidTr="00EB6B84">
        <w:trPr>
          <w:cantSplit/>
        </w:trPr>
        <w:tc>
          <w:tcPr>
            <w:tcW w:w="2602" w:type="dxa"/>
          </w:tcPr>
          <w:p w14:paraId="02958727" w14:textId="77777777" w:rsidR="00771172" w:rsidRPr="00C72BA6" w:rsidRDefault="00771172" w:rsidP="00EB6B84">
            <w:pPr>
              <w:spacing w:before="60" w:after="60"/>
              <w:jc w:val="left"/>
              <w:rPr>
                <w:i/>
                <w:sz w:val="16"/>
                <w:szCs w:val="16"/>
              </w:rPr>
            </w:pPr>
            <w:r w:rsidRPr="00C72BA6">
              <w:rPr>
                <w:i/>
                <w:sz w:val="16"/>
                <w:szCs w:val="16"/>
              </w:rPr>
              <w:t>US</w:t>
            </w:r>
            <w:r>
              <w:rPr>
                <w:i/>
                <w:sz w:val="16"/>
                <w:szCs w:val="16"/>
              </w:rPr>
              <w:t xml:space="preserve"> – </w:t>
            </w:r>
            <w:r w:rsidRPr="00C72BA6">
              <w:rPr>
                <w:i/>
                <w:sz w:val="16"/>
                <w:szCs w:val="16"/>
              </w:rPr>
              <w:t>Anti</w:t>
            </w:r>
            <w:r w:rsidRPr="00C72BA6">
              <w:rPr>
                <w:i/>
                <w:sz w:val="16"/>
                <w:szCs w:val="16"/>
              </w:rPr>
              <w:noBreakHyphen/>
              <w:t>Dumping</w:t>
            </w:r>
            <w:r>
              <w:rPr>
                <w:i/>
                <w:sz w:val="16"/>
                <w:szCs w:val="16"/>
              </w:rPr>
              <w:t xml:space="preserve"> </w:t>
            </w:r>
            <w:r w:rsidRPr="00C72BA6">
              <w:rPr>
                <w:i/>
                <w:sz w:val="16"/>
                <w:szCs w:val="16"/>
              </w:rPr>
              <w:t>and</w:t>
            </w:r>
            <w:r>
              <w:rPr>
                <w:i/>
                <w:sz w:val="16"/>
                <w:szCs w:val="16"/>
              </w:rPr>
              <w:t xml:space="preserve"> </w:t>
            </w:r>
            <w:r w:rsidRPr="00C72BA6">
              <w:rPr>
                <w:i/>
                <w:sz w:val="16"/>
                <w:szCs w:val="16"/>
              </w:rPr>
              <w:t>Countervailing Duties</w:t>
            </w:r>
            <w:r>
              <w:rPr>
                <w:i/>
                <w:sz w:val="16"/>
                <w:szCs w:val="16"/>
              </w:rPr>
              <w:t xml:space="preserve"> </w:t>
            </w:r>
            <w:r w:rsidRPr="00C72BA6">
              <w:rPr>
                <w:i/>
                <w:sz w:val="16"/>
                <w:szCs w:val="16"/>
              </w:rPr>
              <w:t>(China)</w:t>
            </w:r>
          </w:p>
        </w:tc>
        <w:tc>
          <w:tcPr>
            <w:tcW w:w="6622" w:type="dxa"/>
          </w:tcPr>
          <w:p w14:paraId="3D6E95E5" w14:textId="011AA7BD"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iCs/>
                <w:color w:val="000000"/>
                <w:sz w:val="16"/>
                <w:szCs w:val="16"/>
              </w:rPr>
              <w:t>United</w:t>
            </w:r>
            <w:r>
              <w:rPr>
                <w:i/>
                <w:iCs/>
                <w:color w:val="000000"/>
                <w:sz w:val="16"/>
                <w:szCs w:val="16"/>
              </w:rPr>
              <w:t xml:space="preserve"> </w:t>
            </w:r>
            <w:r w:rsidRPr="00C72BA6">
              <w:rPr>
                <w:i/>
                <w:iCs/>
                <w:color w:val="000000"/>
                <w:sz w:val="16"/>
                <w:szCs w:val="16"/>
              </w:rPr>
              <w:t>States – Definitive Anti-Dumping and Countervailing Duties on Certain Products from China</w:t>
            </w:r>
            <w:r w:rsidRPr="00C72BA6">
              <w:rPr>
                <w:color w:val="000000"/>
                <w:sz w:val="16"/>
                <w:szCs w:val="16"/>
              </w:rPr>
              <w:t xml:space="preserve">, </w:t>
            </w:r>
            <w:r w:rsidRPr="00C72BA6">
              <w:rPr>
                <w:sz w:val="16"/>
                <w:szCs w:val="16"/>
              </w:rPr>
              <w:t>WT/DS379/AB/R</w:t>
            </w:r>
            <w:r w:rsidRPr="00C72BA6">
              <w:rPr>
                <w:color w:val="000000"/>
                <w:sz w:val="16"/>
                <w:szCs w:val="16"/>
              </w:rPr>
              <w:t>, adopted 25</w:t>
            </w:r>
            <w:r>
              <w:rPr>
                <w:color w:val="000000"/>
                <w:sz w:val="16"/>
                <w:szCs w:val="16"/>
              </w:rPr>
              <w:t xml:space="preserve"> </w:t>
            </w:r>
            <w:r w:rsidRPr="00C72BA6">
              <w:rPr>
                <w:color w:val="000000"/>
                <w:sz w:val="16"/>
                <w:szCs w:val="16"/>
              </w:rPr>
              <w:t>March</w:t>
            </w:r>
            <w:r>
              <w:rPr>
                <w:color w:val="000000"/>
                <w:sz w:val="16"/>
                <w:szCs w:val="16"/>
              </w:rPr>
              <w:t xml:space="preserve"> </w:t>
            </w:r>
            <w:r w:rsidRPr="00C72BA6">
              <w:rPr>
                <w:color w:val="000000"/>
                <w:sz w:val="16"/>
                <w:szCs w:val="16"/>
              </w:rPr>
              <w:t>2011, DSR</w:t>
            </w:r>
            <w:r>
              <w:rPr>
                <w:color w:val="000000"/>
                <w:sz w:val="16"/>
                <w:szCs w:val="16"/>
              </w:rPr>
              <w:t xml:space="preserve"> </w:t>
            </w:r>
            <w:r w:rsidRPr="00C72BA6">
              <w:rPr>
                <w:color w:val="000000"/>
                <w:sz w:val="16"/>
                <w:szCs w:val="16"/>
              </w:rPr>
              <w:t>2011:V, p.</w:t>
            </w:r>
            <w:r>
              <w:rPr>
                <w:color w:val="000000"/>
                <w:sz w:val="16"/>
                <w:szCs w:val="16"/>
              </w:rPr>
              <w:t xml:space="preserve"> </w:t>
            </w:r>
            <w:r w:rsidRPr="00C72BA6">
              <w:rPr>
                <w:color w:val="000000"/>
                <w:sz w:val="16"/>
                <w:szCs w:val="16"/>
              </w:rPr>
              <w:t>2869</w:t>
            </w:r>
          </w:p>
        </w:tc>
      </w:tr>
      <w:tr w:rsidR="00771172" w:rsidRPr="00C72BA6" w14:paraId="61824126"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063B9986" w14:textId="77777777" w:rsidR="00771172" w:rsidRPr="00C72BA6" w:rsidRDefault="00771172" w:rsidP="00EB6B84">
            <w:pPr>
              <w:spacing w:before="60" w:after="60"/>
              <w:jc w:val="left"/>
              <w:rPr>
                <w:i/>
                <w:sz w:val="16"/>
                <w:szCs w:val="16"/>
              </w:rPr>
            </w:pPr>
            <w:r w:rsidRPr="00C72BA6">
              <w:rPr>
                <w:i/>
                <w:sz w:val="16"/>
                <w:szCs w:val="16"/>
              </w:rPr>
              <w:lastRenderedPageBreak/>
              <w:t>US</w:t>
            </w:r>
            <w:r>
              <w:rPr>
                <w:i/>
                <w:sz w:val="16"/>
                <w:szCs w:val="16"/>
              </w:rPr>
              <w:t xml:space="preserve"> – </w:t>
            </w:r>
            <w:r w:rsidRPr="00C72BA6">
              <w:rPr>
                <w:i/>
                <w:sz w:val="16"/>
                <w:szCs w:val="16"/>
              </w:rPr>
              <w:t>Anti</w:t>
            </w:r>
            <w:r w:rsidRPr="00C72BA6">
              <w:rPr>
                <w:i/>
                <w:sz w:val="16"/>
                <w:szCs w:val="16"/>
              </w:rPr>
              <w:noBreakHyphen/>
              <w:t>Dumping</w:t>
            </w:r>
            <w:r>
              <w:rPr>
                <w:i/>
                <w:sz w:val="16"/>
                <w:szCs w:val="16"/>
              </w:rPr>
              <w:t xml:space="preserve"> </w:t>
            </w:r>
            <w:r w:rsidRPr="00C72BA6">
              <w:rPr>
                <w:i/>
                <w:sz w:val="16"/>
                <w:szCs w:val="16"/>
              </w:rPr>
              <w:t>Methodologies</w:t>
            </w:r>
            <w:r>
              <w:rPr>
                <w:i/>
                <w:sz w:val="16"/>
                <w:szCs w:val="16"/>
              </w:rPr>
              <w:t xml:space="preserve"> </w:t>
            </w:r>
            <w:r w:rsidRPr="00C72BA6">
              <w:rPr>
                <w:i/>
                <w:sz w:val="16"/>
                <w:szCs w:val="16"/>
              </w:rPr>
              <w:t>(China)</w:t>
            </w:r>
          </w:p>
        </w:tc>
        <w:tc>
          <w:tcPr>
            <w:tcW w:w="6622" w:type="dxa"/>
          </w:tcPr>
          <w:p w14:paraId="377D6B18"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United</w:t>
            </w:r>
            <w:r>
              <w:rPr>
                <w:i/>
                <w:color w:val="000000"/>
                <w:sz w:val="16"/>
                <w:szCs w:val="16"/>
              </w:rPr>
              <w:t xml:space="preserve"> </w:t>
            </w:r>
            <w:r w:rsidRPr="00C72BA6">
              <w:rPr>
                <w:i/>
                <w:color w:val="000000"/>
                <w:sz w:val="16"/>
                <w:szCs w:val="16"/>
              </w:rPr>
              <w:t>States – Certain Methodologies and Their Application to Anti-Dumping Proceedings Involving China</w:t>
            </w:r>
            <w:r w:rsidRPr="00C72BA6">
              <w:rPr>
                <w:color w:val="000000"/>
                <w:sz w:val="16"/>
                <w:szCs w:val="16"/>
              </w:rPr>
              <w:t xml:space="preserve">, </w:t>
            </w:r>
            <w:r w:rsidRPr="00C72BA6">
              <w:rPr>
                <w:sz w:val="16"/>
                <w:szCs w:val="16"/>
              </w:rPr>
              <w:t>WT/DS471/AB/R</w:t>
            </w:r>
            <w:r w:rsidRPr="00C72BA6">
              <w:rPr>
                <w:color w:val="000000"/>
                <w:sz w:val="16"/>
                <w:szCs w:val="16"/>
              </w:rPr>
              <w:t xml:space="preserve"> and Add.1, adopted 22</w:t>
            </w:r>
            <w:r>
              <w:rPr>
                <w:color w:val="000000"/>
                <w:sz w:val="16"/>
                <w:szCs w:val="16"/>
              </w:rPr>
              <w:t xml:space="preserve"> </w:t>
            </w:r>
            <w:r w:rsidRPr="00C72BA6">
              <w:rPr>
                <w:color w:val="000000"/>
                <w:sz w:val="16"/>
                <w:szCs w:val="16"/>
              </w:rPr>
              <w:t>May</w:t>
            </w:r>
            <w:r>
              <w:rPr>
                <w:color w:val="000000"/>
                <w:sz w:val="16"/>
                <w:szCs w:val="16"/>
              </w:rPr>
              <w:t xml:space="preserve"> </w:t>
            </w:r>
            <w:r w:rsidRPr="00C72BA6">
              <w:rPr>
                <w:color w:val="000000"/>
                <w:sz w:val="16"/>
                <w:szCs w:val="16"/>
              </w:rPr>
              <w:t>2017, DSR 2017:III, p.</w:t>
            </w:r>
            <w:r>
              <w:rPr>
                <w:color w:val="000000"/>
                <w:sz w:val="16"/>
                <w:szCs w:val="16"/>
              </w:rPr>
              <w:t xml:space="preserve"> </w:t>
            </w:r>
            <w:r w:rsidRPr="00C72BA6">
              <w:rPr>
                <w:color w:val="000000"/>
                <w:sz w:val="16"/>
                <w:szCs w:val="16"/>
              </w:rPr>
              <w:t>1423</w:t>
            </w:r>
          </w:p>
        </w:tc>
      </w:tr>
      <w:tr w:rsidR="00771172" w:rsidRPr="00C72BA6" w14:paraId="2804EEFD" w14:textId="77777777" w:rsidTr="00EB6B84">
        <w:trPr>
          <w:cantSplit/>
        </w:trPr>
        <w:tc>
          <w:tcPr>
            <w:tcW w:w="2602" w:type="dxa"/>
          </w:tcPr>
          <w:p w14:paraId="5D0A28F1" w14:textId="77777777" w:rsidR="00771172" w:rsidRPr="00C72BA6" w:rsidRDefault="00771172" w:rsidP="00EB6B84">
            <w:pPr>
              <w:spacing w:before="60" w:after="60"/>
              <w:jc w:val="left"/>
              <w:rPr>
                <w:i/>
                <w:sz w:val="16"/>
                <w:szCs w:val="16"/>
              </w:rPr>
            </w:pPr>
            <w:r w:rsidRPr="00C72BA6">
              <w:rPr>
                <w:i/>
                <w:sz w:val="16"/>
                <w:szCs w:val="16"/>
              </w:rPr>
              <w:t>US</w:t>
            </w:r>
            <w:r>
              <w:rPr>
                <w:i/>
                <w:sz w:val="16"/>
                <w:szCs w:val="16"/>
              </w:rPr>
              <w:t xml:space="preserve"> – </w:t>
            </w:r>
            <w:r w:rsidRPr="00C72BA6">
              <w:rPr>
                <w:i/>
                <w:sz w:val="16"/>
                <w:szCs w:val="16"/>
              </w:rPr>
              <w:t>Carbon</w:t>
            </w:r>
            <w:r>
              <w:rPr>
                <w:i/>
                <w:sz w:val="16"/>
                <w:szCs w:val="16"/>
              </w:rPr>
              <w:t xml:space="preserve"> </w:t>
            </w:r>
            <w:r w:rsidRPr="00C72BA6">
              <w:rPr>
                <w:i/>
                <w:sz w:val="16"/>
                <w:szCs w:val="16"/>
              </w:rPr>
              <w:t>Steel</w:t>
            </w:r>
          </w:p>
        </w:tc>
        <w:tc>
          <w:tcPr>
            <w:tcW w:w="6622" w:type="dxa"/>
          </w:tcPr>
          <w:p w14:paraId="69D19318" w14:textId="31637C6D"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United</w:t>
            </w:r>
            <w:r>
              <w:rPr>
                <w:i/>
                <w:color w:val="000000"/>
                <w:sz w:val="16"/>
                <w:szCs w:val="16"/>
              </w:rPr>
              <w:t xml:space="preserve"> </w:t>
            </w:r>
            <w:r w:rsidRPr="00C72BA6">
              <w:rPr>
                <w:i/>
                <w:color w:val="000000"/>
                <w:sz w:val="16"/>
                <w:szCs w:val="16"/>
              </w:rPr>
              <w:t>States – Countervailing Duties on Certain Corrosion-Resistant Carbon Steel Flat Products from Germany</w:t>
            </w:r>
            <w:r w:rsidRPr="00C72BA6">
              <w:rPr>
                <w:color w:val="000000"/>
                <w:sz w:val="16"/>
                <w:szCs w:val="16"/>
              </w:rPr>
              <w:t xml:space="preserve">, </w:t>
            </w:r>
            <w:r w:rsidRPr="00C72BA6">
              <w:rPr>
                <w:sz w:val="16"/>
                <w:szCs w:val="16"/>
              </w:rPr>
              <w:t>WT/DS213/AB/R</w:t>
            </w:r>
            <w:r w:rsidRPr="00C72BA6">
              <w:rPr>
                <w:color w:val="000000"/>
                <w:sz w:val="16"/>
                <w:szCs w:val="16"/>
              </w:rPr>
              <w:t xml:space="preserve"> and Corr.1, adopted 19</w:t>
            </w:r>
            <w:r>
              <w:rPr>
                <w:color w:val="000000"/>
                <w:sz w:val="16"/>
                <w:szCs w:val="16"/>
              </w:rPr>
              <w:t xml:space="preserve"> </w:t>
            </w:r>
            <w:r w:rsidRPr="00C72BA6">
              <w:rPr>
                <w:color w:val="000000"/>
                <w:sz w:val="16"/>
                <w:szCs w:val="16"/>
              </w:rPr>
              <w:t>December 2002, DSR 2002:IX, p.</w:t>
            </w:r>
            <w:r>
              <w:rPr>
                <w:color w:val="000000"/>
                <w:sz w:val="16"/>
                <w:szCs w:val="16"/>
              </w:rPr>
              <w:t> </w:t>
            </w:r>
            <w:r w:rsidRPr="00C72BA6">
              <w:rPr>
                <w:color w:val="000000"/>
                <w:sz w:val="16"/>
                <w:szCs w:val="16"/>
              </w:rPr>
              <w:t>3779</w:t>
            </w:r>
          </w:p>
        </w:tc>
      </w:tr>
      <w:tr w:rsidR="00771172" w:rsidRPr="00C72BA6" w14:paraId="1C5BCD63"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60512FA2" w14:textId="77777777" w:rsidR="00771172" w:rsidRPr="00C72BA6" w:rsidRDefault="00771172" w:rsidP="00EB6B84">
            <w:pPr>
              <w:spacing w:before="60" w:after="60"/>
              <w:jc w:val="left"/>
              <w:rPr>
                <w:i/>
                <w:sz w:val="16"/>
                <w:szCs w:val="16"/>
              </w:rPr>
            </w:pPr>
            <w:r w:rsidRPr="00C72BA6">
              <w:rPr>
                <w:i/>
                <w:sz w:val="16"/>
                <w:szCs w:val="16"/>
              </w:rPr>
              <w:t>US</w:t>
            </w:r>
            <w:r>
              <w:rPr>
                <w:i/>
                <w:sz w:val="16"/>
                <w:szCs w:val="16"/>
              </w:rPr>
              <w:t xml:space="preserve"> – </w:t>
            </w:r>
            <w:r w:rsidRPr="00C72BA6">
              <w:rPr>
                <w:i/>
                <w:sz w:val="16"/>
                <w:szCs w:val="16"/>
              </w:rPr>
              <w:t>Clove</w:t>
            </w:r>
            <w:r>
              <w:rPr>
                <w:i/>
                <w:sz w:val="16"/>
                <w:szCs w:val="16"/>
              </w:rPr>
              <w:t xml:space="preserve"> </w:t>
            </w:r>
            <w:r w:rsidRPr="00C72BA6">
              <w:rPr>
                <w:i/>
                <w:sz w:val="16"/>
                <w:szCs w:val="16"/>
              </w:rPr>
              <w:t>Cigarettes</w:t>
            </w:r>
          </w:p>
        </w:tc>
        <w:tc>
          <w:tcPr>
            <w:tcW w:w="6622" w:type="dxa"/>
          </w:tcPr>
          <w:p w14:paraId="259D3DE2"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United</w:t>
            </w:r>
            <w:r>
              <w:rPr>
                <w:i/>
                <w:color w:val="000000"/>
                <w:sz w:val="16"/>
                <w:szCs w:val="16"/>
              </w:rPr>
              <w:t xml:space="preserve"> </w:t>
            </w:r>
            <w:r w:rsidRPr="00C72BA6">
              <w:rPr>
                <w:i/>
                <w:color w:val="000000"/>
                <w:sz w:val="16"/>
                <w:szCs w:val="16"/>
              </w:rPr>
              <w:t>States – Measures Affecting the Production and Sale of Clove Cigarettes</w:t>
            </w:r>
            <w:r w:rsidRPr="00C72BA6">
              <w:rPr>
                <w:color w:val="000000"/>
                <w:sz w:val="16"/>
                <w:szCs w:val="16"/>
              </w:rPr>
              <w:t xml:space="preserve">, </w:t>
            </w:r>
            <w:r w:rsidRPr="00C72BA6">
              <w:rPr>
                <w:sz w:val="16"/>
                <w:szCs w:val="16"/>
              </w:rPr>
              <w:t>WT/DS406/AB/R</w:t>
            </w:r>
            <w:r w:rsidRPr="00C72BA6">
              <w:rPr>
                <w:color w:val="000000"/>
                <w:sz w:val="16"/>
                <w:szCs w:val="16"/>
              </w:rPr>
              <w:t>, adopted 24</w:t>
            </w:r>
            <w:r>
              <w:rPr>
                <w:color w:val="000000"/>
                <w:sz w:val="16"/>
                <w:szCs w:val="16"/>
              </w:rPr>
              <w:t xml:space="preserve"> </w:t>
            </w:r>
            <w:r w:rsidRPr="00C72BA6">
              <w:rPr>
                <w:color w:val="000000"/>
                <w:sz w:val="16"/>
                <w:szCs w:val="16"/>
              </w:rPr>
              <w:t>April</w:t>
            </w:r>
            <w:r>
              <w:rPr>
                <w:color w:val="000000"/>
                <w:sz w:val="16"/>
                <w:szCs w:val="16"/>
              </w:rPr>
              <w:t xml:space="preserve"> </w:t>
            </w:r>
            <w:r w:rsidRPr="00C72BA6">
              <w:rPr>
                <w:color w:val="000000"/>
                <w:sz w:val="16"/>
                <w:szCs w:val="16"/>
              </w:rPr>
              <w:t>2012, DSR 2012:XI, p.</w:t>
            </w:r>
            <w:r>
              <w:rPr>
                <w:color w:val="000000"/>
                <w:sz w:val="16"/>
                <w:szCs w:val="16"/>
              </w:rPr>
              <w:t xml:space="preserve"> </w:t>
            </w:r>
            <w:r w:rsidRPr="00C72BA6">
              <w:rPr>
                <w:color w:val="000000"/>
                <w:sz w:val="16"/>
                <w:szCs w:val="16"/>
              </w:rPr>
              <w:t>5751</w:t>
            </w:r>
          </w:p>
        </w:tc>
      </w:tr>
      <w:tr w:rsidR="00771172" w:rsidRPr="00C72BA6" w14:paraId="018A2364" w14:textId="77777777" w:rsidTr="00EB6B84">
        <w:trPr>
          <w:cantSplit/>
        </w:trPr>
        <w:tc>
          <w:tcPr>
            <w:tcW w:w="2602" w:type="dxa"/>
          </w:tcPr>
          <w:p w14:paraId="08E310FB" w14:textId="77777777" w:rsidR="00771172" w:rsidRPr="00C72BA6" w:rsidRDefault="00771172" w:rsidP="00EB6B84">
            <w:pPr>
              <w:spacing w:before="60" w:after="60"/>
              <w:jc w:val="left"/>
              <w:rPr>
                <w:i/>
                <w:sz w:val="16"/>
                <w:szCs w:val="16"/>
              </w:rPr>
            </w:pPr>
            <w:r w:rsidRPr="00C72BA6">
              <w:rPr>
                <w:i/>
                <w:sz w:val="16"/>
                <w:szCs w:val="16"/>
              </w:rPr>
              <w:t>US</w:t>
            </w:r>
            <w:r>
              <w:rPr>
                <w:i/>
                <w:sz w:val="16"/>
                <w:szCs w:val="16"/>
              </w:rPr>
              <w:t xml:space="preserve"> – </w:t>
            </w:r>
            <w:r w:rsidRPr="00C72BA6">
              <w:rPr>
                <w:i/>
                <w:sz w:val="16"/>
                <w:szCs w:val="16"/>
              </w:rPr>
              <w:t>Continued</w:t>
            </w:r>
            <w:r>
              <w:rPr>
                <w:i/>
                <w:sz w:val="16"/>
                <w:szCs w:val="16"/>
              </w:rPr>
              <w:t xml:space="preserve"> </w:t>
            </w:r>
            <w:r w:rsidRPr="00C72BA6">
              <w:rPr>
                <w:i/>
                <w:sz w:val="16"/>
                <w:szCs w:val="16"/>
              </w:rPr>
              <w:t>Zeroing</w:t>
            </w:r>
          </w:p>
        </w:tc>
        <w:tc>
          <w:tcPr>
            <w:tcW w:w="6622" w:type="dxa"/>
          </w:tcPr>
          <w:p w14:paraId="0A0F21A3"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United</w:t>
            </w:r>
            <w:r>
              <w:rPr>
                <w:i/>
                <w:color w:val="000000"/>
                <w:sz w:val="16"/>
                <w:szCs w:val="16"/>
              </w:rPr>
              <w:t xml:space="preserve"> </w:t>
            </w:r>
            <w:r w:rsidRPr="00C72BA6">
              <w:rPr>
                <w:i/>
                <w:color w:val="000000"/>
                <w:sz w:val="16"/>
                <w:szCs w:val="16"/>
              </w:rPr>
              <w:t>States – Continued Existence and Application of Zeroing Methodology</w:t>
            </w:r>
            <w:r w:rsidRPr="00C72BA6">
              <w:rPr>
                <w:color w:val="000000"/>
                <w:sz w:val="16"/>
                <w:szCs w:val="16"/>
              </w:rPr>
              <w:t xml:space="preserve">, </w:t>
            </w:r>
            <w:r w:rsidRPr="00C72BA6">
              <w:rPr>
                <w:sz w:val="16"/>
                <w:szCs w:val="16"/>
              </w:rPr>
              <w:t>WT/DS350/AB/R</w:t>
            </w:r>
            <w:r w:rsidRPr="00C72BA6">
              <w:rPr>
                <w:color w:val="000000"/>
                <w:sz w:val="16"/>
                <w:szCs w:val="16"/>
              </w:rPr>
              <w:t>, adopted 19</w:t>
            </w:r>
            <w:r>
              <w:rPr>
                <w:color w:val="000000"/>
                <w:sz w:val="16"/>
                <w:szCs w:val="16"/>
              </w:rPr>
              <w:t xml:space="preserve"> </w:t>
            </w:r>
            <w:r w:rsidRPr="00C72BA6">
              <w:rPr>
                <w:color w:val="000000"/>
                <w:sz w:val="16"/>
                <w:szCs w:val="16"/>
              </w:rPr>
              <w:t>February</w:t>
            </w:r>
            <w:r>
              <w:rPr>
                <w:color w:val="000000"/>
                <w:sz w:val="16"/>
                <w:szCs w:val="16"/>
              </w:rPr>
              <w:t xml:space="preserve"> </w:t>
            </w:r>
            <w:r w:rsidRPr="00C72BA6">
              <w:rPr>
                <w:color w:val="000000"/>
                <w:sz w:val="16"/>
                <w:szCs w:val="16"/>
              </w:rPr>
              <w:t>2009, DSR 2009:III, p.</w:t>
            </w:r>
            <w:r>
              <w:rPr>
                <w:color w:val="000000"/>
                <w:sz w:val="16"/>
                <w:szCs w:val="16"/>
              </w:rPr>
              <w:t xml:space="preserve"> </w:t>
            </w:r>
            <w:r w:rsidRPr="00C72BA6">
              <w:rPr>
                <w:color w:val="000000"/>
                <w:sz w:val="16"/>
                <w:szCs w:val="16"/>
              </w:rPr>
              <w:t>1291</w:t>
            </w:r>
          </w:p>
        </w:tc>
      </w:tr>
      <w:tr w:rsidR="00771172" w:rsidRPr="00C72BA6" w14:paraId="049CF2F9"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2B7C5725" w14:textId="77777777" w:rsidR="00771172" w:rsidRPr="00C72BA6" w:rsidRDefault="00771172" w:rsidP="00EB6B84">
            <w:pPr>
              <w:spacing w:before="60" w:after="60"/>
              <w:jc w:val="left"/>
              <w:rPr>
                <w:i/>
                <w:sz w:val="16"/>
                <w:szCs w:val="16"/>
              </w:rPr>
            </w:pPr>
            <w:r w:rsidRPr="00C72BA6">
              <w:rPr>
                <w:i/>
                <w:sz w:val="16"/>
                <w:szCs w:val="16"/>
              </w:rPr>
              <w:t>US</w:t>
            </w:r>
            <w:r>
              <w:rPr>
                <w:i/>
                <w:sz w:val="16"/>
                <w:szCs w:val="16"/>
              </w:rPr>
              <w:t xml:space="preserve"> – </w:t>
            </w:r>
            <w:r w:rsidRPr="00C72BA6">
              <w:rPr>
                <w:i/>
                <w:sz w:val="16"/>
                <w:szCs w:val="16"/>
              </w:rPr>
              <w:t>COOL</w:t>
            </w:r>
          </w:p>
        </w:tc>
        <w:tc>
          <w:tcPr>
            <w:tcW w:w="6622" w:type="dxa"/>
          </w:tcPr>
          <w:p w14:paraId="5C27F989"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Panel</w:t>
            </w:r>
            <w:r>
              <w:rPr>
                <w:color w:val="000000"/>
                <w:sz w:val="16"/>
                <w:szCs w:val="16"/>
              </w:rPr>
              <w:t xml:space="preserve"> </w:t>
            </w:r>
            <w:r w:rsidRPr="00C72BA6">
              <w:rPr>
                <w:color w:val="000000"/>
                <w:sz w:val="16"/>
                <w:szCs w:val="16"/>
              </w:rPr>
              <w:t xml:space="preserve">Reports, </w:t>
            </w:r>
            <w:r w:rsidRPr="00C72BA6">
              <w:rPr>
                <w:i/>
                <w:color w:val="000000"/>
                <w:sz w:val="16"/>
                <w:szCs w:val="16"/>
              </w:rPr>
              <w:t>United</w:t>
            </w:r>
            <w:r>
              <w:rPr>
                <w:i/>
                <w:color w:val="000000"/>
                <w:sz w:val="16"/>
                <w:szCs w:val="16"/>
              </w:rPr>
              <w:t xml:space="preserve"> </w:t>
            </w:r>
            <w:r w:rsidRPr="00C72BA6">
              <w:rPr>
                <w:i/>
                <w:color w:val="000000"/>
                <w:sz w:val="16"/>
                <w:szCs w:val="16"/>
              </w:rPr>
              <w:t>States – Certain Country of Origin Labelling (COOL) Requirements</w:t>
            </w:r>
            <w:r w:rsidRPr="00C72BA6">
              <w:rPr>
                <w:color w:val="000000"/>
                <w:sz w:val="16"/>
                <w:szCs w:val="16"/>
              </w:rPr>
              <w:t xml:space="preserve">, </w:t>
            </w:r>
            <w:r w:rsidRPr="00C72BA6">
              <w:rPr>
                <w:sz w:val="16"/>
                <w:szCs w:val="16"/>
              </w:rPr>
              <w:t>WT/DS384/R</w:t>
            </w:r>
            <w:r w:rsidRPr="00C72BA6">
              <w:rPr>
                <w:color w:val="000000"/>
                <w:sz w:val="16"/>
                <w:szCs w:val="16"/>
              </w:rPr>
              <w:t xml:space="preserve"> / </w:t>
            </w:r>
            <w:r w:rsidRPr="00C72BA6">
              <w:rPr>
                <w:sz w:val="16"/>
                <w:szCs w:val="16"/>
              </w:rPr>
              <w:t>WT/DS386/R</w:t>
            </w:r>
            <w:r w:rsidRPr="00C72BA6">
              <w:rPr>
                <w:color w:val="000000"/>
                <w:sz w:val="16"/>
                <w:szCs w:val="16"/>
              </w:rPr>
              <w:t>, adopted 23</w:t>
            </w:r>
            <w:r>
              <w:rPr>
                <w:color w:val="000000"/>
                <w:sz w:val="16"/>
                <w:szCs w:val="16"/>
              </w:rPr>
              <w:t xml:space="preserve"> </w:t>
            </w:r>
            <w:r w:rsidRPr="00C72BA6">
              <w:rPr>
                <w:color w:val="000000"/>
                <w:sz w:val="16"/>
                <w:szCs w:val="16"/>
              </w:rPr>
              <w:t>July</w:t>
            </w:r>
            <w:r>
              <w:rPr>
                <w:color w:val="000000"/>
                <w:sz w:val="16"/>
                <w:szCs w:val="16"/>
              </w:rPr>
              <w:t xml:space="preserve"> </w:t>
            </w:r>
            <w:r w:rsidRPr="00C72BA6">
              <w:rPr>
                <w:color w:val="000000"/>
                <w:sz w:val="16"/>
                <w:szCs w:val="16"/>
              </w:rPr>
              <w:t>2012, as modified by Appellate</w:t>
            </w:r>
            <w:r>
              <w:rPr>
                <w:color w:val="000000"/>
                <w:sz w:val="16"/>
                <w:szCs w:val="16"/>
              </w:rPr>
              <w:t xml:space="preserve"> </w:t>
            </w:r>
            <w:r w:rsidRPr="00C72BA6">
              <w:rPr>
                <w:color w:val="000000"/>
                <w:sz w:val="16"/>
                <w:szCs w:val="16"/>
              </w:rPr>
              <w:t>Body Reports WT/DS384/AB/R / WT/DS386/AB/R, DSR 2012:VI, p.</w:t>
            </w:r>
            <w:r>
              <w:rPr>
                <w:color w:val="000000"/>
                <w:sz w:val="16"/>
                <w:szCs w:val="16"/>
              </w:rPr>
              <w:t xml:space="preserve"> </w:t>
            </w:r>
            <w:r w:rsidRPr="00C72BA6">
              <w:rPr>
                <w:color w:val="000000"/>
                <w:sz w:val="16"/>
                <w:szCs w:val="16"/>
              </w:rPr>
              <w:t>2745</w:t>
            </w:r>
          </w:p>
        </w:tc>
      </w:tr>
      <w:tr w:rsidR="00771172" w:rsidRPr="00C72BA6" w14:paraId="10ACAC74" w14:textId="77777777" w:rsidTr="00EB6B84">
        <w:trPr>
          <w:cantSplit/>
        </w:trPr>
        <w:tc>
          <w:tcPr>
            <w:tcW w:w="2602" w:type="dxa"/>
          </w:tcPr>
          <w:p w14:paraId="1421EF5C" w14:textId="77777777" w:rsidR="00771172" w:rsidRPr="00C72BA6" w:rsidRDefault="00771172" w:rsidP="00EB6B84">
            <w:pPr>
              <w:spacing w:before="60" w:after="60"/>
              <w:jc w:val="left"/>
              <w:rPr>
                <w:i/>
                <w:sz w:val="16"/>
                <w:szCs w:val="16"/>
              </w:rPr>
            </w:pPr>
            <w:r w:rsidRPr="00C72BA6">
              <w:rPr>
                <w:i/>
                <w:sz w:val="16"/>
                <w:szCs w:val="16"/>
              </w:rPr>
              <w:t>US</w:t>
            </w:r>
            <w:r>
              <w:rPr>
                <w:i/>
                <w:sz w:val="16"/>
                <w:szCs w:val="16"/>
              </w:rPr>
              <w:t xml:space="preserve"> – </w:t>
            </w:r>
            <w:r w:rsidRPr="00C72BA6">
              <w:rPr>
                <w:i/>
                <w:sz w:val="16"/>
                <w:szCs w:val="16"/>
              </w:rPr>
              <w:t>COOL</w:t>
            </w:r>
            <w:r>
              <w:rPr>
                <w:i/>
                <w:sz w:val="16"/>
                <w:szCs w:val="16"/>
              </w:rPr>
              <w:t xml:space="preserve"> </w:t>
            </w:r>
            <w:r w:rsidRPr="00C72BA6">
              <w:rPr>
                <w:i/>
                <w:sz w:val="16"/>
                <w:szCs w:val="16"/>
              </w:rPr>
              <w:t>(Article</w:t>
            </w:r>
            <w:r>
              <w:rPr>
                <w:i/>
                <w:sz w:val="16"/>
                <w:szCs w:val="16"/>
              </w:rPr>
              <w:t xml:space="preserve"> </w:t>
            </w:r>
            <w:r w:rsidRPr="00C72BA6">
              <w:rPr>
                <w:i/>
                <w:sz w:val="16"/>
                <w:szCs w:val="16"/>
              </w:rPr>
              <w:t>21.5</w:t>
            </w:r>
            <w:r>
              <w:rPr>
                <w:i/>
                <w:sz w:val="16"/>
                <w:szCs w:val="16"/>
              </w:rPr>
              <w:t xml:space="preserve"> – </w:t>
            </w:r>
            <w:r w:rsidRPr="00C72BA6">
              <w:rPr>
                <w:i/>
                <w:sz w:val="16"/>
                <w:szCs w:val="16"/>
              </w:rPr>
              <w:t>Canada</w:t>
            </w:r>
            <w:r>
              <w:rPr>
                <w:i/>
                <w:sz w:val="16"/>
                <w:szCs w:val="16"/>
              </w:rPr>
              <w:t xml:space="preserve"> </w:t>
            </w:r>
            <w:r w:rsidRPr="00C72BA6">
              <w:rPr>
                <w:i/>
                <w:sz w:val="16"/>
                <w:szCs w:val="16"/>
              </w:rPr>
              <w:t>and Mexico)</w:t>
            </w:r>
          </w:p>
        </w:tc>
        <w:tc>
          <w:tcPr>
            <w:tcW w:w="6622" w:type="dxa"/>
          </w:tcPr>
          <w:p w14:paraId="74E85909"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Reports, </w:t>
            </w:r>
            <w:r w:rsidRPr="00C72BA6">
              <w:rPr>
                <w:i/>
                <w:color w:val="000000"/>
                <w:sz w:val="16"/>
                <w:szCs w:val="16"/>
              </w:rPr>
              <w:t>United</w:t>
            </w:r>
            <w:r>
              <w:rPr>
                <w:i/>
                <w:color w:val="000000"/>
                <w:sz w:val="16"/>
                <w:szCs w:val="16"/>
              </w:rPr>
              <w:t xml:space="preserve"> </w:t>
            </w:r>
            <w:r w:rsidRPr="00C72BA6">
              <w:rPr>
                <w:i/>
                <w:color w:val="000000"/>
                <w:sz w:val="16"/>
                <w:szCs w:val="16"/>
              </w:rPr>
              <w:t>States – Certain Country of Origin Labelling (COOL) Requirements – Recourse to Article</w:t>
            </w:r>
            <w:r>
              <w:rPr>
                <w:i/>
                <w:color w:val="000000"/>
                <w:sz w:val="16"/>
                <w:szCs w:val="16"/>
              </w:rPr>
              <w:t xml:space="preserve"> </w:t>
            </w:r>
            <w:r w:rsidRPr="00C72BA6">
              <w:rPr>
                <w:i/>
                <w:color w:val="000000"/>
                <w:sz w:val="16"/>
                <w:szCs w:val="16"/>
              </w:rPr>
              <w:t>21.5 of the DSU by Canada and Mexico</w:t>
            </w:r>
            <w:r w:rsidRPr="00C72BA6">
              <w:rPr>
                <w:color w:val="000000"/>
                <w:sz w:val="16"/>
                <w:szCs w:val="16"/>
              </w:rPr>
              <w:t xml:space="preserve">, </w:t>
            </w:r>
            <w:r w:rsidRPr="00C72BA6">
              <w:rPr>
                <w:sz w:val="16"/>
                <w:szCs w:val="16"/>
              </w:rPr>
              <w:t>WT/DS384/AB/RW</w:t>
            </w:r>
            <w:r w:rsidRPr="00C72BA6">
              <w:rPr>
                <w:color w:val="000000"/>
                <w:sz w:val="16"/>
                <w:szCs w:val="16"/>
              </w:rPr>
              <w:t xml:space="preserve"> / </w:t>
            </w:r>
            <w:r w:rsidRPr="00C72BA6">
              <w:rPr>
                <w:sz w:val="16"/>
                <w:szCs w:val="16"/>
              </w:rPr>
              <w:t>WT/DS386/AB/RW</w:t>
            </w:r>
            <w:r w:rsidRPr="00C72BA6">
              <w:rPr>
                <w:color w:val="000000"/>
                <w:sz w:val="16"/>
                <w:szCs w:val="16"/>
              </w:rPr>
              <w:t>, adopted 29</w:t>
            </w:r>
            <w:r>
              <w:rPr>
                <w:color w:val="000000"/>
                <w:sz w:val="16"/>
                <w:szCs w:val="16"/>
              </w:rPr>
              <w:t xml:space="preserve"> </w:t>
            </w:r>
            <w:r w:rsidRPr="00C72BA6">
              <w:rPr>
                <w:color w:val="000000"/>
                <w:sz w:val="16"/>
                <w:szCs w:val="16"/>
              </w:rPr>
              <w:t>May</w:t>
            </w:r>
            <w:r>
              <w:rPr>
                <w:color w:val="000000"/>
                <w:sz w:val="16"/>
                <w:szCs w:val="16"/>
              </w:rPr>
              <w:t xml:space="preserve"> </w:t>
            </w:r>
            <w:r w:rsidRPr="00C72BA6">
              <w:rPr>
                <w:color w:val="000000"/>
                <w:sz w:val="16"/>
                <w:szCs w:val="16"/>
              </w:rPr>
              <w:t>2015, DSR 2015:IV, p.</w:t>
            </w:r>
            <w:r>
              <w:rPr>
                <w:color w:val="000000"/>
                <w:sz w:val="16"/>
                <w:szCs w:val="16"/>
              </w:rPr>
              <w:t xml:space="preserve"> </w:t>
            </w:r>
            <w:r w:rsidRPr="00C72BA6">
              <w:rPr>
                <w:color w:val="000000"/>
                <w:sz w:val="16"/>
                <w:szCs w:val="16"/>
              </w:rPr>
              <w:t>1725</w:t>
            </w:r>
          </w:p>
        </w:tc>
      </w:tr>
      <w:tr w:rsidR="00771172" w:rsidRPr="00C72BA6" w14:paraId="3289B67D"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4B608D1F" w14:textId="77777777" w:rsidR="00771172" w:rsidRPr="00C72BA6" w:rsidRDefault="00771172" w:rsidP="00EB6B84">
            <w:pPr>
              <w:spacing w:before="60" w:after="60"/>
              <w:jc w:val="left"/>
              <w:rPr>
                <w:i/>
                <w:sz w:val="16"/>
                <w:szCs w:val="16"/>
              </w:rPr>
            </w:pPr>
            <w:r w:rsidRPr="00C72BA6">
              <w:rPr>
                <w:i/>
                <w:color w:val="000000"/>
                <w:sz w:val="16"/>
                <w:szCs w:val="16"/>
              </w:rPr>
              <w:t>US – Corrosion-Resistant Steel Sunset Review</w:t>
            </w:r>
          </w:p>
        </w:tc>
        <w:tc>
          <w:tcPr>
            <w:tcW w:w="6622" w:type="dxa"/>
          </w:tcPr>
          <w:p w14:paraId="5212B3D4"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United</w:t>
            </w:r>
            <w:r>
              <w:rPr>
                <w:i/>
                <w:color w:val="000000"/>
                <w:sz w:val="16"/>
                <w:szCs w:val="16"/>
              </w:rPr>
              <w:t xml:space="preserve"> </w:t>
            </w:r>
            <w:r w:rsidRPr="00C72BA6">
              <w:rPr>
                <w:i/>
                <w:color w:val="000000"/>
                <w:sz w:val="16"/>
                <w:szCs w:val="16"/>
              </w:rPr>
              <w:t>States – Sunset Review of Anti-Dumping Duties on Corrosion-Resistant Carbon Steel Flat Products from Japan</w:t>
            </w:r>
            <w:r w:rsidRPr="00C72BA6">
              <w:rPr>
                <w:color w:val="000000"/>
                <w:sz w:val="16"/>
                <w:szCs w:val="16"/>
              </w:rPr>
              <w:t xml:space="preserve">, </w:t>
            </w:r>
            <w:r w:rsidRPr="00C72BA6">
              <w:rPr>
                <w:sz w:val="16"/>
                <w:szCs w:val="16"/>
              </w:rPr>
              <w:t>WT/DS244/AB/R</w:t>
            </w:r>
            <w:r w:rsidRPr="00C72BA6">
              <w:rPr>
                <w:color w:val="000000"/>
                <w:sz w:val="16"/>
                <w:szCs w:val="16"/>
              </w:rPr>
              <w:t>, adopted 9</w:t>
            </w:r>
            <w:r>
              <w:rPr>
                <w:color w:val="000000"/>
                <w:sz w:val="16"/>
                <w:szCs w:val="16"/>
              </w:rPr>
              <w:t xml:space="preserve"> </w:t>
            </w:r>
            <w:r w:rsidRPr="00C72BA6">
              <w:rPr>
                <w:color w:val="000000"/>
                <w:sz w:val="16"/>
                <w:szCs w:val="16"/>
              </w:rPr>
              <w:t>January</w:t>
            </w:r>
            <w:r>
              <w:rPr>
                <w:color w:val="000000"/>
                <w:sz w:val="16"/>
                <w:szCs w:val="16"/>
              </w:rPr>
              <w:t xml:space="preserve"> </w:t>
            </w:r>
            <w:r w:rsidRPr="00C72BA6">
              <w:rPr>
                <w:color w:val="000000"/>
                <w:sz w:val="16"/>
                <w:szCs w:val="16"/>
              </w:rPr>
              <w:t>2004, DSR 2004:I, p.</w:t>
            </w:r>
            <w:r>
              <w:rPr>
                <w:color w:val="000000"/>
                <w:sz w:val="16"/>
                <w:szCs w:val="16"/>
              </w:rPr>
              <w:t xml:space="preserve"> </w:t>
            </w:r>
            <w:r w:rsidRPr="00C72BA6">
              <w:rPr>
                <w:color w:val="000000"/>
                <w:sz w:val="16"/>
                <w:szCs w:val="16"/>
              </w:rPr>
              <w:t>3</w:t>
            </w:r>
          </w:p>
        </w:tc>
      </w:tr>
      <w:tr w:rsidR="00771172" w:rsidRPr="00C72BA6" w14:paraId="301F1DE5" w14:textId="77777777" w:rsidTr="00EB6B84">
        <w:trPr>
          <w:cantSplit/>
        </w:trPr>
        <w:tc>
          <w:tcPr>
            <w:tcW w:w="2602" w:type="dxa"/>
          </w:tcPr>
          <w:p w14:paraId="682AB785" w14:textId="77777777" w:rsidR="00771172" w:rsidRPr="00C72BA6" w:rsidRDefault="00771172" w:rsidP="00EB6B84">
            <w:pPr>
              <w:spacing w:before="60" w:after="60"/>
              <w:jc w:val="left"/>
              <w:rPr>
                <w:i/>
                <w:sz w:val="16"/>
                <w:szCs w:val="16"/>
              </w:rPr>
            </w:pPr>
            <w:r w:rsidRPr="00C72BA6">
              <w:rPr>
                <w:i/>
                <w:sz w:val="16"/>
                <w:szCs w:val="16"/>
              </w:rPr>
              <w:t>US</w:t>
            </w:r>
            <w:r>
              <w:rPr>
                <w:i/>
                <w:sz w:val="16"/>
                <w:szCs w:val="16"/>
              </w:rPr>
              <w:t xml:space="preserve"> – </w:t>
            </w:r>
            <w:r w:rsidRPr="00C72BA6">
              <w:rPr>
                <w:i/>
                <w:sz w:val="16"/>
                <w:szCs w:val="16"/>
              </w:rPr>
              <w:t>Countervailing</w:t>
            </w:r>
            <w:r>
              <w:rPr>
                <w:i/>
                <w:sz w:val="16"/>
                <w:szCs w:val="16"/>
              </w:rPr>
              <w:t xml:space="preserve"> </w:t>
            </w:r>
            <w:r w:rsidRPr="00C72BA6">
              <w:rPr>
                <w:i/>
                <w:sz w:val="16"/>
                <w:szCs w:val="16"/>
              </w:rPr>
              <w:t>and</w:t>
            </w:r>
            <w:r>
              <w:rPr>
                <w:i/>
                <w:sz w:val="16"/>
                <w:szCs w:val="16"/>
              </w:rPr>
              <w:t xml:space="preserve"> </w:t>
            </w:r>
            <w:r w:rsidRPr="00C72BA6">
              <w:rPr>
                <w:i/>
                <w:sz w:val="16"/>
                <w:szCs w:val="16"/>
              </w:rPr>
              <w:t>Anti</w:t>
            </w:r>
            <w:r w:rsidRPr="00C72BA6">
              <w:rPr>
                <w:i/>
                <w:sz w:val="16"/>
                <w:szCs w:val="16"/>
              </w:rPr>
              <w:noBreakHyphen/>
              <w:t>Dumping Measures</w:t>
            </w:r>
            <w:r>
              <w:rPr>
                <w:i/>
                <w:sz w:val="16"/>
                <w:szCs w:val="16"/>
              </w:rPr>
              <w:t xml:space="preserve"> </w:t>
            </w:r>
            <w:r w:rsidRPr="00C72BA6">
              <w:rPr>
                <w:i/>
                <w:sz w:val="16"/>
                <w:szCs w:val="16"/>
              </w:rPr>
              <w:t>(China)</w:t>
            </w:r>
          </w:p>
        </w:tc>
        <w:tc>
          <w:tcPr>
            <w:tcW w:w="6622" w:type="dxa"/>
          </w:tcPr>
          <w:p w14:paraId="49CF488D"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United</w:t>
            </w:r>
            <w:r>
              <w:rPr>
                <w:i/>
                <w:color w:val="000000"/>
                <w:sz w:val="16"/>
                <w:szCs w:val="16"/>
              </w:rPr>
              <w:t xml:space="preserve"> </w:t>
            </w:r>
            <w:r w:rsidRPr="00C72BA6">
              <w:rPr>
                <w:i/>
                <w:color w:val="000000"/>
                <w:sz w:val="16"/>
                <w:szCs w:val="16"/>
              </w:rPr>
              <w:t>States – Countervailing and Anti-Dumping Measures on Certain Products from China</w:t>
            </w:r>
            <w:r w:rsidRPr="00C72BA6">
              <w:rPr>
                <w:color w:val="000000"/>
                <w:sz w:val="16"/>
                <w:szCs w:val="16"/>
              </w:rPr>
              <w:t xml:space="preserve">, </w:t>
            </w:r>
            <w:r w:rsidRPr="00C72BA6">
              <w:rPr>
                <w:sz w:val="16"/>
                <w:szCs w:val="16"/>
              </w:rPr>
              <w:t>WT/DS449/AB/R</w:t>
            </w:r>
            <w:r w:rsidRPr="00C72BA6">
              <w:rPr>
                <w:color w:val="000000"/>
                <w:sz w:val="16"/>
                <w:szCs w:val="16"/>
              </w:rPr>
              <w:t xml:space="preserve"> and Corr.1, adopted 22</w:t>
            </w:r>
            <w:r>
              <w:rPr>
                <w:color w:val="000000"/>
                <w:sz w:val="16"/>
                <w:szCs w:val="16"/>
              </w:rPr>
              <w:t xml:space="preserve"> </w:t>
            </w:r>
            <w:r w:rsidRPr="00C72BA6">
              <w:rPr>
                <w:color w:val="000000"/>
                <w:sz w:val="16"/>
                <w:szCs w:val="16"/>
              </w:rPr>
              <w:t>July</w:t>
            </w:r>
            <w:r>
              <w:rPr>
                <w:color w:val="000000"/>
                <w:sz w:val="16"/>
                <w:szCs w:val="16"/>
              </w:rPr>
              <w:t xml:space="preserve"> </w:t>
            </w:r>
            <w:r w:rsidRPr="00C72BA6">
              <w:rPr>
                <w:color w:val="000000"/>
                <w:sz w:val="16"/>
                <w:szCs w:val="16"/>
              </w:rPr>
              <w:t>2014, DSR</w:t>
            </w:r>
            <w:r>
              <w:rPr>
                <w:color w:val="000000"/>
                <w:sz w:val="16"/>
                <w:szCs w:val="16"/>
              </w:rPr>
              <w:t xml:space="preserve"> </w:t>
            </w:r>
            <w:r w:rsidRPr="00C72BA6">
              <w:rPr>
                <w:color w:val="000000"/>
                <w:sz w:val="16"/>
                <w:szCs w:val="16"/>
              </w:rPr>
              <w:t>2014:VIII, p.</w:t>
            </w:r>
            <w:r>
              <w:rPr>
                <w:color w:val="000000"/>
                <w:sz w:val="16"/>
                <w:szCs w:val="16"/>
              </w:rPr>
              <w:t xml:space="preserve"> </w:t>
            </w:r>
            <w:r w:rsidRPr="00C72BA6">
              <w:rPr>
                <w:color w:val="000000"/>
                <w:sz w:val="16"/>
                <w:szCs w:val="16"/>
              </w:rPr>
              <w:t>3027</w:t>
            </w:r>
          </w:p>
        </w:tc>
      </w:tr>
      <w:tr w:rsidR="00771172" w:rsidRPr="00C72BA6" w14:paraId="5CCBCCEC"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34CA9769" w14:textId="77777777" w:rsidR="00771172" w:rsidRPr="00C72BA6" w:rsidRDefault="00771172" w:rsidP="00EB6B84">
            <w:pPr>
              <w:spacing w:before="60" w:after="60"/>
              <w:jc w:val="left"/>
              <w:rPr>
                <w:i/>
                <w:sz w:val="16"/>
                <w:szCs w:val="16"/>
              </w:rPr>
            </w:pPr>
            <w:r w:rsidRPr="00C72BA6">
              <w:rPr>
                <w:i/>
                <w:sz w:val="16"/>
                <w:szCs w:val="16"/>
              </w:rPr>
              <w:t>US</w:t>
            </w:r>
            <w:r>
              <w:rPr>
                <w:i/>
                <w:sz w:val="16"/>
                <w:szCs w:val="16"/>
              </w:rPr>
              <w:t xml:space="preserve"> – </w:t>
            </w:r>
            <w:r w:rsidRPr="00C72BA6">
              <w:rPr>
                <w:i/>
                <w:sz w:val="16"/>
                <w:szCs w:val="16"/>
              </w:rPr>
              <w:t>Countervailing</w:t>
            </w:r>
            <w:r>
              <w:rPr>
                <w:i/>
                <w:sz w:val="16"/>
                <w:szCs w:val="16"/>
              </w:rPr>
              <w:t xml:space="preserve"> </w:t>
            </w:r>
            <w:r w:rsidRPr="00C72BA6">
              <w:rPr>
                <w:i/>
                <w:sz w:val="16"/>
                <w:szCs w:val="16"/>
              </w:rPr>
              <w:t>Measures</w:t>
            </w:r>
            <w:r>
              <w:rPr>
                <w:i/>
                <w:sz w:val="16"/>
                <w:szCs w:val="16"/>
              </w:rPr>
              <w:t xml:space="preserve"> </w:t>
            </w:r>
            <w:r w:rsidRPr="00C72BA6">
              <w:rPr>
                <w:i/>
                <w:sz w:val="16"/>
                <w:szCs w:val="16"/>
              </w:rPr>
              <w:t>(China)</w:t>
            </w:r>
          </w:p>
        </w:tc>
        <w:tc>
          <w:tcPr>
            <w:tcW w:w="6622" w:type="dxa"/>
          </w:tcPr>
          <w:p w14:paraId="5B1F59FB"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United</w:t>
            </w:r>
            <w:r>
              <w:rPr>
                <w:i/>
                <w:color w:val="000000"/>
                <w:sz w:val="16"/>
                <w:szCs w:val="16"/>
              </w:rPr>
              <w:t xml:space="preserve"> </w:t>
            </w:r>
            <w:r w:rsidRPr="00C72BA6">
              <w:rPr>
                <w:i/>
                <w:color w:val="000000"/>
                <w:sz w:val="16"/>
                <w:szCs w:val="16"/>
              </w:rPr>
              <w:t>States – Countervailing Duty Measures on Certain Products from China</w:t>
            </w:r>
            <w:r w:rsidRPr="00C72BA6">
              <w:rPr>
                <w:color w:val="000000"/>
                <w:sz w:val="16"/>
                <w:szCs w:val="16"/>
              </w:rPr>
              <w:t xml:space="preserve">, </w:t>
            </w:r>
            <w:r w:rsidRPr="00C72BA6">
              <w:rPr>
                <w:sz w:val="16"/>
                <w:szCs w:val="16"/>
              </w:rPr>
              <w:t>WT/DS437/AB/R</w:t>
            </w:r>
            <w:r w:rsidRPr="00C72BA6">
              <w:rPr>
                <w:color w:val="000000"/>
                <w:sz w:val="16"/>
                <w:szCs w:val="16"/>
              </w:rPr>
              <w:t>, adopted 16</w:t>
            </w:r>
            <w:r>
              <w:rPr>
                <w:color w:val="000000"/>
                <w:sz w:val="16"/>
                <w:szCs w:val="16"/>
              </w:rPr>
              <w:t xml:space="preserve"> </w:t>
            </w:r>
            <w:r w:rsidRPr="00C72BA6">
              <w:rPr>
                <w:color w:val="000000"/>
                <w:sz w:val="16"/>
                <w:szCs w:val="16"/>
              </w:rPr>
              <w:t>January</w:t>
            </w:r>
            <w:r>
              <w:rPr>
                <w:color w:val="000000"/>
                <w:sz w:val="16"/>
                <w:szCs w:val="16"/>
              </w:rPr>
              <w:t xml:space="preserve"> </w:t>
            </w:r>
            <w:r w:rsidRPr="00C72BA6">
              <w:rPr>
                <w:color w:val="000000"/>
                <w:sz w:val="16"/>
                <w:szCs w:val="16"/>
              </w:rPr>
              <w:t>2015, DSR 2015:I, p.</w:t>
            </w:r>
            <w:r>
              <w:rPr>
                <w:color w:val="000000"/>
                <w:sz w:val="16"/>
                <w:szCs w:val="16"/>
              </w:rPr>
              <w:t xml:space="preserve"> </w:t>
            </w:r>
            <w:r w:rsidRPr="00C72BA6">
              <w:rPr>
                <w:color w:val="000000"/>
                <w:sz w:val="16"/>
                <w:szCs w:val="16"/>
              </w:rPr>
              <w:t>7</w:t>
            </w:r>
          </w:p>
        </w:tc>
      </w:tr>
      <w:tr w:rsidR="00771172" w:rsidRPr="00C72BA6" w14:paraId="7612AA26" w14:textId="77777777" w:rsidTr="00EB6B84">
        <w:trPr>
          <w:cantSplit/>
        </w:trPr>
        <w:tc>
          <w:tcPr>
            <w:tcW w:w="2602" w:type="dxa"/>
          </w:tcPr>
          <w:p w14:paraId="1181524E" w14:textId="77777777" w:rsidR="00771172" w:rsidRPr="00C72BA6" w:rsidRDefault="00771172" w:rsidP="00EB6B84">
            <w:pPr>
              <w:spacing w:before="60" w:after="60"/>
              <w:jc w:val="left"/>
              <w:rPr>
                <w:i/>
                <w:sz w:val="16"/>
                <w:szCs w:val="16"/>
              </w:rPr>
            </w:pPr>
            <w:r w:rsidRPr="00C72BA6">
              <w:rPr>
                <w:i/>
                <w:sz w:val="16"/>
                <w:szCs w:val="16"/>
              </w:rPr>
              <w:t>US</w:t>
            </w:r>
            <w:r>
              <w:rPr>
                <w:i/>
                <w:sz w:val="16"/>
                <w:szCs w:val="16"/>
              </w:rPr>
              <w:t xml:space="preserve"> – </w:t>
            </w:r>
            <w:r w:rsidRPr="00C72BA6">
              <w:rPr>
                <w:i/>
                <w:sz w:val="16"/>
                <w:szCs w:val="16"/>
              </w:rPr>
              <w:t>Gambling</w:t>
            </w:r>
          </w:p>
        </w:tc>
        <w:tc>
          <w:tcPr>
            <w:tcW w:w="6622" w:type="dxa"/>
          </w:tcPr>
          <w:p w14:paraId="293F2246"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United</w:t>
            </w:r>
            <w:r>
              <w:rPr>
                <w:i/>
                <w:color w:val="000000"/>
                <w:sz w:val="16"/>
                <w:szCs w:val="16"/>
              </w:rPr>
              <w:t xml:space="preserve"> </w:t>
            </w:r>
            <w:r w:rsidRPr="00C72BA6">
              <w:rPr>
                <w:i/>
                <w:color w:val="000000"/>
                <w:sz w:val="16"/>
                <w:szCs w:val="16"/>
              </w:rPr>
              <w:t>States – Measures Affecting the Cross-Border Supply of Gambling and Betting Services</w:t>
            </w:r>
            <w:r w:rsidRPr="00C72BA6">
              <w:rPr>
                <w:color w:val="000000"/>
                <w:sz w:val="16"/>
                <w:szCs w:val="16"/>
              </w:rPr>
              <w:t xml:space="preserve">, </w:t>
            </w:r>
            <w:r w:rsidRPr="00C72BA6">
              <w:rPr>
                <w:sz w:val="16"/>
                <w:szCs w:val="16"/>
              </w:rPr>
              <w:t>WT/DS285/AB/R</w:t>
            </w:r>
            <w:r w:rsidRPr="00C72BA6">
              <w:rPr>
                <w:color w:val="000000"/>
                <w:sz w:val="16"/>
                <w:szCs w:val="16"/>
              </w:rPr>
              <w:t>, adopted 20</w:t>
            </w:r>
            <w:r>
              <w:rPr>
                <w:color w:val="000000"/>
                <w:sz w:val="16"/>
                <w:szCs w:val="16"/>
              </w:rPr>
              <w:t xml:space="preserve"> </w:t>
            </w:r>
            <w:r w:rsidRPr="00C72BA6">
              <w:rPr>
                <w:color w:val="000000"/>
                <w:sz w:val="16"/>
                <w:szCs w:val="16"/>
              </w:rPr>
              <w:t>April</w:t>
            </w:r>
            <w:r>
              <w:rPr>
                <w:color w:val="000000"/>
                <w:sz w:val="16"/>
                <w:szCs w:val="16"/>
              </w:rPr>
              <w:t xml:space="preserve"> </w:t>
            </w:r>
            <w:r w:rsidRPr="00C72BA6">
              <w:rPr>
                <w:color w:val="000000"/>
                <w:sz w:val="16"/>
                <w:szCs w:val="16"/>
              </w:rPr>
              <w:t>2005, DSR 2005:XII, p.</w:t>
            </w:r>
            <w:r>
              <w:rPr>
                <w:color w:val="000000"/>
                <w:sz w:val="16"/>
                <w:szCs w:val="16"/>
              </w:rPr>
              <w:t xml:space="preserve"> </w:t>
            </w:r>
            <w:r w:rsidRPr="00C72BA6">
              <w:rPr>
                <w:color w:val="000000"/>
                <w:sz w:val="16"/>
                <w:szCs w:val="16"/>
              </w:rPr>
              <w:t>5663 (and Corr.1, DSR 2006:XII, p.</w:t>
            </w:r>
            <w:r>
              <w:rPr>
                <w:color w:val="000000"/>
                <w:sz w:val="16"/>
                <w:szCs w:val="16"/>
              </w:rPr>
              <w:t xml:space="preserve"> </w:t>
            </w:r>
            <w:r w:rsidRPr="00C72BA6">
              <w:rPr>
                <w:color w:val="000000"/>
                <w:sz w:val="16"/>
                <w:szCs w:val="16"/>
              </w:rPr>
              <w:t>5475)</w:t>
            </w:r>
          </w:p>
        </w:tc>
      </w:tr>
      <w:tr w:rsidR="00771172" w:rsidRPr="00C72BA6" w14:paraId="5D98B68E"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45166206" w14:textId="77777777" w:rsidR="00771172" w:rsidRPr="00C72BA6" w:rsidRDefault="00771172" w:rsidP="00EB6B84">
            <w:pPr>
              <w:spacing w:before="60" w:after="60"/>
              <w:jc w:val="left"/>
              <w:rPr>
                <w:i/>
                <w:sz w:val="16"/>
                <w:szCs w:val="16"/>
              </w:rPr>
            </w:pPr>
            <w:r w:rsidRPr="00C72BA6">
              <w:rPr>
                <w:i/>
                <w:sz w:val="16"/>
                <w:szCs w:val="16"/>
              </w:rPr>
              <w:t>US – Lamb</w:t>
            </w:r>
          </w:p>
        </w:tc>
        <w:tc>
          <w:tcPr>
            <w:tcW w:w="6622" w:type="dxa"/>
          </w:tcPr>
          <w:p w14:paraId="06BB6184" w14:textId="07C184B5"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United</w:t>
            </w:r>
            <w:r>
              <w:rPr>
                <w:i/>
                <w:color w:val="000000"/>
                <w:sz w:val="16"/>
                <w:szCs w:val="16"/>
              </w:rPr>
              <w:t xml:space="preserve"> </w:t>
            </w:r>
            <w:r w:rsidRPr="00C72BA6">
              <w:rPr>
                <w:i/>
                <w:color w:val="000000"/>
                <w:sz w:val="16"/>
                <w:szCs w:val="16"/>
              </w:rPr>
              <w:t>States – Safeguard Measures on Imports of Fresh, Chilled or Frozen Lamb Meat from New Zealand and Australia</w:t>
            </w:r>
            <w:r w:rsidRPr="00C72BA6">
              <w:rPr>
                <w:color w:val="000000"/>
                <w:sz w:val="16"/>
                <w:szCs w:val="16"/>
              </w:rPr>
              <w:t xml:space="preserve">, </w:t>
            </w:r>
            <w:r w:rsidRPr="00C72BA6">
              <w:rPr>
                <w:sz w:val="16"/>
                <w:szCs w:val="16"/>
              </w:rPr>
              <w:t>WT/DS177/AB/R</w:t>
            </w:r>
            <w:r w:rsidRPr="00C72BA6">
              <w:rPr>
                <w:color w:val="000000"/>
                <w:sz w:val="16"/>
                <w:szCs w:val="16"/>
              </w:rPr>
              <w:t xml:space="preserve">, </w:t>
            </w:r>
            <w:r w:rsidRPr="00C72BA6">
              <w:rPr>
                <w:sz w:val="16"/>
                <w:szCs w:val="16"/>
              </w:rPr>
              <w:t>WT/DS178/AB/R</w:t>
            </w:r>
            <w:r w:rsidRPr="00C72BA6">
              <w:rPr>
                <w:color w:val="000000"/>
                <w:sz w:val="16"/>
                <w:szCs w:val="16"/>
              </w:rPr>
              <w:t>, adopted 16</w:t>
            </w:r>
            <w:r>
              <w:rPr>
                <w:color w:val="000000"/>
                <w:sz w:val="16"/>
                <w:szCs w:val="16"/>
              </w:rPr>
              <w:t xml:space="preserve"> </w:t>
            </w:r>
            <w:r w:rsidRPr="00C72BA6">
              <w:rPr>
                <w:color w:val="000000"/>
                <w:sz w:val="16"/>
                <w:szCs w:val="16"/>
              </w:rPr>
              <w:t>May</w:t>
            </w:r>
            <w:r>
              <w:rPr>
                <w:color w:val="000000"/>
                <w:sz w:val="16"/>
                <w:szCs w:val="16"/>
              </w:rPr>
              <w:t xml:space="preserve"> </w:t>
            </w:r>
            <w:r w:rsidRPr="00C72BA6">
              <w:rPr>
                <w:color w:val="000000"/>
                <w:sz w:val="16"/>
                <w:szCs w:val="16"/>
              </w:rPr>
              <w:t>2001, DSR 2001:IX, p.</w:t>
            </w:r>
            <w:r>
              <w:rPr>
                <w:color w:val="000000"/>
                <w:sz w:val="16"/>
                <w:szCs w:val="16"/>
              </w:rPr>
              <w:t> </w:t>
            </w:r>
            <w:r w:rsidRPr="00C72BA6">
              <w:rPr>
                <w:color w:val="000000"/>
                <w:sz w:val="16"/>
                <w:szCs w:val="16"/>
              </w:rPr>
              <w:t>4051</w:t>
            </w:r>
          </w:p>
        </w:tc>
      </w:tr>
      <w:tr w:rsidR="00771172" w:rsidRPr="00C72BA6" w14:paraId="5274F0AE" w14:textId="77777777" w:rsidTr="00EB6B84">
        <w:trPr>
          <w:cantSplit/>
        </w:trPr>
        <w:tc>
          <w:tcPr>
            <w:tcW w:w="2602" w:type="dxa"/>
          </w:tcPr>
          <w:p w14:paraId="46A048DE" w14:textId="675DEED3" w:rsidR="00771172" w:rsidRPr="00C72BA6" w:rsidRDefault="00771172" w:rsidP="00EB6B84">
            <w:pPr>
              <w:spacing w:before="60" w:after="60"/>
              <w:jc w:val="left"/>
              <w:rPr>
                <w:i/>
                <w:sz w:val="16"/>
                <w:szCs w:val="16"/>
              </w:rPr>
            </w:pPr>
            <w:r w:rsidRPr="00C72BA6">
              <w:rPr>
                <w:i/>
                <w:sz w:val="16"/>
                <w:szCs w:val="16"/>
              </w:rPr>
              <w:t>US</w:t>
            </w:r>
            <w:r>
              <w:rPr>
                <w:i/>
                <w:sz w:val="16"/>
                <w:szCs w:val="16"/>
              </w:rPr>
              <w:t xml:space="preserve"> – </w:t>
            </w:r>
            <w:r w:rsidRPr="00C72BA6">
              <w:rPr>
                <w:i/>
                <w:sz w:val="16"/>
                <w:szCs w:val="16"/>
              </w:rPr>
              <w:t>Large</w:t>
            </w:r>
            <w:r>
              <w:rPr>
                <w:i/>
                <w:sz w:val="16"/>
                <w:szCs w:val="16"/>
              </w:rPr>
              <w:t xml:space="preserve"> </w:t>
            </w:r>
            <w:r w:rsidRPr="00C72BA6">
              <w:rPr>
                <w:i/>
                <w:sz w:val="16"/>
                <w:szCs w:val="16"/>
              </w:rPr>
              <w:t>Civil</w:t>
            </w:r>
            <w:r>
              <w:rPr>
                <w:i/>
                <w:sz w:val="16"/>
                <w:szCs w:val="16"/>
              </w:rPr>
              <w:t xml:space="preserve"> </w:t>
            </w:r>
            <w:r w:rsidRPr="00C72BA6">
              <w:rPr>
                <w:i/>
                <w:sz w:val="16"/>
                <w:szCs w:val="16"/>
              </w:rPr>
              <w:t>Aircraft</w:t>
            </w:r>
            <w:r>
              <w:rPr>
                <w:i/>
                <w:sz w:val="16"/>
                <w:szCs w:val="16"/>
              </w:rPr>
              <w:t xml:space="preserve"> </w:t>
            </w:r>
            <w:r w:rsidRPr="00C72BA6">
              <w:rPr>
                <w:i/>
                <w:sz w:val="16"/>
                <w:szCs w:val="16"/>
              </w:rPr>
              <w:t>(2</w:t>
            </w:r>
            <w:r w:rsidRPr="00771172">
              <w:rPr>
                <w:i/>
                <w:sz w:val="16"/>
                <w:szCs w:val="16"/>
                <w:vertAlign w:val="superscript"/>
              </w:rPr>
              <w:t>nd</w:t>
            </w:r>
            <w:r>
              <w:rPr>
                <w:i/>
                <w:sz w:val="16"/>
                <w:szCs w:val="16"/>
              </w:rPr>
              <w:t> </w:t>
            </w:r>
            <w:r w:rsidRPr="00C72BA6">
              <w:rPr>
                <w:i/>
                <w:sz w:val="16"/>
                <w:szCs w:val="16"/>
              </w:rPr>
              <w:t>complaint)</w:t>
            </w:r>
          </w:p>
        </w:tc>
        <w:tc>
          <w:tcPr>
            <w:tcW w:w="6622" w:type="dxa"/>
          </w:tcPr>
          <w:p w14:paraId="0E1839FA"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United</w:t>
            </w:r>
            <w:r>
              <w:rPr>
                <w:i/>
                <w:color w:val="000000"/>
                <w:sz w:val="16"/>
                <w:szCs w:val="16"/>
              </w:rPr>
              <w:t xml:space="preserve"> </w:t>
            </w:r>
            <w:r w:rsidRPr="00C72BA6">
              <w:rPr>
                <w:i/>
                <w:color w:val="000000"/>
                <w:sz w:val="16"/>
                <w:szCs w:val="16"/>
              </w:rPr>
              <w:t>States – Measures Affecting Trade in Large Civil Aircraft (Second Complaint)</w:t>
            </w:r>
            <w:r w:rsidRPr="00C72BA6">
              <w:rPr>
                <w:color w:val="000000"/>
                <w:sz w:val="16"/>
                <w:szCs w:val="16"/>
              </w:rPr>
              <w:t xml:space="preserve">, </w:t>
            </w:r>
            <w:r w:rsidRPr="00C72BA6">
              <w:rPr>
                <w:sz w:val="16"/>
                <w:szCs w:val="16"/>
              </w:rPr>
              <w:t>WT/DS353/AB/R</w:t>
            </w:r>
            <w:r w:rsidRPr="00C72BA6">
              <w:rPr>
                <w:color w:val="000000"/>
                <w:sz w:val="16"/>
                <w:szCs w:val="16"/>
              </w:rPr>
              <w:t>, adopted 23</w:t>
            </w:r>
            <w:r>
              <w:rPr>
                <w:color w:val="000000"/>
                <w:sz w:val="16"/>
                <w:szCs w:val="16"/>
              </w:rPr>
              <w:t xml:space="preserve"> </w:t>
            </w:r>
            <w:r w:rsidRPr="00C72BA6">
              <w:rPr>
                <w:color w:val="000000"/>
                <w:sz w:val="16"/>
                <w:szCs w:val="16"/>
              </w:rPr>
              <w:t>March</w:t>
            </w:r>
            <w:r>
              <w:rPr>
                <w:color w:val="000000"/>
                <w:sz w:val="16"/>
                <w:szCs w:val="16"/>
              </w:rPr>
              <w:t xml:space="preserve"> </w:t>
            </w:r>
            <w:r w:rsidRPr="00C72BA6">
              <w:rPr>
                <w:color w:val="000000"/>
                <w:sz w:val="16"/>
                <w:szCs w:val="16"/>
              </w:rPr>
              <w:t>2012, DSR 2012:I, p.</w:t>
            </w:r>
            <w:r>
              <w:rPr>
                <w:color w:val="000000"/>
                <w:sz w:val="16"/>
                <w:szCs w:val="16"/>
              </w:rPr>
              <w:t xml:space="preserve"> </w:t>
            </w:r>
            <w:r w:rsidRPr="00C72BA6">
              <w:rPr>
                <w:color w:val="000000"/>
                <w:sz w:val="16"/>
                <w:szCs w:val="16"/>
              </w:rPr>
              <w:t>7</w:t>
            </w:r>
          </w:p>
        </w:tc>
      </w:tr>
      <w:tr w:rsidR="00771172" w:rsidRPr="00C72BA6" w14:paraId="59B5A733"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6B421A46" w14:textId="77777777" w:rsidR="00771172" w:rsidRPr="00C72BA6" w:rsidRDefault="00771172" w:rsidP="00EB6B84">
            <w:pPr>
              <w:spacing w:before="60" w:after="60"/>
              <w:jc w:val="left"/>
              <w:rPr>
                <w:i/>
                <w:sz w:val="16"/>
                <w:szCs w:val="16"/>
              </w:rPr>
            </w:pPr>
            <w:r w:rsidRPr="00C72BA6">
              <w:rPr>
                <w:i/>
                <w:sz w:val="16"/>
                <w:szCs w:val="16"/>
              </w:rPr>
              <w:t>US</w:t>
            </w:r>
            <w:r>
              <w:rPr>
                <w:i/>
                <w:sz w:val="16"/>
                <w:szCs w:val="16"/>
              </w:rPr>
              <w:t xml:space="preserve"> – </w:t>
            </w:r>
            <w:r w:rsidRPr="00C72BA6">
              <w:rPr>
                <w:i/>
                <w:sz w:val="16"/>
                <w:szCs w:val="16"/>
              </w:rPr>
              <w:t>Oil</w:t>
            </w:r>
            <w:r>
              <w:rPr>
                <w:i/>
                <w:sz w:val="16"/>
                <w:szCs w:val="16"/>
              </w:rPr>
              <w:t xml:space="preserve"> </w:t>
            </w:r>
            <w:r w:rsidRPr="00C72BA6">
              <w:rPr>
                <w:i/>
                <w:sz w:val="16"/>
                <w:szCs w:val="16"/>
              </w:rPr>
              <w:t>Country</w:t>
            </w:r>
            <w:r>
              <w:rPr>
                <w:i/>
                <w:sz w:val="16"/>
                <w:szCs w:val="16"/>
              </w:rPr>
              <w:t xml:space="preserve"> </w:t>
            </w:r>
            <w:r w:rsidRPr="00C72BA6">
              <w:rPr>
                <w:i/>
                <w:sz w:val="16"/>
                <w:szCs w:val="16"/>
              </w:rPr>
              <w:t>Tubular</w:t>
            </w:r>
            <w:r>
              <w:rPr>
                <w:i/>
                <w:sz w:val="16"/>
                <w:szCs w:val="16"/>
              </w:rPr>
              <w:t xml:space="preserve"> </w:t>
            </w:r>
            <w:r w:rsidRPr="00C72BA6">
              <w:rPr>
                <w:i/>
                <w:sz w:val="16"/>
                <w:szCs w:val="16"/>
              </w:rPr>
              <w:t>Goods</w:t>
            </w:r>
            <w:r>
              <w:rPr>
                <w:i/>
                <w:sz w:val="16"/>
                <w:szCs w:val="16"/>
              </w:rPr>
              <w:t xml:space="preserve"> </w:t>
            </w:r>
            <w:r w:rsidRPr="00C72BA6">
              <w:rPr>
                <w:i/>
                <w:sz w:val="16"/>
                <w:szCs w:val="16"/>
              </w:rPr>
              <w:t>Sunset Reviews</w:t>
            </w:r>
          </w:p>
        </w:tc>
        <w:tc>
          <w:tcPr>
            <w:tcW w:w="6622" w:type="dxa"/>
          </w:tcPr>
          <w:p w14:paraId="61F6F22E"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United</w:t>
            </w:r>
            <w:r>
              <w:rPr>
                <w:i/>
                <w:color w:val="000000"/>
                <w:sz w:val="16"/>
                <w:szCs w:val="16"/>
              </w:rPr>
              <w:t xml:space="preserve"> </w:t>
            </w:r>
            <w:r w:rsidRPr="00C72BA6">
              <w:rPr>
                <w:i/>
                <w:color w:val="000000"/>
                <w:sz w:val="16"/>
                <w:szCs w:val="16"/>
              </w:rPr>
              <w:t>States – Sunset Reviews of Anti-Dumping Measures on Oil Country Tubular Goods from Argentina</w:t>
            </w:r>
            <w:r w:rsidRPr="00C72BA6">
              <w:rPr>
                <w:color w:val="000000"/>
                <w:sz w:val="16"/>
                <w:szCs w:val="16"/>
              </w:rPr>
              <w:t xml:space="preserve">, </w:t>
            </w:r>
            <w:r w:rsidRPr="00C72BA6">
              <w:rPr>
                <w:sz w:val="16"/>
                <w:szCs w:val="16"/>
              </w:rPr>
              <w:t>WT/DS268/AB/R</w:t>
            </w:r>
            <w:r w:rsidRPr="00C72BA6">
              <w:rPr>
                <w:color w:val="000000"/>
                <w:sz w:val="16"/>
                <w:szCs w:val="16"/>
              </w:rPr>
              <w:t>, adopted 17</w:t>
            </w:r>
            <w:r>
              <w:rPr>
                <w:color w:val="000000"/>
                <w:sz w:val="16"/>
                <w:szCs w:val="16"/>
              </w:rPr>
              <w:t xml:space="preserve"> </w:t>
            </w:r>
            <w:r w:rsidRPr="00C72BA6">
              <w:rPr>
                <w:color w:val="000000"/>
                <w:sz w:val="16"/>
                <w:szCs w:val="16"/>
              </w:rPr>
              <w:t>December</w:t>
            </w:r>
            <w:r>
              <w:rPr>
                <w:color w:val="000000"/>
                <w:sz w:val="16"/>
                <w:szCs w:val="16"/>
              </w:rPr>
              <w:t xml:space="preserve"> </w:t>
            </w:r>
            <w:r w:rsidRPr="00C72BA6">
              <w:rPr>
                <w:color w:val="000000"/>
                <w:sz w:val="16"/>
                <w:szCs w:val="16"/>
              </w:rPr>
              <w:t>2004, DSR 2004:VII, p.</w:t>
            </w:r>
            <w:r>
              <w:rPr>
                <w:color w:val="000000"/>
                <w:sz w:val="16"/>
                <w:szCs w:val="16"/>
              </w:rPr>
              <w:t xml:space="preserve"> </w:t>
            </w:r>
            <w:r w:rsidRPr="00C72BA6">
              <w:rPr>
                <w:color w:val="000000"/>
                <w:sz w:val="16"/>
                <w:szCs w:val="16"/>
              </w:rPr>
              <w:t>3257</w:t>
            </w:r>
          </w:p>
        </w:tc>
      </w:tr>
      <w:tr w:rsidR="00771172" w:rsidRPr="00C72BA6" w14:paraId="4F410AB4" w14:textId="77777777" w:rsidTr="00EB6B84">
        <w:trPr>
          <w:cantSplit/>
        </w:trPr>
        <w:tc>
          <w:tcPr>
            <w:tcW w:w="2602" w:type="dxa"/>
          </w:tcPr>
          <w:p w14:paraId="28DC3D39" w14:textId="77777777" w:rsidR="00771172" w:rsidRPr="00C72BA6" w:rsidRDefault="00771172" w:rsidP="00EB6B84">
            <w:pPr>
              <w:spacing w:before="60" w:after="60"/>
              <w:jc w:val="left"/>
              <w:rPr>
                <w:i/>
                <w:sz w:val="16"/>
                <w:szCs w:val="16"/>
              </w:rPr>
            </w:pPr>
            <w:r w:rsidRPr="00C72BA6">
              <w:rPr>
                <w:i/>
                <w:sz w:val="16"/>
                <w:szCs w:val="16"/>
              </w:rPr>
              <w:t>US</w:t>
            </w:r>
            <w:r>
              <w:rPr>
                <w:i/>
                <w:sz w:val="16"/>
                <w:szCs w:val="16"/>
              </w:rPr>
              <w:t xml:space="preserve"> – </w:t>
            </w:r>
            <w:r w:rsidRPr="00C72BA6">
              <w:rPr>
                <w:i/>
                <w:sz w:val="16"/>
                <w:szCs w:val="16"/>
              </w:rPr>
              <w:t>Section</w:t>
            </w:r>
            <w:r>
              <w:rPr>
                <w:i/>
                <w:sz w:val="16"/>
                <w:szCs w:val="16"/>
              </w:rPr>
              <w:t xml:space="preserve"> </w:t>
            </w:r>
            <w:r w:rsidRPr="00C72BA6">
              <w:rPr>
                <w:i/>
                <w:sz w:val="16"/>
                <w:szCs w:val="16"/>
              </w:rPr>
              <w:t>211</w:t>
            </w:r>
            <w:r>
              <w:rPr>
                <w:i/>
                <w:sz w:val="16"/>
                <w:szCs w:val="16"/>
              </w:rPr>
              <w:t xml:space="preserve"> </w:t>
            </w:r>
            <w:r w:rsidRPr="00C72BA6">
              <w:rPr>
                <w:i/>
                <w:sz w:val="16"/>
                <w:szCs w:val="16"/>
              </w:rPr>
              <w:t>Appropriations</w:t>
            </w:r>
            <w:r>
              <w:rPr>
                <w:i/>
                <w:sz w:val="16"/>
                <w:szCs w:val="16"/>
              </w:rPr>
              <w:t xml:space="preserve"> </w:t>
            </w:r>
            <w:r w:rsidRPr="00C72BA6">
              <w:rPr>
                <w:i/>
                <w:sz w:val="16"/>
                <w:szCs w:val="16"/>
              </w:rPr>
              <w:t>Act</w:t>
            </w:r>
          </w:p>
        </w:tc>
        <w:tc>
          <w:tcPr>
            <w:tcW w:w="6622" w:type="dxa"/>
          </w:tcPr>
          <w:p w14:paraId="24258A8D"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United</w:t>
            </w:r>
            <w:r>
              <w:rPr>
                <w:i/>
                <w:color w:val="000000"/>
                <w:sz w:val="16"/>
                <w:szCs w:val="16"/>
              </w:rPr>
              <w:t xml:space="preserve"> </w:t>
            </w:r>
            <w:r w:rsidRPr="00C72BA6">
              <w:rPr>
                <w:i/>
                <w:color w:val="000000"/>
                <w:sz w:val="16"/>
                <w:szCs w:val="16"/>
              </w:rPr>
              <w:t>States – Section 211 Omnibus Appropriations Act of 1998</w:t>
            </w:r>
            <w:r w:rsidRPr="00C72BA6">
              <w:rPr>
                <w:color w:val="000000"/>
                <w:sz w:val="16"/>
                <w:szCs w:val="16"/>
              </w:rPr>
              <w:t xml:space="preserve">, </w:t>
            </w:r>
            <w:r w:rsidRPr="00C72BA6">
              <w:rPr>
                <w:sz w:val="16"/>
                <w:szCs w:val="16"/>
              </w:rPr>
              <w:t>WT/DS176/AB/R</w:t>
            </w:r>
            <w:r w:rsidRPr="00C72BA6">
              <w:rPr>
                <w:color w:val="000000"/>
                <w:sz w:val="16"/>
                <w:szCs w:val="16"/>
              </w:rPr>
              <w:t>, adopted 1</w:t>
            </w:r>
            <w:r>
              <w:rPr>
                <w:color w:val="000000"/>
                <w:sz w:val="16"/>
                <w:szCs w:val="16"/>
              </w:rPr>
              <w:t xml:space="preserve"> </w:t>
            </w:r>
            <w:r w:rsidRPr="00C72BA6">
              <w:rPr>
                <w:color w:val="000000"/>
                <w:sz w:val="16"/>
                <w:szCs w:val="16"/>
              </w:rPr>
              <w:t>February 2002, DSR 2002:II, p.</w:t>
            </w:r>
            <w:r>
              <w:rPr>
                <w:color w:val="000000"/>
                <w:sz w:val="16"/>
                <w:szCs w:val="16"/>
              </w:rPr>
              <w:t xml:space="preserve"> </w:t>
            </w:r>
            <w:r w:rsidRPr="00C72BA6">
              <w:rPr>
                <w:color w:val="000000"/>
                <w:sz w:val="16"/>
                <w:szCs w:val="16"/>
              </w:rPr>
              <w:t>589</w:t>
            </w:r>
          </w:p>
        </w:tc>
      </w:tr>
      <w:tr w:rsidR="00771172" w:rsidRPr="00C72BA6" w14:paraId="4D4E8B3C"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0D44802C" w14:textId="77777777" w:rsidR="00771172" w:rsidRPr="00C72BA6" w:rsidRDefault="00771172" w:rsidP="00EB6B84">
            <w:pPr>
              <w:spacing w:before="60" w:after="60"/>
              <w:jc w:val="left"/>
              <w:rPr>
                <w:i/>
                <w:sz w:val="16"/>
                <w:szCs w:val="16"/>
              </w:rPr>
            </w:pPr>
            <w:r w:rsidRPr="00C72BA6">
              <w:rPr>
                <w:i/>
                <w:sz w:val="16"/>
                <w:szCs w:val="16"/>
              </w:rPr>
              <w:t>US</w:t>
            </w:r>
            <w:r>
              <w:rPr>
                <w:i/>
                <w:sz w:val="16"/>
                <w:szCs w:val="16"/>
              </w:rPr>
              <w:t xml:space="preserve"> – </w:t>
            </w:r>
            <w:r w:rsidRPr="00C72BA6">
              <w:rPr>
                <w:i/>
                <w:sz w:val="16"/>
                <w:szCs w:val="16"/>
              </w:rPr>
              <w:t>Tuna</w:t>
            </w:r>
            <w:r>
              <w:rPr>
                <w:i/>
                <w:sz w:val="16"/>
                <w:szCs w:val="16"/>
              </w:rPr>
              <w:t xml:space="preserve"> </w:t>
            </w:r>
            <w:r w:rsidRPr="00C72BA6">
              <w:rPr>
                <w:i/>
                <w:sz w:val="16"/>
                <w:szCs w:val="16"/>
              </w:rPr>
              <w:t>II</w:t>
            </w:r>
            <w:r>
              <w:rPr>
                <w:i/>
                <w:sz w:val="16"/>
                <w:szCs w:val="16"/>
              </w:rPr>
              <w:t xml:space="preserve"> </w:t>
            </w:r>
            <w:r w:rsidRPr="00C72BA6">
              <w:rPr>
                <w:i/>
                <w:sz w:val="16"/>
                <w:szCs w:val="16"/>
              </w:rPr>
              <w:t>(Mexico)</w:t>
            </w:r>
          </w:p>
        </w:tc>
        <w:tc>
          <w:tcPr>
            <w:tcW w:w="6622" w:type="dxa"/>
          </w:tcPr>
          <w:p w14:paraId="17F5D73A" w14:textId="53F62C16"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United</w:t>
            </w:r>
            <w:r>
              <w:rPr>
                <w:i/>
                <w:color w:val="000000"/>
                <w:sz w:val="16"/>
                <w:szCs w:val="16"/>
              </w:rPr>
              <w:t xml:space="preserve"> </w:t>
            </w:r>
            <w:r w:rsidRPr="00C72BA6">
              <w:rPr>
                <w:i/>
                <w:color w:val="000000"/>
                <w:sz w:val="16"/>
                <w:szCs w:val="16"/>
              </w:rPr>
              <w:t>States – Measures Concerning the Importation, Marketing and Sale of Tuna and Tuna Products</w:t>
            </w:r>
            <w:r w:rsidRPr="00C72BA6">
              <w:rPr>
                <w:color w:val="000000"/>
                <w:sz w:val="16"/>
                <w:szCs w:val="16"/>
              </w:rPr>
              <w:t xml:space="preserve">, </w:t>
            </w:r>
            <w:r w:rsidRPr="00C72BA6">
              <w:rPr>
                <w:sz w:val="16"/>
                <w:szCs w:val="16"/>
              </w:rPr>
              <w:t>WT/DS381/AB/R</w:t>
            </w:r>
            <w:r w:rsidRPr="00C72BA6">
              <w:rPr>
                <w:color w:val="000000"/>
                <w:sz w:val="16"/>
                <w:szCs w:val="16"/>
              </w:rPr>
              <w:t>, adopted 13</w:t>
            </w:r>
            <w:r>
              <w:rPr>
                <w:color w:val="000000"/>
                <w:sz w:val="16"/>
                <w:szCs w:val="16"/>
              </w:rPr>
              <w:t> </w:t>
            </w:r>
            <w:r w:rsidRPr="00C72BA6">
              <w:rPr>
                <w:color w:val="000000"/>
                <w:sz w:val="16"/>
                <w:szCs w:val="16"/>
              </w:rPr>
              <w:t>June</w:t>
            </w:r>
            <w:r>
              <w:rPr>
                <w:color w:val="000000"/>
                <w:sz w:val="16"/>
                <w:szCs w:val="16"/>
              </w:rPr>
              <w:t xml:space="preserve"> </w:t>
            </w:r>
            <w:r w:rsidRPr="00C72BA6">
              <w:rPr>
                <w:color w:val="000000"/>
                <w:sz w:val="16"/>
                <w:szCs w:val="16"/>
              </w:rPr>
              <w:t>2012, DSR</w:t>
            </w:r>
            <w:r>
              <w:rPr>
                <w:color w:val="000000"/>
                <w:sz w:val="16"/>
                <w:szCs w:val="16"/>
              </w:rPr>
              <w:t xml:space="preserve"> </w:t>
            </w:r>
            <w:r w:rsidRPr="00C72BA6">
              <w:rPr>
                <w:color w:val="000000"/>
                <w:sz w:val="16"/>
                <w:szCs w:val="16"/>
              </w:rPr>
              <w:t>2012:IV, p.</w:t>
            </w:r>
            <w:r>
              <w:rPr>
                <w:color w:val="000000"/>
                <w:sz w:val="16"/>
                <w:szCs w:val="16"/>
              </w:rPr>
              <w:t xml:space="preserve"> </w:t>
            </w:r>
            <w:r w:rsidRPr="00C72BA6">
              <w:rPr>
                <w:color w:val="000000"/>
                <w:sz w:val="16"/>
                <w:szCs w:val="16"/>
              </w:rPr>
              <w:t>1837</w:t>
            </w:r>
          </w:p>
        </w:tc>
      </w:tr>
      <w:tr w:rsidR="00771172" w:rsidRPr="00C72BA6" w14:paraId="5F3FF8F7" w14:textId="77777777" w:rsidTr="00EB6B84">
        <w:trPr>
          <w:cantSplit/>
        </w:trPr>
        <w:tc>
          <w:tcPr>
            <w:tcW w:w="2602" w:type="dxa"/>
          </w:tcPr>
          <w:p w14:paraId="59405B5B" w14:textId="77777777" w:rsidR="00771172" w:rsidRPr="00C72BA6" w:rsidRDefault="00771172" w:rsidP="00EB6B84">
            <w:pPr>
              <w:spacing w:before="60" w:after="60"/>
              <w:jc w:val="left"/>
              <w:rPr>
                <w:i/>
                <w:sz w:val="16"/>
                <w:szCs w:val="16"/>
                <w:lang w:val="es-ES"/>
              </w:rPr>
            </w:pPr>
            <w:r w:rsidRPr="00C72BA6">
              <w:rPr>
                <w:i/>
                <w:sz w:val="16"/>
                <w:szCs w:val="16"/>
                <w:lang w:val="es-ES"/>
              </w:rPr>
              <w:t>US</w:t>
            </w:r>
            <w:r>
              <w:rPr>
                <w:i/>
                <w:sz w:val="16"/>
                <w:szCs w:val="16"/>
                <w:lang w:val="es-ES"/>
              </w:rPr>
              <w:t xml:space="preserve"> – </w:t>
            </w:r>
            <w:r w:rsidRPr="00C72BA6">
              <w:rPr>
                <w:i/>
                <w:sz w:val="16"/>
                <w:szCs w:val="16"/>
                <w:lang w:val="es-ES"/>
              </w:rPr>
              <w:t>Tuna</w:t>
            </w:r>
            <w:r>
              <w:rPr>
                <w:i/>
                <w:sz w:val="16"/>
                <w:szCs w:val="16"/>
                <w:lang w:val="es-ES"/>
              </w:rPr>
              <w:t xml:space="preserve"> </w:t>
            </w:r>
            <w:r w:rsidRPr="00C72BA6">
              <w:rPr>
                <w:i/>
                <w:sz w:val="16"/>
                <w:szCs w:val="16"/>
                <w:lang w:val="es-ES"/>
              </w:rPr>
              <w:t>II</w:t>
            </w:r>
            <w:r>
              <w:rPr>
                <w:i/>
                <w:sz w:val="16"/>
                <w:szCs w:val="16"/>
                <w:lang w:val="es-ES"/>
              </w:rPr>
              <w:t xml:space="preserve"> </w:t>
            </w:r>
            <w:r w:rsidRPr="00C72BA6">
              <w:rPr>
                <w:i/>
                <w:sz w:val="16"/>
                <w:szCs w:val="16"/>
                <w:lang w:val="es-ES"/>
              </w:rPr>
              <w:t>(Mexico)</w:t>
            </w:r>
            <w:r>
              <w:rPr>
                <w:i/>
                <w:sz w:val="16"/>
                <w:szCs w:val="16"/>
                <w:lang w:val="es-ES"/>
              </w:rPr>
              <w:t xml:space="preserve"> </w:t>
            </w:r>
            <w:r w:rsidRPr="00C72BA6">
              <w:rPr>
                <w:i/>
                <w:sz w:val="16"/>
                <w:szCs w:val="16"/>
                <w:lang w:val="es-ES"/>
              </w:rPr>
              <w:t>(Article</w:t>
            </w:r>
            <w:r>
              <w:rPr>
                <w:i/>
                <w:sz w:val="16"/>
                <w:szCs w:val="16"/>
                <w:lang w:val="es-ES"/>
              </w:rPr>
              <w:t xml:space="preserve"> </w:t>
            </w:r>
            <w:r w:rsidRPr="00C72BA6">
              <w:rPr>
                <w:i/>
                <w:sz w:val="16"/>
                <w:szCs w:val="16"/>
                <w:lang w:val="es-ES"/>
              </w:rPr>
              <w:t>21.5</w:t>
            </w:r>
            <w:r>
              <w:rPr>
                <w:i/>
                <w:sz w:val="16"/>
                <w:szCs w:val="16"/>
                <w:lang w:val="es-ES"/>
              </w:rPr>
              <w:t xml:space="preserve"> </w:t>
            </w:r>
            <w:r w:rsidRPr="00C72BA6">
              <w:rPr>
                <w:i/>
                <w:sz w:val="16"/>
                <w:szCs w:val="16"/>
                <w:lang w:val="es-ES"/>
              </w:rPr>
              <w:t>– Mexico)</w:t>
            </w:r>
          </w:p>
        </w:tc>
        <w:tc>
          <w:tcPr>
            <w:tcW w:w="6622" w:type="dxa"/>
          </w:tcPr>
          <w:p w14:paraId="14FD94BE" w14:textId="77777777" w:rsidR="00771172" w:rsidRPr="00C72BA6" w:rsidRDefault="00771172" w:rsidP="00EB6B84">
            <w:pPr>
              <w:tabs>
                <w:tab w:val="left" w:pos="2268"/>
                <w:tab w:val="left" w:pos="4536"/>
              </w:tabs>
              <w:spacing w:before="60" w:after="60"/>
              <w:jc w:val="left"/>
              <w:rPr>
                <w:color w:val="000000"/>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United</w:t>
            </w:r>
            <w:r>
              <w:rPr>
                <w:i/>
                <w:color w:val="000000"/>
                <w:sz w:val="16"/>
                <w:szCs w:val="16"/>
              </w:rPr>
              <w:t xml:space="preserve"> </w:t>
            </w:r>
            <w:r w:rsidRPr="00C72BA6">
              <w:rPr>
                <w:i/>
                <w:color w:val="000000"/>
                <w:sz w:val="16"/>
                <w:szCs w:val="16"/>
              </w:rPr>
              <w:t>States – Measures Concerning the Importation, Marketing and Sale of Tuna and Tuna Products – Recourse to Article</w:t>
            </w:r>
            <w:r>
              <w:rPr>
                <w:i/>
                <w:color w:val="000000"/>
                <w:sz w:val="16"/>
                <w:szCs w:val="16"/>
              </w:rPr>
              <w:t xml:space="preserve"> </w:t>
            </w:r>
            <w:r w:rsidRPr="00C72BA6">
              <w:rPr>
                <w:i/>
                <w:color w:val="000000"/>
                <w:sz w:val="16"/>
                <w:szCs w:val="16"/>
              </w:rPr>
              <w:t>21.5 of the DSU by Mexico</w:t>
            </w:r>
            <w:r w:rsidRPr="00C72BA6">
              <w:rPr>
                <w:color w:val="000000"/>
                <w:sz w:val="16"/>
                <w:szCs w:val="16"/>
              </w:rPr>
              <w:t xml:space="preserve">, </w:t>
            </w:r>
            <w:r w:rsidRPr="00C72BA6">
              <w:rPr>
                <w:sz w:val="16"/>
                <w:szCs w:val="16"/>
              </w:rPr>
              <w:t>WT/DS381/AB/RW</w:t>
            </w:r>
            <w:r w:rsidRPr="00C72BA6">
              <w:rPr>
                <w:color w:val="000000"/>
                <w:sz w:val="16"/>
                <w:szCs w:val="16"/>
              </w:rPr>
              <w:t xml:space="preserve"> and Add.1, adopted 3</w:t>
            </w:r>
            <w:r>
              <w:rPr>
                <w:color w:val="000000"/>
                <w:sz w:val="16"/>
                <w:szCs w:val="16"/>
              </w:rPr>
              <w:t xml:space="preserve"> </w:t>
            </w:r>
            <w:r w:rsidRPr="00C72BA6">
              <w:rPr>
                <w:color w:val="000000"/>
                <w:sz w:val="16"/>
                <w:szCs w:val="16"/>
              </w:rPr>
              <w:t>December</w:t>
            </w:r>
            <w:r>
              <w:rPr>
                <w:color w:val="000000"/>
                <w:sz w:val="16"/>
                <w:szCs w:val="16"/>
              </w:rPr>
              <w:t xml:space="preserve"> </w:t>
            </w:r>
            <w:r w:rsidRPr="00C72BA6">
              <w:rPr>
                <w:color w:val="000000"/>
                <w:sz w:val="16"/>
                <w:szCs w:val="16"/>
              </w:rPr>
              <w:t>2015, DSR 2015:X, p.</w:t>
            </w:r>
            <w:r>
              <w:rPr>
                <w:color w:val="000000"/>
                <w:sz w:val="16"/>
                <w:szCs w:val="16"/>
              </w:rPr>
              <w:t xml:space="preserve"> </w:t>
            </w:r>
            <w:r w:rsidRPr="00C72BA6">
              <w:rPr>
                <w:color w:val="000000"/>
                <w:sz w:val="16"/>
                <w:szCs w:val="16"/>
              </w:rPr>
              <w:t>5133</w:t>
            </w:r>
          </w:p>
        </w:tc>
      </w:tr>
      <w:tr w:rsidR="00771172" w:rsidRPr="00C72BA6" w14:paraId="54805503"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343F018F" w14:textId="77777777" w:rsidR="00771172" w:rsidRPr="00C72BA6" w:rsidRDefault="00771172" w:rsidP="00EB6B84">
            <w:pPr>
              <w:spacing w:before="60" w:after="60"/>
              <w:jc w:val="left"/>
              <w:rPr>
                <w:i/>
                <w:sz w:val="16"/>
                <w:szCs w:val="16"/>
              </w:rPr>
            </w:pPr>
            <w:r w:rsidRPr="00C72BA6">
              <w:rPr>
                <w:i/>
                <w:sz w:val="16"/>
                <w:szCs w:val="16"/>
              </w:rPr>
              <w:t>US</w:t>
            </w:r>
            <w:r>
              <w:rPr>
                <w:i/>
                <w:sz w:val="16"/>
                <w:szCs w:val="16"/>
              </w:rPr>
              <w:t xml:space="preserve"> – </w:t>
            </w:r>
            <w:r w:rsidRPr="00C72BA6">
              <w:rPr>
                <w:i/>
                <w:sz w:val="16"/>
                <w:szCs w:val="16"/>
              </w:rPr>
              <w:t>Upland</w:t>
            </w:r>
            <w:r>
              <w:rPr>
                <w:i/>
                <w:sz w:val="16"/>
                <w:szCs w:val="16"/>
              </w:rPr>
              <w:t xml:space="preserve"> </w:t>
            </w:r>
            <w:r w:rsidRPr="00C72BA6">
              <w:rPr>
                <w:i/>
                <w:sz w:val="16"/>
                <w:szCs w:val="16"/>
              </w:rPr>
              <w:t>Cotton</w:t>
            </w:r>
          </w:p>
        </w:tc>
        <w:tc>
          <w:tcPr>
            <w:tcW w:w="6622" w:type="dxa"/>
          </w:tcPr>
          <w:p w14:paraId="702B9F04"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United</w:t>
            </w:r>
            <w:r>
              <w:rPr>
                <w:i/>
                <w:color w:val="000000"/>
                <w:sz w:val="16"/>
                <w:szCs w:val="16"/>
              </w:rPr>
              <w:t xml:space="preserve"> </w:t>
            </w:r>
            <w:r w:rsidRPr="00C72BA6">
              <w:rPr>
                <w:i/>
                <w:color w:val="000000"/>
                <w:sz w:val="16"/>
                <w:szCs w:val="16"/>
              </w:rPr>
              <w:t>States – Subsidies on Upland Cotton</w:t>
            </w:r>
            <w:r w:rsidRPr="00C72BA6">
              <w:rPr>
                <w:color w:val="000000"/>
                <w:sz w:val="16"/>
                <w:szCs w:val="16"/>
              </w:rPr>
              <w:t xml:space="preserve">, </w:t>
            </w:r>
            <w:r w:rsidRPr="00C72BA6">
              <w:rPr>
                <w:sz w:val="16"/>
                <w:szCs w:val="16"/>
              </w:rPr>
              <w:t>WT/DS267/AB/R</w:t>
            </w:r>
            <w:r w:rsidRPr="00C72BA6">
              <w:rPr>
                <w:color w:val="000000"/>
                <w:sz w:val="16"/>
                <w:szCs w:val="16"/>
              </w:rPr>
              <w:t>, adopted 21</w:t>
            </w:r>
            <w:r>
              <w:rPr>
                <w:color w:val="000000"/>
                <w:sz w:val="16"/>
                <w:szCs w:val="16"/>
              </w:rPr>
              <w:t xml:space="preserve"> </w:t>
            </w:r>
            <w:r w:rsidRPr="00C72BA6">
              <w:rPr>
                <w:color w:val="000000"/>
                <w:sz w:val="16"/>
                <w:szCs w:val="16"/>
              </w:rPr>
              <w:t>March</w:t>
            </w:r>
            <w:r>
              <w:rPr>
                <w:color w:val="000000"/>
                <w:sz w:val="16"/>
                <w:szCs w:val="16"/>
              </w:rPr>
              <w:t xml:space="preserve"> </w:t>
            </w:r>
            <w:r w:rsidRPr="00C72BA6">
              <w:rPr>
                <w:color w:val="000000"/>
                <w:sz w:val="16"/>
                <w:szCs w:val="16"/>
              </w:rPr>
              <w:t>2005, DSR</w:t>
            </w:r>
            <w:r>
              <w:rPr>
                <w:color w:val="000000"/>
                <w:sz w:val="16"/>
                <w:szCs w:val="16"/>
              </w:rPr>
              <w:t xml:space="preserve"> </w:t>
            </w:r>
            <w:r w:rsidRPr="00C72BA6">
              <w:rPr>
                <w:color w:val="000000"/>
                <w:sz w:val="16"/>
                <w:szCs w:val="16"/>
              </w:rPr>
              <w:t>2005:I, p.</w:t>
            </w:r>
            <w:r>
              <w:rPr>
                <w:color w:val="000000"/>
                <w:sz w:val="16"/>
                <w:szCs w:val="16"/>
              </w:rPr>
              <w:t xml:space="preserve"> </w:t>
            </w:r>
            <w:r w:rsidRPr="00C72BA6">
              <w:rPr>
                <w:color w:val="000000"/>
                <w:sz w:val="16"/>
                <w:szCs w:val="16"/>
              </w:rPr>
              <w:t>3</w:t>
            </w:r>
            <w:r>
              <w:rPr>
                <w:sz w:val="16"/>
                <w:szCs w:val="16"/>
              </w:rPr>
              <w:t xml:space="preserve"> </w:t>
            </w:r>
          </w:p>
        </w:tc>
      </w:tr>
      <w:tr w:rsidR="00771172" w:rsidRPr="00C72BA6" w14:paraId="2168C018" w14:textId="77777777" w:rsidTr="00EB6B84">
        <w:trPr>
          <w:cantSplit/>
        </w:trPr>
        <w:tc>
          <w:tcPr>
            <w:tcW w:w="2602" w:type="dxa"/>
          </w:tcPr>
          <w:p w14:paraId="5A4A37F8" w14:textId="562FA453" w:rsidR="00771172" w:rsidRPr="00C72BA6" w:rsidRDefault="00771172" w:rsidP="00EB6B84">
            <w:pPr>
              <w:spacing w:before="60" w:after="60"/>
              <w:jc w:val="left"/>
              <w:rPr>
                <w:i/>
                <w:sz w:val="16"/>
                <w:szCs w:val="16"/>
              </w:rPr>
            </w:pPr>
            <w:r w:rsidRPr="00C72BA6">
              <w:rPr>
                <w:i/>
                <w:sz w:val="16"/>
                <w:szCs w:val="16"/>
              </w:rPr>
              <w:t>US</w:t>
            </w:r>
            <w:r>
              <w:rPr>
                <w:i/>
                <w:sz w:val="16"/>
                <w:szCs w:val="16"/>
              </w:rPr>
              <w:t xml:space="preserve"> – </w:t>
            </w:r>
            <w:r w:rsidRPr="00C72BA6">
              <w:rPr>
                <w:i/>
                <w:sz w:val="16"/>
                <w:szCs w:val="16"/>
              </w:rPr>
              <w:t>Upland</w:t>
            </w:r>
            <w:r>
              <w:rPr>
                <w:i/>
                <w:sz w:val="16"/>
                <w:szCs w:val="16"/>
              </w:rPr>
              <w:t xml:space="preserve"> </w:t>
            </w:r>
            <w:r w:rsidRPr="00C72BA6">
              <w:rPr>
                <w:i/>
                <w:sz w:val="16"/>
                <w:szCs w:val="16"/>
              </w:rPr>
              <w:t>Cotton</w:t>
            </w:r>
            <w:r>
              <w:rPr>
                <w:i/>
                <w:sz w:val="16"/>
                <w:szCs w:val="16"/>
              </w:rPr>
              <w:t xml:space="preserve"> </w:t>
            </w:r>
            <w:r w:rsidRPr="00C72BA6">
              <w:rPr>
                <w:i/>
                <w:sz w:val="16"/>
                <w:szCs w:val="16"/>
              </w:rPr>
              <w:t>(Article</w:t>
            </w:r>
            <w:r>
              <w:rPr>
                <w:i/>
                <w:sz w:val="16"/>
                <w:szCs w:val="16"/>
              </w:rPr>
              <w:t> </w:t>
            </w:r>
            <w:r w:rsidRPr="00C72BA6">
              <w:rPr>
                <w:i/>
                <w:sz w:val="16"/>
                <w:szCs w:val="16"/>
              </w:rPr>
              <w:t>21.5</w:t>
            </w:r>
            <w:r>
              <w:rPr>
                <w:i/>
                <w:sz w:val="16"/>
                <w:szCs w:val="16"/>
              </w:rPr>
              <w:t xml:space="preserve"> – </w:t>
            </w:r>
            <w:r w:rsidRPr="00C72BA6">
              <w:rPr>
                <w:i/>
                <w:sz w:val="16"/>
                <w:szCs w:val="16"/>
              </w:rPr>
              <w:t>Brazil)</w:t>
            </w:r>
          </w:p>
        </w:tc>
        <w:tc>
          <w:tcPr>
            <w:tcW w:w="6622" w:type="dxa"/>
          </w:tcPr>
          <w:p w14:paraId="6C5203CD"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United</w:t>
            </w:r>
            <w:r>
              <w:rPr>
                <w:i/>
                <w:color w:val="000000"/>
                <w:sz w:val="16"/>
                <w:szCs w:val="16"/>
              </w:rPr>
              <w:t xml:space="preserve"> </w:t>
            </w:r>
            <w:r w:rsidRPr="00C72BA6">
              <w:rPr>
                <w:i/>
                <w:color w:val="000000"/>
                <w:sz w:val="16"/>
                <w:szCs w:val="16"/>
              </w:rPr>
              <w:t>States – Subsidies on Upland Cotton – Recourse to Article</w:t>
            </w:r>
            <w:r>
              <w:rPr>
                <w:i/>
                <w:color w:val="000000"/>
                <w:sz w:val="16"/>
                <w:szCs w:val="16"/>
              </w:rPr>
              <w:t xml:space="preserve"> </w:t>
            </w:r>
            <w:r w:rsidRPr="00C72BA6">
              <w:rPr>
                <w:i/>
                <w:color w:val="000000"/>
                <w:sz w:val="16"/>
                <w:szCs w:val="16"/>
              </w:rPr>
              <w:t>21.5 of the DSU by Brazil</w:t>
            </w:r>
            <w:r w:rsidRPr="00C72BA6">
              <w:rPr>
                <w:color w:val="000000"/>
                <w:sz w:val="16"/>
                <w:szCs w:val="16"/>
              </w:rPr>
              <w:t xml:space="preserve">, </w:t>
            </w:r>
            <w:r w:rsidRPr="00C72BA6">
              <w:rPr>
                <w:sz w:val="16"/>
                <w:szCs w:val="16"/>
              </w:rPr>
              <w:t>WT/DS267/AB/RW</w:t>
            </w:r>
            <w:r w:rsidRPr="00C72BA6">
              <w:rPr>
                <w:color w:val="000000"/>
                <w:sz w:val="16"/>
                <w:szCs w:val="16"/>
              </w:rPr>
              <w:t>, adopted 20</w:t>
            </w:r>
            <w:r>
              <w:rPr>
                <w:color w:val="000000"/>
                <w:sz w:val="16"/>
                <w:szCs w:val="16"/>
              </w:rPr>
              <w:t xml:space="preserve"> </w:t>
            </w:r>
            <w:r w:rsidRPr="00C72BA6">
              <w:rPr>
                <w:color w:val="000000"/>
                <w:sz w:val="16"/>
                <w:szCs w:val="16"/>
              </w:rPr>
              <w:t>June</w:t>
            </w:r>
            <w:r>
              <w:rPr>
                <w:color w:val="000000"/>
                <w:sz w:val="16"/>
                <w:szCs w:val="16"/>
              </w:rPr>
              <w:t xml:space="preserve"> </w:t>
            </w:r>
            <w:r w:rsidRPr="00C72BA6">
              <w:rPr>
                <w:color w:val="000000"/>
                <w:sz w:val="16"/>
                <w:szCs w:val="16"/>
              </w:rPr>
              <w:t>2008, DSR 2008:III, p.</w:t>
            </w:r>
            <w:r>
              <w:rPr>
                <w:color w:val="000000"/>
                <w:sz w:val="16"/>
                <w:szCs w:val="16"/>
              </w:rPr>
              <w:t xml:space="preserve"> </w:t>
            </w:r>
            <w:r w:rsidRPr="00C72BA6">
              <w:rPr>
                <w:color w:val="000000"/>
                <w:sz w:val="16"/>
                <w:szCs w:val="16"/>
              </w:rPr>
              <w:t>809</w:t>
            </w:r>
          </w:p>
        </w:tc>
      </w:tr>
      <w:tr w:rsidR="00771172" w:rsidRPr="00C72BA6" w14:paraId="6754B1B1"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4A9E0C7E" w14:textId="77777777" w:rsidR="00771172" w:rsidRPr="00C72BA6" w:rsidRDefault="00771172" w:rsidP="00EB6B84">
            <w:pPr>
              <w:spacing w:before="60" w:after="60"/>
              <w:jc w:val="left"/>
              <w:rPr>
                <w:i/>
                <w:sz w:val="16"/>
                <w:szCs w:val="16"/>
              </w:rPr>
            </w:pPr>
            <w:r w:rsidRPr="00C72BA6">
              <w:rPr>
                <w:i/>
                <w:sz w:val="16"/>
                <w:szCs w:val="16"/>
              </w:rPr>
              <w:lastRenderedPageBreak/>
              <w:t>US</w:t>
            </w:r>
            <w:r>
              <w:rPr>
                <w:i/>
                <w:sz w:val="16"/>
                <w:szCs w:val="16"/>
              </w:rPr>
              <w:t xml:space="preserve"> – </w:t>
            </w:r>
            <w:r w:rsidRPr="00C72BA6">
              <w:rPr>
                <w:i/>
                <w:sz w:val="16"/>
                <w:szCs w:val="16"/>
              </w:rPr>
              <w:t>Wheat</w:t>
            </w:r>
            <w:r>
              <w:rPr>
                <w:i/>
                <w:sz w:val="16"/>
                <w:szCs w:val="16"/>
              </w:rPr>
              <w:t xml:space="preserve"> </w:t>
            </w:r>
            <w:r w:rsidRPr="00C72BA6">
              <w:rPr>
                <w:i/>
                <w:sz w:val="16"/>
                <w:szCs w:val="16"/>
              </w:rPr>
              <w:t>Gluten</w:t>
            </w:r>
          </w:p>
        </w:tc>
        <w:tc>
          <w:tcPr>
            <w:tcW w:w="6622" w:type="dxa"/>
          </w:tcPr>
          <w:p w14:paraId="2C522B52"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United</w:t>
            </w:r>
            <w:r>
              <w:rPr>
                <w:i/>
                <w:color w:val="000000"/>
                <w:sz w:val="16"/>
                <w:szCs w:val="16"/>
              </w:rPr>
              <w:t xml:space="preserve"> </w:t>
            </w:r>
            <w:r w:rsidRPr="00C72BA6">
              <w:rPr>
                <w:i/>
                <w:color w:val="000000"/>
                <w:sz w:val="16"/>
                <w:szCs w:val="16"/>
              </w:rPr>
              <w:t>States – Definitive Safeguard Measures on Imports of Wheat Gluten from the European</w:t>
            </w:r>
            <w:r>
              <w:rPr>
                <w:i/>
                <w:color w:val="000000"/>
                <w:sz w:val="16"/>
                <w:szCs w:val="16"/>
              </w:rPr>
              <w:t xml:space="preserve"> </w:t>
            </w:r>
            <w:r w:rsidRPr="00C72BA6">
              <w:rPr>
                <w:i/>
                <w:color w:val="000000"/>
                <w:sz w:val="16"/>
                <w:szCs w:val="16"/>
              </w:rPr>
              <w:t>Communities</w:t>
            </w:r>
            <w:r w:rsidRPr="00C72BA6">
              <w:rPr>
                <w:color w:val="000000"/>
                <w:sz w:val="16"/>
                <w:szCs w:val="16"/>
              </w:rPr>
              <w:t xml:space="preserve">, </w:t>
            </w:r>
            <w:r w:rsidRPr="00C72BA6">
              <w:rPr>
                <w:sz w:val="16"/>
                <w:szCs w:val="16"/>
              </w:rPr>
              <w:t>WT/DS166/AB/R</w:t>
            </w:r>
            <w:r w:rsidRPr="00C72BA6">
              <w:rPr>
                <w:color w:val="000000"/>
                <w:sz w:val="16"/>
                <w:szCs w:val="16"/>
              </w:rPr>
              <w:t>, adopted 19</w:t>
            </w:r>
            <w:r>
              <w:rPr>
                <w:color w:val="000000"/>
                <w:sz w:val="16"/>
                <w:szCs w:val="16"/>
              </w:rPr>
              <w:t xml:space="preserve"> </w:t>
            </w:r>
            <w:r w:rsidRPr="00C72BA6">
              <w:rPr>
                <w:color w:val="000000"/>
                <w:sz w:val="16"/>
                <w:szCs w:val="16"/>
              </w:rPr>
              <w:t>January</w:t>
            </w:r>
            <w:r>
              <w:rPr>
                <w:color w:val="000000"/>
                <w:sz w:val="16"/>
                <w:szCs w:val="16"/>
              </w:rPr>
              <w:t xml:space="preserve"> </w:t>
            </w:r>
            <w:r w:rsidRPr="00C72BA6">
              <w:rPr>
                <w:color w:val="000000"/>
                <w:sz w:val="16"/>
                <w:szCs w:val="16"/>
              </w:rPr>
              <w:t>2001, DSR 2001:II, p.</w:t>
            </w:r>
            <w:r>
              <w:rPr>
                <w:color w:val="000000"/>
                <w:sz w:val="16"/>
                <w:szCs w:val="16"/>
              </w:rPr>
              <w:t xml:space="preserve"> </w:t>
            </w:r>
            <w:r w:rsidRPr="00C72BA6">
              <w:rPr>
                <w:color w:val="000000"/>
                <w:sz w:val="16"/>
                <w:szCs w:val="16"/>
              </w:rPr>
              <w:t>717</w:t>
            </w:r>
          </w:p>
        </w:tc>
      </w:tr>
      <w:tr w:rsidR="00771172" w:rsidRPr="00C72BA6" w14:paraId="203702EC" w14:textId="77777777" w:rsidTr="00EB6B84">
        <w:trPr>
          <w:cantSplit/>
        </w:trPr>
        <w:tc>
          <w:tcPr>
            <w:tcW w:w="2602" w:type="dxa"/>
          </w:tcPr>
          <w:p w14:paraId="3731C963" w14:textId="77777777" w:rsidR="00771172" w:rsidRPr="00C72BA6" w:rsidRDefault="00771172" w:rsidP="00EB6B84">
            <w:pPr>
              <w:spacing w:before="60" w:after="60"/>
              <w:jc w:val="left"/>
              <w:rPr>
                <w:i/>
                <w:sz w:val="16"/>
                <w:szCs w:val="16"/>
              </w:rPr>
            </w:pPr>
            <w:r w:rsidRPr="00C72BA6">
              <w:rPr>
                <w:i/>
                <w:sz w:val="16"/>
                <w:szCs w:val="16"/>
              </w:rPr>
              <w:t>US</w:t>
            </w:r>
            <w:r>
              <w:rPr>
                <w:i/>
                <w:sz w:val="16"/>
                <w:szCs w:val="16"/>
              </w:rPr>
              <w:t xml:space="preserve"> – </w:t>
            </w:r>
            <w:r w:rsidRPr="00C72BA6">
              <w:rPr>
                <w:i/>
                <w:sz w:val="16"/>
                <w:szCs w:val="16"/>
              </w:rPr>
              <w:t>Wool</w:t>
            </w:r>
            <w:r>
              <w:rPr>
                <w:i/>
                <w:sz w:val="16"/>
                <w:szCs w:val="16"/>
              </w:rPr>
              <w:t xml:space="preserve"> </w:t>
            </w:r>
            <w:r w:rsidRPr="00C72BA6">
              <w:rPr>
                <w:i/>
                <w:sz w:val="16"/>
                <w:szCs w:val="16"/>
              </w:rPr>
              <w:t>Shirts</w:t>
            </w:r>
            <w:r>
              <w:rPr>
                <w:i/>
                <w:sz w:val="16"/>
                <w:szCs w:val="16"/>
              </w:rPr>
              <w:t xml:space="preserve"> </w:t>
            </w:r>
            <w:r w:rsidRPr="00C72BA6">
              <w:rPr>
                <w:i/>
                <w:sz w:val="16"/>
                <w:szCs w:val="16"/>
              </w:rPr>
              <w:t>and</w:t>
            </w:r>
            <w:r>
              <w:rPr>
                <w:i/>
                <w:sz w:val="16"/>
                <w:szCs w:val="16"/>
              </w:rPr>
              <w:t xml:space="preserve"> </w:t>
            </w:r>
            <w:r w:rsidRPr="00C72BA6">
              <w:rPr>
                <w:i/>
                <w:sz w:val="16"/>
                <w:szCs w:val="16"/>
              </w:rPr>
              <w:t>Blouses</w:t>
            </w:r>
          </w:p>
        </w:tc>
        <w:tc>
          <w:tcPr>
            <w:tcW w:w="6622" w:type="dxa"/>
          </w:tcPr>
          <w:p w14:paraId="0C07BEFF"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United</w:t>
            </w:r>
            <w:r>
              <w:rPr>
                <w:i/>
                <w:color w:val="000000"/>
                <w:sz w:val="16"/>
                <w:szCs w:val="16"/>
              </w:rPr>
              <w:t xml:space="preserve"> </w:t>
            </w:r>
            <w:r w:rsidRPr="00C72BA6">
              <w:rPr>
                <w:i/>
                <w:color w:val="000000"/>
                <w:sz w:val="16"/>
                <w:szCs w:val="16"/>
              </w:rPr>
              <w:t>States – Measure Affecting Imports of Woven Wool Shirts and Blouses from India</w:t>
            </w:r>
            <w:r w:rsidRPr="00C72BA6">
              <w:rPr>
                <w:color w:val="000000"/>
                <w:sz w:val="16"/>
                <w:szCs w:val="16"/>
              </w:rPr>
              <w:t xml:space="preserve">, </w:t>
            </w:r>
            <w:r w:rsidRPr="00C72BA6">
              <w:rPr>
                <w:sz w:val="16"/>
                <w:szCs w:val="16"/>
              </w:rPr>
              <w:t>WT/DS33/AB/R</w:t>
            </w:r>
            <w:r w:rsidRPr="00C72BA6">
              <w:rPr>
                <w:color w:val="000000"/>
                <w:sz w:val="16"/>
                <w:szCs w:val="16"/>
              </w:rPr>
              <w:t>, adopted 23</w:t>
            </w:r>
            <w:r>
              <w:rPr>
                <w:color w:val="000000"/>
                <w:sz w:val="16"/>
                <w:szCs w:val="16"/>
              </w:rPr>
              <w:t xml:space="preserve"> </w:t>
            </w:r>
            <w:r w:rsidRPr="00C72BA6">
              <w:rPr>
                <w:color w:val="000000"/>
                <w:sz w:val="16"/>
                <w:szCs w:val="16"/>
              </w:rPr>
              <w:t>May</w:t>
            </w:r>
            <w:r>
              <w:rPr>
                <w:color w:val="000000"/>
                <w:sz w:val="16"/>
                <w:szCs w:val="16"/>
              </w:rPr>
              <w:t xml:space="preserve"> </w:t>
            </w:r>
            <w:r w:rsidRPr="00C72BA6">
              <w:rPr>
                <w:color w:val="000000"/>
                <w:sz w:val="16"/>
                <w:szCs w:val="16"/>
              </w:rPr>
              <w:t>1997, and Corr.1, DSR</w:t>
            </w:r>
            <w:r>
              <w:rPr>
                <w:color w:val="000000"/>
                <w:sz w:val="16"/>
                <w:szCs w:val="16"/>
              </w:rPr>
              <w:t xml:space="preserve"> </w:t>
            </w:r>
            <w:r w:rsidRPr="00C72BA6">
              <w:rPr>
                <w:color w:val="000000"/>
                <w:sz w:val="16"/>
                <w:szCs w:val="16"/>
              </w:rPr>
              <w:t>1997:I, p.</w:t>
            </w:r>
            <w:r>
              <w:rPr>
                <w:color w:val="000000"/>
                <w:sz w:val="16"/>
                <w:szCs w:val="16"/>
              </w:rPr>
              <w:t xml:space="preserve"> </w:t>
            </w:r>
            <w:r w:rsidRPr="00C72BA6">
              <w:rPr>
                <w:color w:val="000000"/>
                <w:sz w:val="16"/>
                <w:szCs w:val="16"/>
              </w:rPr>
              <w:t>323</w:t>
            </w:r>
          </w:p>
        </w:tc>
      </w:tr>
      <w:tr w:rsidR="00771172" w:rsidRPr="00C72BA6" w14:paraId="6290370F" w14:textId="77777777" w:rsidTr="00EB6B84">
        <w:trPr>
          <w:cnfStyle w:val="000000010000" w:firstRow="0" w:lastRow="0" w:firstColumn="0" w:lastColumn="0" w:oddVBand="0" w:evenVBand="0" w:oddHBand="0" w:evenHBand="1" w:firstRowFirstColumn="0" w:firstRowLastColumn="0" w:lastRowFirstColumn="0" w:lastRowLastColumn="0"/>
          <w:cantSplit/>
        </w:trPr>
        <w:tc>
          <w:tcPr>
            <w:tcW w:w="2602" w:type="dxa"/>
          </w:tcPr>
          <w:p w14:paraId="7977D9BE" w14:textId="77777777" w:rsidR="00771172" w:rsidRPr="00C72BA6" w:rsidRDefault="00771172" w:rsidP="00EB6B84">
            <w:pPr>
              <w:spacing w:before="60" w:after="60"/>
              <w:jc w:val="left"/>
              <w:rPr>
                <w:i/>
                <w:sz w:val="16"/>
                <w:szCs w:val="16"/>
              </w:rPr>
            </w:pPr>
            <w:r w:rsidRPr="00C72BA6">
              <w:rPr>
                <w:i/>
                <w:sz w:val="16"/>
                <w:szCs w:val="16"/>
              </w:rPr>
              <w:t>US</w:t>
            </w:r>
            <w:r>
              <w:rPr>
                <w:i/>
                <w:sz w:val="16"/>
                <w:szCs w:val="16"/>
              </w:rPr>
              <w:t xml:space="preserve"> – </w:t>
            </w:r>
            <w:r w:rsidRPr="00C72BA6">
              <w:rPr>
                <w:i/>
                <w:sz w:val="16"/>
                <w:szCs w:val="16"/>
              </w:rPr>
              <w:t>Zeroing</w:t>
            </w:r>
            <w:r>
              <w:rPr>
                <w:i/>
                <w:sz w:val="16"/>
                <w:szCs w:val="16"/>
              </w:rPr>
              <w:t xml:space="preserve"> </w:t>
            </w:r>
            <w:r w:rsidRPr="00C72BA6">
              <w:rPr>
                <w:i/>
                <w:sz w:val="16"/>
                <w:szCs w:val="16"/>
              </w:rPr>
              <w:t>(EC)</w:t>
            </w:r>
          </w:p>
        </w:tc>
        <w:tc>
          <w:tcPr>
            <w:tcW w:w="6622" w:type="dxa"/>
          </w:tcPr>
          <w:p w14:paraId="05E94F34"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United</w:t>
            </w:r>
            <w:r>
              <w:rPr>
                <w:i/>
                <w:color w:val="000000"/>
                <w:sz w:val="16"/>
                <w:szCs w:val="16"/>
              </w:rPr>
              <w:t xml:space="preserve"> </w:t>
            </w:r>
            <w:r w:rsidRPr="00C72BA6">
              <w:rPr>
                <w:i/>
                <w:color w:val="000000"/>
                <w:sz w:val="16"/>
                <w:szCs w:val="16"/>
              </w:rPr>
              <w:t>States – Laws, Regulations and Methodology for Calculating Dumping Margins ("Zeroing")</w:t>
            </w:r>
            <w:r w:rsidRPr="00C72BA6">
              <w:rPr>
                <w:color w:val="000000"/>
                <w:sz w:val="16"/>
                <w:szCs w:val="16"/>
              </w:rPr>
              <w:t xml:space="preserve">, </w:t>
            </w:r>
            <w:r w:rsidRPr="00C72BA6">
              <w:rPr>
                <w:sz w:val="16"/>
                <w:szCs w:val="16"/>
              </w:rPr>
              <w:t>WT/DS294/AB/R</w:t>
            </w:r>
            <w:r w:rsidRPr="00C72BA6">
              <w:rPr>
                <w:color w:val="000000"/>
                <w:sz w:val="16"/>
                <w:szCs w:val="16"/>
              </w:rPr>
              <w:t>, adopted 9</w:t>
            </w:r>
            <w:r>
              <w:rPr>
                <w:color w:val="000000"/>
                <w:sz w:val="16"/>
                <w:szCs w:val="16"/>
              </w:rPr>
              <w:t xml:space="preserve"> </w:t>
            </w:r>
            <w:r w:rsidRPr="00C72BA6">
              <w:rPr>
                <w:color w:val="000000"/>
                <w:sz w:val="16"/>
                <w:szCs w:val="16"/>
              </w:rPr>
              <w:t>May</w:t>
            </w:r>
            <w:r>
              <w:rPr>
                <w:color w:val="000000"/>
                <w:sz w:val="16"/>
                <w:szCs w:val="16"/>
              </w:rPr>
              <w:t xml:space="preserve"> </w:t>
            </w:r>
            <w:r w:rsidRPr="00C72BA6">
              <w:rPr>
                <w:color w:val="000000"/>
                <w:sz w:val="16"/>
                <w:szCs w:val="16"/>
              </w:rPr>
              <w:t>2006, and Corr.1, DSR</w:t>
            </w:r>
            <w:r>
              <w:rPr>
                <w:color w:val="000000"/>
                <w:sz w:val="16"/>
                <w:szCs w:val="16"/>
              </w:rPr>
              <w:t xml:space="preserve"> </w:t>
            </w:r>
            <w:r w:rsidRPr="00C72BA6">
              <w:rPr>
                <w:color w:val="000000"/>
                <w:sz w:val="16"/>
                <w:szCs w:val="16"/>
              </w:rPr>
              <w:t>2006:II, p.</w:t>
            </w:r>
            <w:r>
              <w:rPr>
                <w:color w:val="000000"/>
                <w:sz w:val="16"/>
                <w:szCs w:val="16"/>
              </w:rPr>
              <w:t xml:space="preserve"> </w:t>
            </w:r>
            <w:r w:rsidRPr="00C72BA6">
              <w:rPr>
                <w:color w:val="000000"/>
                <w:sz w:val="16"/>
                <w:szCs w:val="16"/>
              </w:rPr>
              <w:t>417</w:t>
            </w:r>
          </w:p>
        </w:tc>
      </w:tr>
      <w:tr w:rsidR="00771172" w:rsidRPr="00C72BA6" w14:paraId="7CB171D8" w14:textId="77777777" w:rsidTr="00EB6B84">
        <w:trPr>
          <w:cantSplit/>
        </w:trPr>
        <w:tc>
          <w:tcPr>
            <w:tcW w:w="2602" w:type="dxa"/>
          </w:tcPr>
          <w:p w14:paraId="519D2AFE" w14:textId="7294780B" w:rsidR="00771172" w:rsidRPr="00C72BA6" w:rsidRDefault="00771172" w:rsidP="00EB6B84">
            <w:pPr>
              <w:spacing w:before="60" w:after="60"/>
              <w:jc w:val="left"/>
              <w:rPr>
                <w:i/>
                <w:sz w:val="16"/>
                <w:szCs w:val="16"/>
              </w:rPr>
            </w:pPr>
            <w:r w:rsidRPr="00C72BA6">
              <w:rPr>
                <w:i/>
                <w:sz w:val="16"/>
                <w:szCs w:val="16"/>
              </w:rPr>
              <w:t>US</w:t>
            </w:r>
            <w:r>
              <w:rPr>
                <w:i/>
                <w:sz w:val="16"/>
                <w:szCs w:val="16"/>
              </w:rPr>
              <w:t xml:space="preserve"> – </w:t>
            </w:r>
            <w:r w:rsidRPr="00C72BA6">
              <w:rPr>
                <w:i/>
                <w:sz w:val="16"/>
                <w:szCs w:val="16"/>
              </w:rPr>
              <w:t>Zeroing</w:t>
            </w:r>
            <w:r>
              <w:rPr>
                <w:i/>
                <w:sz w:val="16"/>
                <w:szCs w:val="16"/>
              </w:rPr>
              <w:t xml:space="preserve"> </w:t>
            </w:r>
            <w:r w:rsidRPr="00C72BA6">
              <w:rPr>
                <w:i/>
                <w:sz w:val="16"/>
                <w:szCs w:val="16"/>
              </w:rPr>
              <w:t>(Japan)</w:t>
            </w:r>
            <w:r>
              <w:rPr>
                <w:i/>
                <w:sz w:val="16"/>
                <w:szCs w:val="16"/>
              </w:rPr>
              <w:t xml:space="preserve"> </w:t>
            </w:r>
            <w:r w:rsidRPr="00C72BA6">
              <w:rPr>
                <w:i/>
                <w:sz w:val="16"/>
                <w:szCs w:val="16"/>
              </w:rPr>
              <w:t>(Article</w:t>
            </w:r>
            <w:r w:rsidR="006E126C">
              <w:rPr>
                <w:i/>
                <w:sz w:val="16"/>
                <w:szCs w:val="16"/>
              </w:rPr>
              <w:t> </w:t>
            </w:r>
            <w:r w:rsidRPr="00C72BA6">
              <w:rPr>
                <w:i/>
                <w:sz w:val="16"/>
                <w:szCs w:val="16"/>
              </w:rPr>
              <w:t>21.5</w:t>
            </w:r>
            <w:r>
              <w:rPr>
                <w:i/>
                <w:sz w:val="16"/>
                <w:szCs w:val="16"/>
              </w:rPr>
              <w:t xml:space="preserve"> – </w:t>
            </w:r>
            <w:r w:rsidRPr="00C72BA6">
              <w:rPr>
                <w:i/>
                <w:sz w:val="16"/>
                <w:szCs w:val="16"/>
              </w:rPr>
              <w:t>Japan)</w:t>
            </w:r>
          </w:p>
        </w:tc>
        <w:tc>
          <w:tcPr>
            <w:tcW w:w="6622" w:type="dxa"/>
          </w:tcPr>
          <w:p w14:paraId="1587255F" w14:textId="77777777" w:rsidR="00771172" w:rsidRPr="00C72BA6" w:rsidRDefault="00771172" w:rsidP="00EB6B84">
            <w:pPr>
              <w:keepLines/>
              <w:tabs>
                <w:tab w:val="left" w:pos="2268"/>
                <w:tab w:val="left" w:pos="4536"/>
              </w:tabs>
              <w:spacing w:before="60" w:after="60"/>
              <w:jc w:val="left"/>
              <w:rPr>
                <w:sz w:val="16"/>
                <w:szCs w:val="16"/>
              </w:rPr>
            </w:pPr>
            <w:r w:rsidRPr="00C72BA6">
              <w:rPr>
                <w:color w:val="000000"/>
                <w:sz w:val="16"/>
                <w:szCs w:val="16"/>
              </w:rPr>
              <w:t>Appellate</w:t>
            </w:r>
            <w:r>
              <w:rPr>
                <w:color w:val="000000"/>
                <w:sz w:val="16"/>
                <w:szCs w:val="16"/>
              </w:rPr>
              <w:t xml:space="preserve"> </w:t>
            </w:r>
            <w:r w:rsidRPr="00C72BA6">
              <w:rPr>
                <w:color w:val="000000"/>
                <w:sz w:val="16"/>
                <w:szCs w:val="16"/>
              </w:rPr>
              <w:t xml:space="preserve">Body Report, </w:t>
            </w:r>
            <w:r w:rsidRPr="00C72BA6">
              <w:rPr>
                <w:i/>
                <w:color w:val="000000"/>
                <w:sz w:val="16"/>
                <w:szCs w:val="16"/>
              </w:rPr>
              <w:t>United</w:t>
            </w:r>
            <w:r>
              <w:rPr>
                <w:i/>
                <w:color w:val="000000"/>
                <w:sz w:val="16"/>
                <w:szCs w:val="16"/>
              </w:rPr>
              <w:t xml:space="preserve"> </w:t>
            </w:r>
            <w:r w:rsidRPr="00C72BA6">
              <w:rPr>
                <w:i/>
                <w:color w:val="000000"/>
                <w:sz w:val="16"/>
                <w:szCs w:val="16"/>
              </w:rPr>
              <w:t>States – Measures Relating to Zeroing and Sunset Reviews – Recourse to Article</w:t>
            </w:r>
            <w:r>
              <w:rPr>
                <w:i/>
                <w:color w:val="000000"/>
                <w:sz w:val="16"/>
                <w:szCs w:val="16"/>
              </w:rPr>
              <w:t xml:space="preserve"> </w:t>
            </w:r>
            <w:r w:rsidRPr="00C72BA6">
              <w:rPr>
                <w:i/>
                <w:color w:val="000000"/>
                <w:sz w:val="16"/>
                <w:szCs w:val="16"/>
              </w:rPr>
              <w:t>21.5 of the DSU by Japan</w:t>
            </w:r>
            <w:r w:rsidRPr="00C72BA6">
              <w:rPr>
                <w:color w:val="000000"/>
                <w:sz w:val="16"/>
                <w:szCs w:val="16"/>
              </w:rPr>
              <w:t xml:space="preserve">, </w:t>
            </w:r>
            <w:r w:rsidRPr="00C72BA6">
              <w:rPr>
                <w:sz w:val="16"/>
                <w:szCs w:val="16"/>
              </w:rPr>
              <w:t>WT/DS322/AB/RW</w:t>
            </w:r>
            <w:r w:rsidRPr="00C72BA6">
              <w:rPr>
                <w:color w:val="000000"/>
                <w:sz w:val="16"/>
                <w:szCs w:val="16"/>
              </w:rPr>
              <w:t>, adopted 31</w:t>
            </w:r>
            <w:r>
              <w:rPr>
                <w:color w:val="000000"/>
                <w:sz w:val="16"/>
                <w:szCs w:val="16"/>
              </w:rPr>
              <w:t xml:space="preserve"> </w:t>
            </w:r>
            <w:r w:rsidRPr="00C72BA6">
              <w:rPr>
                <w:color w:val="000000"/>
                <w:sz w:val="16"/>
                <w:szCs w:val="16"/>
              </w:rPr>
              <w:t>August</w:t>
            </w:r>
            <w:r>
              <w:rPr>
                <w:color w:val="000000"/>
                <w:sz w:val="16"/>
                <w:szCs w:val="16"/>
              </w:rPr>
              <w:t xml:space="preserve"> </w:t>
            </w:r>
            <w:r w:rsidRPr="00C72BA6">
              <w:rPr>
                <w:color w:val="000000"/>
                <w:sz w:val="16"/>
                <w:szCs w:val="16"/>
              </w:rPr>
              <w:t>2009, DSR 2009:VIII, p.</w:t>
            </w:r>
            <w:r>
              <w:rPr>
                <w:color w:val="000000"/>
                <w:sz w:val="16"/>
                <w:szCs w:val="16"/>
              </w:rPr>
              <w:t xml:space="preserve"> </w:t>
            </w:r>
            <w:r w:rsidRPr="00C72BA6">
              <w:rPr>
                <w:color w:val="000000"/>
                <w:sz w:val="16"/>
                <w:szCs w:val="16"/>
              </w:rPr>
              <w:t>3441</w:t>
            </w:r>
          </w:p>
        </w:tc>
      </w:tr>
      <w:bookmarkEnd w:id="10"/>
    </w:tbl>
    <w:p w14:paraId="1B3C7830" w14:textId="77777777" w:rsidR="00771172" w:rsidRPr="00F85DF3" w:rsidRDefault="00771172" w:rsidP="00CE371F"/>
    <w:p w14:paraId="4283EBED" w14:textId="77777777" w:rsidR="00AB41A7" w:rsidRPr="00F85DF3" w:rsidRDefault="00AB41A7" w:rsidP="00EF273A">
      <w:pPr>
        <w:jc w:val="center"/>
        <w:rPr>
          <w:smallCaps/>
          <w:szCs w:val="18"/>
        </w:rPr>
      </w:pPr>
      <w:r w:rsidRPr="00F85DF3">
        <w:br w:type="page"/>
      </w:r>
      <w:r w:rsidRPr="00F85DF3">
        <w:rPr>
          <w:smallCaps/>
          <w:szCs w:val="18"/>
        </w:rPr>
        <w:lastRenderedPageBreak/>
        <w:t>World Trade Organization</w:t>
      </w:r>
    </w:p>
    <w:p w14:paraId="59FEAB2E" w14:textId="77777777" w:rsidR="00AB41A7" w:rsidRPr="00F85DF3" w:rsidRDefault="00AB41A7" w:rsidP="00EF273A">
      <w:pPr>
        <w:jc w:val="center"/>
        <w:rPr>
          <w:smallCaps/>
          <w:szCs w:val="18"/>
        </w:rPr>
      </w:pPr>
      <w:r w:rsidRPr="00F85DF3">
        <w:rPr>
          <w:smallCaps/>
          <w:szCs w:val="18"/>
        </w:rPr>
        <w:t>Appellate Body</w:t>
      </w:r>
    </w:p>
    <w:p w14:paraId="19F9EA84" w14:textId="77777777" w:rsidR="00AB41A7" w:rsidRPr="00F85DF3" w:rsidRDefault="00AB41A7" w:rsidP="00EF273A">
      <w:pPr>
        <w:rPr>
          <w:szCs w:val="18"/>
        </w:rPr>
      </w:pPr>
    </w:p>
    <w:p w14:paraId="23A68586" w14:textId="77777777" w:rsidR="00AB41A7" w:rsidRPr="00F85DF3" w:rsidRDefault="00AB41A7" w:rsidP="00EF273A">
      <w:pPr>
        <w:rPr>
          <w:szCs w:val="1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17"/>
        <w:gridCol w:w="4509"/>
      </w:tblGrid>
      <w:tr w:rsidR="00AB41A7" w:rsidRPr="00F85DF3" w14:paraId="47D70188" w14:textId="77777777" w:rsidTr="00632EC6">
        <w:tc>
          <w:tcPr>
            <w:tcW w:w="4621" w:type="dxa"/>
            <w:shd w:val="clear" w:color="auto" w:fill="auto"/>
          </w:tcPr>
          <w:p w14:paraId="465D28AA" w14:textId="7AA0A80A" w:rsidR="00AB41A7" w:rsidRPr="00F85DF3" w:rsidRDefault="00AB41A7" w:rsidP="00632EC6">
            <w:pPr>
              <w:jc w:val="left"/>
              <w:rPr>
                <w:b/>
                <w:szCs w:val="18"/>
              </w:rPr>
            </w:pPr>
            <w:r w:rsidRPr="00F85DF3">
              <w:rPr>
                <w:b/>
                <w:szCs w:val="18"/>
              </w:rPr>
              <w:t xml:space="preserve">Russia </w:t>
            </w:r>
            <w:r w:rsidR="005D1080" w:rsidRPr="00F85DF3">
              <w:rPr>
                <w:b/>
                <w:szCs w:val="18"/>
              </w:rPr>
              <w:t>–</w:t>
            </w:r>
            <w:r w:rsidRPr="00F85DF3">
              <w:rPr>
                <w:b/>
                <w:szCs w:val="18"/>
              </w:rPr>
              <w:t xml:space="preserve"> Measures Affecting the Importation of Railway Equipment and Parts Thereof</w:t>
            </w:r>
          </w:p>
          <w:p w14:paraId="7EEDEA6E" w14:textId="77777777" w:rsidR="00AB41A7" w:rsidRPr="00F85DF3" w:rsidRDefault="00AB41A7" w:rsidP="00632EC6">
            <w:pPr>
              <w:rPr>
                <w:szCs w:val="18"/>
              </w:rPr>
            </w:pPr>
          </w:p>
          <w:p w14:paraId="084774A7" w14:textId="77777777" w:rsidR="00AB41A7" w:rsidRPr="00F85DF3" w:rsidRDefault="00AB41A7" w:rsidP="00632EC6">
            <w:pPr>
              <w:rPr>
                <w:szCs w:val="18"/>
              </w:rPr>
            </w:pPr>
            <w:r w:rsidRPr="00F85DF3">
              <w:rPr>
                <w:szCs w:val="18"/>
              </w:rPr>
              <w:t xml:space="preserve">Ukraine, </w:t>
            </w:r>
            <w:r w:rsidRPr="00F85DF3">
              <w:rPr>
                <w:i/>
                <w:szCs w:val="18"/>
              </w:rPr>
              <w:t>Appellant/Appellee</w:t>
            </w:r>
          </w:p>
          <w:p w14:paraId="3852D35B" w14:textId="324EB694" w:rsidR="00AB41A7" w:rsidRPr="00F85DF3" w:rsidRDefault="00AB41A7" w:rsidP="00632EC6">
            <w:pPr>
              <w:rPr>
                <w:szCs w:val="18"/>
              </w:rPr>
            </w:pPr>
            <w:r w:rsidRPr="00F85DF3">
              <w:rPr>
                <w:szCs w:val="18"/>
              </w:rPr>
              <w:t>Russia</w:t>
            </w:r>
            <w:r w:rsidR="005D1080" w:rsidRPr="00F85DF3">
              <w:rPr>
                <w:szCs w:val="18"/>
              </w:rPr>
              <w:t>n Federation</w:t>
            </w:r>
            <w:r w:rsidRPr="00F85DF3">
              <w:rPr>
                <w:szCs w:val="18"/>
              </w:rPr>
              <w:t xml:space="preserve">, </w:t>
            </w:r>
            <w:r w:rsidRPr="00F85DF3">
              <w:rPr>
                <w:i/>
                <w:szCs w:val="18"/>
              </w:rPr>
              <w:t>Other Appellant/Appellee</w:t>
            </w:r>
          </w:p>
          <w:p w14:paraId="5C8315BC" w14:textId="77777777" w:rsidR="00AB41A7" w:rsidRPr="00F85DF3" w:rsidRDefault="00AB41A7" w:rsidP="00632EC6">
            <w:pPr>
              <w:rPr>
                <w:szCs w:val="18"/>
              </w:rPr>
            </w:pPr>
          </w:p>
          <w:p w14:paraId="2BE5B8AC" w14:textId="77777777" w:rsidR="00AB41A7" w:rsidRPr="00F85DF3" w:rsidRDefault="00AB41A7" w:rsidP="00632EC6">
            <w:pPr>
              <w:rPr>
                <w:szCs w:val="18"/>
              </w:rPr>
            </w:pPr>
            <w:r w:rsidRPr="00F85DF3">
              <w:rPr>
                <w:szCs w:val="18"/>
              </w:rPr>
              <w:t xml:space="preserve">Canada, </w:t>
            </w:r>
            <w:r w:rsidRPr="00F85DF3">
              <w:rPr>
                <w:i/>
                <w:szCs w:val="18"/>
              </w:rPr>
              <w:t>Third Participant</w:t>
            </w:r>
          </w:p>
          <w:p w14:paraId="26EA5D20" w14:textId="77777777" w:rsidR="00AB41A7" w:rsidRPr="00F85DF3" w:rsidRDefault="00AB41A7" w:rsidP="00632EC6">
            <w:pPr>
              <w:rPr>
                <w:szCs w:val="18"/>
              </w:rPr>
            </w:pPr>
            <w:r w:rsidRPr="00F85DF3">
              <w:rPr>
                <w:szCs w:val="18"/>
              </w:rPr>
              <w:t xml:space="preserve">China, </w:t>
            </w:r>
            <w:r w:rsidRPr="00F85DF3">
              <w:rPr>
                <w:i/>
                <w:szCs w:val="18"/>
              </w:rPr>
              <w:t>Third Participant</w:t>
            </w:r>
          </w:p>
          <w:p w14:paraId="080368C6" w14:textId="77777777" w:rsidR="00AB41A7" w:rsidRPr="00F85DF3" w:rsidRDefault="00AB41A7" w:rsidP="00632EC6">
            <w:pPr>
              <w:rPr>
                <w:szCs w:val="18"/>
              </w:rPr>
            </w:pPr>
            <w:r w:rsidRPr="00F85DF3">
              <w:rPr>
                <w:szCs w:val="18"/>
              </w:rPr>
              <w:t xml:space="preserve">European Union, </w:t>
            </w:r>
            <w:r w:rsidRPr="00F85DF3">
              <w:rPr>
                <w:i/>
                <w:szCs w:val="18"/>
              </w:rPr>
              <w:t>Third Participant</w:t>
            </w:r>
          </w:p>
          <w:p w14:paraId="05D726BC" w14:textId="77777777" w:rsidR="00AB41A7" w:rsidRPr="00F85DF3" w:rsidRDefault="00AB41A7" w:rsidP="00632EC6">
            <w:pPr>
              <w:rPr>
                <w:szCs w:val="18"/>
              </w:rPr>
            </w:pPr>
            <w:r w:rsidRPr="00F85DF3">
              <w:rPr>
                <w:szCs w:val="18"/>
              </w:rPr>
              <w:t xml:space="preserve">India, </w:t>
            </w:r>
            <w:r w:rsidRPr="00F85DF3">
              <w:rPr>
                <w:i/>
                <w:szCs w:val="18"/>
              </w:rPr>
              <w:t>Third Participant</w:t>
            </w:r>
          </w:p>
          <w:p w14:paraId="29F5B39E" w14:textId="77777777" w:rsidR="00AB41A7" w:rsidRPr="00F85DF3" w:rsidRDefault="00AB41A7" w:rsidP="00632EC6">
            <w:pPr>
              <w:rPr>
                <w:i/>
                <w:szCs w:val="18"/>
              </w:rPr>
            </w:pPr>
            <w:r w:rsidRPr="00F85DF3">
              <w:rPr>
                <w:szCs w:val="18"/>
              </w:rPr>
              <w:t xml:space="preserve">Indonesia, </w:t>
            </w:r>
            <w:r w:rsidRPr="00F85DF3">
              <w:rPr>
                <w:i/>
                <w:szCs w:val="18"/>
              </w:rPr>
              <w:t>Third Participant</w:t>
            </w:r>
          </w:p>
          <w:p w14:paraId="51F88C83" w14:textId="77777777" w:rsidR="00AB41A7" w:rsidRPr="00F85DF3" w:rsidRDefault="00AB41A7" w:rsidP="00632EC6">
            <w:pPr>
              <w:rPr>
                <w:szCs w:val="18"/>
              </w:rPr>
            </w:pPr>
            <w:r w:rsidRPr="00F85DF3">
              <w:rPr>
                <w:szCs w:val="18"/>
              </w:rPr>
              <w:t xml:space="preserve">Japan, </w:t>
            </w:r>
            <w:r w:rsidRPr="00F85DF3">
              <w:rPr>
                <w:i/>
                <w:szCs w:val="18"/>
              </w:rPr>
              <w:t>Third Participant</w:t>
            </w:r>
          </w:p>
          <w:p w14:paraId="47336ECE" w14:textId="77777777" w:rsidR="00AB41A7" w:rsidRPr="00F85DF3" w:rsidRDefault="00AB41A7" w:rsidP="00632EC6">
            <w:pPr>
              <w:rPr>
                <w:szCs w:val="18"/>
              </w:rPr>
            </w:pPr>
            <w:r w:rsidRPr="00F85DF3">
              <w:rPr>
                <w:szCs w:val="18"/>
              </w:rPr>
              <w:t xml:space="preserve">Singapore, </w:t>
            </w:r>
            <w:r w:rsidRPr="00F85DF3">
              <w:rPr>
                <w:i/>
                <w:szCs w:val="18"/>
              </w:rPr>
              <w:t>Third Participant</w:t>
            </w:r>
          </w:p>
          <w:p w14:paraId="1B2EC049" w14:textId="77777777" w:rsidR="00AB41A7" w:rsidRPr="00F85DF3" w:rsidRDefault="00AB41A7" w:rsidP="00632EC6">
            <w:pPr>
              <w:rPr>
                <w:szCs w:val="18"/>
              </w:rPr>
            </w:pPr>
            <w:r w:rsidRPr="00F85DF3">
              <w:rPr>
                <w:szCs w:val="18"/>
              </w:rPr>
              <w:t xml:space="preserve">United States, </w:t>
            </w:r>
            <w:r w:rsidRPr="00F85DF3">
              <w:rPr>
                <w:i/>
                <w:szCs w:val="18"/>
              </w:rPr>
              <w:t>Third Participant</w:t>
            </w:r>
          </w:p>
          <w:p w14:paraId="6B937620" w14:textId="77777777" w:rsidR="00AB41A7" w:rsidRPr="00F85DF3" w:rsidRDefault="00AB41A7" w:rsidP="00632EC6">
            <w:pPr>
              <w:rPr>
                <w:szCs w:val="18"/>
              </w:rPr>
            </w:pPr>
          </w:p>
        </w:tc>
        <w:tc>
          <w:tcPr>
            <w:tcW w:w="4621" w:type="dxa"/>
            <w:shd w:val="clear" w:color="auto" w:fill="auto"/>
          </w:tcPr>
          <w:p w14:paraId="1327A004" w14:textId="67C662BC" w:rsidR="00AB41A7" w:rsidRPr="00F85DF3" w:rsidRDefault="00AB41A7" w:rsidP="00632EC6">
            <w:pPr>
              <w:ind w:left="134"/>
              <w:rPr>
                <w:szCs w:val="18"/>
              </w:rPr>
            </w:pPr>
            <w:r w:rsidRPr="00F85DF3">
              <w:rPr>
                <w:szCs w:val="18"/>
              </w:rPr>
              <w:t>AB</w:t>
            </w:r>
            <w:r w:rsidR="00B24926" w:rsidRPr="00F85DF3">
              <w:rPr>
                <w:szCs w:val="18"/>
              </w:rPr>
              <w:noBreakHyphen/>
            </w:r>
            <w:r w:rsidRPr="00F85DF3">
              <w:rPr>
                <w:szCs w:val="18"/>
              </w:rPr>
              <w:t>2018</w:t>
            </w:r>
            <w:r w:rsidR="00B24926" w:rsidRPr="00F85DF3">
              <w:rPr>
                <w:szCs w:val="18"/>
              </w:rPr>
              <w:noBreakHyphen/>
            </w:r>
            <w:r w:rsidRPr="00F85DF3">
              <w:rPr>
                <w:szCs w:val="18"/>
              </w:rPr>
              <w:t>7</w:t>
            </w:r>
          </w:p>
          <w:p w14:paraId="72326CA0" w14:textId="77777777" w:rsidR="00AB41A7" w:rsidRPr="00F85DF3" w:rsidRDefault="00AB41A7" w:rsidP="00632EC6">
            <w:pPr>
              <w:ind w:left="482"/>
              <w:rPr>
                <w:szCs w:val="18"/>
              </w:rPr>
            </w:pPr>
          </w:p>
          <w:p w14:paraId="137E38A7" w14:textId="77777777" w:rsidR="00AB41A7" w:rsidRPr="00F85DF3" w:rsidRDefault="00AB41A7" w:rsidP="00632EC6">
            <w:pPr>
              <w:ind w:left="134"/>
              <w:rPr>
                <w:szCs w:val="18"/>
              </w:rPr>
            </w:pPr>
            <w:r w:rsidRPr="00F85DF3">
              <w:rPr>
                <w:szCs w:val="18"/>
              </w:rPr>
              <w:t xml:space="preserve">Appellate Body Division: </w:t>
            </w:r>
          </w:p>
          <w:p w14:paraId="6C502253" w14:textId="77777777" w:rsidR="00AB41A7" w:rsidRPr="00F85DF3" w:rsidRDefault="00AB41A7" w:rsidP="00632EC6">
            <w:pPr>
              <w:ind w:left="482"/>
              <w:rPr>
                <w:szCs w:val="18"/>
              </w:rPr>
            </w:pPr>
          </w:p>
          <w:p w14:paraId="5941CB2D" w14:textId="77777777" w:rsidR="00AB41A7" w:rsidRPr="00F85DF3" w:rsidRDefault="00AB41A7" w:rsidP="00632EC6">
            <w:pPr>
              <w:ind w:left="134"/>
              <w:rPr>
                <w:szCs w:val="18"/>
              </w:rPr>
            </w:pPr>
            <w:r w:rsidRPr="00F85DF3">
              <w:rPr>
                <w:szCs w:val="18"/>
              </w:rPr>
              <w:t>Graham, Presiding Member</w:t>
            </w:r>
          </w:p>
          <w:p w14:paraId="4C1C7575" w14:textId="77777777" w:rsidR="00AB41A7" w:rsidRPr="00F85DF3" w:rsidRDefault="00AB41A7" w:rsidP="00632EC6">
            <w:pPr>
              <w:ind w:left="134"/>
              <w:rPr>
                <w:szCs w:val="18"/>
              </w:rPr>
            </w:pPr>
            <w:r w:rsidRPr="00F85DF3">
              <w:rPr>
                <w:szCs w:val="18"/>
              </w:rPr>
              <w:t>Servansing, Member</w:t>
            </w:r>
          </w:p>
          <w:p w14:paraId="7AD2E9DC" w14:textId="77777777" w:rsidR="00AB41A7" w:rsidRPr="00F85DF3" w:rsidRDefault="00AB41A7" w:rsidP="00632EC6">
            <w:pPr>
              <w:ind w:left="134"/>
              <w:rPr>
                <w:szCs w:val="18"/>
              </w:rPr>
            </w:pPr>
            <w:r w:rsidRPr="00F85DF3">
              <w:rPr>
                <w:szCs w:val="18"/>
              </w:rPr>
              <w:t>Zhao, Member</w:t>
            </w:r>
          </w:p>
          <w:p w14:paraId="08628D65" w14:textId="77777777" w:rsidR="00AB41A7" w:rsidRPr="00F85DF3" w:rsidRDefault="00AB41A7" w:rsidP="00632EC6">
            <w:pPr>
              <w:ind w:left="482"/>
              <w:rPr>
                <w:szCs w:val="18"/>
              </w:rPr>
            </w:pPr>
          </w:p>
        </w:tc>
      </w:tr>
    </w:tbl>
    <w:p w14:paraId="1E628DD5" w14:textId="77777777" w:rsidR="00AB41A7" w:rsidRPr="00F85DF3" w:rsidRDefault="00AB41A7" w:rsidP="00EF273A">
      <w:pPr>
        <w:rPr>
          <w:szCs w:val="18"/>
        </w:rPr>
      </w:pPr>
    </w:p>
    <w:p w14:paraId="664E8898" w14:textId="77777777" w:rsidR="005B1803" w:rsidRPr="00F85DF3" w:rsidRDefault="005B1803" w:rsidP="00EF273A">
      <w:pPr>
        <w:rPr>
          <w:sz w:val="20"/>
          <w:szCs w:val="20"/>
        </w:rPr>
        <w:sectPr w:rsidR="005B1803" w:rsidRPr="00F85DF3" w:rsidSect="005B1803">
          <w:headerReference w:type="even" r:id="rId14"/>
          <w:headerReference w:type="default" r:id="rId15"/>
          <w:headerReference w:type="first" r:id="rId16"/>
          <w:footnotePr>
            <w:numFmt w:val="chicago"/>
            <w:numRestart w:val="eachSect"/>
          </w:footnotePr>
          <w:type w:val="continuous"/>
          <w:pgSz w:w="11906" w:h="16838" w:code="9"/>
          <w:pgMar w:top="1701" w:right="1440" w:bottom="1440" w:left="1440" w:header="720" w:footer="720" w:gutter="0"/>
          <w:cols w:space="708"/>
          <w:titlePg/>
          <w:docGrid w:linePitch="360"/>
        </w:sectPr>
      </w:pPr>
    </w:p>
    <w:p w14:paraId="45E7EC89" w14:textId="42162321" w:rsidR="00AB41A7" w:rsidRPr="006B2F21" w:rsidRDefault="00AB41A7" w:rsidP="006B2F21">
      <w:pPr>
        <w:rPr>
          <w:szCs w:val="18"/>
        </w:rPr>
      </w:pPr>
    </w:p>
    <w:p w14:paraId="6D6A1A89" w14:textId="77777777" w:rsidR="00AB41A7" w:rsidRPr="006B2F21" w:rsidRDefault="00AB41A7" w:rsidP="006B2F21">
      <w:pPr>
        <w:pStyle w:val="Heading1"/>
        <w:numPr>
          <w:ilvl w:val="0"/>
          <w:numId w:val="1"/>
        </w:numPr>
        <w:rPr>
          <w:szCs w:val="18"/>
        </w:rPr>
      </w:pPr>
      <w:bookmarkStart w:id="13" w:name="_Toc440800998"/>
      <w:bookmarkStart w:id="14" w:name="_Toc454876749"/>
      <w:bookmarkStart w:id="15" w:name="_Toc487421786"/>
      <w:bookmarkStart w:id="16" w:name="_Toc498425901"/>
      <w:bookmarkStart w:id="17" w:name="_Toc328640616"/>
      <w:bookmarkStart w:id="18" w:name="_Toc333317533"/>
      <w:bookmarkStart w:id="19" w:name="_Toc333331187"/>
      <w:bookmarkStart w:id="20" w:name="_Toc333395142"/>
      <w:bookmarkStart w:id="21" w:name="_Toc333510428"/>
      <w:bookmarkStart w:id="22" w:name="_Toc333510535"/>
      <w:bookmarkStart w:id="23" w:name="_Toc24624687"/>
      <w:bookmarkStart w:id="24" w:name="_Toc31380974"/>
      <w:r w:rsidRPr="006B2F21">
        <w:rPr>
          <w:szCs w:val="18"/>
        </w:rPr>
        <w:t>Introduction</w:t>
      </w:r>
      <w:bookmarkEnd w:id="13"/>
      <w:bookmarkEnd w:id="14"/>
      <w:bookmarkEnd w:id="15"/>
      <w:bookmarkEnd w:id="16"/>
      <w:bookmarkEnd w:id="17"/>
      <w:bookmarkEnd w:id="18"/>
      <w:bookmarkEnd w:id="19"/>
      <w:bookmarkEnd w:id="20"/>
      <w:bookmarkEnd w:id="21"/>
      <w:bookmarkEnd w:id="22"/>
      <w:bookmarkEnd w:id="23"/>
      <w:bookmarkEnd w:id="24"/>
    </w:p>
    <w:p w14:paraId="1A88E0A6" w14:textId="39EFF1E5" w:rsidR="00AB41A7" w:rsidRPr="006B2F21" w:rsidRDefault="00AB41A7" w:rsidP="006B2F21">
      <w:pPr>
        <w:pStyle w:val="BodyText"/>
        <w:numPr>
          <w:ilvl w:val="6"/>
          <w:numId w:val="1"/>
        </w:numPr>
        <w:rPr>
          <w:szCs w:val="18"/>
        </w:rPr>
      </w:pPr>
      <w:r w:rsidRPr="006B2F21">
        <w:rPr>
          <w:rFonts w:cs="Arial"/>
          <w:szCs w:val="18"/>
        </w:rPr>
        <w:t xml:space="preserve">Ukraine and the Russian Federation (Russia) each appeal certain issues of law and legal interpretations developed in the Panel Report, </w:t>
      </w:r>
      <w:bookmarkStart w:id="25" w:name="_Hlk26874145"/>
      <w:r w:rsidRPr="006B2F21">
        <w:rPr>
          <w:rFonts w:cs="Arial"/>
          <w:i/>
          <w:szCs w:val="18"/>
        </w:rPr>
        <w:t>Russia – Measures Affecting the Importation of Railway Equipment and Parts Thereof</w:t>
      </w:r>
      <w:r w:rsidRPr="006B2F21">
        <w:rPr>
          <w:rStyle w:val="FootnoteReference"/>
          <w:rFonts w:cs="Arial"/>
          <w:szCs w:val="18"/>
        </w:rPr>
        <w:footnoteReference w:id="2"/>
      </w:r>
      <w:r w:rsidRPr="006B2F21">
        <w:rPr>
          <w:rFonts w:cs="Arial"/>
          <w:szCs w:val="18"/>
        </w:rPr>
        <w:t xml:space="preserve"> (Panel Report). </w:t>
      </w:r>
      <w:bookmarkEnd w:id="25"/>
    </w:p>
    <w:p w14:paraId="101F02EB" w14:textId="14A4B315" w:rsidR="00AB41A7" w:rsidRPr="006B2F21" w:rsidRDefault="00AB41A7" w:rsidP="006B2F21">
      <w:pPr>
        <w:pStyle w:val="BodyText"/>
        <w:numPr>
          <w:ilvl w:val="6"/>
          <w:numId w:val="1"/>
        </w:numPr>
        <w:rPr>
          <w:szCs w:val="18"/>
        </w:rPr>
      </w:pPr>
      <w:r w:rsidRPr="006B2F21">
        <w:rPr>
          <w:rFonts w:cs="Arial"/>
          <w:szCs w:val="18"/>
        </w:rPr>
        <w:t>Before the Panel, Ukraine challenged certain measures allegedly taken by Russia concerning conformity assessment procedures for railway products as they relate to suppliers from Ukraine. Specifically, Ukraine's challenge concerned the following three</w:t>
      </w:r>
      <w:r w:rsidR="00BC7357" w:rsidRPr="006B2F21">
        <w:rPr>
          <w:rFonts w:cs="Arial"/>
          <w:szCs w:val="18"/>
        </w:rPr>
        <w:t> </w:t>
      </w:r>
      <w:r w:rsidRPr="006B2F21">
        <w:rPr>
          <w:rFonts w:cs="Arial"/>
          <w:szCs w:val="18"/>
        </w:rPr>
        <w:t>categories of measures:</w:t>
      </w:r>
    </w:p>
    <w:p w14:paraId="10BFB735" w14:textId="2EE5CEDC" w:rsidR="00AB41A7" w:rsidRPr="006B2F21" w:rsidRDefault="00AB41A7" w:rsidP="006B2F21">
      <w:pPr>
        <w:pStyle w:val="BodyText2"/>
        <w:numPr>
          <w:ilvl w:val="7"/>
          <w:numId w:val="1"/>
        </w:numPr>
        <w:rPr>
          <w:szCs w:val="18"/>
        </w:rPr>
      </w:pPr>
      <w:r w:rsidRPr="006B2F21">
        <w:rPr>
          <w:szCs w:val="18"/>
        </w:rPr>
        <w:t xml:space="preserve">systematic prevention of Ukrainian railway products from being imported into Russia by suspending valid certificates issued for railway products, refusing to issue new certificates for railway products, and not recognizing certificates issued by the competent authorities of </w:t>
      </w:r>
      <w:bookmarkStart w:id="26" w:name="_Hlk26874154"/>
      <w:r w:rsidR="00B62A86" w:rsidRPr="006B2F21">
        <w:rPr>
          <w:szCs w:val="18"/>
        </w:rPr>
        <w:t>the member countries of the Eurasian Economic Union as established in accordance with the Treaty on Eurasian Economic Union of 29 May 2014 (former Customs Union of the Republic of Belarus, the Republic of Kazakhstan, and the Russian Federation)</w:t>
      </w:r>
      <w:r w:rsidRPr="006B2F21">
        <w:rPr>
          <w:szCs w:val="18"/>
        </w:rPr>
        <w:t xml:space="preserve"> (CU) </w:t>
      </w:r>
      <w:bookmarkEnd w:id="26"/>
      <w:r w:rsidRPr="006B2F21">
        <w:rPr>
          <w:szCs w:val="18"/>
        </w:rPr>
        <w:t>other than Russia, which Ukraine submitted are evidenced by the instructions and decisions listed in Annexes I, II, and III to its request for the establishment of a panel</w:t>
      </w:r>
      <w:r w:rsidRPr="006B2F21">
        <w:rPr>
          <w:rStyle w:val="FootnoteReference"/>
          <w:szCs w:val="18"/>
        </w:rPr>
        <w:footnoteReference w:id="3"/>
      </w:r>
      <w:r w:rsidRPr="006B2F21">
        <w:rPr>
          <w:szCs w:val="18"/>
        </w:rPr>
        <w:t xml:space="preserve"> (systematic import prevention);</w:t>
      </w:r>
    </w:p>
    <w:p w14:paraId="25E42AD2" w14:textId="77777777" w:rsidR="00AB41A7" w:rsidRPr="006B2F21" w:rsidRDefault="00AB41A7" w:rsidP="006B2F21">
      <w:pPr>
        <w:pStyle w:val="BodyText2"/>
        <w:numPr>
          <w:ilvl w:val="7"/>
          <w:numId w:val="1"/>
        </w:numPr>
        <w:rPr>
          <w:szCs w:val="18"/>
        </w:rPr>
      </w:pPr>
      <w:r w:rsidRPr="006B2F21">
        <w:rPr>
          <w:szCs w:val="18"/>
        </w:rPr>
        <w:t>the suspensions of certificates and the rejections of applications for new certificates with regard to Ukrainian producers of railway products, as listed in Annexes I and II to the panel request (suspensions and rejections); and</w:t>
      </w:r>
    </w:p>
    <w:p w14:paraId="3D4B8777" w14:textId="4610E906" w:rsidR="00AB41A7" w:rsidRPr="006B2F21" w:rsidRDefault="00AB41A7" w:rsidP="006B2F21">
      <w:pPr>
        <w:pStyle w:val="BodyText2"/>
        <w:numPr>
          <w:ilvl w:val="7"/>
          <w:numId w:val="1"/>
        </w:numPr>
        <w:rPr>
          <w:szCs w:val="18"/>
        </w:rPr>
      </w:pPr>
      <w:r w:rsidRPr="006B2F21">
        <w:rPr>
          <w:szCs w:val="18"/>
        </w:rPr>
        <w:t>Russia's non</w:t>
      </w:r>
      <w:r w:rsidR="00B24926" w:rsidRPr="006B2F21">
        <w:rPr>
          <w:szCs w:val="18"/>
        </w:rPr>
        <w:noBreakHyphen/>
      </w:r>
      <w:r w:rsidRPr="006B2F21">
        <w:rPr>
          <w:szCs w:val="18"/>
        </w:rPr>
        <w:t>recognition of certificates issued under CU Technical Regulation 001/2011 to Ukrainian suppliers of railway products in other CU countries found in the documents listed in Annex III to the panel request (non</w:t>
      </w:r>
      <w:r w:rsidR="00B24926" w:rsidRPr="006B2F21">
        <w:rPr>
          <w:szCs w:val="18"/>
        </w:rPr>
        <w:noBreakHyphen/>
      </w:r>
      <w:r w:rsidRPr="006B2F21">
        <w:rPr>
          <w:szCs w:val="18"/>
        </w:rPr>
        <w:t>recognition of certificates).</w:t>
      </w:r>
      <w:r w:rsidRPr="006B2F21">
        <w:rPr>
          <w:rStyle w:val="FootnoteReference"/>
          <w:szCs w:val="18"/>
        </w:rPr>
        <w:footnoteReference w:id="4"/>
      </w:r>
    </w:p>
    <w:p w14:paraId="1FAB5044" w14:textId="77777777" w:rsidR="00AB41A7" w:rsidRPr="006B2F21" w:rsidRDefault="00AB41A7" w:rsidP="006B2F21">
      <w:pPr>
        <w:pStyle w:val="BodyText"/>
        <w:numPr>
          <w:ilvl w:val="6"/>
          <w:numId w:val="1"/>
        </w:numPr>
        <w:rPr>
          <w:szCs w:val="18"/>
        </w:rPr>
      </w:pPr>
      <w:r w:rsidRPr="006B2F21">
        <w:rPr>
          <w:szCs w:val="18"/>
        </w:rPr>
        <w:t xml:space="preserve">In the Panel Report, </w:t>
      </w:r>
      <w:r w:rsidRPr="006B2F21">
        <w:rPr>
          <w:rFonts w:cs="Arial"/>
          <w:szCs w:val="18"/>
        </w:rPr>
        <w:t xml:space="preserve">circulated to Members of the </w:t>
      </w:r>
      <w:bookmarkStart w:id="27" w:name="_Hlk26874166"/>
      <w:r w:rsidRPr="006B2F21">
        <w:rPr>
          <w:rFonts w:cs="Arial"/>
          <w:szCs w:val="18"/>
        </w:rPr>
        <w:t xml:space="preserve">World Trade Organization (WTO) </w:t>
      </w:r>
      <w:bookmarkEnd w:id="27"/>
      <w:r w:rsidRPr="006B2F21">
        <w:rPr>
          <w:rFonts w:cs="Arial"/>
          <w:szCs w:val="18"/>
        </w:rPr>
        <w:t xml:space="preserve">on 30 July 2018, the Panel made the following findings that are relevant to this appeal: </w:t>
      </w:r>
    </w:p>
    <w:p w14:paraId="0A32F5FB" w14:textId="10A6AD95" w:rsidR="00AB41A7" w:rsidRPr="006B2F21" w:rsidRDefault="00AE6EAE" w:rsidP="006B2F21">
      <w:pPr>
        <w:pStyle w:val="BodyText2"/>
        <w:numPr>
          <w:ilvl w:val="7"/>
          <w:numId w:val="1"/>
        </w:numPr>
        <w:rPr>
          <w:szCs w:val="18"/>
        </w:rPr>
      </w:pPr>
      <w:r w:rsidRPr="006B2F21">
        <w:rPr>
          <w:szCs w:val="18"/>
        </w:rPr>
        <w:t>with</w:t>
      </w:r>
      <w:r w:rsidR="00AB41A7" w:rsidRPr="006B2F21">
        <w:rPr>
          <w:szCs w:val="18"/>
        </w:rPr>
        <w:t xml:space="preserve"> respect </w:t>
      </w:r>
      <w:r w:rsidRPr="006B2F21">
        <w:rPr>
          <w:szCs w:val="18"/>
        </w:rPr>
        <w:t>to</w:t>
      </w:r>
      <w:r w:rsidR="00AB41A7" w:rsidRPr="006B2F21">
        <w:rPr>
          <w:szCs w:val="18"/>
        </w:rPr>
        <w:t xml:space="preserve"> Russia's request for the Panel's preliminary ruling, Russia had failed to establish that Ukraine's panel request is inconsistent with Article 6.2 of the </w:t>
      </w:r>
      <w:bookmarkStart w:id="28" w:name="_Hlk26874178"/>
      <w:r w:rsidR="00AB41A7" w:rsidRPr="006B2F21">
        <w:rPr>
          <w:szCs w:val="18"/>
        </w:rPr>
        <w:t>Understanding on Rules and Procedures Governing the Settlement of Disputes (DSU)</w:t>
      </w:r>
      <w:r w:rsidR="00AB41A7" w:rsidRPr="006B2F21">
        <w:rPr>
          <w:rStyle w:val="FootnoteReference"/>
          <w:szCs w:val="18"/>
        </w:rPr>
        <w:footnoteReference w:id="5"/>
      </w:r>
      <w:r w:rsidR="00AB41A7" w:rsidRPr="006B2F21">
        <w:rPr>
          <w:szCs w:val="18"/>
        </w:rPr>
        <w:t>;</w:t>
      </w:r>
    </w:p>
    <w:bookmarkEnd w:id="28"/>
    <w:p w14:paraId="60135747" w14:textId="4840ED8F" w:rsidR="00AB41A7" w:rsidRPr="006B2F21" w:rsidRDefault="00AE6EAE" w:rsidP="006B2F21">
      <w:pPr>
        <w:pStyle w:val="BodyText2"/>
        <w:numPr>
          <w:ilvl w:val="7"/>
          <w:numId w:val="1"/>
        </w:numPr>
        <w:rPr>
          <w:szCs w:val="18"/>
        </w:rPr>
      </w:pPr>
      <w:r w:rsidRPr="006B2F21">
        <w:rPr>
          <w:szCs w:val="18"/>
        </w:rPr>
        <w:lastRenderedPageBreak/>
        <w:t xml:space="preserve">with </w:t>
      </w:r>
      <w:r w:rsidR="00AB41A7" w:rsidRPr="006B2F21">
        <w:rPr>
          <w:szCs w:val="18"/>
        </w:rPr>
        <w:t xml:space="preserve">respect </w:t>
      </w:r>
      <w:r w:rsidRPr="006B2F21">
        <w:rPr>
          <w:szCs w:val="18"/>
        </w:rPr>
        <w:t>to</w:t>
      </w:r>
      <w:r w:rsidR="00AB41A7" w:rsidRPr="006B2F21">
        <w:rPr>
          <w:szCs w:val="18"/>
        </w:rPr>
        <w:t xml:space="preserve"> the instructions suspending certificates:</w:t>
      </w:r>
    </w:p>
    <w:p w14:paraId="6108285E" w14:textId="5DF166CE" w:rsidR="00AB41A7" w:rsidRPr="006B2F21" w:rsidRDefault="00AB41A7" w:rsidP="006B2F21">
      <w:pPr>
        <w:pStyle w:val="BodyText3"/>
        <w:numPr>
          <w:ilvl w:val="8"/>
          <w:numId w:val="1"/>
        </w:numPr>
        <w:rPr>
          <w:szCs w:val="18"/>
        </w:rPr>
      </w:pPr>
      <w:r w:rsidRPr="006B2F21">
        <w:rPr>
          <w:szCs w:val="18"/>
        </w:rPr>
        <w:t xml:space="preserve">Ukraine had failed to establish, </w:t>
      </w:r>
      <w:r w:rsidR="00AE6EAE" w:rsidRPr="006B2F21">
        <w:rPr>
          <w:szCs w:val="18"/>
        </w:rPr>
        <w:t xml:space="preserve">with </w:t>
      </w:r>
      <w:r w:rsidRPr="006B2F21">
        <w:rPr>
          <w:szCs w:val="18"/>
        </w:rPr>
        <w:t xml:space="preserve">respect </w:t>
      </w:r>
      <w:r w:rsidR="00AE6EAE" w:rsidRPr="006B2F21">
        <w:rPr>
          <w:szCs w:val="18"/>
        </w:rPr>
        <w:t xml:space="preserve">to </w:t>
      </w:r>
      <w:r w:rsidRPr="006B2F21">
        <w:rPr>
          <w:szCs w:val="18"/>
        </w:rPr>
        <w:t xml:space="preserve">each of the 14 instructions at issue, that Russia had acted inconsistently with its obligations under Article 5.1.1 of the </w:t>
      </w:r>
      <w:bookmarkStart w:id="29" w:name="_Hlk26874207"/>
      <w:r w:rsidRPr="006B2F21">
        <w:rPr>
          <w:szCs w:val="18"/>
        </w:rPr>
        <w:t>Agreement on Technical Barriers to Trade (TBT Agreement)</w:t>
      </w:r>
      <w:bookmarkEnd w:id="29"/>
      <w:r w:rsidRPr="006B2F21">
        <w:rPr>
          <w:rStyle w:val="FootnoteReference"/>
          <w:szCs w:val="18"/>
        </w:rPr>
        <w:footnoteReference w:id="6"/>
      </w:r>
      <w:r w:rsidRPr="006B2F21">
        <w:rPr>
          <w:szCs w:val="18"/>
        </w:rPr>
        <w:t>;</w:t>
      </w:r>
      <w:r w:rsidR="00573AD3" w:rsidRPr="006B2F21">
        <w:rPr>
          <w:szCs w:val="18"/>
        </w:rPr>
        <w:t xml:space="preserve"> and</w:t>
      </w:r>
    </w:p>
    <w:p w14:paraId="1101755E" w14:textId="1958B101" w:rsidR="00AB41A7" w:rsidRPr="006B2F21" w:rsidRDefault="00AB41A7" w:rsidP="006B2F21">
      <w:pPr>
        <w:pStyle w:val="BodyText3"/>
        <w:numPr>
          <w:ilvl w:val="8"/>
          <w:numId w:val="1"/>
        </w:numPr>
        <w:rPr>
          <w:szCs w:val="18"/>
        </w:rPr>
      </w:pPr>
      <w:r w:rsidRPr="006B2F21">
        <w:rPr>
          <w:szCs w:val="18"/>
        </w:rPr>
        <w:t xml:space="preserve">Ukraine had failed to establish, </w:t>
      </w:r>
      <w:r w:rsidR="00AE6EAE" w:rsidRPr="006B2F21">
        <w:rPr>
          <w:szCs w:val="18"/>
        </w:rPr>
        <w:t xml:space="preserve">with </w:t>
      </w:r>
      <w:r w:rsidRPr="006B2F21">
        <w:rPr>
          <w:szCs w:val="18"/>
        </w:rPr>
        <w:t xml:space="preserve">respect </w:t>
      </w:r>
      <w:r w:rsidR="00AE6EAE" w:rsidRPr="006B2F21">
        <w:rPr>
          <w:szCs w:val="18"/>
        </w:rPr>
        <w:t>to</w:t>
      </w:r>
      <w:r w:rsidRPr="006B2F21">
        <w:rPr>
          <w:szCs w:val="18"/>
        </w:rPr>
        <w:t xml:space="preserve"> each of the 14 instructions at issue, that </w:t>
      </w:r>
      <w:r w:rsidR="00AE6EAE" w:rsidRPr="006B2F21">
        <w:rPr>
          <w:szCs w:val="18"/>
        </w:rPr>
        <w:t>Russia</w:t>
      </w:r>
      <w:r w:rsidRPr="006B2F21">
        <w:rPr>
          <w:szCs w:val="18"/>
        </w:rPr>
        <w:t xml:space="preserve"> had acted inconsistently with its obligations under Article 5.1.2, first and second sentence</w:t>
      </w:r>
      <w:r w:rsidR="007E30C9" w:rsidRPr="006B2F21">
        <w:rPr>
          <w:szCs w:val="18"/>
        </w:rPr>
        <w:t>s</w:t>
      </w:r>
      <w:r w:rsidRPr="006B2F21">
        <w:rPr>
          <w:szCs w:val="18"/>
        </w:rPr>
        <w:t>, of the TBT Agreement</w:t>
      </w:r>
      <w:r w:rsidRPr="006B2F21">
        <w:rPr>
          <w:rStyle w:val="FootnoteReference"/>
          <w:szCs w:val="18"/>
        </w:rPr>
        <w:footnoteReference w:id="7"/>
      </w:r>
      <w:r w:rsidRPr="006B2F21">
        <w:rPr>
          <w:szCs w:val="18"/>
        </w:rPr>
        <w:t>;</w:t>
      </w:r>
    </w:p>
    <w:p w14:paraId="00005B1D" w14:textId="4AE14F84" w:rsidR="00AB41A7" w:rsidRPr="006B2F21" w:rsidRDefault="00AE6EAE" w:rsidP="006B2F21">
      <w:pPr>
        <w:pStyle w:val="BodyText2"/>
        <w:numPr>
          <w:ilvl w:val="7"/>
          <w:numId w:val="1"/>
        </w:numPr>
        <w:rPr>
          <w:szCs w:val="18"/>
        </w:rPr>
      </w:pPr>
      <w:r w:rsidRPr="006B2F21">
        <w:rPr>
          <w:szCs w:val="18"/>
        </w:rPr>
        <w:t>with</w:t>
      </w:r>
      <w:r w:rsidR="00AB41A7" w:rsidRPr="006B2F21">
        <w:rPr>
          <w:szCs w:val="18"/>
        </w:rPr>
        <w:t xml:space="preserve"> respect </w:t>
      </w:r>
      <w:r w:rsidRPr="006B2F21">
        <w:rPr>
          <w:szCs w:val="18"/>
        </w:rPr>
        <w:t xml:space="preserve">to </w:t>
      </w:r>
      <w:r w:rsidR="00AB41A7" w:rsidRPr="006B2F21">
        <w:rPr>
          <w:szCs w:val="18"/>
        </w:rPr>
        <w:t>the decisions rejecting applications for certificates:</w:t>
      </w:r>
    </w:p>
    <w:p w14:paraId="28B41159" w14:textId="510D6CEA" w:rsidR="00AB41A7" w:rsidRPr="006B2F21" w:rsidRDefault="00AB41A7" w:rsidP="006B2F21">
      <w:pPr>
        <w:pStyle w:val="BodyText3"/>
        <w:numPr>
          <w:ilvl w:val="8"/>
          <w:numId w:val="1"/>
        </w:numPr>
        <w:rPr>
          <w:szCs w:val="18"/>
        </w:rPr>
      </w:pPr>
      <w:r w:rsidRPr="006B2F21">
        <w:rPr>
          <w:szCs w:val="18"/>
        </w:rPr>
        <w:t xml:space="preserve">Ukraine had failed to establish, </w:t>
      </w:r>
      <w:r w:rsidR="00AE6EAE" w:rsidRPr="006B2F21">
        <w:rPr>
          <w:szCs w:val="18"/>
        </w:rPr>
        <w:t xml:space="preserve">with </w:t>
      </w:r>
      <w:r w:rsidRPr="006B2F21">
        <w:rPr>
          <w:szCs w:val="18"/>
        </w:rPr>
        <w:t xml:space="preserve">respect </w:t>
      </w:r>
      <w:r w:rsidR="00AE6EAE" w:rsidRPr="006B2F21">
        <w:rPr>
          <w:szCs w:val="18"/>
        </w:rPr>
        <w:t xml:space="preserve">to </w:t>
      </w:r>
      <w:r w:rsidRPr="006B2F21">
        <w:rPr>
          <w:szCs w:val="18"/>
        </w:rPr>
        <w:t xml:space="preserve">the two decisions through which the </w:t>
      </w:r>
      <w:bookmarkStart w:id="30" w:name="_Hlk26874221"/>
      <w:r w:rsidRPr="006B2F21">
        <w:rPr>
          <w:szCs w:val="18"/>
        </w:rPr>
        <w:t xml:space="preserve">Federal Budgetary Organization </w:t>
      </w:r>
      <w:r w:rsidR="00B24926" w:rsidRPr="006B2F21">
        <w:rPr>
          <w:szCs w:val="18"/>
        </w:rPr>
        <w:t>(FBO)</w:t>
      </w:r>
      <w:r w:rsidR="002F201F" w:rsidRPr="006B2F21">
        <w:rPr>
          <w:szCs w:val="18"/>
        </w:rPr>
        <w:t xml:space="preserve"> </w:t>
      </w:r>
      <w:r w:rsidRPr="006B2F21">
        <w:rPr>
          <w:szCs w:val="18"/>
        </w:rPr>
        <w:t>Register of Certification on the Federal Railway Transport</w:t>
      </w:r>
      <w:bookmarkEnd w:id="30"/>
      <w:r w:rsidRPr="006B2F21">
        <w:rPr>
          <w:szCs w:val="18"/>
        </w:rPr>
        <w:t xml:space="preserve"> "returned without consideration" applications for certificates submitted by Ukrainian producers under CU Technical Regulation 001/2011, and </w:t>
      </w:r>
      <w:r w:rsidR="00AE6EAE" w:rsidRPr="006B2F21">
        <w:rPr>
          <w:szCs w:val="18"/>
        </w:rPr>
        <w:t xml:space="preserve">with </w:t>
      </w:r>
      <w:r w:rsidRPr="006B2F21">
        <w:rPr>
          <w:szCs w:val="18"/>
        </w:rPr>
        <w:t xml:space="preserve">respect </w:t>
      </w:r>
      <w:r w:rsidR="00AE6EAE" w:rsidRPr="006B2F21">
        <w:rPr>
          <w:szCs w:val="18"/>
        </w:rPr>
        <w:t xml:space="preserve">to </w:t>
      </w:r>
      <w:r w:rsidRPr="006B2F21">
        <w:rPr>
          <w:szCs w:val="18"/>
        </w:rPr>
        <w:t>the decision through which the FBO "annulled" applications for certificates submitted by a Ukrainian producer under CU Technical Regulation 003/2011, that Russia had acted inconsistently with its obligations under Article 5.1.1 of the TBT Agreement</w:t>
      </w:r>
      <w:r w:rsidRPr="006B2F21">
        <w:rPr>
          <w:rStyle w:val="FootnoteReference"/>
          <w:szCs w:val="18"/>
        </w:rPr>
        <w:footnoteReference w:id="8"/>
      </w:r>
      <w:r w:rsidRPr="006B2F21">
        <w:rPr>
          <w:szCs w:val="18"/>
        </w:rPr>
        <w:t>;</w:t>
      </w:r>
      <w:r w:rsidR="00573AD3" w:rsidRPr="006B2F21">
        <w:rPr>
          <w:szCs w:val="18"/>
        </w:rPr>
        <w:t xml:space="preserve"> and</w:t>
      </w:r>
    </w:p>
    <w:p w14:paraId="1F0A4473" w14:textId="6E9314A6" w:rsidR="00AB41A7" w:rsidRPr="006B2F21" w:rsidRDefault="00AB41A7" w:rsidP="006B2F21">
      <w:pPr>
        <w:pStyle w:val="BodyText3"/>
        <w:numPr>
          <w:ilvl w:val="8"/>
          <w:numId w:val="1"/>
        </w:numPr>
        <w:rPr>
          <w:szCs w:val="18"/>
        </w:rPr>
      </w:pPr>
      <w:r w:rsidRPr="006B2F21">
        <w:rPr>
          <w:szCs w:val="18"/>
        </w:rPr>
        <w:t xml:space="preserve">Ukraine had failed to establish, </w:t>
      </w:r>
      <w:r w:rsidR="00AE6EAE" w:rsidRPr="006B2F21">
        <w:rPr>
          <w:szCs w:val="18"/>
        </w:rPr>
        <w:t xml:space="preserve">with </w:t>
      </w:r>
      <w:r w:rsidRPr="006B2F21">
        <w:rPr>
          <w:szCs w:val="18"/>
        </w:rPr>
        <w:t xml:space="preserve">respect </w:t>
      </w:r>
      <w:r w:rsidR="00AE6EAE" w:rsidRPr="006B2F21">
        <w:rPr>
          <w:szCs w:val="18"/>
        </w:rPr>
        <w:t xml:space="preserve">to </w:t>
      </w:r>
      <w:r w:rsidRPr="006B2F21">
        <w:rPr>
          <w:szCs w:val="18"/>
        </w:rPr>
        <w:t xml:space="preserve">both decisions through which the FBO "returned without consideration" applications for certificates submitted by a Ukrainian producer under CU Technical Regulation 001/2011 (decision 1 insofar as it relates to one of the products covered by application A3 and application A4, and decision 2), and </w:t>
      </w:r>
      <w:r w:rsidR="00AE6EAE" w:rsidRPr="006B2F21">
        <w:rPr>
          <w:szCs w:val="18"/>
        </w:rPr>
        <w:t>with</w:t>
      </w:r>
      <w:r w:rsidRPr="006B2F21">
        <w:rPr>
          <w:szCs w:val="18"/>
        </w:rPr>
        <w:t xml:space="preserve"> respect </w:t>
      </w:r>
      <w:r w:rsidR="00AE6EAE" w:rsidRPr="006B2F21">
        <w:rPr>
          <w:szCs w:val="18"/>
        </w:rPr>
        <w:t>to</w:t>
      </w:r>
      <w:r w:rsidRPr="006B2F21">
        <w:rPr>
          <w:szCs w:val="18"/>
        </w:rPr>
        <w:t xml:space="preserve"> the decision through which the FBO "annulled" applications for certificates submitted by a Ukrainian producer under CU Technical Regulation 003/2011, that Russia had acted inconsistently with its obligations under Article 5.1.2, first and second sentence</w:t>
      </w:r>
      <w:r w:rsidR="007E30C9" w:rsidRPr="006B2F21">
        <w:rPr>
          <w:szCs w:val="18"/>
        </w:rPr>
        <w:t>s</w:t>
      </w:r>
      <w:r w:rsidRPr="006B2F21">
        <w:rPr>
          <w:szCs w:val="18"/>
        </w:rPr>
        <w:t>, of the TBT Agreement</w:t>
      </w:r>
      <w:r w:rsidRPr="006B2F21">
        <w:rPr>
          <w:rStyle w:val="FootnoteReference"/>
          <w:szCs w:val="18"/>
        </w:rPr>
        <w:footnoteReference w:id="9"/>
      </w:r>
      <w:r w:rsidRPr="006B2F21">
        <w:rPr>
          <w:szCs w:val="18"/>
        </w:rPr>
        <w:t>;</w:t>
      </w:r>
    </w:p>
    <w:p w14:paraId="67F0AB1E" w14:textId="2B161BC0" w:rsidR="00AB41A7" w:rsidRPr="006B2F21" w:rsidRDefault="00AE6EAE" w:rsidP="006B2F21">
      <w:pPr>
        <w:pStyle w:val="BodyText2"/>
        <w:numPr>
          <w:ilvl w:val="7"/>
          <w:numId w:val="1"/>
        </w:numPr>
        <w:rPr>
          <w:szCs w:val="18"/>
        </w:rPr>
      </w:pPr>
      <w:r w:rsidRPr="006B2F21">
        <w:rPr>
          <w:szCs w:val="18"/>
        </w:rPr>
        <w:t>with</w:t>
      </w:r>
      <w:r w:rsidR="00AB41A7" w:rsidRPr="006B2F21">
        <w:rPr>
          <w:szCs w:val="18"/>
        </w:rPr>
        <w:t xml:space="preserve"> respect </w:t>
      </w:r>
      <w:r w:rsidRPr="006B2F21">
        <w:rPr>
          <w:szCs w:val="18"/>
        </w:rPr>
        <w:t xml:space="preserve">to </w:t>
      </w:r>
      <w:r w:rsidR="00AB41A7" w:rsidRPr="006B2F21">
        <w:rPr>
          <w:szCs w:val="18"/>
        </w:rPr>
        <w:t>the non</w:t>
      </w:r>
      <w:r w:rsidR="00B24926" w:rsidRPr="006B2F21">
        <w:rPr>
          <w:szCs w:val="18"/>
        </w:rPr>
        <w:noBreakHyphen/>
      </w:r>
      <w:r w:rsidR="00AB41A7" w:rsidRPr="006B2F21">
        <w:rPr>
          <w:szCs w:val="18"/>
        </w:rPr>
        <w:t xml:space="preserve">recognition of certificates issued in CU countries other than Russia: </w:t>
      </w:r>
    </w:p>
    <w:p w14:paraId="16E198B5" w14:textId="07E81A36" w:rsidR="00AB41A7" w:rsidRPr="006B2F21" w:rsidRDefault="00AB41A7" w:rsidP="006B2F21">
      <w:pPr>
        <w:pStyle w:val="BodyText3"/>
        <w:numPr>
          <w:ilvl w:val="8"/>
          <w:numId w:val="1"/>
        </w:numPr>
        <w:rPr>
          <w:szCs w:val="18"/>
        </w:rPr>
      </w:pPr>
      <w:r w:rsidRPr="006B2F21">
        <w:rPr>
          <w:szCs w:val="18"/>
        </w:rPr>
        <w:t>the non</w:t>
      </w:r>
      <w:r w:rsidR="00B24926" w:rsidRPr="006B2F21">
        <w:rPr>
          <w:szCs w:val="18"/>
        </w:rPr>
        <w:noBreakHyphen/>
      </w:r>
      <w:r w:rsidRPr="006B2F21">
        <w:rPr>
          <w:szCs w:val="18"/>
        </w:rPr>
        <w:t>recognition requirement was properly before the Panel</w:t>
      </w:r>
      <w:r w:rsidRPr="006B2F21">
        <w:rPr>
          <w:rStyle w:val="FootnoteReference"/>
          <w:szCs w:val="18"/>
        </w:rPr>
        <w:footnoteReference w:id="10"/>
      </w:r>
      <w:r w:rsidRPr="006B2F21">
        <w:rPr>
          <w:szCs w:val="18"/>
        </w:rPr>
        <w:t>;</w:t>
      </w:r>
    </w:p>
    <w:p w14:paraId="67AC266D" w14:textId="71F332D8" w:rsidR="00AB41A7" w:rsidRPr="006B2F21" w:rsidRDefault="00AB41A7" w:rsidP="006B2F21">
      <w:pPr>
        <w:pStyle w:val="BodyText3"/>
        <w:numPr>
          <w:ilvl w:val="8"/>
          <w:numId w:val="1"/>
        </w:numPr>
        <w:rPr>
          <w:szCs w:val="18"/>
        </w:rPr>
      </w:pPr>
      <w:r w:rsidRPr="006B2F21">
        <w:rPr>
          <w:szCs w:val="18"/>
        </w:rPr>
        <w:t xml:space="preserve">Ukraine had established that Russia had acted inconsistently with Article I:1 of the </w:t>
      </w:r>
      <w:r w:rsidR="00573058" w:rsidRPr="006B2F21">
        <w:rPr>
          <w:szCs w:val="18"/>
        </w:rPr>
        <w:t>General Agreement on Tariffs and Trade 1994 (</w:t>
      </w:r>
      <w:r w:rsidRPr="006B2F21">
        <w:rPr>
          <w:szCs w:val="18"/>
        </w:rPr>
        <w:t>GATT 1994</w:t>
      </w:r>
      <w:r w:rsidR="00573058" w:rsidRPr="006B2F21">
        <w:rPr>
          <w:szCs w:val="18"/>
        </w:rPr>
        <w:t>)</w:t>
      </w:r>
      <w:r w:rsidRPr="006B2F21">
        <w:rPr>
          <w:rStyle w:val="FootnoteReference"/>
          <w:szCs w:val="18"/>
        </w:rPr>
        <w:footnoteReference w:id="11"/>
      </w:r>
      <w:r w:rsidRPr="006B2F21">
        <w:rPr>
          <w:szCs w:val="18"/>
        </w:rPr>
        <w:t>;</w:t>
      </w:r>
      <w:r w:rsidR="00573AD3" w:rsidRPr="006B2F21">
        <w:rPr>
          <w:szCs w:val="18"/>
        </w:rPr>
        <w:t xml:space="preserve"> and </w:t>
      </w:r>
    </w:p>
    <w:p w14:paraId="524B1929" w14:textId="77777777" w:rsidR="00AB41A7" w:rsidRPr="006B2F21" w:rsidRDefault="00AB41A7" w:rsidP="006B2F21">
      <w:pPr>
        <w:pStyle w:val="BodyText3"/>
        <w:numPr>
          <w:ilvl w:val="8"/>
          <w:numId w:val="1"/>
        </w:numPr>
        <w:rPr>
          <w:szCs w:val="18"/>
        </w:rPr>
      </w:pPr>
      <w:r w:rsidRPr="006B2F21">
        <w:rPr>
          <w:szCs w:val="18"/>
        </w:rPr>
        <w:t>Ukraine had established that Russia had acted inconsistently with Article III:4 of the GATT 1994</w:t>
      </w:r>
      <w:r w:rsidRPr="006B2F21">
        <w:rPr>
          <w:rStyle w:val="FootnoteReference"/>
          <w:szCs w:val="18"/>
        </w:rPr>
        <w:footnoteReference w:id="12"/>
      </w:r>
      <w:r w:rsidRPr="006B2F21">
        <w:rPr>
          <w:szCs w:val="18"/>
        </w:rPr>
        <w:t>; and</w:t>
      </w:r>
    </w:p>
    <w:p w14:paraId="26111383" w14:textId="38159573" w:rsidR="00AB41A7" w:rsidRPr="006B2F21" w:rsidRDefault="0081706E" w:rsidP="006B2F21">
      <w:pPr>
        <w:pStyle w:val="BodyText2"/>
        <w:numPr>
          <w:ilvl w:val="7"/>
          <w:numId w:val="1"/>
        </w:numPr>
        <w:rPr>
          <w:szCs w:val="18"/>
        </w:rPr>
      </w:pPr>
      <w:r w:rsidRPr="006B2F21">
        <w:rPr>
          <w:szCs w:val="18"/>
        </w:rPr>
        <w:t>w</w:t>
      </w:r>
      <w:r w:rsidR="00AE6EAE" w:rsidRPr="006B2F21">
        <w:rPr>
          <w:szCs w:val="18"/>
        </w:rPr>
        <w:t xml:space="preserve">ith </w:t>
      </w:r>
      <w:r w:rsidR="00AB41A7" w:rsidRPr="006B2F21">
        <w:rPr>
          <w:szCs w:val="18"/>
        </w:rPr>
        <w:t xml:space="preserve">respect </w:t>
      </w:r>
      <w:r w:rsidR="00AE6EAE" w:rsidRPr="006B2F21">
        <w:rPr>
          <w:szCs w:val="18"/>
        </w:rPr>
        <w:t>to</w:t>
      </w:r>
      <w:r w:rsidR="00AB41A7" w:rsidRPr="006B2F21">
        <w:rPr>
          <w:szCs w:val="18"/>
        </w:rPr>
        <w:t xml:space="preserve"> the systematic import prevention, Ukraine had failed to establish its claims of inconsistency with Articles I:1, XI:1, and XIII:1 of the GATT 1994, because it had not </w:t>
      </w:r>
      <w:r w:rsidR="003F4729" w:rsidRPr="006B2F21">
        <w:rPr>
          <w:szCs w:val="18"/>
        </w:rPr>
        <w:t>demonstrated</w:t>
      </w:r>
      <w:r w:rsidR="00AB41A7" w:rsidRPr="006B2F21">
        <w:rPr>
          <w:szCs w:val="18"/>
        </w:rPr>
        <w:t xml:space="preserve"> the existence of the systematic import prevention.</w:t>
      </w:r>
      <w:r w:rsidR="00AB41A7" w:rsidRPr="006B2F21">
        <w:rPr>
          <w:rStyle w:val="FootnoteReference"/>
          <w:szCs w:val="18"/>
        </w:rPr>
        <w:footnoteReference w:id="13"/>
      </w:r>
    </w:p>
    <w:p w14:paraId="7826455B" w14:textId="46DF8368" w:rsidR="00AB41A7" w:rsidRPr="006B2F21" w:rsidRDefault="00AB41A7" w:rsidP="006B2F21">
      <w:pPr>
        <w:pStyle w:val="BodyText"/>
        <w:numPr>
          <w:ilvl w:val="6"/>
          <w:numId w:val="1"/>
        </w:numPr>
        <w:rPr>
          <w:szCs w:val="18"/>
        </w:rPr>
      </w:pPr>
      <w:r w:rsidRPr="006B2F21">
        <w:rPr>
          <w:szCs w:val="18"/>
        </w:rPr>
        <w:t>In addition, the Panel made a number of findings that have not been appealed. In particular: (i) with respect to 13 out of 14 instructions suspending certificates, the Panel found that Ukraine had established that Russia had acted inconsistently with Article 5.2.2, third obligation, of the TBT Agreement</w:t>
      </w:r>
      <w:r w:rsidRPr="006B2F21">
        <w:rPr>
          <w:rStyle w:val="FootnoteReference"/>
          <w:szCs w:val="18"/>
        </w:rPr>
        <w:footnoteReference w:id="14"/>
      </w:r>
      <w:r w:rsidRPr="006B2F21">
        <w:rPr>
          <w:szCs w:val="18"/>
        </w:rPr>
        <w:t>; (ii)</w:t>
      </w:r>
      <w:r w:rsidR="00CE542E" w:rsidRPr="006B2F21">
        <w:rPr>
          <w:szCs w:val="18"/>
        </w:rPr>
        <w:t> </w:t>
      </w:r>
      <w:r w:rsidRPr="006B2F21">
        <w:rPr>
          <w:szCs w:val="18"/>
        </w:rPr>
        <w:t xml:space="preserve">with respect to one out of three decisions rejecting applications for certificates (decision 1 insofar as it relates to applications A1 and A2 and one of the products covered by application A3), the Panel found that Ukraine had established that Russia had acted inconsistently </w:t>
      </w:r>
      <w:r w:rsidRPr="006B2F21">
        <w:rPr>
          <w:szCs w:val="18"/>
        </w:rPr>
        <w:lastRenderedPageBreak/>
        <w:t>with Article 5.1.2, first and second sentence</w:t>
      </w:r>
      <w:r w:rsidR="00285839" w:rsidRPr="006B2F21">
        <w:rPr>
          <w:szCs w:val="18"/>
        </w:rPr>
        <w:t>s</w:t>
      </w:r>
      <w:r w:rsidRPr="006B2F21">
        <w:rPr>
          <w:szCs w:val="18"/>
        </w:rPr>
        <w:t>, of the TBT Agreement</w:t>
      </w:r>
      <w:r w:rsidRPr="006B2F21">
        <w:rPr>
          <w:rStyle w:val="FootnoteReference"/>
          <w:szCs w:val="18"/>
        </w:rPr>
        <w:footnoteReference w:id="15"/>
      </w:r>
      <w:r w:rsidRPr="006B2F21">
        <w:rPr>
          <w:szCs w:val="18"/>
        </w:rPr>
        <w:t>; (iii)</w:t>
      </w:r>
      <w:r w:rsidR="00CE542E" w:rsidRPr="006B2F21">
        <w:rPr>
          <w:szCs w:val="18"/>
        </w:rPr>
        <w:t> </w:t>
      </w:r>
      <w:r w:rsidRPr="006B2F21">
        <w:rPr>
          <w:szCs w:val="18"/>
        </w:rPr>
        <w:t>with respect to all three decisions rejecting applications for certificates at issue, the Panel found that Ukraine had failed to establish that Russia had acted inconsistently with Article 5.2.2, second obligation, of the TBT Agreement</w:t>
      </w:r>
      <w:r w:rsidRPr="006B2F21">
        <w:rPr>
          <w:rStyle w:val="FootnoteReference"/>
          <w:szCs w:val="18"/>
        </w:rPr>
        <w:footnoteReference w:id="16"/>
      </w:r>
      <w:r w:rsidRPr="006B2F21">
        <w:rPr>
          <w:szCs w:val="18"/>
        </w:rPr>
        <w:t>; (iv)</w:t>
      </w:r>
      <w:r w:rsidR="00CE542E" w:rsidRPr="006B2F21">
        <w:rPr>
          <w:szCs w:val="18"/>
        </w:rPr>
        <w:t> </w:t>
      </w:r>
      <w:r w:rsidRPr="006B2F21">
        <w:rPr>
          <w:szCs w:val="18"/>
        </w:rPr>
        <w:t>with respect to two out of three decisions rejecting applications for certificates at issue, the Panel found that Ukraine had established that Russia had acted inconsistently with Article 5.2.2, third obligation, of the TBT Agreement</w:t>
      </w:r>
      <w:r w:rsidRPr="006B2F21">
        <w:rPr>
          <w:rStyle w:val="FootnoteReference"/>
          <w:szCs w:val="18"/>
        </w:rPr>
        <w:footnoteReference w:id="17"/>
      </w:r>
      <w:r w:rsidRPr="006B2F21">
        <w:rPr>
          <w:szCs w:val="18"/>
        </w:rPr>
        <w:t>; (v)</w:t>
      </w:r>
      <w:r w:rsidR="00CE542E" w:rsidRPr="006B2F21">
        <w:rPr>
          <w:szCs w:val="18"/>
        </w:rPr>
        <w:t> </w:t>
      </w:r>
      <w:r w:rsidRPr="006B2F21">
        <w:rPr>
          <w:szCs w:val="18"/>
        </w:rPr>
        <w:t>the Panel found that Ukraine had failed to establish that the non</w:t>
      </w:r>
      <w:r w:rsidR="00B24926" w:rsidRPr="006B2F21">
        <w:rPr>
          <w:szCs w:val="18"/>
        </w:rPr>
        <w:noBreakHyphen/>
      </w:r>
      <w:r w:rsidRPr="006B2F21">
        <w:rPr>
          <w:szCs w:val="18"/>
        </w:rPr>
        <w:t>recognition requirement falls within the scope of application of Article 2.1 of the TBT Agreement</w:t>
      </w:r>
      <w:r w:rsidRPr="006B2F21">
        <w:rPr>
          <w:rStyle w:val="FootnoteReference"/>
          <w:szCs w:val="18"/>
        </w:rPr>
        <w:footnoteReference w:id="18"/>
      </w:r>
      <w:r w:rsidRPr="006B2F21">
        <w:rPr>
          <w:szCs w:val="18"/>
        </w:rPr>
        <w:t>; and (vi) with respect to the non</w:t>
      </w:r>
      <w:r w:rsidR="00B24926" w:rsidRPr="006B2F21">
        <w:rPr>
          <w:szCs w:val="18"/>
        </w:rPr>
        <w:noBreakHyphen/>
      </w:r>
      <w:r w:rsidRPr="006B2F21">
        <w:rPr>
          <w:szCs w:val="18"/>
        </w:rPr>
        <w:t>recognition of certificates issued in CU countries other than Russia, the Panel made no findings regarding Ukraine's claims under Articles 5.1.1 and 5.1.2 of the TBT Agreement and Article X:3(a) of the GATT 1994.</w:t>
      </w:r>
      <w:r w:rsidRPr="006B2F21">
        <w:rPr>
          <w:rStyle w:val="FootnoteReference"/>
          <w:szCs w:val="18"/>
        </w:rPr>
        <w:footnoteReference w:id="19"/>
      </w:r>
    </w:p>
    <w:p w14:paraId="6F3F99CF" w14:textId="1455A5DB" w:rsidR="00AB41A7" w:rsidRPr="006B2F21" w:rsidRDefault="00AB41A7" w:rsidP="006B2F21">
      <w:pPr>
        <w:pStyle w:val="BodyText"/>
        <w:numPr>
          <w:ilvl w:val="6"/>
          <w:numId w:val="1"/>
        </w:numPr>
        <w:rPr>
          <w:szCs w:val="18"/>
        </w:rPr>
      </w:pPr>
      <w:r w:rsidRPr="006B2F21">
        <w:rPr>
          <w:rFonts w:cs="Arial"/>
          <w:szCs w:val="18"/>
        </w:rPr>
        <w:t xml:space="preserve">In sum, the Panel found that Russia had acted inconsistently with its obligations under Articles 5.1.2 and 5.2.2 of the TBT Agreement, and Articles I:1 and III:4 of the GATT 1994, and that it </w:t>
      </w:r>
      <w:r w:rsidR="003B1269" w:rsidRPr="006B2F21">
        <w:rPr>
          <w:rFonts w:cs="Arial"/>
          <w:szCs w:val="18"/>
        </w:rPr>
        <w:t xml:space="preserve">had </w:t>
      </w:r>
      <w:r w:rsidRPr="006B2F21">
        <w:rPr>
          <w:rFonts w:cs="Arial"/>
          <w:szCs w:val="18"/>
        </w:rPr>
        <w:t>as a result nullified or impaired benefits accruing to Ukraine under these provisions.</w:t>
      </w:r>
      <w:r w:rsidRPr="006B2F21">
        <w:rPr>
          <w:szCs w:val="18"/>
        </w:rPr>
        <w:t xml:space="preserve"> Pursuant to Article 19.1 of the DSU, the Panel thus recommended that </w:t>
      </w:r>
      <w:bookmarkStart w:id="31" w:name="_Hlk26874250"/>
      <w:r w:rsidRPr="006B2F21">
        <w:rPr>
          <w:szCs w:val="18"/>
        </w:rPr>
        <w:t>the D</w:t>
      </w:r>
      <w:r w:rsidR="005E0CDE" w:rsidRPr="006B2F21">
        <w:rPr>
          <w:szCs w:val="18"/>
        </w:rPr>
        <w:t>ispute Settlement Body (DSB)</w:t>
      </w:r>
      <w:r w:rsidRPr="006B2F21">
        <w:rPr>
          <w:szCs w:val="18"/>
        </w:rPr>
        <w:t xml:space="preserve"> </w:t>
      </w:r>
      <w:bookmarkEnd w:id="31"/>
      <w:r w:rsidRPr="006B2F21">
        <w:rPr>
          <w:szCs w:val="18"/>
        </w:rPr>
        <w:t>request that Russia bring its measures at issue into conformity with its obligations under the TBT Agreement and the GATT 1994.</w:t>
      </w:r>
      <w:r w:rsidRPr="006B2F21">
        <w:rPr>
          <w:rStyle w:val="FootnoteReference"/>
          <w:szCs w:val="18"/>
        </w:rPr>
        <w:footnoteReference w:id="20"/>
      </w:r>
    </w:p>
    <w:p w14:paraId="75FC8DD0" w14:textId="1D3C9C64" w:rsidR="00AB41A7" w:rsidRPr="006B2F21" w:rsidRDefault="00AB41A7" w:rsidP="006B2F21">
      <w:pPr>
        <w:pStyle w:val="BodyText"/>
        <w:numPr>
          <w:ilvl w:val="6"/>
          <w:numId w:val="1"/>
        </w:numPr>
        <w:tabs>
          <w:tab w:val="num" w:pos="862"/>
        </w:tabs>
        <w:rPr>
          <w:szCs w:val="18"/>
        </w:rPr>
      </w:pPr>
      <w:r w:rsidRPr="006B2F21">
        <w:rPr>
          <w:szCs w:val="18"/>
        </w:rPr>
        <w:t>On 27 August 2018</w:t>
      </w:r>
      <w:r w:rsidRPr="006B2F21">
        <w:rPr>
          <w:rFonts w:cs="Arial"/>
          <w:szCs w:val="18"/>
        </w:rPr>
        <w:t xml:space="preserve">, Ukraine </w:t>
      </w:r>
      <w:r w:rsidRPr="006B2F21">
        <w:rPr>
          <w:szCs w:val="18"/>
        </w:rPr>
        <w:t>notified the D</w:t>
      </w:r>
      <w:r w:rsidR="005E0CDE" w:rsidRPr="006B2F21">
        <w:rPr>
          <w:szCs w:val="18"/>
        </w:rPr>
        <w:t>SB</w:t>
      </w:r>
      <w:r w:rsidR="007751FD" w:rsidRPr="006B2F21">
        <w:rPr>
          <w:szCs w:val="18"/>
        </w:rPr>
        <w:t>, pursuant to Articles</w:t>
      </w:r>
      <w:r w:rsidR="00A77206" w:rsidRPr="006B2F21">
        <w:rPr>
          <w:szCs w:val="18"/>
        </w:rPr>
        <w:t> </w:t>
      </w:r>
      <w:r w:rsidR="007751FD" w:rsidRPr="006B2F21">
        <w:rPr>
          <w:szCs w:val="18"/>
        </w:rPr>
        <w:t xml:space="preserve">16.4 and 17 of the DSU, </w:t>
      </w:r>
      <w:r w:rsidRPr="006B2F21">
        <w:rPr>
          <w:szCs w:val="18"/>
        </w:rPr>
        <w:t>of its intention to appeal certain issues of law covered in the Panel Report and certain legal interpretations developed by the Panel and filed a Notice of Appeal</w:t>
      </w:r>
      <w:r w:rsidRPr="006B2F21">
        <w:rPr>
          <w:rStyle w:val="FootnoteReference"/>
          <w:szCs w:val="18"/>
        </w:rPr>
        <w:footnoteReference w:id="21"/>
      </w:r>
      <w:r w:rsidRPr="006B2F21">
        <w:rPr>
          <w:szCs w:val="18"/>
        </w:rPr>
        <w:t xml:space="preserve"> and an appellant's submission pursuant to Rules 20 and 21, respectively, of the </w:t>
      </w:r>
      <w:bookmarkStart w:id="32" w:name="_Hlk26874258"/>
      <w:r w:rsidRPr="006B2F21">
        <w:rPr>
          <w:szCs w:val="18"/>
        </w:rPr>
        <w:t>Working Procedures for Appellate Review</w:t>
      </w:r>
      <w:r w:rsidRPr="006B2F21">
        <w:rPr>
          <w:rStyle w:val="FootnoteReference"/>
          <w:szCs w:val="18"/>
        </w:rPr>
        <w:footnoteReference w:id="22"/>
      </w:r>
      <w:r w:rsidRPr="006B2F21">
        <w:rPr>
          <w:szCs w:val="18"/>
        </w:rPr>
        <w:t xml:space="preserve"> (Working Procedures). </w:t>
      </w:r>
      <w:bookmarkEnd w:id="32"/>
      <w:r w:rsidRPr="006B2F21">
        <w:rPr>
          <w:szCs w:val="18"/>
        </w:rPr>
        <w:t>On 3 September 2018</w:t>
      </w:r>
      <w:r w:rsidRPr="006B2F21">
        <w:rPr>
          <w:rFonts w:cs="Arial"/>
          <w:szCs w:val="18"/>
        </w:rPr>
        <w:t xml:space="preserve">, Russia </w:t>
      </w:r>
      <w:r w:rsidRPr="006B2F21">
        <w:rPr>
          <w:szCs w:val="18"/>
        </w:rPr>
        <w:t>notified the DSB, pursuant to Articles 16.4 and</w:t>
      </w:r>
      <w:r w:rsidR="0071260D" w:rsidRPr="006B2F21">
        <w:rPr>
          <w:szCs w:val="18"/>
        </w:rPr>
        <w:t> </w:t>
      </w:r>
      <w:r w:rsidRPr="006B2F21">
        <w:rPr>
          <w:szCs w:val="18"/>
        </w:rPr>
        <w:t>17 of the DSU, of its intention to appeal certain issues of law covered in the Panel Report and certain legal interpretations developed by the Panel and filed a Notice of Other Appeal</w:t>
      </w:r>
      <w:r w:rsidRPr="006B2F21">
        <w:rPr>
          <w:rStyle w:val="FootnoteReference"/>
          <w:szCs w:val="18"/>
        </w:rPr>
        <w:footnoteReference w:id="23"/>
      </w:r>
      <w:r w:rsidRPr="006B2F21">
        <w:rPr>
          <w:szCs w:val="18"/>
        </w:rPr>
        <w:t xml:space="preserve"> and an other appellant's submission pursuant to Rule 23 of the </w:t>
      </w:r>
      <w:r w:rsidRPr="006B2F21">
        <w:rPr>
          <w:iCs/>
          <w:szCs w:val="18"/>
        </w:rPr>
        <w:t>Working Procedures</w:t>
      </w:r>
      <w:r w:rsidRPr="006B2F21">
        <w:rPr>
          <w:szCs w:val="18"/>
        </w:rPr>
        <w:t>. On 14 September 2018, Ukraine and Russia each filed an appellee's submission.</w:t>
      </w:r>
      <w:r w:rsidRPr="006B2F21">
        <w:rPr>
          <w:rStyle w:val="FootnoteReference"/>
          <w:szCs w:val="18"/>
        </w:rPr>
        <w:footnoteReference w:id="24"/>
      </w:r>
      <w:r w:rsidRPr="006B2F21">
        <w:rPr>
          <w:szCs w:val="18"/>
        </w:rPr>
        <w:t xml:space="preserve"> On 17 September 2018, Canada, the </w:t>
      </w:r>
      <w:bookmarkStart w:id="33" w:name="_Hlk26874271"/>
      <w:r w:rsidRPr="006B2F21">
        <w:rPr>
          <w:szCs w:val="18"/>
        </w:rPr>
        <w:t xml:space="preserve">European Union (EU), </w:t>
      </w:r>
      <w:bookmarkEnd w:id="33"/>
      <w:r w:rsidRPr="006B2F21">
        <w:rPr>
          <w:szCs w:val="18"/>
        </w:rPr>
        <w:t>and Japan</w:t>
      </w:r>
      <w:r w:rsidRPr="006B2F21">
        <w:rPr>
          <w:rFonts w:cs="Arial"/>
          <w:szCs w:val="18"/>
        </w:rPr>
        <w:t xml:space="preserve"> each </w:t>
      </w:r>
      <w:r w:rsidRPr="006B2F21">
        <w:rPr>
          <w:szCs w:val="18"/>
        </w:rPr>
        <w:t>filed a third participant's submission.</w:t>
      </w:r>
      <w:r w:rsidRPr="006B2F21">
        <w:rPr>
          <w:rStyle w:val="FootnoteReference"/>
          <w:szCs w:val="18"/>
        </w:rPr>
        <w:footnoteReference w:id="25"/>
      </w:r>
      <w:r w:rsidRPr="006B2F21">
        <w:rPr>
          <w:szCs w:val="18"/>
        </w:rPr>
        <w:t xml:space="preserve"> China, Singapore, and the United States each notified its intention to appear at the oral hearing as a third participant.</w:t>
      </w:r>
      <w:r w:rsidRPr="006B2F21">
        <w:rPr>
          <w:rStyle w:val="FootnoteReference"/>
          <w:szCs w:val="18"/>
        </w:rPr>
        <w:footnoteReference w:id="26"/>
      </w:r>
    </w:p>
    <w:p w14:paraId="74D948E3" w14:textId="75C8EDA4" w:rsidR="00AB41A7" w:rsidRPr="006B2F21" w:rsidRDefault="00AB41A7" w:rsidP="006B2F21">
      <w:pPr>
        <w:pStyle w:val="BodyText"/>
        <w:numPr>
          <w:ilvl w:val="6"/>
          <w:numId w:val="1"/>
        </w:numPr>
        <w:rPr>
          <w:szCs w:val="18"/>
        </w:rPr>
      </w:pPr>
      <w:r w:rsidRPr="006B2F21">
        <w:rPr>
          <w:szCs w:val="18"/>
        </w:rPr>
        <w:t xml:space="preserve">On 28 September 2018, the participants and third participants were informed that, in accordance with Rule 15 of the Working Procedures, the Chair of the Appellate Body had notified the Chair of the DSB of the Appellate Body's decision to authorize Appellate Body Member Mr Shree Baboo Chekitan Servansing to complete the disposition of this appeal, </w:t>
      </w:r>
      <w:r w:rsidR="004D38B6" w:rsidRPr="006B2F21">
        <w:rPr>
          <w:szCs w:val="18"/>
        </w:rPr>
        <w:t xml:space="preserve">to which he had been assigned before the completion of </w:t>
      </w:r>
      <w:r w:rsidRPr="006B2F21">
        <w:rPr>
          <w:szCs w:val="18"/>
        </w:rPr>
        <w:t xml:space="preserve">his term of office. </w:t>
      </w:r>
      <w:r w:rsidR="007051FD" w:rsidRPr="006B2F21">
        <w:rPr>
          <w:szCs w:val="18"/>
        </w:rPr>
        <w:t xml:space="preserve">On </w:t>
      </w:r>
      <w:r w:rsidR="00C9082F" w:rsidRPr="006B2F21">
        <w:rPr>
          <w:szCs w:val="18"/>
        </w:rPr>
        <w:t>9</w:t>
      </w:r>
      <w:r w:rsidR="00A67A04" w:rsidRPr="006B2F21">
        <w:rPr>
          <w:szCs w:val="18"/>
        </w:rPr>
        <w:t> </w:t>
      </w:r>
      <w:r w:rsidR="007051FD" w:rsidRPr="006B2F21">
        <w:rPr>
          <w:szCs w:val="18"/>
        </w:rPr>
        <w:t>December</w:t>
      </w:r>
      <w:r w:rsidR="00A67A04" w:rsidRPr="006B2F21">
        <w:rPr>
          <w:szCs w:val="18"/>
        </w:rPr>
        <w:t> </w:t>
      </w:r>
      <w:r w:rsidR="007051FD" w:rsidRPr="006B2F21">
        <w:rPr>
          <w:szCs w:val="18"/>
        </w:rPr>
        <w:t xml:space="preserve">2019, the participants and third participants were informed that, in accordance with Rule 15 of the Working Procedures, the Chair of the Appellate Body </w:t>
      </w:r>
      <w:r w:rsidR="000D7A63" w:rsidRPr="006B2F21">
        <w:rPr>
          <w:szCs w:val="18"/>
        </w:rPr>
        <w:t xml:space="preserve">had </w:t>
      </w:r>
      <w:r w:rsidR="007051FD" w:rsidRPr="006B2F21">
        <w:rPr>
          <w:szCs w:val="18"/>
        </w:rPr>
        <w:t>informed the Chair of the DSB that Thomas R. Graham would complete the disposition of this appeal, to which he had been assigned before the completion of his term of office</w:t>
      </w:r>
      <w:r w:rsidR="00BD279D">
        <w:rPr>
          <w:szCs w:val="18"/>
        </w:rPr>
        <w:t xml:space="preserve"> and for which the oral hearing had been held before that date</w:t>
      </w:r>
      <w:r w:rsidR="007051FD" w:rsidRPr="006B2F21">
        <w:rPr>
          <w:szCs w:val="18"/>
        </w:rPr>
        <w:t>.</w:t>
      </w:r>
      <w:r w:rsidR="000D7A63" w:rsidRPr="006B2F21">
        <w:rPr>
          <w:rStyle w:val="FootnoteReference"/>
          <w:szCs w:val="18"/>
        </w:rPr>
        <w:footnoteReference w:id="27"/>
      </w:r>
    </w:p>
    <w:p w14:paraId="4ECE350F" w14:textId="039D199F" w:rsidR="00AB41A7" w:rsidRPr="006B2F21" w:rsidRDefault="00AB41A7" w:rsidP="006B2F21">
      <w:pPr>
        <w:pStyle w:val="BodyText"/>
        <w:numPr>
          <w:ilvl w:val="6"/>
          <w:numId w:val="1"/>
        </w:numPr>
        <w:tabs>
          <w:tab w:val="num" w:pos="862"/>
        </w:tabs>
        <w:rPr>
          <w:szCs w:val="18"/>
        </w:rPr>
      </w:pPr>
      <w:r w:rsidRPr="006B2F21">
        <w:rPr>
          <w:szCs w:val="18"/>
        </w:rPr>
        <w:t>On 24 October 2018, the Chair of the Appellate Body notified the Chair of the DSB that the Appellate Body would not be able to circulate its Report in this appeal within the 60</w:t>
      </w:r>
      <w:r w:rsidR="00B24926" w:rsidRPr="006B2F21">
        <w:rPr>
          <w:szCs w:val="18"/>
        </w:rPr>
        <w:noBreakHyphen/>
      </w:r>
      <w:r w:rsidRPr="006B2F21">
        <w:rPr>
          <w:szCs w:val="18"/>
        </w:rPr>
        <w:t>day period pursuant to Article 17.5 of the DSU, or within the 90</w:t>
      </w:r>
      <w:r w:rsidR="00B24926" w:rsidRPr="006B2F21">
        <w:rPr>
          <w:szCs w:val="18"/>
        </w:rPr>
        <w:noBreakHyphen/>
      </w:r>
      <w:r w:rsidRPr="006B2F21">
        <w:rPr>
          <w:szCs w:val="18"/>
        </w:rPr>
        <w:t>day period pursuant to the same provision.</w:t>
      </w:r>
      <w:r w:rsidRPr="006B2F21">
        <w:rPr>
          <w:rStyle w:val="FootnoteReference"/>
          <w:szCs w:val="18"/>
        </w:rPr>
        <w:footnoteReference w:id="28"/>
      </w:r>
      <w:r w:rsidRPr="006B2F21">
        <w:rPr>
          <w:szCs w:val="18"/>
        </w:rPr>
        <w:t xml:space="preserve"> </w:t>
      </w:r>
      <w:r w:rsidRPr="006B2F21">
        <w:rPr>
          <w:szCs w:val="18"/>
        </w:rPr>
        <w:lastRenderedPageBreak/>
        <w:t xml:space="preserve">For the reasons explained in the letter, work on this appeal could gather pace only in June 2019. On </w:t>
      </w:r>
      <w:r w:rsidR="006D060C" w:rsidRPr="006B2F21">
        <w:rPr>
          <w:szCs w:val="18"/>
        </w:rPr>
        <w:t>9 December 2019</w:t>
      </w:r>
      <w:r w:rsidRPr="006B2F21">
        <w:rPr>
          <w:szCs w:val="18"/>
        </w:rPr>
        <w:t xml:space="preserve">, the Chair of the Appellate Body informed the Chair of the DSB that the Report in these proceedings would be circulated no later than </w:t>
      </w:r>
      <w:r w:rsidR="006D060C" w:rsidRPr="006B2F21">
        <w:rPr>
          <w:szCs w:val="18"/>
        </w:rPr>
        <w:t>4 February 2020</w:t>
      </w:r>
      <w:r w:rsidRPr="006B2F21">
        <w:rPr>
          <w:szCs w:val="18"/>
        </w:rPr>
        <w:t>.</w:t>
      </w:r>
      <w:r w:rsidRPr="006B2F21">
        <w:rPr>
          <w:rStyle w:val="FootnoteReference"/>
          <w:szCs w:val="18"/>
        </w:rPr>
        <w:footnoteReference w:id="29"/>
      </w:r>
    </w:p>
    <w:p w14:paraId="57D65F62" w14:textId="73BA0807" w:rsidR="00AB41A7" w:rsidRPr="006B2F21" w:rsidRDefault="00AB41A7" w:rsidP="006B2F21">
      <w:pPr>
        <w:pStyle w:val="BodyText"/>
        <w:numPr>
          <w:ilvl w:val="6"/>
          <w:numId w:val="1"/>
        </w:numPr>
        <w:rPr>
          <w:szCs w:val="18"/>
        </w:rPr>
      </w:pPr>
      <w:r w:rsidRPr="006B2F21">
        <w:rPr>
          <w:szCs w:val="18"/>
        </w:rPr>
        <w:t>On 13 September 2019, the Appellate Body received a communication from Ukraine requesting that the Division extend the time</w:t>
      </w:r>
      <w:r w:rsidR="00B24926" w:rsidRPr="006B2F21">
        <w:rPr>
          <w:szCs w:val="18"/>
        </w:rPr>
        <w:noBreakHyphen/>
      </w:r>
      <w:r w:rsidRPr="006B2F21">
        <w:rPr>
          <w:szCs w:val="18"/>
        </w:rPr>
        <w:t xml:space="preserve">limits for opening statements at the oral hearing. On the same day, the Division hearing the appeal invited Russia and </w:t>
      </w:r>
      <w:r w:rsidR="004D38B6" w:rsidRPr="006B2F21">
        <w:rPr>
          <w:szCs w:val="18"/>
        </w:rPr>
        <w:t xml:space="preserve">the </w:t>
      </w:r>
      <w:r w:rsidRPr="006B2F21">
        <w:rPr>
          <w:szCs w:val="18"/>
        </w:rPr>
        <w:t>third</w:t>
      </w:r>
      <w:r w:rsidR="006B6696" w:rsidRPr="006B2F21">
        <w:rPr>
          <w:szCs w:val="18"/>
        </w:rPr>
        <w:t> </w:t>
      </w:r>
      <w:r w:rsidRPr="006B2F21">
        <w:rPr>
          <w:szCs w:val="18"/>
        </w:rPr>
        <w:t>participants to provide any comments on Ukraine's request by 16</w:t>
      </w:r>
      <w:r w:rsidR="00AE6EAE" w:rsidRPr="006B2F21">
        <w:rPr>
          <w:szCs w:val="18"/>
        </w:rPr>
        <w:t> </w:t>
      </w:r>
      <w:r w:rsidRPr="006B2F21">
        <w:rPr>
          <w:szCs w:val="18"/>
        </w:rPr>
        <w:t>September 2019. Russia expressed support and requested that equal opportunity be provided to both Russia and Ukraine in the event that the Division decided to grant Ukraine's request. No comments were received from the third participants. Having considered Ukraine's request and comments by Russia, the Division informed participants and third participants by letter of 16 September of extended time</w:t>
      </w:r>
      <w:r w:rsidR="00B24926" w:rsidRPr="006B2F21">
        <w:rPr>
          <w:szCs w:val="18"/>
        </w:rPr>
        <w:noBreakHyphen/>
      </w:r>
      <w:r w:rsidRPr="006B2F21">
        <w:rPr>
          <w:szCs w:val="18"/>
        </w:rPr>
        <w:t>limits for the participants' opening statements.</w:t>
      </w:r>
    </w:p>
    <w:p w14:paraId="561611C2" w14:textId="42D2E65C" w:rsidR="00AB41A7" w:rsidRPr="006B2F21" w:rsidRDefault="00AB41A7" w:rsidP="006B2F21">
      <w:pPr>
        <w:pStyle w:val="BodyText"/>
        <w:numPr>
          <w:ilvl w:val="6"/>
          <w:numId w:val="1"/>
        </w:numPr>
        <w:tabs>
          <w:tab w:val="num" w:pos="862"/>
        </w:tabs>
        <w:rPr>
          <w:szCs w:val="18"/>
        </w:rPr>
      </w:pPr>
      <w:r w:rsidRPr="006B2F21">
        <w:rPr>
          <w:rFonts w:cs="Arial"/>
          <w:szCs w:val="18"/>
        </w:rPr>
        <w:t>The oral hearing in this appeal was held on 17</w:t>
      </w:r>
      <w:r w:rsidR="004D38B6" w:rsidRPr="006B2F21">
        <w:rPr>
          <w:rFonts w:cs="Arial"/>
          <w:szCs w:val="18"/>
        </w:rPr>
        <w:t xml:space="preserve"> and </w:t>
      </w:r>
      <w:r w:rsidRPr="006B2F21">
        <w:rPr>
          <w:rFonts w:cs="Arial"/>
          <w:szCs w:val="18"/>
        </w:rPr>
        <w:t xml:space="preserve">18 September 2019. The participants and several third participants made oral statements and responded to questions posed by the Members of the Appellate Body Division hearing the appeal. </w:t>
      </w:r>
    </w:p>
    <w:p w14:paraId="27B4338B" w14:textId="2FDC2DF7" w:rsidR="00AB41A7" w:rsidRPr="006B2F21" w:rsidRDefault="00AB41A7" w:rsidP="006B2F21">
      <w:pPr>
        <w:pStyle w:val="BodyText"/>
        <w:numPr>
          <w:ilvl w:val="6"/>
          <w:numId w:val="1"/>
        </w:numPr>
        <w:rPr>
          <w:rFonts w:cs="Arial"/>
          <w:szCs w:val="18"/>
        </w:rPr>
      </w:pPr>
      <w:r w:rsidRPr="006B2F21">
        <w:rPr>
          <w:szCs w:val="18"/>
        </w:rPr>
        <w:t xml:space="preserve">At the oral hearing, the participants jointly requested the Division hearing the appeal to continue treating the information designated as </w:t>
      </w:r>
      <w:bookmarkStart w:id="34" w:name="_Hlk26874280"/>
      <w:r w:rsidRPr="006B2F21">
        <w:rPr>
          <w:szCs w:val="18"/>
        </w:rPr>
        <w:t xml:space="preserve">business confidential information (BCI) </w:t>
      </w:r>
      <w:bookmarkEnd w:id="34"/>
      <w:r w:rsidRPr="006B2F21">
        <w:rPr>
          <w:szCs w:val="18"/>
        </w:rPr>
        <w:t>by the Panel under its additional working procedures for the protection of BCI as confidential also on appeal. In particular, Ukraine referred to the protection of the identity of individual producers, information regarding the certificates, and the specific number of decisions at issue.</w:t>
      </w:r>
      <w:r w:rsidRPr="006B2F21">
        <w:rPr>
          <w:rStyle w:val="FootnoteReference"/>
          <w:szCs w:val="18"/>
        </w:rPr>
        <w:footnoteReference w:id="30"/>
      </w:r>
      <w:r w:rsidRPr="006B2F21">
        <w:rPr>
          <w:szCs w:val="18"/>
        </w:rPr>
        <w:t xml:space="preserve"> No third </w:t>
      </w:r>
      <w:r w:rsidR="004D38B6" w:rsidRPr="006B2F21">
        <w:rPr>
          <w:szCs w:val="18"/>
        </w:rPr>
        <w:t xml:space="preserve">participant </w:t>
      </w:r>
      <w:r w:rsidRPr="006B2F21">
        <w:rPr>
          <w:szCs w:val="18"/>
        </w:rPr>
        <w:t>raised objections in connection with this request.</w:t>
      </w:r>
    </w:p>
    <w:p w14:paraId="472A1CD5" w14:textId="7911C0FC" w:rsidR="00AB41A7" w:rsidRPr="006B2F21" w:rsidRDefault="00AB41A7" w:rsidP="006B2F21">
      <w:pPr>
        <w:pStyle w:val="BodyText"/>
        <w:numPr>
          <w:ilvl w:val="6"/>
          <w:numId w:val="1"/>
        </w:numPr>
        <w:rPr>
          <w:szCs w:val="18"/>
        </w:rPr>
      </w:pPr>
      <w:r w:rsidRPr="006B2F21">
        <w:rPr>
          <w:rFonts w:cs="Arial"/>
          <w:szCs w:val="18"/>
        </w:rPr>
        <w:t>We recall that any additional procedures adopted by the Appellate Body to protect sensitive information must conform to the requirement in Rule 16(1) of the Working Procedures that such procedures not be inconsistent with the DSU, the other covered agreements, and the Working Procedures themselves.</w:t>
      </w:r>
      <w:r w:rsidRPr="006B2F21">
        <w:rPr>
          <w:rStyle w:val="FootnoteReference"/>
          <w:rFonts w:cs="Arial"/>
          <w:szCs w:val="18"/>
        </w:rPr>
        <w:footnoteReference w:id="31"/>
      </w:r>
      <w:r w:rsidRPr="006B2F21">
        <w:rPr>
          <w:rFonts w:cs="Arial"/>
          <w:szCs w:val="18"/>
        </w:rPr>
        <w:t xml:space="preserve"> Moreover, in adopting such procedures, the Appellate Body must ensure that an appropriate balance is struck between the need to guard against the risk of harm that could result from the disclosure of particularly sensitive information, on the one hand, and the integrity of the adjudication process, the participation rights of third participants, and the rights and systemic interests of the WTO membership at large, on the other.</w:t>
      </w:r>
      <w:r w:rsidRPr="006B2F21">
        <w:rPr>
          <w:rStyle w:val="FootnoteReference"/>
          <w:rFonts w:cs="Arial"/>
          <w:szCs w:val="18"/>
        </w:rPr>
        <w:footnoteReference w:id="32"/>
      </w:r>
      <w:r w:rsidRPr="006B2F21">
        <w:rPr>
          <w:rFonts w:cs="Arial"/>
          <w:szCs w:val="18"/>
        </w:rPr>
        <w:t xml:space="preserve"> This means, among other considerations, that the Appellate Body should bear in mind the need for transparency and "the rights of third parties and other WTO Members under various provisions of the DSU", and should ensure that the public version of its report circulated to all Members of the WTO is understandable.</w:t>
      </w:r>
      <w:r w:rsidRPr="006B2F21">
        <w:rPr>
          <w:rStyle w:val="FootnoteReference"/>
          <w:rFonts w:cs="Arial"/>
          <w:szCs w:val="18"/>
        </w:rPr>
        <w:footnoteReference w:id="33"/>
      </w:r>
    </w:p>
    <w:p w14:paraId="35A10034" w14:textId="0B50BFF0" w:rsidR="00AB41A7" w:rsidRPr="006B2F21" w:rsidRDefault="00AB41A7" w:rsidP="006B2F21">
      <w:pPr>
        <w:pStyle w:val="BodyText"/>
        <w:numPr>
          <w:ilvl w:val="6"/>
          <w:numId w:val="1"/>
        </w:numPr>
        <w:rPr>
          <w:szCs w:val="18"/>
        </w:rPr>
      </w:pPr>
      <w:r w:rsidRPr="006B2F21">
        <w:rPr>
          <w:rFonts w:cs="Arial"/>
          <w:szCs w:val="18"/>
        </w:rPr>
        <w:t xml:space="preserve">In the circumstances of the present appeal, we consider that treating the relevant information as confidential does not unduly affect </w:t>
      </w:r>
      <w:r w:rsidR="000870D4">
        <w:rPr>
          <w:rFonts w:cs="Arial"/>
          <w:szCs w:val="18"/>
        </w:rPr>
        <w:t xml:space="preserve">our ability to adjudicate this dispute, </w:t>
      </w:r>
      <w:r w:rsidRPr="006B2F21">
        <w:rPr>
          <w:rFonts w:cs="Arial"/>
          <w:szCs w:val="18"/>
        </w:rPr>
        <w:t>the participation rights of the third participants, or the rights and interests of the WTO</w:t>
      </w:r>
      <w:r w:rsidR="006B6696" w:rsidRPr="006B2F21">
        <w:rPr>
          <w:rFonts w:cs="Arial"/>
          <w:szCs w:val="18"/>
        </w:rPr>
        <w:t> </w:t>
      </w:r>
      <w:r w:rsidRPr="006B2F21">
        <w:rPr>
          <w:rFonts w:cs="Arial"/>
          <w:szCs w:val="18"/>
        </w:rPr>
        <w:t>membership at large. We note in this respect the absence of comments by third</w:t>
      </w:r>
      <w:r w:rsidR="006B6696" w:rsidRPr="006B2F21">
        <w:rPr>
          <w:rFonts w:cs="Arial"/>
          <w:szCs w:val="18"/>
        </w:rPr>
        <w:t> </w:t>
      </w:r>
      <w:r w:rsidRPr="006B2F21">
        <w:rPr>
          <w:rFonts w:cs="Arial"/>
          <w:szCs w:val="18"/>
        </w:rPr>
        <w:t>participants regarding the participant's joint request</w:t>
      </w:r>
      <w:r w:rsidR="0016238F" w:rsidRPr="006B2F21">
        <w:rPr>
          <w:rFonts w:cs="Arial"/>
          <w:szCs w:val="18"/>
        </w:rPr>
        <w:t>,</w:t>
      </w:r>
      <w:r w:rsidRPr="006B2F21">
        <w:rPr>
          <w:rFonts w:cs="Arial"/>
          <w:szCs w:val="18"/>
        </w:rPr>
        <w:t xml:space="preserve"> as well as </w:t>
      </w:r>
      <w:r w:rsidR="00017398" w:rsidRPr="006B2F21">
        <w:rPr>
          <w:rFonts w:cs="Arial"/>
          <w:szCs w:val="18"/>
        </w:rPr>
        <w:t xml:space="preserve">the </w:t>
      </w:r>
      <w:r w:rsidRPr="006B2F21">
        <w:rPr>
          <w:rFonts w:cs="Arial"/>
          <w:szCs w:val="18"/>
        </w:rPr>
        <w:t>rather limited information designated as BCI. Based on the foregoing, we grant the participants' joint request to treat the information designated as BCI by the Panel as confidential on appeal pursuant to Rule 16(1) of the Working Procedures</w:t>
      </w:r>
      <w:r w:rsidR="004D38B6" w:rsidRPr="006B2F21">
        <w:rPr>
          <w:rFonts w:cs="Arial"/>
          <w:szCs w:val="18"/>
        </w:rPr>
        <w:t>. Accordingly</w:t>
      </w:r>
      <w:r w:rsidRPr="006B2F21">
        <w:rPr>
          <w:rFonts w:cs="Arial"/>
          <w:szCs w:val="18"/>
        </w:rPr>
        <w:t xml:space="preserve">, </w:t>
      </w:r>
      <w:r w:rsidR="004D38B6" w:rsidRPr="006B2F21">
        <w:rPr>
          <w:rFonts w:cs="Arial"/>
          <w:szCs w:val="18"/>
        </w:rPr>
        <w:t xml:space="preserve">this </w:t>
      </w:r>
      <w:r w:rsidRPr="006B2F21">
        <w:rPr>
          <w:rFonts w:cs="Arial"/>
          <w:szCs w:val="18"/>
        </w:rPr>
        <w:t>Appellate Body Report does not contain information designated as BCI by the Panel.</w:t>
      </w:r>
    </w:p>
    <w:p w14:paraId="7C91A926" w14:textId="77777777" w:rsidR="00AB41A7" w:rsidRPr="006B2F21" w:rsidRDefault="00AB41A7" w:rsidP="006B2F21">
      <w:pPr>
        <w:pStyle w:val="Heading1"/>
        <w:numPr>
          <w:ilvl w:val="0"/>
          <w:numId w:val="1"/>
        </w:numPr>
        <w:rPr>
          <w:szCs w:val="18"/>
        </w:rPr>
      </w:pPr>
      <w:bookmarkStart w:id="35" w:name="_Toc24624688"/>
      <w:bookmarkStart w:id="36" w:name="_Toc31380975"/>
      <w:bookmarkStart w:id="37" w:name="_Toc314670761"/>
      <w:bookmarkStart w:id="38" w:name="_Toc328640617"/>
      <w:bookmarkStart w:id="39" w:name="_Toc333317534"/>
      <w:bookmarkStart w:id="40" w:name="_Toc333331188"/>
      <w:bookmarkStart w:id="41" w:name="_Toc333395143"/>
      <w:bookmarkStart w:id="42" w:name="_Toc333510429"/>
      <w:bookmarkStart w:id="43" w:name="_Toc333510536"/>
      <w:bookmarkStart w:id="44" w:name="_Toc343522826"/>
      <w:r w:rsidRPr="006B2F21">
        <w:rPr>
          <w:szCs w:val="18"/>
        </w:rPr>
        <w:t>Arguments of the Participants</w:t>
      </w:r>
      <w:bookmarkEnd w:id="35"/>
      <w:bookmarkEnd w:id="36"/>
      <w:r w:rsidRPr="006B2F21">
        <w:rPr>
          <w:szCs w:val="18"/>
        </w:rPr>
        <w:t xml:space="preserve"> </w:t>
      </w:r>
      <w:bookmarkEnd w:id="37"/>
      <w:bookmarkEnd w:id="38"/>
      <w:bookmarkEnd w:id="39"/>
      <w:bookmarkEnd w:id="40"/>
      <w:bookmarkEnd w:id="41"/>
      <w:bookmarkEnd w:id="42"/>
      <w:bookmarkEnd w:id="43"/>
      <w:bookmarkEnd w:id="44"/>
    </w:p>
    <w:p w14:paraId="7B1303F9" w14:textId="77777777" w:rsidR="00AB41A7" w:rsidRPr="006B2F21" w:rsidRDefault="00AB41A7" w:rsidP="006B2F21">
      <w:pPr>
        <w:pStyle w:val="BodyText"/>
        <w:numPr>
          <w:ilvl w:val="6"/>
          <w:numId w:val="1"/>
        </w:numPr>
        <w:tabs>
          <w:tab w:val="num" w:pos="862"/>
        </w:tabs>
        <w:rPr>
          <w:szCs w:val="18"/>
        </w:rPr>
      </w:pPr>
      <w:r w:rsidRPr="006B2F21">
        <w:rPr>
          <w:szCs w:val="18"/>
        </w:rPr>
        <w:t xml:space="preserve">The claims </w:t>
      </w:r>
      <w:r w:rsidRPr="006B2F21">
        <w:rPr>
          <w:rFonts w:cs="Arial"/>
          <w:szCs w:val="18"/>
        </w:rPr>
        <w:t>and</w:t>
      </w:r>
      <w:r w:rsidRPr="006B2F21">
        <w:rPr>
          <w:szCs w:val="18"/>
        </w:rPr>
        <w:t xml:space="preserve"> arguments of the participants are reflected in the executive summaries of their written submissions provided to the Appellate Body.</w:t>
      </w:r>
      <w:r w:rsidRPr="006B2F21">
        <w:rPr>
          <w:rStyle w:val="FootnoteReference"/>
          <w:szCs w:val="18"/>
        </w:rPr>
        <w:footnoteReference w:id="34"/>
      </w:r>
      <w:r w:rsidRPr="006B2F21">
        <w:rPr>
          <w:szCs w:val="18"/>
        </w:rPr>
        <w:t xml:space="preserve"> The Notices of Appeal and Other Appeal, and </w:t>
      </w:r>
      <w:r w:rsidRPr="006B2F21">
        <w:rPr>
          <w:szCs w:val="18"/>
        </w:rPr>
        <w:lastRenderedPageBreak/>
        <w:t>the executive summaries of the participants' claims and arguments, are contained in Annexes A and B of the Addendum to this Report, WT/DS499/AB/R/Add.1.</w:t>
      </w:r>
    </w:p>
    <w:p w14:paraId="238C5A53" w14:textId="77777777" w:rsidR="00AB41A7" w:rsidRPr="006B2F21" w:rsidRDefault="00AB41A7" w:rsidP="006B2F21">
      <w:pPr>
        <w:pStyle w:val="Heading1"/>
        <w:numPr>
          <w:ilvl w:val="0"/>
          <w:numId w:val="1"/>
        </w:numPr>
        <w:rPr>
          <w:szCs w:val="18"/>
        </w:rPr>
      </w:pPr>
      <w:bookmarkStart w:id="45" w:name="_Toc24624689"/>
      <w:bookmarkStart w:id="46" w:name="_Toc31380976"/>
      <w:bookmarkStart w:id="47" w:name="_Hlk21530392"/>
      <w:r w:rsidRPr="006B2F21">
        <w:rPr>
          <w:szCs w:val="18"/>
        </w:rPr>
        <w:t>Arguments of the third participants</w:t>
      </w:r>
      <w:bookmarkEnd w:id="45"/>
      <w:bookmarkEnd w:id="46"/>
    </w:p>
    <w:p w14:paraId="5A71E729" w14:textId="77777777" w:rsidR="00AB41A7" w:rsidRPr="006B2F21" w:rsidRDefault="00AB41A7" w:rsidP="006B2F21">
      <w:pPr>
        <w:pStyle w:val="BodyText"/>
        <w:numPr>
          <w:ilvl w:val="6"/>
          <w:numId w:val="1"/>
        </w:numPr>
        <w:rPr>
          <w:szCs w:val="18"/>
        </w:rPr>
      </w:pPr>
      <w:bookmarkStart w:id="48" w:name="_Toc298321505"/>
      <w:bookmarkStart w:id="49" w:name="_Toc328640637"/>
      <w:bookmarkStart w:id="50" w:name="_Toc333317558"/>
      <w:bookmarkStart w:id="51" w:name="_Toc333331196"/>
      <w:bookmarkStart w:id="52" w:name="_Toc333395163"/>
      <w:bookmarkStart w:id="53" w:name="_Toc333510449"/>
      <w:bookmarkStart w:id="54" w:name="_Toc333510556"/>
      <w:r w:rsidRPr="006B2F21">
        <w:rPr>
          <w:szCs w:val="18"/>
          <w:lang w:eastAsia="zh-CN"/>
        </w:rPr>
        <w:t>The arguments of the third participants that filed a written submission (Canada, the European Union, and Japan) are reflected in the executive summaries of their written submissions provided to the Appellate Body</w:t>
      </w:r>
      <w:r w:rsidRPr="006B2F21">
        <w:rPr>
          <w:rStyle w:val="FootnoteReference"/>
          <w:szCs w:val="18"/>
          <w:lang w:eastAsia="zh-CN"/>
        </w:rPr>
        <w:footnoteReference w:id="35"/>
      </w:r>
      <w:r w:rsidRPr="006B2F21">
        <w:rPr>
          <w:szCs w:val="18"/>
          <w:lang w:eastAsia="zh-CN"/>
        </w:rPr>
        <w:t xml:space="preserve">, and are contained in Annex C of the Addendum to this Report, </w:t>
      </w:r>
      <w:r w:rsidRPr="006B2F21">
        <w:rPr>
          <w:szCs w:val="18"/>
        </w:rPr>
        <w:t>WT/DS499/AB/R/Add.1.</w:t>
      </w:r>
      <w:bookmarkEnd w:id="47"/>
      <w:bookmarkEnd w:id="48"/>
      <w:bookmarkEnd w:id="49"/>
      <w:bookmarkEnd w:id="50"/>
      <w:bookmarkEnd w:id="51"/>
      <w:bookmarkEnd w:id="52"/>
      <w:bookmarkEnd w:id="53"/>
      <w:bookmarkEnd w:id="54"/>
    </w:p>
    <w:p w14:paraId="5EBDF4E5" w14:textId="77777777" w:rsidR="00AB41A7" w:rsidRPr="006B2F21" w:rsidRDefault="008115D1" w:rsidP="006B2F21">
      <w:pPr>
        <w:pStyle w:val="Heading1"/>
        <w:numPr>
          <w:ilvl w:val="0"/>
          <w:numId w:val="1"/>
        </w:numPr>
        <w:rPr>
          <w:szCs w:val="18"/>
        </w:rPr>
      </w:pPr>
      <w:bookmarkStart w:id="55" w:name="_Toc31380977"/>
      <w:bookmarkStart w:id="56" w:name="_Hlk26878250"/>
      <w:r w:rsidRPr="006B2F21">
        <w:rPr>
          <w:szCs w:val="18"/>
        </w:rPr>
        <w:t>I</w:t>
      </w:r>
      <w:r w:rsidR="00AB41A7" w:rsidRPr="006B2F21">
        <w:rPr>
          <w:szCs w:val="18"/>
        </w:rPr>
        <w:t xml:space="preserve">ssues </w:t>
      </w:r>
      <w:r w:rsidRPr="006B2F21">
        <w:rPr>
          <w:szCs w:val="18"/>
        </w:rPr>
        <w:t>R</w:t>
      </w:r>
      <w:r w:rsidR="00AB41A7" w:rsidRPr="006B2F21">
        <w:rPr>
          <w:szCs w:val="18"/>
        </w:rPr>
        <w:t>aised</w:t>
      </w:r>
      <w:bookmarkEnd w:id="55"/>
    </w:p>
    <w:p w14:paraId="000E4660" w14:textId="77777777" w:rsidR="00772AB0" w:rsidRPr="006B2F21" w:rsidRDefault="00772AB0" w:rsidP="006B2F21">
      <w:pPr>
        <w:pStyle w:val="BodyText"/>
        <w:rPr>
          <w:szCs w:val="18"/>
        </w:rPr>
      </w:pPr>
      <w:r w:rsidRPr="006B2F21">
        <w:rPr>
          <w:szCs w:val="18"/>
        </w:rPr>
        <w:t>The following issues are raised in this appeal:</w:t>
      </w:r>
    </w:p>
    <w:p w14:paraId="3EAE7CB5" w14:textId="77777777" w:rsidR="00772AB0" w:rsidRPr="006B2F21" w:rsidRDefault="00772AB0" w:rsidP="006B2F21">
      <w:pPr>
        <w:pStyle w:val="BodyText2"/>
        <w:rPr>
          <w:szCs w:val="18"/>
        </w:rPr>
      </w:pPr>
      <w:bookmarkStart w:id="57" w:name="_Toc318903512"/>
      <w:r w:rsidRPr="006B2F21">
        <w:rPr>
          <w:szCs w:val="18"/>
        </w:rPr>
        <w:t>in relation to the Panel's preliminary ruling (raised by Russia):</w:t>
      </w:r>
    </w:p>
    <w:p w14:paraId="46F30F8F" w14:textId="77777777" w:rsidR="00772AB0" w:rsidRPr="006B2F21" w:rsidRDefault="00772AB0" w:rsidP="006B2F21">
      <w:pPr>
        <w:pStyle w:val="BodyText3"/>
        <w:rPr>
          <w:szCs w:val="18"/>
        </w:rPr>
      </w:pPr>
      <w:r w:rsidRPr="006B2F21">
        <w:rPr>
          <w:szCs w:val="18"/>
        </w:rPr>
        <w:t xml:space="preserve">whether the Panel erred in finding that Russia had failed to establish that Ukraine's panel request is inconsistent with Article 6.2 of the DSU; </w:t>
      </w:r>
    </w:p>
    <w:p w14:paraId="75A8C653" w14:textId="37A9AF5C" w:rsidR="00772AB0" w:rsidRPr="006B2F21" w:rsidRDefault="00772AB0" w:rsidP="006B2F21">
      <w:pPr>
        <w:pStyle w:val="BodyText2"/>
        <w:rPr>
          <w:szCs w:val="18"/>
        </w:rPr>
      </w:pPr>
      <w:r w:rsidRPr="006B2F21">
        <w:rPr>
          <w:szCs w:val="18"/>
        </w:rPr>
        <w:t>in relation to the Panel's findings with respect to the non-recognition of certificates issued in CU countries other than Russia, which the Panel referred to as the third measure (raised by Russia):</w:t>
      </w:r>
    </w:p>
    <w:p w14:paraId="66CD5523" w14:textId="77777777" w:rsidR="00772AB0" w:rsidRPr="006B2F21" w:rsidRDefault="00772AB0" w:rsidP="006B2F21">
      <w:pPr>
        <w:pStyle w:val="BodyText3"/>
        <w:rPr>
          <w:szCs w:val="18"/>
        </w:rPr>
      </w:pPr>
      <w:r w:rsidRPr="006B2F21">
        <w:rPr>
          <w:szCs w:val="18"/>
        </w:rPr>
        <w:t>whether the Panel acted inconsistently with Article 11 of the DSU in finding the existence of the third measure as a general non</w:t>
      </w:r>
      <w:r w:rsidRPr="006B2F21">
        <w:rPr>
          <w:szCs w:val="18"/>
        </w:rPr>
        <w:noBreakHyphen/>
        <w:t>recognition requirement flowing from CU Technical Regulation 001/2011;</w:t>
      </w:r>
    </w:p>
    <w:p w14:paraId="6E480AA3" w14:textId="77777777" w:rsidR="00772AB0" w:rsidRPr="006B2F21" w:rsidRDefault="00772AB0" w:rsidP="006B2F21">
      <w:pPr>
        <w:pStyle w:val="BodyText3"/>
        <w:rPr>
          <w:szCs w:val="18"/>
        </w:rPr>
      </w:pPr>
      <w:r w:rsidRPr="006B2F21">
        <w:rPr>
          <w:szCs w:val="18"/>
        </w:rPr>
        <w:t>whether the Panel acted inconsistently with Article 11 of the DSU in finding the third measure capable of being challenged under the DSU as a single measure;</w:t>
      </w:r>
    </w:p>
    <w:p w14:paraId="5861C8CD" w14:textId="17495B30" w:rsidR="00912D0F" w:rsidRPr="006B2F21" w:rsidRDefault="00772AB0" w:rsidP="006B2F21">
      <w:pPr>
        <w:pStyle w:val="BodyText3"/>
        <w:rPr>
          <w:szCs w:val="18"/>
        </w:rPr>
      </w:pPr>
      <w:r w:rsidRPr="006B2F21">
        <w:rPr>
          <w:szCs w:val="18"/>
        </w:rPr>
        <w:t>whether the Panel acted inconsistently with Articles 6.2, 7.1, and 11 of the DSU in finding that the third measure was within the Panel's terms of reference;</w:t>
      </w:r>
      <w:r w:rsidR="0090253D" w:rsidRPr="006B2F21">
        <w:rPr>
          <w:szCs w:val="18"/>
        </w:rPr>
        <w:t xml:space="preserve"> and</w:t>
      </w:r>
    </w:p>
    <w:p w14:paraId="3D3DA296" w14:textId="77777777" w:rsidR="00772AB0" w:rsidRPr="006B2F21" w:rsidRDefault="00772AB0" w:rsidP="006B2F21">
      <w:pPr>
        <w:pStyle w:val="BodyText3"/>
        <w:rPr>
          <w:szCs w:val="18"/>
        </w:rPr>
      </w:pPr>
      <w:r w:rsidRPr="006B2F21">
        <w:rPr>
          <w:szCs w:val="18"/>
        </w:rPr>
        <w:t>whether the Panel acted inconsistently with Article 11 of the DSU in making findings with respect to an aspect related to the third measure that it had previously found to be outside its terms of reference;</w:t>
      </w:r>
    </w:p>
    <w:bookmarkEnd w:id="57"/>
    <w:p w14:paraId="0093395A" w14:textId="3883A3CE" w:rsidR="00772AB0" w:rsidRPr="006B2F21" w:rsidRDefault="00772AB0" w:rsidP="006B2F21">
      <w:pPr>
        <w:pStyle w:val="BodyText2"/>
        <w:rPr>
          <w:szCs w:val="18"/>
        </w:rPr>
      </w:pPr>
      <w:r w:rsidRPr="006B2F21">
        <w:rPr>
          <w:szCs w:val="18"/>
        </w:rPr>
        <w:t>whether the Panel erred in its interpretation and application, and acted inconsistently with Article 11 of the DSU, in its analysis relating to the existence of a "comparable situation" under Article</w:t>
      </w:r>
      <w:r w:rsidR="00685156" w:rsidRPr="006B2F21">
        <w:rPr>
          <w:szCs w:val="18"/>
        </w:rPr>
        <w:t> </w:t>
      </w:r>
      <w:r w:rsidRPr="006B2F21">
        <w:rPr>
          <w:szCs w:val="18"/>
        </w:rPr>
        <w:t xml:space="preserve">5.1.1 of the TBT Agreement and in finding that Ukraine failed to establish that Russia acted inconsistently with its obligations under Article 5.1.1 (raised by Ukraine); </w:t>
      </w:r>
    </w:p>
    <w:p w14:paraId="2B0BD18B" w14:textId="77777777" w:rsidR="00772AB0" w:rsidRPr="006B2F21" w:rsidRDefault="00772AB0" w:rsidP="006B2F21">
      <w:pPr>
        <w:pStyle w:val="BodyText2"/>
        <w:rPr>
          <w:szCs w:val="18"/>
        </w:rPr>
      </w:pPr>
      <w:r w:rsidRPr="006B2F21">
        <w:rPr>
          <w:szCs w:val="18"/>
        </w:rPr>
        <w:t>whether the Panel acted inconsistently with Article 11 of the DSU in finding that Ukraine failed to establish that the proposed less trade-restrictive alternatives were reasonably available, and that Russia acted inconsistently with its obligations under Article 5.1.2 of the TBT Agreement (raised by Ukraine); and</w:t>
      </w:r>
    </w:p>
    <w:p w14:paraId="7F727C8A" w14:textId="436F4105" w:rsidR="00772AB0" w:rsidRPr="006B2F21" w:rsidRDefault="00772AB0" w:rsidP="006B2F21">
      <w:pPr>
        <w:pStyle w:val="BodyText2"/>
        <w:rPr>
          <w:szCs w:val="18"/>
        </w:rPr>
      </w:pPr>
      <w:r w:rsidRPr="006B2F21">
        <w:rPr>
          <w:szCs w:val="18"/>
        </w:rPr>
        <w:t xml:space="preserve">whether the Panel acted inconsistently with Article 11 of the DSU in its assessment of the existence of systematic import prevention </w:t>
      </w:r>
      <w:r w:rsidR="00585B75" w:rsidRPr="006B2F21">
        <w:rPr>
          <w:szCs w:val="18"/>
        </w:rPr>
        <w:t xml:space="preserve">with respect to </w:t>
      </w:r>
      <w:r w:rsidRPr="006B2F21">
        <w:rPr>
          <w:szCs w:val="18"/>
        </w:rPr>
        <w:t>Ukraine's claims under Articles I:1, XI:1, and XIII:1 of the GATT 1994 (raised by Ukraine).</w:t>
      </w:r>
    </w:p>
    <w:p w14:paraId="2CC07F32" w14:textId="19366DDC" w:rsidR="00AB41A7" w:rsidRPr="006B2F21" w:rsidRDefault="008115D1" w:rsidP="006B2F21">
      <w:pPr>
        <w:pStyle w:val="Heading1"/>
        <w:rPr>
          <w:szCs w:val="18"/>
        </w:rPr>
      </w:pPr>
      <w:bookmarkStart w:id="58" w:name="_Toc31380978"/>
      <w:bookmarkEnd w:id="56"/>
      <w:r w:rsidRPr="006B2F21">
        <w:rPr>
          <w:szCs w:val="18"/>
        </w:rPr>
        <w:t>A</w:t>
      </w:r>
      <w:r w:rsidR="00AB41A7" w:rsidRPr="006B2F21">
        <w:rPr>
          <w:szCs w:val="18"/>
        </w:rPr>
        <w:t xml:space="preserve">nalysis of the </w:t>
      </w:r>
      <w:r w:rsidRPr="006B2F21">
        <w:rPr>
          <w:szCs w:val="18"/>
        </w:rPr>
        <w:t>A</w:t>
      </w:r>
      <w:r w:rsidR="00685156" w:rsidRPr="006B2F21">
        <w:rPr>
          <w:szCs w:val="18"/>
        </w:rPr>
        <w:t>ppellate Body</w:t>
      </w:r>
      <w:bookmarkEnd w:id="58"/>
    </w:p>
    <w:p w14:paraId="6FDC5A7B" w14:textId="77777777" w:rsidR="00AB41A7" w:rsidRPr="006B2F21" w:rsidRDefault="00AB41A7" w:rsidP="006B2F21">
      <w:pPr>
        <w:pStyle w:val="Heading2"/>
        <w:numPr>
          <w:ilvl w:val="1"/>
          <w:numId w:val="1"/>
        </w:numPr>
        <w:rPr>
          <w:szCs w:val="18"/>
        </w:rPr>
      </w:pPr>
      <w:bookmarkStart w:id="59" w:name="_Toc17208759"/>
      <w:bookmarkStart w:id="60" w:name="_Ref17377022"/>
      <w:bookmarkStart w:id="61" w:name="_Ref17387906"/>
      <w:bookmarkStart w:id="62" w:name="_Ref17387948"/>
      <w:bookmarkStart w:id="63" w:name="_Ref17388292"/>
      <w:bookmarkStart w:id="64" w:name="_Toc17449131"/>
      <w:bookmarkStart w:id="65" w:name="_Toc17463143"/>
      <w:bookmarkStart w:id="66" w:name="_Toc17468096"/>
      <w:bookmarkStart w:id="67" w:name="_Ref27386124"/>
      <w:bookmarkStart w:id="68" w:name="_Toc31380979"/>
      <w:r w:rsidRPr="006B2F21">
        <w:rPr>
          <w:szCs w:val="18"/>
        </w:rPr>
        <w:t>Russia's claims relating to the Panel's preliminary ruling</w:t>
      </w:r>
      <w:bookmarkEnd w:id="59"/>
      <w:bookmarkEnd w:id="60"/>
      <w:bookmarkEnd w:id="61"/>
      <w:bookmarkEnd w:id="62"/>
      <w:bookmarkEnd w:id="63"/>
      <w:bookmarkEnd w:id="64"/>
      <w:bookmarkEnd w:id="65"/>
      <w:bookmarkEnd w:id="66"/>
      <w:bookmarkEnd w:id="67"/>
      <w:bookmarkEnd w:id="68"/>
    </w:p>
    <w:p w14:paraId="73881F29" w14:textId="78073B79" w:rsidR="00AB41A7" w:rsidRPr="006B2F21" w:rsidRDefault="00AB41A7" w:rsidP="006B2F21">
      <w:pPr>
        <w:pStyle w:val="BodyText"/>
        <w:numPr>
          <w:ilvl w:val="6"/>
          <w:numId w:val="1"/>
        </w:numPr>
        <w:rPr>
          <w:szCs w:val="18"/>
        </w:rPr>
      </w:pPr>
      <w:r w:rsidRPr="006B2F21">
        <w:rPr>
          <w:szCs w:val="18"/>
        </w:rPr>
        <w:t xml:space="preserve">Russia requests us to reverse the conclusion made by the Panel in its preliminary ruling, that Russia </w:t>
      </w:r>
      <w:r w:rsidR="00B641AC" w:rsidRPr="006B2F21">
        <w:rPr>
          <w:szCs w:val="18"/>
        </w:rPr>
        <w:t xml:space="preserve">had </w:t>
      </w:r>
      <w:r w:rsidRPr="006B2F21">
        <w:rPr>
          <w:szCs w:val="18"/>
        </w:rPr>
        <w:t xml:space="preserve">failed to establish that Ukraine's panel request is inconsistent with Article 6.2 of the </w:t>
      </w:r>
      <w:r w:rsidRPr="006B2F21">
        <w:rPr>
          <w:szCs w:val="18"/>
        </w:rPr>
        <w:lastRenderedPageBreak/>
        <w:t>DSU.</w:t>
      </w:r>
      <w:r w:rsidRPr="006B2F21">
        <w:rPr>
          <w:rStyle w:val="FootnoteReference"/>
          <w:szCs w:val="18"/>
        </w:rPr>
        <w:footnoteReference w:id="36"/>
      </w:r>
      <w:r w:rsidRPr="006B2F21">
        <w:rPr>
          <w:szCs w:val="18"/>
        </w:rPr>
        <w:t xml:space="preserve"> Russia alleges that</w:t>
      </w:r>
      <w:r w:rsidR="00585B75" w:rsidRPr="006B2F21">
        <w:rPr>
          <w:szCs w:val="18"/>
        </w:rPr>
        <w:t>,</w:t>
      </w:r>
      <w:r w:rsidRPr="006B2F21">
        <w:rPr>
          <w:szCs w:val="18"/>
        </w:rPr>
        <w:t xml:space="preserve"> in coming to this conclusion, the Panel erred in two respects: first, in finding that Ukraine's panel request properly linked the measures at issue with the legal basis </w:t>
      </w:r>
      <w:r w:rsidR="00AF7009" w:rsidRPr="006B2F21">
        <w:rPr>
          <w:szCs w:val="18"/>
        </w:rPr>
        <w:t>of</w:t>
      </w:r>
      <w:r w:rsidRPr="006B2F21">
        <w:rPr>
          <w:szCs w:val="18"/>
        </w:rPr>
        <w:t xml:space="preserve"> its complaint</w:t>
      </w:r>
      <w:r w:rsidRPr="006B2F21">
        <w:rPr>
          <w:rStyle w:val="FootnoteReference"/>
          <w:szCs w:val="18"/>
        </w:rPr>
        <w:footnoteReference w:id="37"/>
      </w:r>
      <w:r w:rsidRPr="006B2F21">
        <w:rPr>
          <w:szCs w:val="18"/>
        </w:rPr>
        <w:t>; and</w:t>
      </w:r>
      <w:r w:rsidR="00D63A8A">
        <w:rPr>
          <w:szCs w:val="18"/>
        </w:rPr>
        <w:t>,</w:t>
      </w:r>
      <w:r w:rsidRPr="006B2F21">
        <w:rPr>
          <w:szCs w:val="18"/>
        </w:rPr>
        <w:t xml:space="preserve"> second, in finding that Ukraine's panel request properly identified the third measure at issue.</w:t>
      </w:r>
      <w:r w:rsidRPr="006B2F21">
        <w:rPr>
          <w:rStyle w:val="FootnoteReference"/>
          <w:szCs w:val="18"/>
        </w:rPr>
        <w:footnoteReference w:id="38"/>
      </w:r>
      <w:r w:rsidRPr="006B2F21">
        <w:rPr>
          <w:szCs w:val="18"/>
        </w:rPr>
        <w:t xml:space="preserve"> </w:t>
      </w:r>
    </w:p>
    <w:p w14:paraId="4820591C" w14:textId="3C86CC66" w:rsidR="00AB41A7" w:rsidRPr="006B2F21" w:rsidRDefault="00AB41A7" w:rsidP="006B2F21">
      <w:pPr>
        <w:pStyle w:val="BodyText"/>
        <w:numPr>
          <w:ilvl w:val="6"/>
          <w:numId w:val="1"/>
        </w:numPr>
        <w:rPr>
          <w:szCs w:val="18"/>
        </w:rPr>
      </w:pPr>
      <w:r w:rsidRPr="006B2F21">
        <w:rPr>
          <w:szCs w:val="18"/>
        </w:rPr>
        <w:t>Ukraine, for its part, requests us to uphold the conclusions made by the Panel in its preliminary ruling.</w:t>
      </w:r>
      <w:r w:rsidRPr="006B2F21">
        <w:rPr>
          <w:rStyle w:val="FootnoteReference"/>
          <w:szCs w:val="18"/>
        </w:rPr>
        <w:footnoteReference w:id="39"/>
      </w:r>
      <w:r w:rsidRPr="006B2F21">
        <w:rPr>
          <w:szCs w:val="18"/>
        </w:rPr>
        <w:t xml:space="preserve"> For Ukraine, first, the panel request links the measures at issue with the legal basis of the complaint in a manner sufficient to present the problem clearly</w:t>
      </w:r>
      <w:r w:rsidRPr="006B2F21">
        <w:rPr>
          <w:rStyle w:val="FootnoteReference"/>
          <w:szCs w:val="18"/>
        </w:rPr>
        <w:footnoteReference w:id="40"/>
      </w:r>
      <w:r w:rsidRPr="006B2F21">
        <w:rPr>
          <w:szCs w:val="18"/>
        </w:rPr>
        <w:t>, and</w:t>
      </w:r>
      <w:r w:rsidR="00585B75" w:rsidRPr="006B2F21">
        <w:rPr>
          <w:szCs w:val="18"/>
        </w:rPr>
        <w:t>,</w:t>
      </w:r>
      <w:r w:rsidRPr="006B2F21">
        <w:rPr>
          <w:szCs w:val="18"/>
        </w:rPr>
        <w:t xml:space="preserve"> second, it identified with sufficient clarity the third measure at issue in this dispute.</w:t>
      </w:r>
      <w:r w:rsidRPr="006B2F21">
        <w:rPr>
          <w:rStyle w:val="FootnoteReference"/>
          <w:szCs w:val="18"/>
        </w:rPr>
        <w:footnoteReference w:id="41"/>
      </w:r>
    </w:p>
    <w:p w14:paraId="1C0772B2" w14:textId="77777777" w:rsidR="00AB41A7" w:rsidRPr="006B2F21" w:rsidRDefault="00AB41A7" w:rsidP="006B2F21">
      <w:pPr>
        <w:pStyle w:val="Heading3"/>
        <w:numPr>
          <w:ilvl w:val="2"/>
          <w:numId w:val="20"/>
        </w:numPr>
        <w:rPr>
          <w:szCs w:val="18"/>
        </w:rPr>
      </w:pPr>
      <w:bookmarkStart w:id="69" w:name="_Toc536195297"/>
      <w:bookmarkStart w:id="70" w:name="_Toc17449136"/>
      <w:bookmarkStart w:id="71" w:name="_Toc17463148"/>
      <w:bookmarkStart w:id="72" w:name="_Toc17468101"/>
      <w:bookmarkStart w:id="73" w:name="_Toc31380980"/>
      <w:r w:rsidRPr="006B2F21">
        <w:rPr>
          <w:szCs w:val="18"/>
        </w:rPr>
        <w:t>The Panel's findings</w:t>
      </w:r>
      <w:bookmarkEnd w:id="69"/>
      <w:bookmarkEnd w:id="70"/>
      <w:bookmarkEnd w:id="71"/>
      <w:bookmarkEnd w:id="72"/>
      <w:bookmarkEnd w:id="73"/>
    </w:p>
    <w:p w14:paraId="64C7E33D" w14:textId="6BBD3D26" w:rsidR="00AB41A7" w:rsidRPr="006B2F21" w:rsidRDefault="00AB41A7" w:rsidP="006B2F21">
      <w:pPr>
        <w:pStyle w:val="BodyText"/>
        <w:numPr>
          <w:ilvl w:val="6"/>
          <w:numId w:val="1"/>
        </w:numPr>
        <w:rPr>
          <w:szCs w:val="18"/>
          <w:lang w:eastAsia="ko-KR"/>
        </w:rPr>
      </w:pPr>
      <w:r w:rsidRPr="006B2F21">
        <w:rPr>
          <w:szCs w:val="18"/>
          <w:lang w:eastAsia="ko-KR"/>
        </w:rPr>
        <w:t xml:space="preserve">Russia requested a </w:t>
      </w:r>
      <w:r w:rsidRPr="006B2F21">
        <w:rPr>
          <w:szCs w:val="18"/>
        </w:rPr>
        <w:t>preliminary</w:t>
      </w:r>
      <w:r w:rsidRPr="006B2F21">
        <w:rPr>
          <w:szCs w:val="18"/>
          <w:lang w:eastAsia="ko-KR"/>
        </w:rPr>
        <w:t xml:space="preserve"> ruling from the Panel, alleging that Ukraine's panel request failed to provide the legal basis of Ukraine's complaint, and that the panel request was thus not sufficient to present the </w:t>
      </w:r>
      <w:r w:rsidRPr="006B2F21">
        <w:rPr>
          <w:szCs w:val="18"/>
        </w:rPr>
        <w:t>problem</w:t>
      </w:r>
      <w:r w:rsidRPr="006B2F21">
        <w:rPr>
          <w:szCs w:val="18"/>
          <w:lang w:eastAsia="ko-KR"/>
        </w:rPr>
        <w:t xml:space="preserve"> clearly, as required pursuant to Article 6.2 of the DSU. Russia alleged, </w:t>
      </w:r>
      <w:r w:rsidRPr="006B2F21">
        <w:rPr>
          <w:i/>
          <w:szCs w:val="18"/>
          <w:lang w:eastAsia="ko-KR"/>
        </w:rPr>
        <w:t>inter alia</w:t>
      </w:r>
      <w:r w:rsidRPr="006B2F21">
        <w:rPr>
          <w:szCs w:val="18"/>
          <w:lang w:eastAsia="ko-KR"/>
        </w:rPr>
        <w:t>, that Ukraine's panel request failed to identify a link between, on the one hand, the measures challenged by Ukraine, and the WTO obligations allegedly violated</w:t>
      </w:r>
      <w:r w:rsidR="00580187" w:rsidRPr="006B2F21">
        <w:rPr>
          <w:szCs w:val="18"/>
          <w:lang w:eastAsia="ko-KR"/>
        </w:rPr>
        <w:t>,</w:t>
      </w:r>
      <w:r w:rsidRPr="006B2F21">
        <w:rPr>
          <w:szCs w:val="18"/>
          <w:lang w:eastAsia="ko-KR"/>
        </w:rPr>
        <w:t xml:space="preserve"> on the other, and that the request failed to properly identify the third</w:t>
      </w:r>
      <w:r w:rsidR="006B6696" w:rsidRPr="006B2F21">
        <w:rPr>
          <w:szCs w:val="18"/>
          <w:lang w:eastAsia="ko-KR"/>
        </w:rPr>
        <w:t> </w:t>
      </w:r>
      <w:r w:rsidRPr="006B2F21">
        <w:rPr>
          <w:szCs w:val="18"/>
          <w:lang w:eastAsia="ko-KR"/>
        </w:rPr>
        <w:t>measure at issue.</w:t>
      </w:r>
      <w:r w:rsidRPr="006B2F21">
        <w:rPr>
          <w:rStyle w:val="FootnoteReference"/>
          <w:szCs w:val="18"/>
          <w:lang w:eastAsia="ko-KR"/>
        </w:rPr>
        <w:footnoteReference w:id="42"/>
      </w:r>
      <w:r w:rsidRPr="006B2F21">
        <w:rPr>
          <w:szCs w:val="18"/>
          <w:lang w:eastAsia="ko-KR"/>
        </w:rPr>
        <w:t xml:space="preserve"> Ukraine requested the Panel to reject Russia's request. In Ukraine's view, </w:t>
      </w:r>
      <w:r w:rsidR="00580187" w:rsidRPr="006B2F21">
        <w:rPr>
          <w:szCs w:val="18"/>
          <w:lang w:eastAsia="ko-KR"/>
        </w:rPr>
        <w:t xml:space="preserve">its </w:t>
      </w:r>
      <w:r w:rsidRPr="006B2F21">
        <w:rPr>
          <w:szCs w:val="18"/>
          <w:lang w:eastAsia="ko-KR"/>
        </w:rPr>
        <w:t>panel request plainly connected the measures at issue and the relevant WTO obligations and clearly identified the third measure as required under Article 6.2.</w:t>
      </w:r>
      <w:r w:rsidRPr="006B2F21">
        <w:rPr>
          <w:rStyle w:val="FootnoteReference"/>
          <w:szCs w:val="18"/>
          <w:lang w:eastAsia="ko-KR"/>
        </w:rPr>
        <w:footnoteReference w:id="43"/>
      </w:r>
    </w:p>
    <w:p w14:paraId="63658D6D" w14:textId="68436976" w:rsidR="00AB41A7" w:rsidRPr="006B2F21" w:rsidRDefault="00AB41A7" w:rsidP="006B2F21">
      <w:pPr>
        <w:pStyle w:val="BodyText"/>
        <w:numPr>
          <w:ilvl w:val="6"/>
          <w:numId w:val="1"/>
        </w:numPr>
        <w:rPr>
          <w:szCs w:val="18"/>
        </w:rPr>
      </w:pPr>
      <w:r w:rsidRPr="006B2F21">
        <w:rPr>
          <w:szCs w:val="18"/>
        </w:rPr>
        <w:t>The Panel issued its conclusions on Russia's request to the parties on 17 July 2017.</w:t>
      </w:r>
      <w:r w:rsidRPr="006B2F21">
        <w:rPr>
          <w:rStyle w:val="FootnoteReference"/>
          <w:szCs w:val="18"/>
        </w:rPr>
        <w:footnoteReference w:id="44"/>
      </w:r>
      <w:r w:rsidRPr="006B2F21">
        <w:rPr>
          <w:szCs w:val="18"/>
        </w:rPr>
        <w:t xml:space="preserve"> The Panel concluded that Ukraine's panel request was </w:t>
      </w:r>
      <w:r w:rsidRPr="006B2F21">
        <w:rPr>
          <w:i/>
          <w:szCs w:val="18"/>
        </w:rPr>
        <w:t>not</w:t>
      </w:r>
      <w:r w:rsidRPr="006B2F21">
        <w:rPr>
          <w:szCs w:val="18"/>
        </w:rPr>
        <w:t xml:space="preserve"> inconsistent with Article 6.2</w:t>
      </w:r>
      <w:r w:rsidR="00580187" w:rsidRPr="006B2F21">
        <w:rPr>
          <w:szCs w:val="18"/>
        </w:rPr>
        <w:t>,</w:t>
      </w:r>
      <w:r w:rsidRPr="006B2F21">
        <w:rPr>
          <w:szCs w:val="18"/>
        </w:rPr>
        <w:t xml:space="preserve"> and therefore it rejected </w:t>
      </w:r>
      <w:r w:rsidRPr="006B2F21">
        <w:rPr>
          <w:szCs w:val="18"/>
          <w:lang w:eastAsia="ko-KR"/>
        </w:rPr>
        <w:t>Russia's</w:t>
      </w:r>
      <w:r w:rsidRPr="006B2F21">
        <w:rPr>
          <w:szCs w:val="18"/>
        </w:rPr>
        <w:t xml:space="preserve"> claims in this respect. The Panel indicated that it would provide detailed reasons in support of its conclusions at a later date, and at the latest in the Interim Report. The Panel Report contains the Panel's detailed reasons for its conclusions on Russia's request, and the conclusions circulated to the parties (and the third parties for information) on 17 July 2017 are also an integral part of the Panel Report.</w:t>
      </w:r>
      <w:r w:rsidRPr="006B2F21">
        <w:rPr>
          <w:rStyle w:val="FootnoteReference"/>
          <w:szCs w:val="18"/>
        </w:rPr>
        <w:footnoteReference w:id="45"/>
      </w:r>
    </w:p>
    <w:p w14:paraId="49EF6883" w14:textId="060B2D29" w:rsidR="00AB41A7" w:rsidRPr="006B2F21" w:rsidRDefault="00AB41A7" w:rsidP="006B2F21">
      <w:pPr>
        <w:pStyle w:val="BodyText"/>
        <w:numPr>
          <w:ilvl w:val="6"/>
          <w:numId w:val="1"/>
        </w:numPr>
        <w:rPr>
          <w:szCs w:val="18"/>
        </w:rPr>
      </w:pPr>
      <w:r w:rsidRPr="006B2F21">
        <w:rPr>
          <w:szCs w:val="18"/>
        </w:rPr>
        <w:t xml:space="preserve">First, with regard to Russia's claim that </w:t>
      </w:r>
      <w:r w:rsidRPr="006B2F21">
        <w:rPr>
          <w:szCs w:val="18"/>
          <w:lang w:eastAsia="ko-KR"/>
        </w:rPr>
        <w:t xml:space="preserve">Ukraine's panel request failed to identify a link between the measures challenged by Ukraine, </w:t>
      </w:r>
      <w:r w:rsidR="00585B75" w:rsidRPr="006B2F21">
        <w:rPr>
          <w:szCs w:val="18"/>
          <w:lang w:eastAsia="ko-KR"/>
        </w:rPr>
        <w:t xml:space="preserve">on the one hand, </w:t>
      </w:r>
      <w:r w:rsidRPr="006B2F21">
        <w:rPr>
          <w:szCs w:val="18"/>
          <w:lang w:eastAsia="ko-KR"/>
        </w:rPr>
        <w:t>and the WTO</w:t>
      </w:r>
      <w:r w:rsidR="006B6696" w:rsidRPr="006B2F21">
        <w:rPr>
          <w:szCs w:val="18"/>
          <w:lang w:eastAsia="ko-KR"/>
        </w:rPr>
        <w:t> </w:t>
      </w:r>
      <w:r w:rsidRPr="006B2F21">
        <w:rPr>
          <w:szCs w:val="18"/>
          <w:lang w:eastAsia="ko-KR"/>
        </w:rPr>
        <w:t>obligations allegedly violated</w:t>
      </w:r>
      <w:r w:rsidR="00580187" w:rsidRPr="006B2F21">
        <w:rPr>
          <w:szCs w:val="18"/>
          <w:lang w:eastAsia="ko-KR"/>
        </w:rPr>
        <w:t>,</w:t>
      </w:r>
      <w:r w:rsidRPr="006B2F21">
        <w:rPr>
          <w:szCs w:val="18"/>
          <w:lang w:eastAsia="ko-KR"/>
        </w:rPr>
        <w:t xml:space="preserve"> on the other, the Panel noted that it concerned all measures and all claims identified in the panel request.</w:t>
      </w:r>
      <w:r w:rsidRPr="006B2F21">
        <w:rPr>
          <w:rStyle w:val="FootnoteReference"/>
          <w:szCs w:val="18"/>
          <w:lang w:eastAsia="ko-KR"/>
        </w:rPr>
        <w:footnoteReference w:id="46"/>
      </w:r>
      <w:r w:rsidRPr="006B2F21">
        <w:rPr>
          <w:szCs w:val="18"/>
          <w:lang w:eastAsia="ko-KR"/>
        </w:rPr>
        <w:t xml:space="preserve"> The Panel recalled that the Appellate Body had held that Article 6.2 of the DSU </w:t>
      </w:r>
      <w:r w:rsidRPr="006B2F21">
        <w:rPr>
          <w:szCs w:val="18"/>
        </w:rPr>
        <w:t>calls for sufficient clarity with respect to the legal basis of the complaint, because a defending party is entitled to know what case it has to answer, and what violations have been alleged so that it can begin preparing its defence.</w:t>
      </w:r>
      <w:r w:rsidRPr="006B2F21">
        <w:rPr>
          <w:rStyle w:val="FootnoteReference"/>
          <w:szCs w:val="18"/>
        </w:rPr>
        <w:footnoteReference w:id="47"/>
      </w:r>
      <w:r w:rsidRPr="006B2F21">
        <w:rPr>
          <w:szCs w:val="18"/>
        </w:rPr>
        <w:t xml:space="preserve"> The Panel also referred to the Appellate Body's finding that "in order to 'present the problem clearly', within the meaning of Article 6.2, a panel request must 'plainly </w:t>
      </w:r>
      <w:r w:rsidRPr="006B2F21">
        <w:rPr>
          <w:szCs w:val="18"/>
        </w:rPr>
        <w:lastRenderedPageBreak/>
        <w:t>connect' the challenged measure(s) with the provision(s) claimed to have been infringed so that a respondent can 'know what case it has to answer, and … begin preparing its defence'."</w:t>
      </w:r>
      <w:r w:rsidRPr="006B2F21">
        <w:rPr>
          <w:rStyle w:val="FootnoteReference"/>
          <w:szCs w:val="18"/>
        </w:rPr>
        <w:footnoteReference w:id="48"/>
      </w:r>
    </w:p>
    <w:p w14:paraId="0089423C" w14:textId="77777777" w:rsidR="00AB41A7" w:rsidRPr="006B2F21" w:rsidRDefault="00AB41A7" w:rsidP="006B2F21">
      <w:pPr>
        <w:pStyle w:val="BodyText"/>
        <w:numPr>
          <w:ilvl w:val="6"/>
          <w:numId w:val="1"/>
        </w:numPr>
        <w:rPr>
          <w:szCs w:val="18"/>
        </w:rPr>
      </w:pPr>
      <w:r w:rsidRPr="006B2F21">
        <w:rPr>
          <w:szCs w:val="18"/>
        </w:rPr>
        <w:t>The Panel then turned to examine in detail Ukraine's panel request. The Panel noted that the panel request is structured in four sections. Section I provides an overview of the background of the dispute. Section II describes the measures at issue. Section III describes Russia's relevant legal framework. Section IV provides the legal basis of the complaint.</w:t>
      </w:r>
      <w:r w:rsidRPr="006B2F21">
        <w:rPr>
          <w:rStyle w:val="FootnoteReference"/>
          <w:szCs w:val="18"/>
        </w:rPr>
        <w:footnoteReference w:id="49"/>
      </w:r>
    </w:p>
    <w:p w14:paraId="2CBEA6B4" w14:textId="653421F4" w:rsidR="00AB41A7" w:rsidRPr="006B2F21" w:rsidRDefault="00AB41A7" w:rsidP="006B2F21">
      <w:pPr>
        <w:pStyle w:val="BodyText"/>
        <w:numPr>
          <w:ilvl w:val="6"/>
          <w:numId w:val="1"/>
        </w:numPr>
        <w:rPr>
          <w:szCs w:val="18"/>
        </w:rPr>
      </w:pPr>
      <w:r w:rsidRPr="006B2F21">
        <w:rPr>
          <w:szCs w:val="18"/>
        </w:rPr>
        <w:t>Regarding section II of the request, the Panel observed that it contains three narrative paragraphs describing the measures at issue, followed by a numbered list of the measures</w:t>
      </w:r>
      <w:r w:rsidR="005141BB" w:rsidRPr="006B2F21">
        <w:rPr>
          <w:szCs w:val="18"/>
        </w:rPr>
        <w:t xml:space="preserve"> that</w:t>
      </w:r>
      <w:r w:rsidRPr="006B2F21">
        <w:rPr>
          <w:szCs w:val="18"/>
        </w:rPr>
        <w:t xml:space="preserve"> includes references to Annexes I</w:t>
      </w:r>
      <w:r w:rsidR="001D2F2E" w:rsidRPr="006B2F21">
        <w:rPr>
          <w:szCs w:val="18"/>
        </w:rPr>
        <w:t xml:space="preserve">, II, and </w:t>
      </w:r>
      <w:r w:rsidRPr="006B2F21">
        <w:rPr>
          <w:szCs w:val="18"/>
        </w:rPr>
        <w:t xml:space="preserve">III </w:t>
      </w:r>
      <w:r w:rsidR="005141BB" w:rsidRPr="006B2F21">
        <w:rPr>
          <w:szCs w:val="18"/>
        </w:rPr>
        <w:t xml:space="preserve">to </w:t>
      </w:r>
      <w:r w:rsidRPr="006B2F21">
        <w:rPr>
          <w:szCs w:val="18"/>
        </w:rPr>
        <w:t>the panel request. The Panel further noted that this section ends with a concluding paragraph describing the trade effects of the challenged measures.</w:t>
      </w:r>
      <w:r w:rsidRPr="006B2F21">
        <w:rPr>
          <w:rStyle w:val="FootnoteReference"/>
          <w:szCs w:val="18"/>
        </w:rPr>
        <w:footnoteReference w:id="50"/>
      </w:r>
      <w:r w:rsidRPr="006B2F21">
        <w:rPr>
          <w:szCs w:val="18"/>
        </w:rPr>
        <w:t xml:space="preserve"> The Panel then </w:t>
      </w:r>
      <w:r w:rsidR="009659D3" w:rsidRPr="006B2F21">
        <w:rPr>
          <w:szCs w:val="18"/>
        </w:rPr>
        <w:t xml:space="preserve">briefly </w:t>
      </w:r>
      <w:r w:rsidRPr="006B2F21">
        <w:rPr>
          <w:szCs w:val="18"/>
        </w:rPr>
        <w:t>outlined its understanding of each of the challenged measures.</w:t>
      </w:r>
      <w:r w:rsidRPr="006B2F21">
        <w:rPr>
          <w:rStyle w:val="FootnoteReference"/>
          <w:szCs w:val="18"/>
        </w:rPr>
        <w:footnoteReference w:id="51"/>
      </w:r>
      <w:r w:rsidRPr="006B2F21">
        <w:rPr>
          <w:szCs w:val="18"/>
        </w:rPr>
        <w:t xml:space="preserve"> </w:t>
      </w:r>
    </w:p>
    <w:p w14:paraId="290E15FE" w14:textId="55FC22E5" w:rsidR="00AB41A7" w:rsidRPr="006B2F21" w:rsidRDefault="00AB41A7" w:rsidP="006B2F21">
      <w:pPr>
        <w:pStyle w:val="BodyText"/>
        <w:numPr>
          <w:ilvl w:val="6"/>
          <w:numId w:val="1"/>
        </w:numPr>
        <w:rPr>
          <w:szCs w:val="18"/>
        </w:rPr>
      </w:pPr>
      <w:r w:rsidRPr="006B2F21">
        <w:rPr>
          <w:szCs w:val="18"/>
        </w:rPr>
        <w:t xml:space="preserve">Turning to section IV of Ukraine's </w:t>
      </w:r>
      <w:r w:rsidR="00405A03" w:rsidRPr="006B2F21">
        <w:rPr>
          <w:szCs w:val="18"/>
        </w:rPr>
        <w:t xml:space="preserve">panel </w:t>
      </w:r>
      <w:r w:rsidRPr="006B2F21">
        <w:rPr>
          <w:szCs w:val="18"/>
        </w:rPr>
        <w:t xml:space="preserve">request, the Panel noted that it begins with an introductory paragraph that reads: "the measures described in section II are inconsistent with [Russia's] obligations under the following provisions of the GATT 1994 and the TBT Agreement" and that this paragraph is followed by a list of </w:t>
      </w:r>
      <w:r w:rsidR="004467B9" w:rsidRPr="006B2F21">
        <w:rPr>
          <w:szCs w:val="18"/>
        </w:rPr>
        <w:t xml:space="preserve">10 </w:t>
      </w:r>
      <w:r w:rsidRPr="006B2F21">
        <w:rPr>
          <w:szCs w:val="18"/>
        </w:rPr>
        <w:t>provisions, five</w:t>
      </w:r>
      <w:r w:rsidR="00B66573" w:rsidRPr="006B2F21">
        <w:rPr>
          <w:szCs w:val="18"/>
        </w:rPr>
        <w:t> </w:t>
      </w:r>
      <w:r w:rsidRPr="006B2F21">
        <w:rPr>
          <w:szCs w:val="18"/>
        </w:rPr>
        <w:t xml:space="preserve">of the TBT Agreement and five of the GATT 1994, each of which contains a brief description of how that provision is </w:t>
      </w:r>
      <w:r w:rsidR="004D38B6" w:rsidRPr="006B2F21">
        <w:rPr>
          <w:szCs w:val="18"/>
        </w:rPr>
        <w:t xml:space="preserve">allegedly </w:t>
      </w:r>
      <w:r w:rsidRPr="006B2F21">
        <w:rPr>
          <w:szCs w:val="18"/>
        </w:rPr>
        <w:t>breached.</w:t>
      </w:r>
      <w:r w:rsidRPr="006B2F21">
        <w:rPr>
          <w:rStyle w:val="FootnoteReference"/>
          <w:szCs w:val="18"/>
        </w:rPr>
        <w:footnoteReference w:id="52"/>
      </w:r>
    </w:p>
    <w:p w14:paraId="1C6E8502" w14:textId="1ED18597" w:rsidR="00AB41A7" w:rsidRPr="006B2F21" w:rsidRDefault="00AB41A7" w:rsidP="006B2F21">
      <w:pPr>
        <w:pStyle w:val="BodyText"/>
        <w:numPr>
          <w:ilvl w:val="6"/>
          <w:numId w:val="1"/>
        </w:numPr>
        <w:rPr>
          <w:szCs w:val="18"/>
        </w:rPr>
      </w:pPr>
      <w:r w:rsidRPr="006B2F21">
        <w:rPr>
          <w:szCs w:val="18"/>
        </w:rPr>
        <w:t xml:space="preserve">The Panel then examined each point of section IV of </w:t>
      </w:r>
      <w:r w:rsidR="001D2F2E" w:rsidRPr="006B2F21">
        <w:rPr>
          <w:szCs w:val="18"/>
        </w:rPr>
        <w:t xml:space="preserve">Ukraine's </w:t>
      </w:r>
      <w:r w:rsidRPr="006B2F21">
        <w:rPr>
          <w:szCs w:val="18"/>
        </w:rPr>
        <w:t xml:space="preserve">panel request, bearing in mind the description of the three measures at issue in section II of the panel request, in order to determine whether the panel request properly links the challenged measures with the </w:t>
      </w:r>
      <w:r w:rsidR="004467B9" w:rsidRPr="006B2F21">
        <w:rPr>
          <w:szCs w:val="18"/>
        </w:rPr>
        <w:t xml:space="preserve">10 </w:t>
      </w:r>
      <w:r w:rsidRPr="006B2F21">
        <w:rPr>
          <w:szCs w:val="18"/>
        </w:rPr>
        <w:t>WTO provisions allegedly infringed.</w:t>
      </w:r>
      <w:r w:rsidRPr="006B2F21">
        <w:rPr>
          <w:rStyle w:val="FootnoteReference"/>
          <w:szCs w:val="18"/>
        </w:rPr>
        <w:footnoteReference w:id="53"/>
      </w:r>
      <w:r w:rsidRPr="006B2F21">
        <w:rPr>
          <w:szCs w:val="18"/>
        </w:rPr>
        <w:t xml:space="preserve"> </w:t>
      </w:r>
      <w:r w:rsidR="001A600F" w:rsidRPr="006B2F21">
        <w:rPr>
          <w:szCs w:val="18"/>
        </w:rPr>
        <w:t>T</w:t>
      </w:r>
      <w:r w:rsidRPr="006B2F21">
        <w:rPr>
          <w:szCs w:val="18"/>
        </w:rPr>
        <w:t xml:space="preserve">he Panel </w:t>
      </w:r>
      <w:r w:rsidR="001A600F" w:rsidRPr="006B2F21">
        <w:rPr>
          <w:szCs w:val="18"/>
        </w:rPr>
        <w:t xml:space="preserve">Report contains a table setting </w:t>
      </w:r>
      <w:r w:rsidRPr="006B2F21">
        <w:rPr>
          <w:szCs w:val="18"/>
        </w:rPr>
        <w:t>out the linkages between the claims raised by Ukraine and the measures at issue.</w:t>
      </w:r>
      <w:r w:rsidRPr="006B2F21">
        <w:rPr>
          <w:rStyle w:val="FootnoteReference"/>
          <w:szCs w:val="18"/>
        </w:rPr>
        <w:footnoteReference w:id="54"/>
      </w:r>
    </w:p>
    <w:p w14:paraId="56F163BF" w14:textId="2F94CF36" w:rsidR="00AB41A7" w:rsidRPr="006B2F21" w:rsidRDefault="00AB41A7" w:rsidP="006B2F21">
      <w:pPr>
        <w:pStyle w:val="BodyText"/>
        <w:numPr>
          <w:ilvl w:val="6"/>
          <w:numId w:val="1"/>
        </w:numPr>
        <w:rPr>
          <w:szCs w:val="18"/>
        </w:rPr>
      </w:pPr>
      <w:r w:rsidRPr="006B2F21">
        <w:rPr>
          <w:szCs w:val="18"/>
        </w:rPr>
        <w:t xml:space="preserve">Second, regarding Russia's allegation that Ukraine's panel request failed to comply with Article 6.2 of the DSU because </w:t>
      </w:r>
      <w:r w:rsidRPr="006B2F21">
        <w:rPr>
          <w:szCs w:val="18"/>
          <w:lang w:eastAsia="ko-KR"/>
        </w:rPr>
        <w:t>it lacked a proper identification of the third measure at issue</w:t>
      </w:r>
      <w:r w:rsidRPr="006B2F21">
        <w:rPr>
          <w:rStyle w:val="FootnoteReference"/>
          <w:szCs w:val="18"/>
          <w:lang w:eastAsia="ko-KR"/>
        </w:rPr>
        <w:footnoteReference w:id="55"/>
      </w:r>
      <w:r w:rsidRPr="006B2F21">
        <w:rPr>
          <w:szCs w:val="18"/>
          <w:lang w:eastAsia="ko-KR"/>
        </w:rPr>
        <w:t xml:space="preserve">, the Panel began by noting that </w:t>
      </w:r>
      <w:r w:rsidRPr="006B2F21">
        <w:rPr>
          <w:szCs w:val="18"/>
        </w:rPr>
        <w:t xml:space="preserve">the text of Article 6.2 makes clear that a panel request must, </w:t>
      </w:r>
      <w:r w:rsidRPr="006B2F21">
        <w:rPr>
          <w:i/>
          <w:szCs w:val="18"/>
        </w:rPr>
        <w:t>inter</w:t>
      </w:r>
      <w:r w:rsidR="000524B5" w:rsidRPr="006B2F21">
        <w:rPr>
          <w:i/>
          <w:szCs w:val="18"/>
        </w:rPr>
        <w:t> </w:t>
      </w:r>
      <w:r w:rsidRPr="006B2F21">
        <w:rPr>
          <w:i/>
          <w:szCs w:val="18"/>
        </w:rPr>
        <w:t>alia</w:t>
      </w:r>
      <w:r w:rsidRPr="006B2F21">
        <w:rPr>
          <w:szCs w:val="18"/>
        </w:rPr>
        <w:t>, identify the specific measure or measures at issue, and that measures not properly identified fall outside a panel's terms of reference, and cannot be the subject of panel findings or recommendations.</w:t>
      </w:r>
      <w:r w:rsidRPr="006B2F21">
        <w:rPr>
          <w:rStyle w:val="FootnoteReference"/>
          <w:szCs w:val="18"/>
        </w:rPr>
        <w:footnoteReference w:id="56"/>
      </w:r>
      <w:r w:rsidRPr="006B2F21">
        <w:rPr>
          <w:szCs w:val="18"/>
        </w:rPr>
        <w:t xml:space="preserve"> </w:t>
      </w:r>
    </w:p>
    <w:p w14:paraId="058C798F" w14:textId="77777777" w:rsidR="00AB41A7" w:rsidRPr="006B2F21" w:rsidRDefault="00AB41A7" w:rsidP="006B2F21">
      <w:pPr>
        <w:pStyle w:val="BodyText"/>
        <w:numPr>
          <w:ilvl w:val="6"/>
          <w:numId w:val="1"/>
        </w:numPr>
        <w:rPr>
          <w:szCs w:val="18"/>
        </w:rPr>
      </w:pPr>
      <w:r w:rsidRPr="006B2F21">
        <w:rPr>
          <w:szCs w:val="18"/>
        </w:rPr>
        <w:t>The Panel recalled that with respect to the requirement to identify the specific measures at issue, the Appellate Body had said that "the measures at issue must be identified with sufficient precision so that what is referred to adjudication may be discerned from the panel request"</w:t>
      </w:r>
      <w:r w:rsidRPr="006B2F21">
        <w:rPr>
          <w:rStyle w:val="FootnoteReference"/>
          <w:szCs w:val="18"/>
        </w:rPr>
        <w:footnoteReference w:id="57"/>
      </w:r>
      <w:r w:rsidRPr="006B2F21">
        <w:rPr>
          <w:szCs w:val="18"/>
        </w:rPr>
        <w:t>, and that a panel request will satisfy this requirement where it identifies the measure(s) at issue "with sufficient particularity so as to indicate the nature of the measure and the gist of what is at issue".</w:t>
      </w:r>
      <w:r w:rsidRPr="006B2F21">
        <w:rPr>
          <w:rStyle w:val="FootnoteReference"/>
          <w:szCs w:val="18"/>
        </w:rPr>
        <w:footnoteReference w:id="58"/>
      </w:r>
      <w:r w:rsidRPr="006B2F21">
        <w:rPr>
          <w:szCs w:val="18"/>
        </w:rPr>
        <w:t xml:space="preserve"> Furthermore, the Panel noted that "there may be circumstances in which a party describes a measure in a more generic way, which nonetheless allows the measure to be discerned"</w:t>
      </w:r>
      <w:r w:rsidRPr="006B2F21">
        <w:rPr>
          <w:rStyle w:val="FootnoteReference"/>
          <w:szCs w:val="18"/>
        </w:rPr>
        <w:footnoteReference w:id="59"/>
      </w:r>
      <w:r w:rsidRPr="006B2F21">
        <w:rPr>
          <w:szCs w:val="18"/>
        </w:rPr>
        <w:t>, and that "[a]n assessment of whether a complaining party has identified the specific measures at issue may depend on the particular context in which those measures exist and operate."</w:t>
      </w:r>
      <w:r w:rsidRPr="006B2F21">
        <w:rPr>
          <w:rStyle w:val="FootnoteReference"/>
          <w:szCs w:val="18"/>
        </w:rPr>
        <w:footnoteReference w:id="60"/>
      </w:r>
      <w:r w:rsidRPr="006B2F21">
        <w:rPr>
          <w:szCs w:val="18"/>
        </w:rPr>
        <w:t xml:space="preserve"> To the Panel, this suggested that there is no single way that a challenged measure must be identified.</w:t>
      </w:r>
      <w:r w:rsidRPr="006B2F21">
        <w:rPr>
          <w:rStyle w:val="FootnoteReference"/>
          <w:szCs w:val="18"/>
        </w:rPr>
        <w:footnoteReference w:id="61"/>
      </w:r>
    </w:p>
    <w:p w14:paraId="7920129A" w14:textId="25791336" w:rsidR="00AB41A7" w:rsidRPr="006B2F21" w:rsidRDefault="00AB41A7" w:rsidP="006B2F21">
      <w:pPr>
        <w:pStyle w:val="BodyText"/>
        <w:numPr>
          <w:ilvl w:val="6"/>
          <w:numId w:val="1"/>
        </w:numPr>
        <w:rPr>
          <w:szCs w:val="18"/>
        </w:rPr>
      </w:pPr>
      <w:r w:rsidRPr="006B2F21">
        <w:rPr>
          <w:szCs w:val="18"/>
        </w:rPr>
        <w:lastRenderedPageBreak/>
        <w:t xml:space="preserve">More specifically regarding the question whether </w:t>
      </w:r>
      <w:r w:rsidR="006250FB" w:rsidRPr="006B2F21">
        <w:rPr>
          <w:szCs w:val="18"/>
        </w:rPr>
        <w:t xml:space="preserve">the third </w:t>
      </w:r>
      <w:r w:rsidRPr="006B2F21">
        <w:rPr>
          <w:szCs w:val="18"/>
        </w:rPr>
        <w:t>measure</w:t>
      </w:r>
      <w:r w:rsidR="00256D4A" w:rsidRPr="006B2F21">
        <w:rPr>
          <w:szCs w:val="18"/>
        </w:rPr>
        <w:t xml:space="preserve"> </w:t>
      </w:r>
      <w:r w:rsidRPr="006B2F21">
        <w:rPr>
          <w:szCs w:val="18"/>
        </w:rPr>
        <w:t>had been properly identified in Ukraine's panel request, the Panel noted that this measure was addressed in the third</w:t>
      </w:r>
      <w:r w:rsidR="009D6585">
        <w:rPr>
          <w:szCs w:val="18"/>
        </w:rPr>
        <w:t> </w:t>
      </w:r>
      <w:r w:rsidRPr="006B2F21">
        <w:rPr>
          <w:szCs w:val="18"/>
        </w:rPr>
        <w:t>narrative paragraph, the three numbered points, and Annex III and that these various references must be read together.</w:t>
      </w:r>
      <w:r w:rsidRPr="006B2F21">
        <w:rPr>
          <w:rStyle w:val="FootnoteReference"/>
          <w:szCs w:val="18"/>
        </w:rPr>
        <w:footnoteReference w:id="62"/>
      </w:r>
      <w:r w:rsidRPr="006B2F21">
        <w:rPr>
          <w:szCs w:val="18"/>
        </w:rPr>
        <w:t xml:space="preserve"> Ultimately, the Panel concluded that Ukraine's panel request identified the challenged measure in a manner that satisfies the requirements of Article 6.2 of the DSU and thus rejected Russia's request to find otherwise.</w:t>
      </w:r>
      <w:r w:rsidRPr="006B2F21">
        <w:rPr>
          <w:rStyle w:val="FootnoteReference"/>
          <w:szCs w:val="18"/>
        </w:rPr>
        <w:footnoteReference w:id="63"/>
      </w:r>
    </w:p>
    <w:p w14:paraId="5E768BDD" w14:textId="77777777" w:rsidR="00AB41A7" w:rsidRPr="006B2F21" w:rsidRDefault="00AB41A7" w:rsidP="006B2F21">
      <w:pPr>
        <w:pStyle w:val="Heading3"/>
        <w:numPr>
          <w:ilvl w:val="2"/>
          <w:numId w:val="11"/>
        </w:numPr>
        <w:rPr>
          <w:szCs w:val="18"/>
        </w:rPr>
      </w:pPr>
      <w:bookmarkStart w:id="74" w:name="_Toc17449137"/>
      <w:bookmarkStart w:id="75" w:name="_Toc17463149"/>
      <w:bookmarkStart w:id="76" w:name="_Toc17468102"/>
      <w:bookmarkStart w:id="77" w:name="_Toc31380981"/>
      <w:r w:rsidRPr="006B2F21">
        <w:rPr>
          <w:szCs w:val="18"/>
        </w:rPr>
        <w:t>Claims and arguments on appeal</w:t>
      </w:r>
      <w:bookmarkEnd w:id="74"/>
      <w:bookmarkEnd w:id="75"/>
      <w:bookmarkEnd w:id="76"/>
      <w:bookmarkEnd w:id="77"/>
    </w:p>
    <w:p w14:paraId="04E0891C" w14:textId="77777777" w:rsidR="00AB41A7" w:rsidRPr="006B2F21" w:rsidRDefault="00AB41A7" w:rsidP="006B2F21">
      <w:pPr>
        <w:pStyle w:val="BodyText"/>
        <w:numPr>
          <w:ilvl w:val="6"/>
          <w:numId w:val="1"/>
        </w:numPr>
        <w:rPr>
          <w:szCs w:val="18"/>
        </w:rPr>
      </w:pPr>
      <w:r w:rsidRPr="006B2F21">
        <w:rPr>
          <w:szCs w:val="18"/>
        </w:rPr>
        <w:t>On appeal, Russia submits that the Panel erred in two respects: first, in finding that Ukraine's panel request properly linked the measures at issue with the legal basis of its complaint</w:t>
      </w:r>
      <w:r w:rsidRPr="006B2F21">
        <w:rPr>
          <w:rStyle w:val="FootnoteReference"/>
          <w:szCs w:val="18"/>
        </w:rPr>
        <w:footnoteReference w:id="64"/>
      </w:r>
      <w:r w:rsidRPr="006B2F21">
        <w:rPr>
          <w:szCs w:val="18"/>
        </w:rPr>
        <w:t>; and second, in finding that Ukraine's panel request properly identified the third measure at issue.</w:t>
      </w:r>
      <w:r w:rsidRPr="006B2F21">
        <w:rPr>
          <w:rStyle w:val="FootnoteReference"/>
          <w:szCs w:val="18"/>
        </w:rPr>
        <w:footnoteReference w:id="65"/>
      </w:r>
      <w:r w:rsidRPr="006B2F21">
        <w:rPr>
          <w:szCs w:val="18"/>
        </w:rPr>
        <w:t xml:space="preserve"> </w:t>
      </w:r>
    </w:p>
    <w:p w14:paraId="34F8B942" w14:textId="0D79423F" w:rsidR="00AB41A7" w:rsidRPr="006B2F21" w:rsidRDefault="00AB41A7" w:rsidP="006B2F21">
      <w:pPr>
        <w:pStyle w:val="BodyText"/>
        <w:numPr>
          <w:ilvl w:val="6"/>
          <w:numId w:val="1"/>
        </w:numPr>
        <w:rPr>
          <w:szCs w:val="18"/>
        </w:rPr>
      </w:pPr>
      <w:r w:rsidRPr="006B2F21">
        <w:rPr>
          <w:szCs w:val="18"/>
        </w:rPr>
        <w:t>Regarding the first point, Russia submits that the Panel misread the Appellate Body Report</w:t>
      </w:r>
      <w:r w:rsidR="00341958" w:rsidRPr="006B2F21">
        <w:rPr>
          <w:szCs w:val="18"/>
        </w:rPr>
        <w:t>s</w:t>
      </w:r>
      <w:r w:rsidRPr="006B2F21">
        <w:rPr>
          <w:szCs w:val="18"/>
        </w:rPr>
        <w:t xml:space="preserve"> in </w:t>
      </w:r>
      <w:r w:rsidRPr="006B2F21">
        <w:rPr>
          <w:i/>
          <w:szCs w:val="18"/>
        </w:rPr>
        <w:t>China – Raw Materials</w:t>
      </w:r>
      <w:r w:rsidRPr="006B2F21">
        <w:rPr>
          <w:szCs w:val="18"/>
        </w:rPr>
        <w:t>. In particular, Russia takes issue with the Panel's finding that "section IV of Ukraine's panel request contains a list of the ten WTO provisions allegedly infringed, together with an explanation of why Ukraine deems each provision inconsistent with the measures at issue."</w:t>
      </w:r>
      <w:r w:rsidRPr="006B2F21">
        <w:rPr>
          <w:rStyle w:val="FootnoteReference"/>
          <w:szCs w:val="18"/>
        </w:rPr>
        <w:footnoteReference w:id="66"/>
      </w:r>
      <w:r w:rsidRPr="006B2F21">
        <w:rPr>
          <w:szCs w:val="18"/>
        </w:rPr>
        <w:t xml:space="preserve"> Russia alleges that section IV of the panel request at issue fails to properly connect specific WTO obligations with the measures corresponding to them.</w:t>
      </w:r>
    </w:p>
    <w:p w14:paraId="44E7FAC2" w14:textId="559A5733" w:rsidR="00AB41A7" w:rsidRPr="006B2F21" w:rsidRDefault="00AB41A7" w:rsidP="006B2F21">
      <w:pPr>
        <w:pStyle w:val="BodyText"/>
        <w:numPr>
          <w:ilvl w:val="6"/>
          <w:numId w:val="1"/>
        </w:numPr>
        <w:rPr>
          <w:szCs w:val="18"/>
        </w:rPr>
      </w:pPr>
      <w:r w:rsidRPr="006B2F21">
        <w:rPr>
          <w:szCs w:val="18"/>
        </w:rPr>
        <w:t xml:space="preserve">Furthermore, Russia draws attention to the Panel's statements that certain items in section III of </w:t>
      </w:r>
      <w:r w:rsidR="00092C41" w:rsidRPr="006B2F21">
        <w:rPr>
          <w:szCs w:val="18"/>
        </w:rPr>
        <w:t xml:space="preserve">Ukraine's </w:t>
      </w:r>
      <w:r w:rsidRPr="006B2F21">
        <w:rPr>
          <w:szCs w:val="18"/>
        </w:rPr>
        <w:t>panel request "</w:t>
      </w:r>
      <w:r w:rsidRPr="006B2F21">
        <w:rPr>
          <w:i/>
          <w:szCs w:val="18"/>
        </w:rPr>
        <w:t>could</w:t>
      </w:r>
      <w:r w:rsidRPr="006B2F21">
        <w:rPr>
          <w:szCs w:val="18"/>
        </w:rPr>
        <w:t xml:space="preserve"> relate" </w:t>
      </w:r>
      <w:r w:rsidR="00006DA0" w:rsidRPr="006B2F21">
        <w:rPr>
          <w:szCs w:val="18"/>
        </w:rPr>
        <w:t xml:space="preserve">to </w:t>
      </w:r>
      <w:r w:rsidRPr="006B2F21">
        <w:rPr>
          <w:szCs w:val="18"/>
        </w:rPr>
        <w:t>or "</w:t>
      </w:r>
      <w:r w:rsidRPr="006B2F21">
        <w:rPr>
          <w:i/>
          <w:szCs w:val="18"/>
        </w:rPr>
        <w:t>could</w:t>
      </w:r>
      <w:r w:rsidRPr="006B2F21">
        <w:rPr>
          <w:szCs w:val="18"/>
        </w:rPr>
        <w:t xml:space="preserve"> concern" a corresponding measure contained in section II of the panel request.</w:t>
      </w:r>
      <w:r w:rsidRPr="006B2F21">
        <w:rPr>
          <w:rStyle w:val="FootnoteReference"/>
          <w:szCs w:val="18"/>
        </w:rPr>
        <w:footnoteReference w:id="67"/>
      </w:r>
      <w:r w:rsidRPr="006B2F21">
        <w:rPr>
          <w:szCs w:val="18"/>
        </w:rPr>
        <w:t xml:space="preserve"> For Russia, the </w:t>
      </w:r>
      <w:r w:rsidR="001E7633" w:rsidRPr="006B2F21">
        <w:rPr>
          <w:szCs w:val="18"/>
        </w:rPr>
        <w:t xml:space="preserve">Panel's </w:t>
      </w:r>
      <w:r w:rsidRPr="006B2F21">
        <w:rPr>
          <w:szCs w:val="18"/>
        </w:rPr>
        <w:t>use of "weak auxiliary verbs"</w:t>
      </w:r>
      <w:r w:rsidR="00912D0F" w:rsidRPr="006B2F21">
        <w:rPr>
          <w:szCs w:val="18"/>
        </w:rPr>
        <w:t xml:space="preserve"> </w:t>
      </w:r>
      <w:r w:rsidRPr="006B2F21">
        <w:rPr>
          <w:szCs w:val="18"/>
        </w:rPr>
        <w:t>reveals that, in fact, the linkages between the measures and the legal obligations were not as clear as the Panel found.</w:t>
      </w:r>
      <w:r w:rsidRPr="006B2F21">
        <w:rPr>
          <w:rStyle w:val="FootnoteReference"/>
          <w:szCs w:val="18"/>
        </w:rPr>
        <w:footnoteReference w:id="68"/>
      </w:r>
      <w:r w:rsidRPr="006B2F21">
        <w:rPr>
          <w:szCs w:val="18"/>
        </w:rPr>
        <w:t xml:space="preserve"> Had Ukraine plainly connected the challenged measures with the provisions of the covered agreements claimed to have been infringed, the Panel would not have needed to have recourse to language "inappropriately leaving the room for hesitations and speculations".</w:t>
      </w:r>
      <w:r w:rsidRPr="006B2F21">
        <w:rPr>
          <w:rStyle w:val="FootnoteReference"/>
          <w:szCs w:val="18"/>
        </w:rPr>
        <w:footnoteReference w:id="69"/>
      </w:r>
    </w:p>
    <w:p w14:paraId="128BBFE4" w14:textId="1D102B80" w:rsidR="00AB41A7" w:rsidRPr="006B2F21" w:rsidRDefault="00AB41A7" w:rsidP="006B2F21">
      <w:pPr>
        <w:pStyle w:val="BodyText"/>
        <w:numPr>
          <w:ilvl w:val="6"/>
          <w:numId w:val="1"/>
        </w:numPr>
        <w:rPr>
          <w:szCs w:val="18"/>
        </w:rPr>
      </w:pPr>
      <w:r w:rsidRPr="006B2F21">
        <w:rPr>
          <w:szCs w:val="18"/>
        </w:rPr>
        <w:t xml:space="preserve"> Russia further alleges that the Panel misunderstood its argument pertaining to the fact that Ukraine eventually dropped certain claims. Russia did not seek to curtail Ukraine's right to decide which claims to pursue in the course of the dispute. However, coupled with a lack of clarity in linking the measures at issue with the legal obligations concerned, Ukraine's decision not to pursue certain claims</w:t>
      </w:r>
      <w:r w:rsidR="009E4869" w:rsidRPr="006B2F21">
        <w:rPr>
          <w:szCs w:val="18"/>
        </w:rPr>
        <w:t xml:space="preserve"> rendered unclear to Russia </w:t>
      </w:r>
      <w:r w:rsidRPr="006B2F21">
        <w:rPr>
          <w:szCs w:val="18"/>
        </w:rPr>
        <w:t>what the dispute was in fact about, until the time of the first written submission</w:t>
      </w:r>
      <w:r w:rsidR="00A46286" w:rsidRPr="006B2F21">
        <w:rPr>
          <w:szCs w:val="18"/>
        </w:rPr>
        <w:t xml:space="preserve"> to the Panel</w:t>
      </w:r>
      <w:r w:rsidRPr="006B2F21">
        <w:rPr>
          <w:szCs w:val="18"/>
        </w:rPr>
        <w:t xml:space="preserve">. While Ukraine's panel request "arguably outlines the possible contours of the dispute, the matter brought and </w:t>
      </w:r>
      <w:r w:rsidRPr="006B2F21">
        <w:rPr>
          <w:i/>
          <w:szCs w:val="18"/>
        </w:rPr>
        <w:t xml:space="preserve">meant </w:t>
      </w:r>
      <w:r w:rsidRPr="006B2F21">
        <w:rPr>
          <w:szCs w:val="18"/>
        </w:rPr>
        <w:t>by Ukraine had not been clear [because] the final scope largely differed from what the panel request hinted"</w:t>
      </w:r>
      <w:r w:rsidR="001E14DA" w:rsidRPr="006B2F21">
        <w:rPr>
          <w:szCs w:val="18"/>
        </w:rPr>
        <w:t>.</w:t>
      </w:r>
      <w:r w:rsidRPr="006B2F21">
        <w:rPr>
          <w:rStyle w:val="FootnoteReference"/>
          <w:szCs w:val="18"/>
        </w:rPr>
        <w:footnoteReference w:id="70"/>
      </w:r>
    </w:p>
    <w:p w14:paraId="164D5862" w14:textId="208E9128" w:rsidR="00AB41A7" w:rsidRPr="006B2F21" w:rsidRDefault="00AB41A7" w:rsidP="006B2F21">
      <w:pPr>
        <w:pStyle w:val="BodyText"/>
        <w:numPr>
          <w:ilvl w:val="6"/>
          <w:numId w:val="1"/>
        </w:numPr>
        <w:rPr>
          <w:szCs w:val="18"/>
        </w:rPr>
      </w:pPr>
      <w:r w:rsidRPr="006B2F21">
        <w:rPr>
          <w:szCs w:val="18"/>
        </w:rPr>
        <w:t>Regarding the second point, namely</w:t>
      </w:r>
      <w:r w:rsidR="00A66955" w:rsidRPr="006B2F21">
        <w:rPr>
          <w:szCs w:val="18"/>
        </w:rPr>
        <w:t>,</w:t>
      </w:r>
      <w:r w:rsidRPr="006B2F21">
        <w:rPr>
          <w:szCs w:val="18"/>
        </w:rPr>
        <w:t xml:space="preserve"> whether the panel request properly identified the third measure at issue, Russia alleges </w:t>
      </w:r>
      <w:r w:rsidR="005614F0" w:rsidRPr="006B2F21">
        <w:rPr>
          <w:szCs w:val="18"/>
        </w:rPr>
        <w:t xml:space="preserve">on appeal </w:t>
      </w:r>
      <w:r w:rsidRPr="006B2F21">
        <w:rPr>
          <w:szCs w:val="18"/>
        </w:rPr>
        <w:t xml:space="preserve">that the Panel failed to review the description of the third measure in </w:t>
      </w:r>
      <w:r w:rsidR="00895715" w:rsidRPr="006B2F21">
        <w:rPr>
          <w:szCs w:val="18"/>
        </w:rPr>
        <w:t xml:space="preserve">Ukraine's </w:t>
      </w:r>
      <w:r w:rsidRPr="006B2F21">
        <w:rPr>
          <w:szCs w:val="18"/>
        </w:rPr>
        <w:t>panel request on its face and instead undertook a "contextual interpretation" of it.</w:t>
      </w:r>
      <w:r w:rsidR="00E07E5E" w:rsidRPr="006B2F21">
        <w:rPr>
          <w:rStyle w:val="FootnoteReference"/>
          <w:szCs w:val="18"/>
        </w:rPr>
        <w:footnoteReference w:id="71"/>
      </w:r>
      <w:r w:rsidRPr="006B2F21">
        <w:rPr>
          <w:szCs w:val="18"/>
        </w:rPr>
        <w:t xml:space="preserve"> Russia asserts that the Panel failed to consider in its analysis the meaning of the third numbered point in the panel request, read on its face, and when compared with the other two numbered points of section II of the panel request.</w:t>
      </w:r>
      <w:r w:rsidRPr="006B2F21">
        <w:rPr>
          <w:rStyle w:val="FootnoteReference"/>
          <w:szCs w:val="18"/>
        </w:rPr>
        <w:footnoteReference w:id="72"/>
      </w:r>
      <w:r w:rsidRPr="006B2F21">
        <w:rPr>
          <w:szCs w:val="18"/>
        </w:rPr>
        <w:t xml:space="preserve"> Russia notes that the text of the first two</w:t>
      </w:r>
      <w:r w:rsidR="009D6585">
        <w:rPr>
          <w:szCs w:val="18"/>
        </w:rPr>
        <w:t> </w:t>
      </w:r>
      <w:r w:rsidRPr="006B2F21">
        <w:rPr>
          <w:szCs w:val="18"/>
        </w:rPr>
        <w:t>numbered points of the panel request refers to "certain alleged actions" by Russia, while the third numbered point of the panel request lists certain documents, and submits that therefore the third measure at issue covers specific documents, rather than certain alleged actions.</w:t>
      </w:r>
      <w:r w:rsidRPr="006B2F21">
        <w:rPr>
          <w:rStyle w:val="FootnoteReference"/>
          <w:szCs w:val="18"/>
        </w:rPr>
        <w:footnoteReference w:id="73"/>
      </w:r>
      <w:r w:rsidRPr="006B2F21">
        <w:rPr>
          <w:szCs w:val="18"/>
        </w:rPr>
        <w:t xml:space="preserve"> </w:t>
      </w:r>
    </w:p>
    <w:p w14:paraId="3044772D" w14:textId="3CB936D6" w:rsidR="00AB41A7" w:rsidRPr="006B2F21" w:rsidRDefault="00AB41A7" w:rsidP="006B2F21">
      <w:pPr>
        <w:pStyle w:val="BodyText"/>
        <w:numPr>
          <w:ilvl w:val="6"/>
          <w:numId w:val="1"/>
        </w:numPr>
        <w:rPr>
          <w:szCs w:val="18"/>
        </w:rPr>
      </w:pPr>
      <w:r w:rsidRPr="006B2F21">
        <w:rPr>
          <w:szCs w:val="18"/>
        </w:rPr>
        <w:lastRenderedPageBreak/>
        <w:t>Russia also disagrees with the Panel's statement that there is no single way in which a challenged measure must invariably be identified. Instead, the Panel should have relied on the plain meaning of the text of Ukraine's panel request and found that the third</w:t>
      </w:r>
      <w:r w:rsidR="006B6696" w:rsidRPr="006B2F21">
        <w:rPr>
          <w:szCs w:val="18"/>
        </w:rPr>
        <w:t> </w:t>
      </w:r>
      <w:r w:rsidRPr="006B2F21">
        <w:rPr>
          <w:szCs w:val="18"/>
        </w:rPr>
        <w:t>measure is Technical Regulation 001/2011 as such, read together with the Protocol of the Ministry of Transport</w:t>
      </w:r>
      <w:r w:rsidR="00BA2F18" w:rsidRPr="006B2F21">
        <w:rPr>
          <w:szCs w:val="18"/>
        </w:rPr>
        <w:t xml:space="preserve"> </w:t>
      </w:r>
      <w:r w:rsidR="002F201F" w:rsidRPr="006B2F21">
        <w:rPr>
          <w:szCs w:val="18"/>
        </w:rPr>
        <w:t xml:space="preserve">of the Russian Federation </w:t>
      </w:r>
      <w:r w:rsidR="00E270C2" w:rsidRPr="006B2F21">
        <w:rPr>
          <w:szCs w:val="18"/>
        </w:rPr>
        <w:t>(MOT)</w:t>
      </w:r>
      <w:r w:rsidR="00E270C2" w:rsidRPr="006B2F21" w:rsidDel="00BA2F18">
        <w:rPr>
          <w:szCs w:val="18"/>
        </w:rPr>
        <w:t xml:space="preserve"> </w:t>
      </w:r>
      <w:r w:rsidRPr="006B2F21">
        <w:rPr>
          <w:szCs w:val="18"/>
        </w:rPr>
        <w:t>and the instructions mentioned in Annex III.</w:t>
      </w:r>
      <w:r w:rsidRPr="006B2F21">
        <w:rPr>
          <w:rStyle w:val="FootnoteReference"/>
          <w:szCs w:val="18"/>
        </w:rPr>
        <w:footnoteReference w:id="74"/>
      </w:r>
      <w:r w:rsidRPr="006B2F21">
        <w:rPr>
          <w:szCs w:val="18"/>
        </w:rPr>
        <w:t xml:space="preserve"> </w:t>
      </w:r>
    </w:p>
    <w:p w14:paraId="4D9CCF71" w14:textId="6E737596" w:rsidR="00AB41A7" w:rsidRPr="006B2F21" w:rsidRDefault="00AB41A7" w:rsidP="006B2F21">
      <w:pPr>
        <w:pStyle w:val="BodyText"/>
        <w:numPr>
          <w:ilvl w:val="6"/>
          <w:numId w:val="1"/>
        </w:numPr>
        <w:rPr>
          <w:szCs w:val="18"/>
        </w:rPr>
      </w:pPr>
      <w:r w:rsidRPr="006B2F21">
        <w:rPr>
          <w:szCs w:val="18"/>
        </w:rPr>
        <w:t xml:space="preserve">Russia asserts that, in order to confirm the meaning of the words used in </w:t>
      </w:r>
      <w:r w:rsidR="004E422F" w:rsidRPr="006B2F21">
        <w:rPr>
          <w:szCs w:val="18"/>
        </w:rPr>
        <w:t xml:space="preserve">a </w:t>
      </w:r>
      <w:r w:rsidRPr="006B2F21">
        <w:rPr>
          <w:szCs w:val="18"/>
        </w:rPr>
        <w:t>panel request, and as part of the assessment of whether the ability of the respondent to defend itself was prejudiced, submissions and statements made during the course of the panel proceedings, in particular the first written submission of the complaining party, may be consulted.</w:t>
      </w:r>
      <w:r w:rsidRPr="006B2F21">
        <w:rPr>
          <w:rStyle w:val="FootnoteReference"/>
          <w:szCs w:val="18"/>
        </w:rPr>
        <w:footnoteReference w:id="75"/>
      </w:r>
      <w:r w:rsidRPr="006B2F21">
        <w:rPr>
          <w:szCs w:val="18"/>
        </w:rPr>
        <w:t xml:space="preserve"> Russia notes that Ukraine described the third measure in three different manners in its first written submission</w:t>
      </w:r>
      <w:r w:rsidR="001E14DA" w:rsidRPr="006B2F21">
        <w:rPr>
          <w:szCs w:val="18"/>
        </w:rPr>
        <w:t xml:space="preserve"> to the Panel</w:t>
      </w:r>
      <w:r w:rsidRPr="006B2F21">
        <w:rPr>
          <w:szCs w:val="18"/>
        </w:rPr>
        <w:t xml:space="preserve"> and argues that the discrepancy in the way Ukraine referred to this measure demonstrates that Ukraine's first written submission does not confirm the words used in </w:t>
      </w:r>
      <w:r w:rsidR="001E14DA" w:rsidRPr="006B2F21">
        <w:rPr>
          <w:szCs w:val="18"/>
        </w:rPr>
        <w:t xml:space="preserve">its </w:t>
      </w:r>
      <w:r w:rsidRPr="006B2F21">
        <w:rPr>
          <w:szCs w:val="18"/>
        </w:rPr>
        <w:t xml:space="preserve">panel request, and that the panel request is </w:t>
      </w:r>
      <w:r w:rsidR="004E422F" w:rsidRPr="006B2F21">
        <w:rPr>
          <w:szCs w:val="18"/>
        </w:rPr>
        <w:t xml:space="preserve">not sufficiently specific to </w:t>
      </w:r>
      <w:r w:rsidRPr="006B2F21">
        <w:rPr>
          <w:szCs w:val="18"/>
        </w:rPr>
        <w:t>identi</w:t>
      </w:r>
      <w:r w:rsidR="00AB7902">
        <w:rPr>
          <w:szCs w:val="18"/>
        </w:rPr>
        <w:t>f</w:t>
      </w:r>
      <w:r w:rsidRPr="006B2F21">
        <w:rPr>
          <w:szCs w:val="18"/>
        </w:rPr>
        <w:t>y the precise measure at issue.</w:t>
      </w:r>
      <w:r w:rsidRPr="006B2F21">
        <w:rPr>
          <w:rStyle w:val="FootnoteReference"/>
          <w:szCs w:val="18"/>
        </w:rPr>
        <w:footnoteReference w:id="76"/>
      </w:r>
      <w:r w:rsidRPr="006B2F21">
        <w:rPr>
          <w:szCs w:val="18"/>
        </w:rPr>
        <w:t xml:space="preserve"> In addition, Russia alleges that the Panel failed to properly consider the fact that CU Technical Regulation 001/2011, identified by Ukraine as an element of </w:t>
      </w:r>
      <w:r w:rsidR="006250FB" w:rsidRPr="006B2F21">
        <w:rPr>
          <w:szCs w:val="18"/>
        </w:rPr>
        <w:t xml:space="preserve">the third </w:t>
      </w:r>
      <w:r w:rsidRPr="006B2F21">
        <w:rPr>
          <w:szCs w:val="18"/>
        </w:rPr>
        <w:t xml:space="preserve">measure, is a complex legal instrument. Referring to the Panel Report in </w:t>
      </w:r>
      <w:r w:rsidRPr="006B2F21">
        <w:rPr>
          <w:i/>
          <w:szCs w:val="18"/>
        </w:rPr>
        <w:t>Australia – Apples</w:t>
      </w:r>
      <w:r w:rsidRPr="006B2F21">
        <w:rPr>
          <w:szCs w:val="18"/>
        </w:rPr>
        <w:t>, Russia contends that whenever a complex and lengthy document is challenged, a panel request shall duly contain a reference to particular parts, sections, or issues and that Ukraine was therefore required to be more specific in identifying what it wished to challenge before the Panel.</w:t>
      </w:r>
      <w:r w:rsidR="007D6AB6" w:rsidRPr="006B2F21">
        <w:rPr>
          <w:rStyle w:val="FootnoteReference"/>
          <w:szCs w:val="18"/>
        </w:rPr>
        <w:footnoteReference w:id="77"/>
      </w:r>
      <w:r w:rsidRPr="006B2F21">
        <w:rPr>
          <w:szCs w:val="18"/>
        </w:rPr>
        <w:t xml:space="preserve"> </w:t>
      </w:r>
    </w:p>
    <w:p w14:paraId="13CEF094" w14:textId="0611439F" w:rsidR="00AB41A7" w:rsidRPr="006B2F21" w:rsidRDefault="00AB41A7" w:rsidP="006B2F21">
      <w:pPr>
        <w:pStyle w:val="BodyText"/>
        <w:numPr>
          <w:ilvl w:val="6"/>
          <w:numId w:val="1"/>
        </w:numPr>
        <w:rPr>
          <w:szCs w:val="18"/>
        </w:rPr>
      </w:pPr>
      <w:r w:rsidRPr="006B2F21">
        <w:rPr>
          <w:szCs w:val="18"/>
        </w:rPr>
        <w:t>Ukraine, for its part, requests us to uphold the Panel findings challenged by Russia.</w:t>
      </w:r>
      <w:r w:rsidRPr="006B2F21">
        <w:rPr>
          <w:rStyle w:val="FootnoteReference"/>
          <w:szCs w:val="18"/>
        </w:rPr>
        <w:footnoteReference w:id="78"/>
      </w:r>
      <w:r w:rsidRPr="006B2F21">
        <w:rPr>
          <w:szCs w:val="18"/>
        </w:rPr>
        <w:t xml:space="preserve"> First, Ukraine submits that, contrary to Russia's arguments, its panel request links the measures at issue with the legal basis of the complaint sufficiently to present the problem clearly.</w:t>
      </w:r>
      <w:r w:rsidRPr="006B2F21">
        <w:rPr>
          <w:rStyle w:val="FootnoteReference"/>
          <w:szCs w:val="18"/>
        </w:rPr>
        <w:footnoteReference w:id="79"/>
      </w:r>
      <w:r w:rsidRPr="006B2F21">
        <w:rPr>
          <w:szCs w:val="18"/>
        </w:rPr>
        <w:t xml:space="preserve"> In particular, section II of the panel request describes the "acts or omissions" attributable to Russia and identifies their "sources and evidence", while section IV explains what "acts or omissions … violate what [WTO] provisions and on what basis".</w:t>
      </w:r>
      <w:r w:rsidRPr="006B2F21">
        <w:rPr>
          <w:rStyle w:val="FootnoteReference"/>
          <w:szCs w:val="18"/>
        </w:rPr>
        <w:footnoteReference w:id="80"/>
      </w:r>
      <w:r w:rsidRPr="006B2F21">
        <w:rPr>
          <w:szCs w:val="18"/>
        </w:rPr>
        <w:t xml:space="preserve"> According to Ukraine, Russia's claim that the panel request does not plainly connect the challenged measures to the relevant provisions is based on </w:t>
      </w:r>
      <w:r w:rsidR="005614F0" w:rsidRPr="006B2F21">
        <w:rPr>
          <w:szCs w:val="18"/>
        </w:rPr>
        <w:t xml:space="preserve">an </w:t>
      </w:r>
      <w:r w:rsidRPr="006B2F21">
        <w:rPr>
          <w:szCs w:val="18"/>
        </w:rPr>
        <w:t>incorrect reading of section IV in isolation from the rest of the panel request.</w:t>
      </w:r>
      <w:r w:rsidRPr="006B2F21">
        <w:rPr>
          <w:rStyle w:val="FootnoteReference"/>
          <w:szCs w:val="18"/>
        </w:rPr>
        <w:footnoteReference w:id="81"/>
      </w:r>
      <w:r w:rsidRPr="006B2F21">
        <w:rPr>
          <w:szCs w:val="18"/>
        </w:rPr>
        <w:t xml:space="preserve"> Had Russia read the panel request as a whole, it would have readily understood how the claims made relate to the relevant WTO</w:t>
      </w:r>
      <w:r w:rsidR="006B6696" w:rsidRPr="006B2F21">
        <w:rPr>
          <w:szCs w:val="18"/>
        </w:rPr>
        <w:t> </w:t>
      </w:r>
      <w:r w:rsidRPr="006B2F21">
        <w:rPr>
          <w:szCs w:val="18"/>
        </w:rPr>
        <w:t>obligations.</w:t>
      </w:r>
      <w:r w:rsidRPr="006B2F21">
        <w:rPr>
          <w:rStyle w:val="FootnoteReference"/>
          <w:szCs w:val="18"/>
        </w:rPr>
        <w:footnoteReference w:id="82"/>
      </w:r>
    </w:p>
    <w:p w14:paraId="04F01F08" w14:textId="77777777" w:rsidR="00AB41A7" w:rsidRPr="006B2F21" w:rsidRDefault="00AB41A7" w:rsidP="006B2F21">
      <w:pPr>
        <w:pStyle w:val="BodyText"/>
        <w:numPr>
          <w:ilvl w:val="6"/>
          <w:numId w:val="1"/>
        </w:numPr>
        <w:rPr>
          <w:szCs w:val="18"/>
        </w:rPr>
      </w:pPr>
      <w:r w:rsidRPr="006B2F21">
        <w:rPr>
          <w:szCs w:val="18"/>
        </w:rPr>
        <w:t>In response to Russia taking issue with the Panel's use of "weak auxiliary verbs", Ukraine submits that the Panel's "choice of words" or use of "auxiliary verbs" is irrelevant to a determination of whether or not the Panel committed an error of law in the interpretation and application of Article 6.2 of the DSU.</w:t>
      </w:r>
      <w:r w:rsidRPr="006B2F21">
        <w:rPr>
          <w:rStyle w:val="FootnoteReference"/>
          <w:szCs w:val="18"/>
        </w:rPr>
        <w:footnoteReference w:id="83"/>
      </w:r>
      <w:r w:rsidRPr="006B2F21">
        <w:rPr>
          <w:szCs w:val="18"/>
        </w:rPr>
        <w:t xml:space="preserve"> Ukraine also disagrees with Russia that the scope of the claims as formulated in the panel request changed throughout the proceedings, and particularly in Ukraine's first written submission.</w:t>
      </w:r>
      <w:r w:rsidRPr="006B2F21">
        <w:rPr>
          <w:rStyle w:val="FootnoteReference"/>
          <w:szCs w:val="18"/>
        </w:rPr>
        <w:footnoteReference w:id="84"/>
      </w:r>
      <w:r w:rsidRPr="006B2F21">
        <w:rPr>
          <w:szCs w:val="18"/>
        </w:rPr>
        <w:t xml:space="preserve"> For Ukraine, the fact that a complainant abandons certain claims during the course of panel proceedings is immaterial to the question whether that complainant's panel request properly identifies the challenged measures and clearly connects them to the relevant WTO obligations.</w:t>
      </w:r>
      <w:r w:rsidRPr="006B2F21">
        <w:rPr>
          <w:rStyle w:val="FootnoteReference"/>
          <w:szCs w:val="18"/>
        </w:rPr>
        <w:footnoteReference w:id="85"/>
      </w:r>
      <w:r w:rsidRPr="006B2F21">
        <w:rPr>
          <w:szCs w:val="18"/>
        </w:rPr>
        <w:t xml:space="preserve"> </w:t>
      </w:r>
    </w:p>
    <w:p w14:paraId="0AE33167" w14:textId="173692B1" w:rsidR="00AB41A7" w:rsidRPr="006B2F21" w:rsidRDefault="00AB41A7" w:rsidP="006B2F21">
      <w:pPr>
        <w:pStyle w:val="BodyText"/>
        <w:numPr>
          <w:ilvl w:val="6"/>
          <w:numId w:val="1"/>
        </w:numPr>
        <w:rPr>
          <w:szCs w:val="18"/>
        </w:rPr>
      </w:pPr>
      <w:r w:rsidRPr="006B2F21">
        <w:rPr>
          <w:szCs w:val="18"/>
        </w:rPr>
        <w:t xml:space="preserve">Second, Ukraine disagrees with Russia's allegation that the panel request does not clearly identify the third measure at issue in this dispute. Section II of the panel request, titled "The measures at issue", </w:t>
      </w:r>
      <w:r w:rsidR="00A66955" w:rsidRPr="006B2F21">
        <w:rPr>
          <w:szCs w:val="18"/>
        </w:rPr>
        <w:t xml:space="preserve">lists </w:t>
      </w:r>
      <w:r w:rsidRPr="006B2F21">
        <w:rPr>
          <w:szCs w:val="18"/>
        </w:rPr>
        <w:t>not only the three measures, but also provides an explanation for each.</w:t>
      </w:r>
      <w:r w:rsidRPr="006B2F21">
        <w:rPr>
          <w:rStyle w:val="FootnoteReference"/>
          <w:szCs w:val="18"/>
        </w:rPr>
        <w:footnoteReference w:id="86"/>
      </w:r>
      <w:r w:rsidRPr="006B2F21">
        <w:rPr>
          <w:szCs w:val="18"/>
        </w:rPr>
        <w:t xml:space="preserve"> In particular, the "plain text" of the third recital clearly indicates that the third measure consists of "the decision" of </w:t>
      </w:r>
      <w:r w:rsidR="009777B8" w:rsidRPr="006B2F21">
        <w:rPr>
          <w:szCs w:val="18"/>
        </w:rPr>
        <w:t xml:space="preserve">Russian </w:t>
      </w:r>
      <w:r w:rsidRPr="006B2F21">
        <w:rPr>
          <w:szCs w:val="18"/>
        </w:rPr>
        <w:t xml:space="preserve">authorities not to recognize the validity of conformity certificates issued to </w:t>
      </w:r>
      <w:r w:rsidRPr="006B2F21">
        <w:rPr>
          <w:szCs w:val="18"/>
        </w:rPr>
        <w:lastRenderedPageBreak/>
        <w:t>Ukrainian producers in other CU countries, as well as "the explanation and information on decisions taken in that regard".</w:t>
      </w:r>
      <w:r w:rsidRPr="006B2F21">
        <w:rPr>
          <w:rStyle w:val="FootnoteReference"/>
          <w:szCs w:val="18"/>
        </w:rPr>
        <w:footnoteReference w:id="87"/>
      </w:r>
      <w:r w:rsidRPr="006B2F21">
        <w:rPr>
          <w:szCs w:val="18"/>
        </w:rPr>
        <w:t xml:space="preserve"> While defects in a panel request cannot be "cured" by a complainant's subsequent submissions and statements, those submissions and statements can nonetheless be considered in order to "confirm the meaning of the words" used in the panel request.</w:t>
      </w:r>
      <w:r w:rsidRPr="006B2F21">
        <w:rPr>
          <w:rStyle w:val="FootnoteReference"/>
          <w:szCs w:val="18"/>
        </w:rPr>
        <w:footnoteReference w:id="88"/>
      </w:r>
      <w:r w:rsidRPr="006B2F21">
        <w:rPr>
          <w:szCs w:val="18"/>
        </w:rPr>
        <w:t xml:space="preserve"> In Ukraine's view, its first written submission confirmed rather than altered the identification of the third measure as it appeared in the panel request.</w:t>
      </w:r>
      <w:r w:rsidRPr="006B2F21">
        <w:rPr>
          <w:rStyle w:val="FootnoteReference"/>
          <w:szCs w:val="18"/>
        </w:rPr>
        <w:footnoteReference w:id="89"/>
      </w:r>
    </w:p>
    <w:p w14:paraId="48EAF86F" w14:textId="0B7CE34F" w:rsidR="00AB41A7" w:rsidRPr="006B2F21" w:rsidRDefault="00AB41A7" w:rsidP="006B2F21">
      <w:pPr>
        <w:pStyle w:val="BodyText"/>
        <w:numPr>
          <w:ilvl w:val="6"/>
          <w:numId w:val="1"/>
        </w:numPr>
        <w:rPr>
          <w:szCs w:val="18"/>
        </w:rPr>
      </w:pPr>
      <w:r w:rsidRPr="006B2F21">
        <w:rPr>
          <w:szCs w:val="18"/>
        </w:rPr>
        <w:t xml:space="preserve">Ukraine argues that contrary to what Russia alleges, the Panel </w:t>
      </w:r>
      <w:r w:rsidR="00120EA7" w:rsidRPr="006B2F21">
        <w:rPr>
          <w:szCs w:val="18"/>
        </w:rPr>
        <w:t xml:space="preserve">properly assessed </w:t>
      </w:r>
      <w:r w:rsidRPr="006B2F21">
        <w:rPr>
          <w:szCs w:val="18"/>
        </w:rPr>
        <w:t>the panel request on its face.</w:t>
      </w:r>
      <w:r w:rsidRPr="006B2F21">
        <w:rPr>
          <w:rStyle w:val="FootnoteReference"/>
          <w:szCs w:val="18"/>
        </w:rPr>
        <w:footnoteReference w:id="90"/>
      </w:r>
      <w:r w:rsidRPr="006B2F21">
        <w:rPr>
          <w:szCs w:val="18"/>
        </w:rPr>
        <w:t xml:space="preserve"> For Ukraine, Russia misunderstands the third measure as being limited to CU Technical Regulation 001/2011</w:t>
      </w:r>
      <w:r w:rsidRPr="006B2F21">
        <w:rPr>
          <w:rStyle w:val="FootnoteReference"/>
          <w:szCs w:val="18"/>
        </w:rPr>
        <w:footnoteReference w:id="91"/>
      </w:r>
      <w:r w:rsidRPr="006B2F21">
        <w:rPr>
          <w:szCs w:val="18"/>
        </w:rPr>
        <w:t>, whereas in fact the measure consists of that Regulation "</w:t>
      </w:r>
      <w:r w:rsidRPr="006B2F21">
        <w:rPr>
          <w:i/>
          <w:szCs w:val="18"/>
        </w:rPr>
        <w:t>read together</w:t>
      </w:r>
      <w:r w:rsidRPr="006B2F21">
        <w:rPr>
          <w:szCs w:val="18"/>
        </w:rPr>
        <w:t xml:space="preserve"> </w:t>
      </w:r>
      <w:r w:rsidRPr="006B2F21">
        <w:rPr>
          <w:i/>
          <w:szCs w:val="18"/>
        </w:rPr>
        <w:t>with</w:t>
      </w:r>
      <w:r w:rsidRPr="006B2F21">
        <w:rPr>
          <w:szCs w:val="18"/>
        </w:rPr>
        <w:t>" Protocol No. A 4</w:t>
      </w:r>
      <w:r w:rsidR="00B24926" w:rsidRPr="006B2F21">
        <w:rPr>
          <w:szCs w:val="18"/>
        </w:rPr>
        <w:noBreakHyphen/>
      </w:r>
      <w:r w:rsidRPr="006B2F21">
        <w:rPr>
          <w:szCs w:val="18"/>
        </w:rPr>
        <w:t>3 and three letters mentioned in Annex III to the panel request.</w:t>
      </w:r>
      <w:r w:rsidRPr="006B2F21">
        <w:rPr>
          <w:rStyle w:val="FootnoteReference"/>
          <w:szCs w:val="18"/>
        </w:rPr>
        <w:footnoteReference w:id="92"/>
      </w:r>
      <w:r w:rsidRPr="006B2F21">
        <w:rPr>
          <w:szCs w:val="18"/>
        </w:rPr>
        <w:t xml:space="preserve"> Had Ukraine intended to challenge CU Technical Regulation 001/2011 alone, it would not have included, in the description of the specific measure at issue, a protocol and individual decisions adopted by the </w:t>
      </w:r>
      <w:r w:rsidR="004D48A1" w:rsidRPr="006B2F21">
        <w:rPr>
          <w:szCs w:val="18"/>
        </w:rPr>
        <w:t>MOT</w:t>
      </w:r>
      <w:r w:rsidRPr="006B2F21">
        <w:rPr>
          <w:szCs w:val="18"/>
        </w:rPr>
        <w:t>.</w:t>
      </w:r>
    </w:p>
    <w:p w14:paraId="7949A71E" w14:textId="11960194" w:rsidR="00AB41A7" w:rsidRPr="006B2F21" w:rsidRDefault="00AB41A7" w:rsidP="006B2F21">
      <w:pPr>
        <w:pStyle w:val="BodyText"/>
        <w:numPr>
          <w:ilvl w:val="6"/>
          <w:numId w:val="1"/>
        </w:numPr>
        <w:rPr>
          <w:szCs w:val="18"/>
        </w:rPr>
      </w:pPr>
      <w:r w:rsidRPr="006B2F21">
        <w:rPr>
          <w:szCs w:val="18"/>
        </w:rPr>
        <w:t xml:space="preserve">Finally, contrary to what Russia argues, for Ukraine the situation in the present case is not similar or comparable to that in </w:t>
      </w:r>
      <w:r w:rsidRPr="006B2F21">
        <w:rPr>
          <w:i/>
          <w:szCs w:val="18"/>
        </w:rPr>
        <w:t>Australia – Apples</w:t>
      </w:r>
      <w:r w:rsidRPr="006B2F21">
        <w:rPr>
          <w:szCs w:val="18"/>
        </w:rPr>
        <w:t xml:space="preserve">. </w:t>
      </w:r>
      <w:r w:rsidR="00A66955" w:rsidRPr="006B2F21">
        <w:rPr>
          <w:szCs w:val="18"/>
        </w:rPr>
        <w:t>I</w:t>
      </w:r>
      <w:r w:rsidRPr="006B2F21">
        <w:rPr>
          <w:szCs w:val="18"/>
        </w:rPr>
        <w:t xml:space="preserve">n that case, due to the complexity and length of </w:t>
      </w:r>
      <w:r w:rsidR="007D6AB6" w:rsidRPr="006B2F21">
        <w:rPr>
          <w:szCs w:val="18"/>
        </w:rPr>
        <w:t xml:space="preserve">the </w:t>
      </w:r>
      <w:r w:rsidRPr="006B2F21">
        <w:rPr>
          <w:szCs w:val="18"/>
        </w:rPr>
        <w:t>legal instrument</w:t>
      </w:r>
      <w:r w:rsidR="007D6AB6" w:rsidRPr="006B2F21">
        <w:rPr>
          <w:szCs w:val="18"/>
        </w:rPr>
        <w:t xml:space="preserve"> and in the absence of </w:t>
      </w:r>
      <w:r w:rsidRPr="006B2F21">
        <w:rPr>
          <w:szCs w:val="18"/>
        </w:rPr>
        <w:t xml:space="preserve">references to specific parts of the </w:t>
      </w:r>
      <w:r w:rsidR="007D6AB6" w:rsidRPr="006B2F21">
        <w:rPr>
          <w:szCs w:val="18"/>
        </w:rPr>
        <w:t xml:space="preserve">challenged </w:t>
      </w:r>
      <w:r w:rsidRPr="006B2F21">
        <w:rPr>
          <w:szCs w:val="18"/>
        </w:rPr>
        <w:t>document</w:t>
      </w:r>
      <w:r w:rsidR="007D6AB6" w:rsidRPr="006B2F21">
        <w:rPr>
          <w:szCs w:val="18"/>
        </w:rPr>
        <w:t>,</w:t>
      </w:r>
      <w:r w:rsidRPr="006B2F21">
        <w:rPr>
          <w:szCs w:val="18"/>
        </w:rPr>
        <w:t xml:space="preserve"> the respondent was unable to understand which specific </w:t>
      </w:r>
      <w:r w:rsidR="0004023E" w:rsidRPr="006B2F21">
        <w:rPr>
          <w:szCs w:val="18"/>
        </w:rPr>
        <w:t xml:space="preserve">elements of the legal instrument </w:t>
      </w:r>
      <w:r w:rsidRPr="006B2F21">
        <w:rPr>
          <w:szCs w:val="18"/>
        </w:rPr>
        <w:t>were at issue</w:t>
      </w:r>
      <w:r w:rsidR="00E30E43" w:rsidRPr="006B2F21">
        <w:rPr>
          <w:szCs w:val="18"/>
        </w:rPr>
        <w:t>;</w:t>
      </w:r>
      <w:r w:rsidRPr="006B2F21">
        <w:rPr>
          <w:szCs w:val="18"/>
        </w:rPr>
        <w:t xml:space="preserve"> in the present case</w:t>
      </w:r>
      <w:r w:rsidR="00E30E43" w:rsidRPr="006B2F21">
        <w:rPr>
          <w:szCs w:val="18"/>
        </w:rPr>
        <w:t>,</w:t>
      </w:r>
      <w:r w:rsidRPr="006B2F21">
        <w:rPr>
          <w:szCs w:val="18"/>
        </w:rPr>
        <w:t xml:space="preserve"> the instruments providing the legal basis for the third measure were clearly identified in the panel request and could therefore be discerned.</w:t>
      </w:r>
      <w:r w:rsidRPr="006B2F21">
        <w:rPr>
          <w:rStyle w:val="FootnoteReference"/>
          <w:szCs w:val="18"/>
        </w:rPr>
        <w:footnoteReference w:id="93"/>
      </w:r>
      <w:r w:rsidRPr="006B2F21">
        <w:rPr>
          <w:szCs w:val="18"/>
        </w:rPr>
        <w:t xml:space="preserve"> Ukraine further submits that, in any event, the Appellate Body has said that the consultation process provides an opportunity for parties to define and delimit the scope of the dispute.</w:t>
      </w:r>
      <w:r w:rsidRPr="006B2F21">
        <w:rPr>
          <w:rStyle w:val="FootnoteReference"/>
          <w:szCs w:val="18"/>
        </w:rPr>
        <w:footnoteReference w:id="94"/>
      </w:r>
      <w:r w:rsidRPr="006B2F21">
        <w:rPr>
          <w:szCs w:val="18"/>
        </w:rPr>
        <w:t xml:space="preserve"> Since, in the present case, all relevant documents had been introduced at that stage of the proceedings, Russia </w:t>
      </w:r>
      <w:r w:rsidR="0004023E" w:rsidRPr="006B2F21">
        <w:rPr>
          <w:szCs w:val="18"/>
        </w:rPr>
        <w:t xml:space="preserve">could not </w:t>
      </w:r>
      <w:r w:rsidRPr="006B2F21">
        <w:rPr>
          <w:szCs w:val="18"/>
        </w:rPr>
        <w:t xml:space="preserve">claim </w:t>
      </w:r>
      <w:r w:rsidR="00903B1F" w:rsidRPr="006B2F21">
        <w:rPr>
          <w:szCs w:val="18"/>
        </w:rPr>
        <w:t xml:space="preserve">on appeal </w:t>
      </w:r>
      <w:r w:rsidRPr="006B2F21">
        <w:rPr>
          <w:szCs w:val="18"/>
        </w:rPr>
        <w:t xml:space="preserve">that Ukraine failed to identify particular parts of documents that were supposed to be examined and that it </w:t>
      </w:r>
      <w:r w:rsidR="0004023E" w:rsidRPr="006B2F21">
        <w:rPr>
          <w:szCs w:val="18"/>
        </w:rPr>
        <w:t xml:space="preserve">was </w:t>
      </w:r>
      <w:r w:rsidRPr="006B2F21">
        <w:rPr>
          <w:szCs w:val="18"/>
        </w:rPr>
        <w:t>thus unclear what Ukraine was challenging.</w:t>
      </w:r>
    </w:p>
    <w:p w14:paraId="199D2036" w14:textId="77777777" w:rsidR="00AB41A7" w:rsidRPr="006B2F21" w:rsidRDefault="00AB41A7" w:rsidP="006B2F21">
      <w:pPr>
        <w:pStyle w:val="Heading3"/>
        <w:numPr>
          <w:ilvl w:val="2"/>
          <w:numId w:val="12"/>
        </w:numPr>
        <w:rPr>
          <w:szCs w:val="18"/>
        </w:rPr>
      </w:pPr>
      <w:bookmarkStart w:id="78" w:name="_Toc17449138"/>
      <w:bookmarkStart w:id="79" w:name="_Toc17463150"/>
      <w:bookmarkStart w:id="80" w:name="_Toc17468103"/>
      <w:bookmarkStart w:id="81" w:name="_Toc31380982"/>
      <w:r w:rsidRPr="006B2F21">
        <w:rPr>
          <w:szCs w:val="18"/>
        </w:rPr>
        <w:t xml:space="preserve">Whether the Panel erred in finding in its preliminary ruling that Russia had failed to establish that Ukraine's panel request was inconsistent with Article 6.2 </w:t>
      </w:r>
      <w:bookmarkEnd w:id="78"/>
      <w:bookmarkEnd w:id="79"/>
      <w:bookmarkEnd w:id="80"/>
      <w:r w:rsidRPr="006B2F21">
        <w:rPr>
          <w:szCs w:val="18"/>
        </w:rPr>
        <w:t>of the DSU</w:t>
      </w:r>
      <w:bookmarkEnd w:id="81"/>
    </w:p>
    <w:p w14:paraId="3BE98A43" w14:textId="597BA347" w:rsidR="00AB41A7" w:rsidRPr="006B2F21" w:rsidRDefault="00AB41A7" w:rsidP="006B2F21">
      <w:pPr>
        <w:pStyle w:val="BodyText"/>
        <w:numPr>
          <w:ilvl w:val="6"/>
          <w:numId w:val="1"/>
        </w:numPr>
        <w:rPr>
          <w:szCs w:val="18"/>
        </w:rPr>
      </w:pPr>
      <w:r w:rsidRPr="006B2F21">
        <w:rPr>
          <w:szCs w:val="18"/>
        </w:rPr>
        <w:t>In addressing Russia's claim that the Panel erred in making the preliminary ruling that Russia has failed to establish that Ukraine's panel request is inconsistent with Article 6.2 of the DSU</w:t>
      </w:r>
      <w:r w:rsidRPr="006B2F21">
        <w:rPr>
          <w:rStyle w:val="FootnoteReference"/>
          <w:szCs w:val="18"/>
        </w:rPr>
        <w:footnoteReference w:id="95"/>
      </w:r>
      <w:r w:rsidRPr="006B2F21">
        <w:rPr>
          <w:szCs w:val="18"/>
        </w:rPr>
        <w:t xml:space="preserve">, we note that Article 6.2 provides: </w:t>
      </w:r>
    </w:p>
    <w:p w14:paraId="096A1398" w14:textId="77777777" w:rsidR="00AB41A7" w:rsidRPr="006B2F21" w:rsidRDefault="00AB41A7" w:rsidP="006B2F21">
      <w:pPr>
        <w:pStyle w:val="Quotation"/>
      </w:pPr>
      <w:r w:rsidRPr="006B2F21">
        <w:t>The request for the establishment of a panel shall be made in writing. It shall indicate whether consultations were held, identify the specific measures at issue and provide a brief summary of the legal basis of the complaint sufficient to present the problem clearly. In case the applicant requests the establishment of a panel with other than standard terms of reference, the written request shall include the proposed text of special terms of reference.</w:t>
      </w:r>
    </w:p>
    <w:p w14:paraId="457E6D3C" w14:textId="00F1F960" w:rsidR="00AB41A7" w:rsidRPr="006B2F21" w:rsidRDefault="00AB41A7" w:rsidP="006B2F21">
      <w:pPr>
        <w:pStyle w:val="BodyText"/>
        <w:numPr>
          <w:ilvl w:val="6"/>
          <w:numId w:val="1"/>
        </w:numPr>
        <w:rPr>
          <w:szCs w:val="18"/>
        </w:rPr>
      </w:pPr>
      <w:r w:rsidRPr="006B2F21">
        <w:rPr>
          <w:szCs w:val="18"/>
        </w:rPr>
        <w:t>Article 6.2 of the DSU sets out two principal requirements, namely, the identification of the specific measures at issue and the provision of a brief summary of the legal basis of the complaint sufficient to present the problem clearly.</w:t>
      </w:r>
      <w:r w:rsidRPr="006B2F21">
        <w:rPr>
          <w:rStyle w:val="FootnoteReference"/>
          <w:szCs w:val="18"/>
        </w:rPr>
        <w:footnoteReference w:id="96"/>
      </w:r>
      <w:r w:rsidRPr="006B2F21">
        <w:rPr>
          <w:szCs w:val="18"/>
        </w:rPr>
        <w:t xml:space="preserve"> Russia's appeal concerns both requirements. In particular, Russia's claim that the Panel erred in finding that Ukraine's panel request linked the measures at issue with the legal basis of the complaint relates to the obligation to provide a brief summary of the legal basis of the complaint sufficient to present the problem clearly. In turn, Russia's claim that </w:t>
      </w:r>
      <w:r w:rsidRPr="006B2F21">
        <w:rPr>
          <w:szCs w:val="18"/>
        </w:rPr>
        <w:lastRenderedPageBreak/>
        <w:t xml:space="preserve">the Panel erred in finding that the third measure had been properly identified in Ukraine's panel request relates to the obligation to properly identify the specific measures at issue. </w:t>
      </w:r>
    </w:p>
    <w:p w14:paraId="68595ECB" w14:textId="4D6DD51A" w:rsidR="00AB41A7" w:rsidRPr="006B2F21" w:rsidRDefault="00AB41A7" w:rsidP="006B2F21">
      <w:pPr>
        <w:pStyle w:val="BodyText"/>
        <w:numPr>
          <w:ilvl w:val="6"/>
          <w:numId w:val="1"/>
        </w:numPr>
        <w:rPr>
          <w:szCs w:val="18"/>
        </w:rPr>
      </w:pPr>
      <w:r w:rsidRPr="006B2F21">
        <w:rPr>
          <w:szCs w:val="18"/>
        </w:rPr>
        <w:t>The Appellate Body has said that the requirements specified in Article 6.2 are significant because, pursuant to Article 7 of the DSU, a panel's terms of reference are governed by the request for establishment of a panel</w:t>
      </w:r>
      <w:r w:rsidRPr="006B2F21">
        <w:rPr>
          <w:rStyle w:val="FootnoteReference"/>
          <w:szCs w:val="18"/>
        </w:rPr>
        <w:footnoteReference w:id="97"/>
      </w:r>
      <w:r w:rsidR="00540416" w:rsidRPr="006B2F21">
        <w:rPr>
          <w:szCs w:val="18"/>
        </w:rPr>
        <w:t>,</w:t>
      </w:r>
      <w:r w:rsidRPr="006B2F21">
        <w:rPr>
          <w:szCs w:val="18"/>
        </w:rPr>
        <w:t xml:space="preserve"> and that a panel request thus delimits the scope of a panel's jurisdiction and serves the due process objective of notifying the respondent and third parties of the nature of the complainant's case.</w:t>
      </w:r>
      <w:r w:rsidRPr="006B2F21">
        <w:rPr>
          <w:rStyle w:val="FootnoteReference"/>
          <w:szCs w:val="18"/>
        </w:rPr>
        <w:footnoteReference w:id="98"/>
      </w:r>
      <w:r w:rsidRPr="006B2F21">
        <w:rPr>
          <w:szCs w:val="18"/>
        </w:rPr>
        <w:t xml:space="preserve"> </w:t>
      </w:r>
      <w:r w:rsidR="00903B1F" w:rsidRPr="006B2F21">
        <w:rPr>
          <w:szCs w:val="18"/>
        </w:rPr>
        <w:t xml:space="preserve">In </w:t>
      </w:r>
      <w:r w:rsidRPr="006B2F21">
        <w:rPr>
          <w:szCs w:val="18"/>
        </w:rPr>
        <w:t>order to "present the problem clearly", a panel request must plainly connect the challenged measures with the provisions of the covered agreements claimed to have been infringed, so that the respondent party is aware of the basis for the alleged inconsistency of the measures at issue with the covered agreements.</w:t>
      </w:r>
      <w:r w:rsidRPr="006B2F21">
        <w:rPr>
          <w:rStyle w:val="FootnoteReference"/>
          <w:szCs w:val="18"/>
        </w:rPr>
        <w:footnoteReference w:id="99"/>
      </w:r>
      <w:r w:rsidRPr="006B2F21">
        <w:rPr>
          <w:szCs w:val="18"/>
        </w:rPr>
        <w:t xml:space="preserve"> Only by such connection between the measures and the relevant provisions can a respondent "know what case it has to answer, and ...</w:t>
      </w:r>
      <w:r w:rsidR="00254E08">
        <w:rPr>
          <w:szCs w:val="18"/>
        </w:rPr>
        <w:t> </w:t>
      </w:r>
      <w:r w:rsidRPr="006B2F21">
        <w:rPr>
          <w:szCs w:val="18"/>
        </w:rPr>
        <w:t>begin preparing its defence".</w:t>
      </w:r>
      <w:r w:rsidRPr="006B2F21">
        <w:rPr>
          <w:rStyle w:val="FootnoteReference"/>
          <w:szCs w:val="18"/>
        </w:rPr>
        <w:footnoteReference w:id="100"/>
      </w:r>
      <w:r w:rsidRPr="006B2F21">
        <w:rPr>
          <w:szCs w:val="18"/>
        </w:rPr>
        <w:t xml:space="preserve"> In this vein, for instance, the panel request</w:t>
      </w:r>
      <w:r w:rsidR="006A05C5" w:rsidRPr="006B2F21">
        <w:rPr>
          <w:szCs w:val="18"/>
        </w:rPr>
        <w:t>s</w:t>
      </w:r>
      <w:r w:rsidRPr="006B2F21">
        <w:rPr>
          <w:szCs w:val="18"/>
        </w:rPr>
        <w:t xml:space="preserve"> in </w:t>
      </w:r>
      <w:r w:rsidRPr="006B2F21">
        <w:rPr>
          <w:i/>
          <w:szCs w:val="18"/>
        </w:rPr>
        <w:t>China – Raw Materials</w:t>
      </w:r>
      <w:r w:rsidRPr="006B2F21">
        <w:rPr>
          <w:szCs w:val="18"/>
        </w:rPr>
        <w:t xml:space="preserve"> did not present the problem clearly, because </w:t>
      </w:r>
      <w:r w:rsidR="00212D96" w:rsidRPr="006B2F21">
        <w:rPr>
          <w:szCs w:val="18"/>
        </w:rPr>
        <w:t xml:space="preserve">they </w:t>
      </w:r>
      <w:r w:rsidRPr="006B2F21">
        <w:rPr>
          <w:szCs w:val="18"/>
        </w:rPr>
        <w:t>failed to connect the different measures with the various obligations listed therein.</w:t>
      </w:r>
      <w:r w:rsidRPr="006B2F21">
        <w:rPr>
          <w:rStyle w:val="FootnoteReference"/>
          <w:szCs w:val="18"/>
        </w:rPr>
        <w:footnoteReference w:id="101"/>
      </w:r>
    </w:p>
    <w:p w14:paraId="4796734D" w14:textId="094655CD" w:rsidR="00AB41A7" w:rsidRPr="006B2F21" w:rsidRDefault="00AB41A7" w:rsidP="006B2F21">
      <w:pPr>
        <w:pStyle w:val="BodyText"/>
        <w:numPr>
          <w:ilvl w:val="6"/>
          <w:numId w:val="1"/>
        </w:numPr>
        <w:rPr>
          <w:szCs w:val="18"/>
        </w:rPr>
      </w:pPr>
      <w:r w:rsidRPr="006B2F21">
        <w:rPr>
          <w:szCs w:val="18"/>
        </w:rPr>
        <w:t>At the same time, the requirement to present the problem clearly does not entail an obligation for the complainant to provide arguments in support of its claim.</w:t>
      </w:r>
      <w:r w:rsidRPr="006B2F21">
        <w:rPr>
          <w:rStyle w:val="FootnoteReference"/>
          <w:szCs w:val="18"/>
        </w:rPr>
        <w:footnoteReference w:id="102"/>
      </w:r>
      <w:r w:rsidRPr="006B2F21">
        <w:rPr>
          <w:szCs w:val="18"/>
        </w:rPr>
        <w:t xml:space="preserve"> Rather, the "brief summary" of the legal basis of the complaint required by Article 6.2 of the DSU aims to explain succinctly </w:t>
      </w:r>
      <w:r w:rsidRPr="006B2F21">
        <w:rPr>
          <w:iCs/>
          <w:szCs w:val="18"/>
        </w:rPr>
        <w:t xml:space="preserve">how </w:t>
      </w:r>
      <w:r w:rsidRPr="006B2F21">
        <w:rPr>
          <w:szCs w:val="18"/>
        </w:rPr>
        <w:t xml:space="preserve">or </w:t>
      </w:r>
      <w:r w:rsidRPr="006B2F21">
        <w:rPr>
          <w:iCs/>
          <w:szCs w:val="18"/>
        </w:rPr>
        <w:t xml:space="preserve">why </w:t>
      </w:r>
      <w:r w:rsidRPr="006B2F21">
        <w:rPr>
          <w:szCs w:val="18"/>
        </w:rPr>
        <w:t>the measure at issue is considered by the complaining Member to be violating the WTO</w:t>
      </w:r>
      <w:r w:rsidR="009D6585">
        <w:rPr>
          <w:szCs w:val="18"/>
        </w:rPr>
        <w:t> </w:t>
      </w:r>
      <w:r w:rsidRPr="006B2F21">
        <w:rPr>
          <w:szCs w:val="18"/>
        </w:rPr>
        <w:t>obligation in question.</w:t>
      </w:r>
      <w:r w:rsidRPr="006B2F21">
        <w:rPr>
          <w:rStyle w:val="FootnoteReference"/>
          <w:szCs w:val="18"/>
        </w:rPr>
        <w:footnoteReference w:id="103"/>
      </w:r>
      <w:r w:rsidRPr="006B2F21">
        <w:rPr>
          <w:szCs w:val="18"/>
        </w:rPr>
        <w:t xml:space="preserve"> While the identification of the treaty provision claimed to have been violated by the respondent is "always necessary" and a "minimum prerequisite", such identification may not be sufficient to meet the requirement of Article 6.2 depending on the particular circumstances of a case, including the nature of the measure at issue and the manner in which it is described in the panel request, as well as the nature of the provisions of the covered agreements alleged to have been breached.</w:t>
      </w:r>
      <w:r w:rsidR="00D52B49" w:rsidRPr="006B2F21">
        <w:rPr>
          <w:rStyle w:val="FootnoteReference"/>
          <w:szCs w:val="18"/>
        </w:rPr>
        <w:footnoteReference w:id="104"/>
      </w:r>
      <w:r w:rsidR="00D52B49" w:rsidRPr="006B2F21" w:rsidDel="00D52B49">
        <w:rPr>
          <w:rStyle w:val="FootnoteReference"/>
          <w:szCs w:val="18"/>
        </w:rPr>
        <w:t xml:space="preserve"> </w:t>
      </w:r>
    </w:p>
    <w:p w14:paraId="71D23DD7" w14:textId="77777777" w:rsidR="00AB41A7" w:rsidRPr="006B2F21" w:rsidRDefault="00AB41A7" w:rsidP="006B2F21">
      <w:pPr>
        <w:pStyle w:val="BodyText"/>
        <w:numPr>
          <w:ilvl w:val="6"/>
          <w:numId w:val="1"/>
        </w:numPr>
        <w:rPr>
          <w:szCs w:val="18"/>
        </w:rPr>
      </w:pPr>
      <w:r w:rsidRPr="006B2F21">
        <w:rPr>
          <w:szCs w:val="18"/>
        </w:rPr>
        <w:t>The Appellate Body has further said that in order to determine whether a panel request complies with Article 6.2, a panel must carefully scrutinize the request, read as a whole, and on the basis of the language used therein.</w:t>
      </w:r>
      <w:r w:rsidRPr="006B2F21">
        <w:rPr>
          <w:rStyle w:val="FootnoteReference"/>
          <w:szCs w:val="18"/>
        </w:rPr>
        <w:footnoteReference w:id="105"/>
      </w:r>
      <w:r w:rsidRPr="006B2F21">
        <w:rPr>
          <w:szCs w:val="18"/>
        </w:rPr>
        <w:t xml:space="preserve"> Moreover, a panel must determine compliance with Article 6.2 on the face of the panel request as it existed at the time of filing.</w:t>
      </w:r>
      <w:r w:rsidRPr="006B2F21">
        <w:rPr>
          <w:rStyle w:val="FootnoteReference"/>
          <w:szCs w:val="18"/>
        </w:rPr>
        <w:footnoteReference w:id="106"/>
      </w:r>
      <w:r w:rsidRPr="006B2F21">
        <w:rPr>
          <w:szCs w:val="18"/>
        </w:rPr>
        <w:t xml:space="preserve"> Parties' subsequent submissions and statements during the panel proceedings cannot "cure" defects in a panel request</w:t>
      </w:r>
      <w:r w:rsidRPr="006B2F21">
        <w:rPr>
          <w:rStyle w:val="FootnoteReference"/>
          <w:szCs w:val="18"/>
        </w:rPr>
        <w:footnoteReference w:id="107"/>
      </w:r>
      <w:r w:rsidRPr="006B2F21">
        <w:rPr>
          <w:szCs w:val="18"/>
        </w:rPr>
        <w:t xml:space="preserve">, but they </w:t>
      </w:r>
      <w:r w:rsidRPr="006B2F21">
        <w:rPr>
          <w:szCs w:val="18"/>
        </w:rPr>
        <w:lastRenderedPageBreak/>
        <w:t>can be consulted to the extent that they may confirm or clarify the meaning of the words used in the panel request.</w:t>
      </w:r>
      <w:r w:rsidRPr="006B2F21">
        <w:rPr>
          <w:rStyle w:val="FootnoteReference"/>
          <w:szCs w:val="18"/>
        </w:rPr>
        <w:footnoteReference w:id="108"/>
      </w:r>
      <w:r w:rsidRPr="006B2F21">
        <w:rPr>
          <w:szCs w:val="18"/>
        </w:rPr>
        <w:t xml:space="preserve"> </w:t>
      </w:r>
    </w:p>
    <w:p w14:paraId="299B5E63" w14:textId="77777777" w:rsidR="00AB41A7" w:rsidRPr="006B2F21" w:rsidRDefault="00AB41A7" w:rsidP="006B2F21">
      <w:pPr>
        <w:pStyle w:val="Heading4"/>
        <w:numPr>
          <w:ilvl w:val="3"/>
          <w:numId w:val="21"/>
        </w:numPr>
        <w:rPr>
          <w:szCs w:val="18"/>
        </w:rPr>
      </w:pPr>
      <w:bookmarkStart w:id="82" w:name="_Toc17449139"/>
      <w:bookmarkStart w:id="83" w:name="_Toc17463151"/>
      <w:bookmarkStart w:id="84" w:name="_Toc17468104"/>
      <w:bookmarkStart w:id="85" w:name="_Toc31380983"/>
      <w:r w:rsidRPr="006B2F21">
        <w:rPr>
          <w:szCs w:val="18"/>
        </w:rPr>
        <w:t>Linkages between measures and legal basis of the complaint</w:t>
      </w:r>
      <w:bookmarkEnd w:id="82"/>
      <w:bookmarkEnd w:id="83"/>
      <w:bookmarkEnd w:id="84"/>
      <w:bookmarkEnd w:id="85"/>
    </w:p>
    <w:p w14:paraId="4880CA6A" w14:textId="5F82CCAB" w:rsidR="00AB41A7" w:rsidRPr="006B2F21" w:rsidRDefault="00AB41A7" w:rsidP="006B2F21">
      <w:pPr>
        <w:pStyle w:val="BodyText"/>
        <w:numPr>
          <w:ilvl w:val="6"/>
          <w:numId w:val="1"/>
        </w:numPr>
        <w:rPr>
          <w:szCs w:val="18"/>
        </w:rPr>
      </w:pPr>
      <w:r w:rsidRPr="006B2F21">
        <w:rPr>
          <w:szCs w:val="18"/>
        </w:rPr>
        <w:t>We now turn to review the Panel's analysis in its preliminary ruling regarding Article 6.2 of the DSU. At the outset we note the Panel</w:t>
      </w:r>
      <w:r w:rsidR="00DE49FC" w:rsidRPr="006B2F21">
        <w:rPr>
          <w:szCs w:val="18"/>
        </w:rPr>
        <w:t xml:space="preserve">'s </w:t>
      </w:r>
      <w:r w:rsidRPr="006B2F21">
        <w:rPr>
          <w:szCs w:val="18"/>
        </w:rPr>
        <w:t>observ</w:t>
      </w:r>
      <w:r w:rsidR="00DE49FC" w:rsidRPr="006B2F21">
        <w:rPr>
          <w:szCs w:val="18"/>
        </w:rPr>
        <w:t xml:space="preserve">ation </w:t>
      </w:r>
      <w:r w:rsidRPr="006B2F21">
        <w:rPr>
          <w:szCs w:val="18"/>
        </w:rPr>
        <w:t xml:space="preserve">that Ukraine's panel request was structured in four sections: </w:t>
      </w:r>
      <w:r w:rsidR="006062DA" w:rsidRPr="006B2F21">
        <w:rPr>
          <w:szCs w:val="18"/>
        </w:rPr>
        <w:t>section I </w:t>
      </w:r>
      <w:r w:rsidRPr="006B2F21">
        <w:rPr>
          <w:szCs w:val="18"/>
        </w:rPr>
        <w:t xml:space="preserve">providing an overview of the background of the dispute; </w:t>
      </w:r>
      <w:r w:rsidR="006062DA" w:rsidRPr="006B2F21">
        <w:rPr>
          <w:szCs w:val="18"/>
        </w:rPr>
        <w:t>section II</w:t>
      </w:r>
      <w:r w:rsidRPr="006B2F21">
        <w:rPr>
          <w:szCs w:val="18"/>
        </w:rPr>
        <w:t xml:space="preserve"> describing the measures at issue; </w:t>
      </w:r>
      <w:r w:rsidR="006062DA" w:rsidRPr="006B2F21">
        <w:rPr>
          <w:szCs w:val="18"/>
        </w:rPr>
        <w:t xml:space="preserve">section III </w:t>
      </w:r>
      <w:r w:rsidRPr="006B2F21">
        <w:rPr>
          <w:szCs w:val="18"/>
        </w:rPr>
        <w:t xml:space="preserve">describing Russia's relevant legal framework; and </w:t>
      </w:r>
      <w:r w:rsidR="006062DA" w:rsidRPr="006B2F21">
        <w:rPr>
          <w:szCs w:val="18"/>
        </w:rPr>
        <w:t xml:space="preserve">section IV </w:t>
      </w:r>
      <w:r w:rsidRPr="006B2F21">
        <w:rPr>
          <w:szCs w:val="18"/>
        </w:rPr>
        <w:t>providing the legal basis of the complaint.</w:t>
      </w:r>
      <w:r w:rsidRPr="006B2F21">
        <w:rPr>
          <w:rStyle w:val="FootnoteReference"/>
          <w:szCs w:val="18"/>
        </w:rPr>
        <w:footnoteReference w:id="109"/>
      </w:r>
      <w:r w:rsidRPr="006B2F21">
        <w:rPr>
          <w:szCs w:val="18"/>
        </w:rPr>
        <w:t xml:space="preserve"> The Panel focused on sections</w:t>
      </w:r>
      <w:r w:rsidR="006062DA" w:rsidRPr="006B2F21">
        <w:rPr>
          <w:szCs w:val="18"/>
        </w:rPr>
        <w:t xml:space="preserve"> II </w:t>
      </w:r>
      <w:r w:rsidRPr="006B2F21">
        <w:rPr>
          <w:szCs w:val="18"/>
        </w:rPr>
        <w:t>and</w:t>
      </w:r>
      <w:r w:rsidR="006062DA" w:rsidRPr="006B2F21">
        <w:rPr>
          <w:szCs w:val="18"/>
        </w:rPr>
        <w:t> IV</w:t>
      </w:r>
      <w:r w:rsidRPr="006B2F21">
        <w:rPr>
          <w:szCs w:val="18"/>
        </w:rPr>
        <w:t xml:space="preserve"> of Ukraine's panel request and examined</w:t>
      </w:r>
      <w:r w:rsidR="00DE49FC" w:rsidRPr="006B2F21">
        <w:rPr>
          <w:szCs w:val="18"/>
        </w:rPr>
        <w:t>,</w:t>
      </w:r>
      <w:r w:rsidRPr="006B2F21">
        <w:rPr>
          <w:szCs w:val="18"/>
        </w:rPr>
        <w:t xml:space="preserve"> for each point of section </w:t>
      </w:r>
      <w:r w:rsidR="00A74A4F" w:rsidRPr="006B2F21">
        <w:rPr>
          <w:szCs w:val="18"/>
        </w:rPr>
        <w:t>IV</w:t>
      </w:r>
      <w:r w:rsidRPr="006B2F21">
        <w:rPr>
          <w:szCs w:val="18"/>
        </w:rPr>
        <w:t xml:space="preserve"> of the panel request,</w:t>
      </w:r>
      <w:r w:rsidR="00DE49FC" w:rsidRPr="006B2F21">
        <w:rPr>
          <w:szCs w:val="18"/>
        </w:rPr>
        <w:t xml:space="preserve"> and </w:t>
      </w:r>
      <w:r w:rsidRPr="006B2F21">
        <w:rPr>
          <w:szCs w:val="18"/>
        </w:rPr>
        <w:t>bearing in mind the description of the three measures at issue in section </w:t>
      </w:r>
      <w:r w:rsidR="00A74A4F" w:rsidRPr="006B2F21">
        <w:rPr>
          <w:szCs w:val="18"/>
        </w:rPr>
        <w:t>II</w:t>
      </w:r>
      <w:r w:rsidRPr="006B2F21">
        <w:rPr>
          <w:szCs w:val="18"/>
        </w:rPr>
        <w:t xml:space="preserve"> of the panel request, whether the panel request links the challenged measures with the </w:t>
      </w:r>
      <w:r w:rsidR="004467B9" w:rsidRPr="006B2F21">
        <w:rPr>
          <w:szCs w:val="18"/>
        </w:rPr>
        <w:t xml:space="preserve">10 </w:t>
      </w:r>
      <w:r w:rsidRPr="006B2F21">
        <w:rPr>
          <w:szCs w:val="18"/>
        </w:rPr>
        <w:t>WTO provisions allegedly infringed.</w:t>
      </w:r>
      <w:r w:rsidRPr="006B2F21">
        <w:rPr>
          <w:rStyle w:val="FootnoteReference"/>
          <w:szCs w:val="18"/>
        </w:rPr>
        <w:footnoteReference w:id="110"/>
      </w:r>
    </w:p>
    <w:p w14:paraId="0FE2252B" w14:textId="110A3D13" w:rsidR="00AB41A7" w:rsidRPr="006B2F21" w:rsidRDefault="00AB41A7" w:rsidP="006B2F21">
      <w:pPr>
        <w:pStyle w:val="BodyText"/>
        <w:numPr>
          <w:ilvl w:val="6"/>
          <w:numId w:val="1"/>
        </w:numPr>
        <w:rPr>
          <w:szCs w:val="18"/>
        </w:rPr>
      </w:pPr>
      <w:r w:rsidRPr="006B2F21">
        <w:rPr>
          <w:szCs w:val="18"/>
        </w:rPr>
        <w:t xml:space="preserve">The Panel analysed the linkages between the measures challenged by Ukraine and the WTO provisions allegedly infringed, based on the text of the panel request, including by drawing inferences, for instance, with respect to Ukraine's claims under Article X:3(a) of the GATT 1994. In that respect, the Panel reasoned: </w:t>
      </w:r>
    </w:p>
    <w:p w14:paraId="71B8A23C" w14:textId="77777777" w:rsidR="00AB41A7" w:rsidRPr="006B2F21" w:rsidRDefault="00AB41A7" w:rsidP="006B2F21">
      <w:pPr>
        <w:pStyle w:val="Quotation"/>
      </w:pPr>
      <w:r w:rsidRPr="006B2F21">
        <w:t>Point eight of section IV of the panel request contains Ukraine's claims under Article X:3(a) of the GATT 1994. These claims concern the uniform, impartial, and reasonable administration of laws, regulations, and decisions of a general application. Measure one and measure three are measures of general application which could fall under the purview of Article X:3(a). This, however, is not the case for the three components of measure two, all of which refer to individual instances of application. We thus consider that there is a link between Ukraine's claims under Article X:3(a) and measures one and three. We also consider that there is no link between Ukraine's claims under Article X:3(a) and measure two.</w:t>
      </w:r>
      <w:r w:rsidRPr="006B2F21">
        <w:rPr>
          <w:rStyle w:val="FootnoteReference"/>
        </w:rPr>
        <w:footnoteReference w:id="111"/>
      </w:r>
      <w:r w:rsidRPr="006B2F21">
        <w:t xml:space="preserve"> </w:t>
      </w:r>
    </w:p>
    <w:p w14:paraId="5334B9CD" w14:textId="77777777" w:rsidR="00AB41A7" w:rsidRPr="006B2F21" w:rsidRDefault="00AB41A7" w:rsidP="006B2F21">
      <w:pPr>
        <w:pStyle w:val="BodyText"/>
        <w:numPr>
          <w:ilvl w:val="0"/>
          <w:numId w:val="0"/>
        </w:numPr>
        <w:rPr>
          <w:szCs w:val="18"/>
        </w:rPr>
      </w:pPr>
      <w:r w:rsidRPr="006B2F21">
        <w:rPr>
          <w:szCs w:val="18"/>
        </w:rPr>
        <w:t>Thus, the Panel explained what it considered to be the linkages made in the panel request, and ultimately summarized</w:t>
      </w:r>
      <w:r w:rsidRPr="006B2F21">
        <w:rPr>
          <w:rStyle w:val="FootnoteReference"/>
          <w:szCs w:val="18"/>
        </w:rPr>
        <w:footnoteReference w:id="112"/>
      </w:r>
      <w:r w:rsidRPr="006B2F21">
        <w:rPr>
          <w:szCs w:val="18"/>
        </w:rPr>
        <w:t xml:space="preserve"> its findings in a table that set out for each measure the provision under which Ukraine had raised a claim. </w:t>
      </w:r>
    </w:p>
    <w:p w14:paraId="28C8DDCB" w14:textId="37F29AFB" w:rsidR="00AB41A7" w:rsidRPr="006B2F21" w:rsidRDefault="00AB41A7" w:rsidP="006B2F21">
      <w:pPr>
        <w:pStyle w:val="BodyText"/>
        <w:numPr>
          <w:ilvl w:val="6"/>
          <w:numId w:val="1"/>
        </w:numPr>
        <w:rPr>
          <w:szCs w:val="18"/>
        </w:rPr>
      </w:pPr>
      <w:r w:rsidRPr="006B2F21">
        <w:rPr>
          <w:szCs w:val="18"/>
        </w:rPr>
        <w:t xml:space="preserve">Russia takes issue with </w:t>
      </w:r>
      <w:r w:rsidR="00441096" w:rsidRPr="006B2F21">
        <w:rPr>
          <w:szCs w:val="18"/>
        </w:rPr>
        <w:t xml:space="preserve">what it refers to as </w:t>
      </w:r>
      <w:r w:rsidRPr="006B2F21">
        <w:rPr>
          <w:szCs w:val="18"/>
        </w:rPr>
        <w:t>the Panel's use of "weak auxiliary verbs", such as "</w:t>
      </w:r>
      <w:r w:rsidRPr="006B2F21">
        <w:rPr>
          <w:i/>
          <w:szCs w:val="18"/>
        </w:rPr>
        <w:t>could</w:t>
      </w:r>
      <w:r w:rsidRPr="006B2F21">
        <w:rPr>
          <w:szCs w:val="18"/>
        </w:rPr>
        <w:t xml:space="preserve"> relate" or "</w:t>
      </w:r>
      <w:r w:rsidRPr="006B2F21">
        <w:rPr>
          <w:i/>
          <w:szCs w:val="18"/>
        </w:rPr>
        <w:t>could</w:t>
      </w:r>
      <w:r w:rsidRPr="006B2F21">
        <w:rPr>
          <w:szCs w:val="18"/>
        </w:rPr>
        <w:t xml:space="preserve"> concern", and asserts that this language reveals that the linkages between the measures and the legal obligations were not as clear as the Panel found.</w:t>
      </w:r>
      <w:r w:rsidRPr="006B2F21">
        <w:rPr>
          <w:rStyle w:val="FootnoteReference"/>
          <w:szCs w:val="18"/>
        </w:rPr>
        <w:footnoteReference w:id="113"/>
      </w:r>
      <w:r w:rsidRPr="006B2F21">
        <w:rPr>
          <w:szCs w:val="18"/>
        </w:rPr>
        <w:t xml:space="preserve"> As we see it, the use of this language is owed to the analytical approach employed by the Panel, defining, </w:t>
      </w:r>
      <w:r w:rsidRPr="006B2F21">
        <w:rPr>
          <w:i/>
          <w:szCs w:val="18"/>
        </w:rPr>
        <w:t>first</w:t>
      </w:r>
      <w:r w:rsidRPr="006B2F21">
        <w:rPr>
          <w:szCs w:val="18"/>
        </w:rPr>
        <w:t xml:space="preserve">, the potential scope of a particular claim, and </w:t>
      </w:r>
      <w:r w:rsidRPr="006B2F21">
        <w:rPr>
          <w:i/>
          <w:szCs w:val="18"/>
        </w:rPr>
        <w:t>second</w:t>
      </w:r>
      <w:r w:rsidRPr="006B2F21">
        <w:rPr>
          <w:szCs w:val="18"/>
        </w:rPr>
        <w:t xml:space="preserve">, identifying limitations on the scope of the claim based on the language used in the Panel request. The Panel statements identified by Russia in connection with this argument represent intermediate steps in the Panel's reasoning that, in connection with other elements of the Panel's analysis, provide the basis for the Panel's conclusion concerning linkages between the measures challenged by Ukraine and the WTO provisions allegedly infringed. The statements identified by Russia do not describe conclusively the quality of the linkages between the measures and the provisions at issue and thus, taken in isolation, these statements cannot be regarded as describing the quality of these linkages. </w:t>
      </w:r>
    </w:p>
    <w:p w14:paraId="3CF172F0" w14:textId="372A1788" w:rsidR="00AB41A7" w:rsidRPr="006B2F21" w:rsidRDefault="00AB41A7" w:rsidP="006B2F21">
      <w:pPr>
        <w:pStyle w:val="BodyText"/>
        <w:numPr>
          <w:ilvl w:val="6"/>
          <w:numId w:val="1"/>
        </w:numPr>
        <w:rPr>
          <w:szCs w:val="18"/>
        </w:rPr>
      </w:pPr>
      <w:r w:rsidRPr="006B2F21">
        <w:rPr>
          <w:szCs w:val="18"/>
        </w:rPr>
        <w:t xml:space="preserve">In addition, Russia asserts that the Panel erred in failing to recognize similarities in the deficiencies of the panel requests in the present case and in </w:t>
      </w:r>
      <w:r w:rsidRPr="006B2F21">
        <w:rPr>
          <w:i/>
          <w:szCs w:val="18"/>
        </w:rPr>
        <w:t>China – Raw Materials</w:t>
      </w:r>
      <w:r w:rsidRPr="006B2F21">
        <w:rPr>
          <w:szCs w:val="18"/>
        </w:rPr>
        <w:t>, the latter of which had been found to be insufficient by the Appellate Body.</w:t>
      </w:r>
      <w:r w:rsidRPr="006B2F21">
        <w:rPr>
          <w:rStyle w:val="FootnoteReference"/>
          <w:szCs w:val="18"/>
        </w:rPr>
        <w:footnoteReference w:id="114"/>
      </w:r>
      <w:r w:rsidRPr="006B2F21">
        <w:rPr>
          <w:szCs w:val="18"/>
        </w:rPr>
        <w:t xml:space="preserve"> We note that the Panel indeed addressed the parallels drawn by Russia between the panel request at issue and the panel request</w:t>
      </w:r>
      <w:r w:rsidR="00066961" w:rsidRPr="006B2F21">
        <w:rPr>
          <w:szCs w:val="18"/>
        </w:rPr>
        <w:t>s</w:t>
      </w:r>
      <w:r w:rsidRPr="006B2F21">
        <w:rPr>
          <w:szCs w:val="18"/>
        </w:rPr>
        <w:t xml:space="preserve"> in </w:t>
      </w:r>
      <w:r w:rsidRPr="006B2F21">
        <w:rPr>
          <w:i/>
          <w:szCs w:val="18"/>
        </w:rPr>
        <w:t>China – Raw Materials</w:t>
      </w:r>
      <w:r w:rsidRPr="006B2F21">
        <w:rPr>
          <w:szCs w:val="18"/>
        </w:rPr>
        <w:t xml:space="preserve"> in some detail in its report.</w:t>
      </w:r>
      <w:r w:rsidR="0081706E" w:rsidRPr="006B2F21">
        <w:rPr>
          <w:rStyle w:val="FootnoteReference"/>
          <w:szCs w:val="18"/>
        </w:rPr>
        <w:footnoteReference w:id="115"/>
      </w:r>
      <w:r w:rsidRPr="006B2F21">
        <w:rPr>
          <w:szCs w:val="18"/>
        </w:rPr>
        <w:t xml:space="preserve"> However, the Panel observed significant differences between </w:t>
      </w:r>
      <w:r w:rsidR="00066961" w:rsidRPr="006B2F21">
        <w:rPr>
          <w:szCs w:val="18"/>
        </w:rPr>
        <w:t xml:space="preserve">the </w:t>
      </w:r>
      <w:r w:rsidRPr="006B2F21">
        <w:rPr>
          <w:szCs w:val="18"/>
        </w:rPr>
        <w:t>panel requests</w:t>
      </w:r>
      <w:r w:rsidR="00066961" w:rsidRPr="006B2F21">
        <w:rPr>
          <w:szCs w:val="18"/>
        </w:rPr>
        <w:t xml:space="preserve"> in the present case and in </w:t>
      </w:r>
      <w:r w:rsidR="00066961" w:rsidRPr="006B2F21">
        <w:rPr>
          <w:i/>
          <w:szCs w:val="18"/>
        </w:rPr>
        <w:t>China – Raw Materials</w:t>
      </w:r>
      <w:r w:rsidRPr="006B2F21">
        <w:rPr>
          <w:szCs w:val="18"/>
        </w:rPr>
        <w:t xml:space="preserve">. The Panel </w:t>
      </w:r>
      <w:r w:rsidRPr="006B2F21">
        <w:rPr>
          <w:szCs w:val="18"/>
        </w:rPr>
        <w:lastRenderedPageBreak/>
        <w:t xml:space="preserve">noted that, first, the narrative paragraphs of section II of the panel requests in </w:t>
      </w:r>
      <w:r w:rsidRPr="006B2F21">
        <w:rPr>
          <w:i/>
          <w:szCs w:val="18"/>
        </w:rPr>
        <w:t>China – Raw Materials</w:t>
      </w:r>
      <w:r w:rsidRPr="006B2F21">
        <w:rPr>
          <w:szCs w:val="18"/>
        </w:rPr>
        <w:t xml:space="preserve"> referred to several distinct types of measures and included allegations of violation of 13 different provisions of the covered agreements. Following the narrative paragraphs, the panel requests included a list of at least 37 legal instruments that ranged from entire codes or charters to specific administrative measures, without referring to specific sections or provisions of any of the listed instruments. The Panel observed that the narrative paragraphs in those panel requests included a brief description of different allegations of violation relating to different types of restraints, but they did not link them to the myriad of legal instruments listed in the subsequent section. The Panel contrasted this with Ukraine's panel request at issue and noted that the narrative paragraphs in section II identify three measures at issue and provide a description that allows the nature of each to be discerned. The Panel further explained that, in particular, the third narrative paragraph of section II, where the non</w:t>
      </w:r>
      <w:r w:rsidR="00B24926" w:rsidRPr="006B2F21">
        <w:rPr>
          <w:szCs w:val="18"/>
        </w:rPr>
        <w:noBreakHyphen/>
      </w:r>
      <w:r w:rsidRPr="006B2F21">
        <w:rPr>
          <w:szCs w:val="18"/>
        </w:rPr>
        <w:t xml:space="preserve">recognition of other CU certificates is described, provides a clear indication of the legal instruments concerned by that measure (e.g. CU Technical Regulation 001/2011). Furthermore, the Panel noted that the legal instruments described in section III of the panel request at issue were limited to nine instruments, the first five of which clearly relate to the challenged measures described in section II, and the other four refer to the background on the legal framework applicable to Russia's </w:t>
      </w:r>
      <w:r w:rsidR="00192C76" w:rsidRPr="006B2F21">
        <w:rPr>
          <w:szCs w:val="18"/>
        </w:rPr>
        <w:t>Conformity Assessment Procedures</w:t>
      </w:r>
      <w:r w:rsidRPr="006B2F21">
        <w:rPr>
          <w:szCs w:val="18"/>
        </w:rPr>
        <w:t>.</w:t>
      </w:r>
      <w:r w:rsidRPr="006B2F21">
        <w:rPr>
          <w:rStyle w:val="FootnoteReference"/>
          <w:szCs w:val="18"/>
        </w:rPr>
        <w:footnoteReference w:id="116"/>
      </w:r>
      <w:r w:rsidRPr="006B2F21">
        <w:rPr>
          <w:szCs w:val="18"/>
        </w:rPr>
        <w:t xml:space="preserve"> In addition, the Panel noted that the final paragraph of section III of the panel requests in </w:t>
      </w:r>
      <w:r w:rsidRPr="006B2F21">
        <w:rPr>
          <w:i/>
          <w:szCs w:val="18"/>
        </w:rPr>
        <w:t>China – Raw Materials</w:t>
      </w:r>
      <w:r w:rsidRPr="006B2F21">
        <w:rPr>
          <w:szCs w:val="18"/>
        </w:rPr>
        <w:t xml:space="preserve"> provided a list of 13 WTO</w:t>
      </w:r>
      <w:r w:rsidR="00254E08">
        <w:rPr>
          <w:szCs w:val="18"/>
        </w:rPr>
        <w:t> </w:t>
      </w:r>
      <w:r w:rsidRPr="006B2F21">
        <w:rPr>
          <w:szCs w:val="18"/>
        </w:rPr>
        <w:t>provisions allegedly infringed, without indicating how any of the measures at issue caused any of the alleged violations. The Panel noted that the narrative paragraphs of the panel request in the present case, however, provided such explanations.</w:t>
      </w:r>
      <w:r w:rsidRPr="006B2F21">
        <w:rPr>
          <w:rStyle w:val="FootnoteReference"/>
          <w:szCs w:val="18"/>
        </w:rPr>
        <w:footnoteReference w:id="117"/>
      </w:r>
      <w:r w:rsidRPr="006B2F21">
        <w:rPr>
          <w:szCs w:val="18"/>
        </w:rPr>
        <w:t xml:space="preserve"> In particular, the Panel explained that section IV of Ukraine's panel request contained a list of the </w:t>
      </w:r>
      <w:r w:rsidR="004467B9" w:rsidRPr="006B2F21">
        <w:rPr>
          <w:szCs w:val="18"/>
        </w:rPr>
        <w:t xml:space="preserve">10 </w:t>
      </w:r>
      <w:r w:rsidRPr="006B2F21">
        <w:rPr>
          <w:szCs w:val="18"/>
        </w:rPr>
        <w:t>WTO provisions allegedly infringed, together with an explanation of why Ukraine considers that the measures identified are inconsistent with Russia's obligations.</w:t>
      </w:r>
      <w:r w:rsidRPr="006B2F21">
        <w:rPr>
          <w:rStyle w:val="FootnoteReference"/>
          <w:szCs w:val="18"/>
        </w:rPr>
        <w:footnoteReference w:id="118"/>
      </w:r>
    </w:p>
    <w:p w14:paraId="15D331E3" w14:textId="68FA9FB2" w:rsidR="00AB41A7" w:rsidRPr="006B2F21" w:rsidRDefault="00AB41A7" w:rsidP="006B2F21">
      <w:pPr>
        <w:pStyle w:val="BodyText"/>
        <w:numPr>
          <w:ilvl w:val="6"/>
          <w:numId w:val="1"/>
        </w:numPr>
        <w:rPr>
          <w:szCs w:val="18"/>
        </w:rPr>
      </w:pPr>
      <w:r w:rsidRPr="006B2F21">
        <w:rPr>
          <w:szCs w:val="18"/>
        </w:rPr>
        <w:t>Accordingly, the Panel in fact engaged with Russia's argument concerning parallels between the panel request at issue and the panel request</w:t>
      </w:r>
      <w:r w:rsidR="00066961" w:rsidRPr="006B2F21">
        <w:rPr>
          <w:szCs w:val="18"/>
        </w:rPr>
        <w:t>s</w:t>
      </w:r>
      <w:r w:rsidRPr="006B2F21">
        <w:rPr>
          <w:szCs w:val="18"/>
        </w:rPr>
        <w:t xml:space="preserve"> in </w:t>
      </w:r>
      <w:r w:rsidRPr="006B2F21">
        <w:rPr>
          <w:i/>
          <w:szCs w:val="18"/>
        </w:rPr>
        <w:t>China – Raw Materials</w:t>
      </w:r>
      <w:r w:rsidRPr="006B2F21">
        <w:rPr>
          <w:szCs w:val="18"/>
        </w:rPr>
        <w:t>.</w:t>
      </w:r>
      <w:r w:rsidRPr="006B2F21">
        <w:rPr>
          <w:i/>
          <w:szCs w:val="18"/>
        </w:rPr>
        <w:t xml:space="preserve"> </w:t>
      </w:r>
      <w:r w:rsidRPr="006B2F21">
        <w:rPr>
          <w:szCs w:val="18"/>
        </w:rPr>
        <w:t xml:space="preserve">The Panel, however, provided a detailed explanation of why it did not see sufficient similarities between </w:t>
      </w:r>
      <w:r w:rsidR="00066961" w:rsidRPr="006B2F21">
        <w:rPr>
          <w:szCs w:val="18"/>
        </w:rPr>
        <w:t>the</w:t>
      </w:r>
      <w:r w:rsidRPr="006B2F21">
        <w:rPr>
          <w:szCs w:val="18"/>
        </w:rPr>
        <w:t xml:space="preserve"> panel request</w:t>
      </w:r>
      <w:r w:rsidR="00066961" w:rsidRPr="006B2F21">
        <w:rPr>
          <w:szCs w:val="18"/>
        </w:rPr>
        <w:t xml:space="preserve"> in the present case and the panel requests in </w:t>
      </w:r>
      <w:r w:rsidR="00066961" w:rsidRPr="006B2F21">
        <w:rPr>
          <w:i/>
          <w:szCs w:val="18"/>
        </w:rPr>
        <w:t>China – Raw Materials</w:t>
      </w:r>
      <w:r w:rsidRPr="006B2F21">
        <w:rPr>
          <w:szCs w:val="18"/>
        </w:rPr>
        <w:t>. On appeal, Russia advances essentially the same argument as before the Panel based on what it considers to be parallels between the</w:t>
      </w:r>
      <w:r w:rsidR="00066961" w:rsidRPr="006B2F21">
        <w:rPr>
          <w:szCs w:val="18"/>
        </w:rPr>
        <w:t>se</w:t>
      </w:r>
      <w:r w:rsidRPr="006B2F21">
        <w:rPr>
          <w:szCs w:val="18"/>
        </w:rPr>
        <w:t xml:space="preserve"> panel requests. Thus, rather than demonstrating an error in the Panel's application of Article 6.2 of the DSU, Russia simply disagrees with the reasons given by the Panel for rejecting Russia's argument of certain parallels between the panel request at issue and the panel request</w:t>
      </w:r>
      <w:r w:rsidR="00066961" w:rsidRPr="006B2F21">
        <w:rPr>
          <w:szCs w:val="18"/>
        </w:rPr>
        <w:t>s</w:t>
      </w:r>
      <w:r w:rsidRPr="006B2F21">
        <w:rPr>
          <w:szCs w:val="18"/>
        </w:rPr>
        <w:t xml:space="preserve"> in </w:t>
      </w:r>
      <w:r w:rsidRPr="006B2F21">
        <w:rPr>
          <w:i/>
          <w:szCs w:val="18"/>
        </w:rPr>
        <w:t>China – Raw Materials</w:t>
      </w:r>
      <w:r w:rsidRPr="006B2F21">
        <w:rPr>
          <w:szCs w:val="18"/>
        </w:rPr>
        <w:t xml:space="preserve">. </w:t>
      </w:r>
    </w:p>
    <w:p w14:paraId="622D9CFE" w14:textId="6F4B3391" w:rsidR="00AB41A7" w:rsidRPr="006B2F21" w:rsidRDefault="00AB41A7" w:rsidP="006B2F21">
      <w:pPr>
        <w:pStyle w:val="BodyText"/>
        <w:numPr>
          <w:ilvl w:val="6"/>
          <w:numId w:val="1"/>
        </w:numPr>
        <w:rPr>
          <w:szCs w:val="18"/>
        </w:rPr>
      </w:pPr>
      <w:r w:rsidRPr="006B2F21">
        <w:rPr>
          <w:szCs w:val="18"/>
        </w:rPr>
        <w:t xml:space="preserve">In light of the above considerations, we </w:t>
      </w:r>
      <w:r w:rsidR="00066961" w:rsidRPr="006B2F21">
        <w:rPr>
          <w:szCs w:val="18"/>
        </w:rPr>
        <w:t xml:space="preserve">find </w:t>
      </w:r>
      <w:r w:rsidRPr="006B2F21">
        <w:rPr>
          <w:szCs w:val="18"/>
        </w:rPr>
        <w:t>that the Panel did not err in its assessment of whether Ukraine's panel request provided sufficient clarity so as to plainly connect the WTO</w:t>
      </w:r>
      <w:r w:rsidR="00254E08">
        <w:rPr>
          <w:szCs w:val="18"/>
        </w:rPr>
        <w:t> </w:t>
      </w:r>
      <w:r w:rsidRPr="006B2F21">
        <w:rPr>
          <w:szCs w:val="18"/>
        </w:rPr>
        <w:t xml:space="preserve">provisions allegedly infringed </w:t>
      </w:r>
      <w:r w:rsidR="000A3FFD" w:rsidRPr="006B2F21">
        <w:rPr>
          <w:szCs w:val="18"/>
        </w:rPr>
        <w:t xml:space="preserve">to </w:t>
      </w:r>
      <w:r w:rsidRPr="006B2F21">
        <w:rPr>
          <w:szCs w:val="18"/>
        </w:rPr>
        <w:t>the measures at issue.</w:t>
      </w:r>
    </w:p>
    <w:p w14:paraId="0AEC99B6" w14:textId="77777777" w:rsidR="00AB41A7" w:rsidRPr="006B2F21" w:rsidRDefault="00AB41A7" w:rsidP="006B2F21">
      <w:pPr>
        <w:pStyle w:val="Heading4"/>
        <w:numPr>
          <w:ilvl w:val="3"/>
          <w:numId w:val="10"/>
        </w:numPr>
        <w:rPr>
          <w:szCs w:val="18"/>
        </w:rPr>
      </w:pPr>
      <w:bookmarkStart w:id="86" w:name="_Toc17449140"/>
      <w:bookmarkStart w:id="87" w:name="_Toc17463152"/>
      <w:bookmarkStart w:id="88" w:name="_Toc17468105"/>
      <w:bookmarkStart w:id="89" w:name="_Toc31380984"/>
      <w:r w:rsidRPr="006B2F21">
        <w:rPr>
          <w:szCs w:val="18"/>
        </w:rPr>
        <w:t>Identification of the third measure</w:t>
      </w:r>
      <w:bookmarkEnd w:id="86"/>
      <w:bookmarkEnd w:id="87"/>
      <w:bookmarkEnd w:id="88"/>
      <w:bookmarkEnd w:id="89"/>
    </w:p>
    <w:p w14:paraId="31D1A200" w14:textId="4E508175" w:rsidR="00AB41A7" w:rsidRPr="006B2F21" w:rsidRDefault="00AB41A7" w:rsidP="006B2F21">
      <w:pPr>
        <w:pStyle w:val="BodyText"/>
        <w:numPr>
          <w:ilvl w:val="6"/>
          <w:numId w:val="1"/>
        </w:numPr>
        <w:rPr>
          <w:szCs w:val="18"/>
        </w:rPr>
      </w:pPr>
      <w:r w:rsidRPr="006B2F21">
        <w:rPr>
          <w:szCs w:val="18"/>
        </w:rPr>
        <w:t>Next, we turn to address Russia's allegation that the Panel erred in finding that Ukraine's panel request identified Ukraine's third measure in a manner that satisfies the requirements of Article 6.2 of the DSU.</w:t>
      </w:r>
      <w:r w:rsidRPr="006B2F21">
        <w:rPr>
          <w:rStyle w:val="FootnoteReference"/>
          <w:szCs w:val="18"/>
        </w:rPr>
        <w:footnoteReference w:id="119"/>
      </w:r>
      <w:r w:rsidRPr="006B2F21">
        <w:rPr>
          <w:szCs w:val="18"/>
        </w:rPr>
        <w:t xml:space="preserve"> Russia alleges that the Panel erred because it failed to review the description of the third measure in the panel request "on its face" and instead undertook a "contextual interpretation" of it.</w:t>
      </w:r>
      <w:r w:rsidR="00066961" w:rsidRPr="006B2F21">
        <w:rPr>
          <w:rStyle w:val="FootnoteReference"/>
          <w:szCs w:val="18"/>
        </w:rPr>
        <w:footnoteReference w:id="120"/>
      </w:r>
    </w:p>
    <w:p w14:paraId="5240AD65" w14:textId="6164278F" w:rsidR="00AB41A7" w:rsidRPr="006B2F21" w:rsidRDefault="00AB41A7" w:rsidP="006B2F21">
      <w:pPr>
        <w:pStyle w:val="BodyText"/>
        <w:numPr>
          <w:ilvl w:val="6"/>
          <w:numId w:val="1"/>
        </w:numPr>
        <w:rPr>
          <w:szCs w:val="18"/>
        </w:rPr>
      </w:pPr>
      <w:r w:rsidRPr="006B2F21">
        <w:rPr>
          <w:szCs w:val="18"/>
        </w:rPr>
        <w:t>This allegation of error relates to the Panel's analysis in paragraphs 7.87 to 7.104</w:t>
      </w:r>
      <w:r w:rsidR="00A66955" w:rsidRPr="006B2F21">
        <w:rPr>
          <w:szCs w:val="18"/>
        </w:rPr>
        <w:t xml:space="preserve"> of the Panel Report</w:t>
      </w:r>
      <w:r w:rsidRPr="006B2F21">
        <w:rPr>
          <w:szCs w:val="18"/>
        </w:rPr>
        <w:t xml:space="preserve">, in which the Panel found that the measure at issue identified in the panel request as </w:t>
      </w:r>
      <w:r w:rsidR="00EA209C" w:rsidRPr="006B2F21">
        <w:rPr>
          <w:szCs w:val="18"/>
        </w:rPr>
        <w:t xml:space="preserve">the third </w:t>
      </w:r>
      <w:r w:rsidRPr="006B2F21">
        <w:rPr>
          <w:szCs w:val="18"/>
        </w:rPr>
        <w:t>measure is the alleged requirement that Russia's authorities must not recognize certificates issued in other CU countries if the certified railway products were not produced in a CU country.</w:t>
      </w:r>
      <w:r w:rsidRPr="006B2F21">
        <w:rPr>
          <w:rStyle w:val="FootnoteReference"/>
          <w:szCs w:val="18"/>
        </w:rPr>
        <w:footnoteReference w:id="121"/>
      </w:r>
      <w:r w:rsidRPr="006B2F21">
        <w:rPr>
          <w:szCs w:val="18"/>
        </w:rPr>
        <w:t xml:space="preserve"> In particular, the Panel reasoned that "the third measure at issue is addressed in the third narrative paragraph, the three numbered points and Annex III", and that these references must be read </w:t>
      </w:r>
      <w:r w:rsidRPr="006B2F21">
        <w:rPr>
          <w:szCs w:val="18"/>
        </w:rPr>
        <w:lastRenderedPageBreak/>
        <w:t>together.</w:t>
      </w:r>
      <w:r w:rsidRPr="006B2F21">
        <w:rPr>
          <w:rStyle w:val="FootnoteReference"/>
          <w:szCs w:val="18"/>
        </w:rPr>
        <w:footnoteReference w:id="122"/>
      </w:r>
      <w:r w:rsidRPr="006B2F21">
        <w:rPr>
          <w:szCs w:val="18"/>
        </w:rPr>
        <w:t xml:space="preserve"> The Panel then addressed each of these elements and concluded that the third measure challenged by Ukraine was the alleged requirement that Russia's authorities considered to flow from CU Technical Regulation 001/2011, pursuant to which Russia's authorities must not recognize certificates issued to Ukrainian producers in other CU countries, if the certified products were not produced in a CU country.</w:t>
      </w:r>
      <w:r w:rsidRPr="006B2F21">
        <w:rPr>
          <w:rStyle w:val="FootnoteReference"/>
          <w:szCs w:val="18"/>
        </w:rPr>
        <w:footnoteReference w:id="123"/>
      </w:r>
      <w:r w:rsidRPr="006B2F21">
        <w:rPr>
          <w:szCs w:val="18"/>
        </w:rPr>
        <w:t xml:space="preserve"> </w:t>
      </w:r>
    </w:p>
    <w:p w14:paraId="1648DBE7" w14:textId="77777777" w:rsidR="00AB41A7" w:rsidRPr="006B2F21" w:rsidRDefault="00AB41A7" w:rsidP="006B2F21">
      <w:pPr>
        <w:pStyle w:val="BodyText"/>
        <w:numPr>
          <w:ilvl w:val="6"/>
          <w:numId w:val="1"/>
        </w:numPr>
        <w:rPr>
          <w:szCs w:val="18"/>
        </w:rPr>
      </w:pPr>
      <w:r w:rsidRPr="006B2F21">
        <w:rPr>
          <w:szCs w:val="18"/>
        </w:rPr>
        <w:t>We have set out above that, in order to determine whether a panel request complies with Article 6.2, a panel must carefully scrutinize the request, read as a whole, and on the basis of the language used therein.</w:t>
      </w:r>
      <w:r w:rsidRPr="006B2F21">
        <w:rPr>
          <w:rStyle w:val="FootnoteReference"/>
          <w:szCs w:val="18"/>
        </w:rPr>
        <w:footnoteReference w:id="124"/>
      </w:r>
      <w:r w:rsidRPr="006B2F21">
        <w:rPr>
          <w:szCs w:val="18"/>
        </w:rPr>
        <w:t xml:space="preserve"> Moreover, a panel must determine compliance with Article 6.2 on the face of the panel request as it existed at the time of filing.</w:t>
      </w:r>
      <w:r w:rsidRPr="006B2F21">
        <w:rPr>
          <w:rStyle w:val="FootnoteReference"/>
          <w:szCs w:val="18"/>
        </w:rPr>
        <w:footnoteReference w:id="125"/>
      </w:r>
      <w:r w:rsidRPr="006B2F21">
        <w:rPr>
          <w:szCs w:val="18"/>
        </w:rPr>
        <w:t xml:space="preserve"> </w:t>
      </w:r>
    </w:p>
    <w:p w14:paraId="0428E917" w14:textId="7914B9DC" w:rsidR="00AB41A7" w:rsidRPr="006B2F21" w:rsidRDefault="00AB41A7" w:rsidP="006B2F21">
      <w:pPr>
        <w:pStyle w:val="BodyText"/>
        <w:numPr>
          <w:ilvl w:val="6"/>
          <w:numId w:val="1"/>
        </w:numPr>
        <w:rPr>
          <w:szCs w:val="18"/>
        </w:rPr>
      </w:pPr>
      <w:r w:rsidRPr="006B2F21">
        <w:rPr>
          <w:szCs w:val="18"/>
        </w:rPr>
        <w:t>We observe that in the present case, the Panel began its analysis by noting which elements of the panel request related to the third measure.</w:t>
      </w:r>
      <w:r w:rsidRPr="006B2F21">
        <w:rPr>
          <w:rStyle w:val="FootnoteReference"/>
          <w:szCs w:val="18"/>
        </w:rPr>
        <w:footnoteReference w:id="126"/>
      </w:r>
      <w:r w:rsidRPr="006B2F21">
        <w:rPr>
          <w:szCs w:val="18"/>
        </w:rPr>
        <w:t xml:space="preserve"> One by one, the Panel addressed these elements and explained its understanding of </w:t>
      </w:r>
      <w:r w:rsidR="00EA209C" w:rsidRPr="006B2F21">
        <w:rPr>
          <w:szCs w:val="18"/>
        </w:rPr>
        <w:t>them</w:t>
      </w:r>
      <w:r w:rsidRPr="006B2F21">
        <w:rPr>
          <w:szCs w:val="18"/>
        </w:rPr>
        <w:t>.</w:t>
      </w:r>
      <w:r w:rsidRPr="006B2F21">
        <w:rPr>
          <w:rStyle w:val="FootnoteReference"/>
          <w:szCs w:val="18"/>
        </w:rPr>
        <w:footnoteReference w:id="127"/>
      </w:r>
      <w:r w:rsidRPr="006B2F21">
        <w:rPr>
          <w:szCs w:val="18"/>
        </w:rPr>
        <w:t xml:space="preserve"> Next, the Panel addressed the various elements "in</w:t>
      </w:r>
      <w:r w:rsidR="00254E08">
        <w:rPr>
          <w:szCs w:val="18"/>
        </w:rPr>
        <w:t> </w:t>
      </w:r>
      <w:r w:rsidRPr="006B2F21">
        <w:rPr>
          <w:szCs w:val="18"/>
        </w:rPr>
        <w:t xml:space="preserve">context". We understand the Panel </w:t>
      </w:r>
      <w:r w:rsidR="00EA209C" w:rsidRPr="006B2F21">
        <w:rPr>
          <w:szCs w:val="18"/>
        </w:rPr>
        <w:t xml:space="preserve">thus </w:t>
      </w:r>
      <w:r w:rsidRPr="006B2F21">
        <w:rPr>
          <w:szCs w:val="18"/>
        </w:rPr>
        <w:t>to have assessed the panel request "as a whole", in</w:t>
      </w:r>
      <w:r w:rsidR="00254E08">
        <w:rPr>
          <w:szCs w:val="18"/>
        </w:rPr>
        <w:t> </w:t>
      </w:r>
      <w:r w:rsidRPr="006B2F21">
        <w:rPr>
          <w:szCs w:val="18"/>
        </w:rPr>
        <w:t xml:space="preserve">keeping with the approach set out above. </w:t>
      </w:r>
    </w:p>
    <w:p w14:paraId="3082C55D" w14:textId="0DD7D2E4" w:rsidR="00AB41A7" w:rsidRPr="006B2F21" w:rsidRDefault="00AB41A7" w:rsidP="006B2F21">
      <w:pPr>
        <w:pStyle w:val="BodyText"/>
        <w:numPr>
          <w:ilvl w:val="6"/>
          <w:numId w:val="1"/>
        </w:numPr>
        <w:rPr>
          <w:szCs w:val="18"/>
        </w:rPr>
      </w:pPr>
      <w:r w:rsidRPr="006B2F21">
        <w:rPr>
          <w:szCs w:val="18"/>
        </w:rPr>
        <w:t>Russia argues that the text of the first two numbered points of the panel request refers to "certain alleged actions" by Russia, while the third numbered point of the panel request lists certain documents.</w:t>
      </w:r>
      <w:r w:rsidRPr="006B2F21">
        <w:rPr>
          <w:rStyle w:val="FootnoteReference"/>
          <w:szCs w:val="18"/>
        </w:rPr>
        <w:footnoteReference w:id="128"/>
      </w:r>
      <w:r w:rsidRPr="006B2F21">
        <w:rPr>
          <w:szCs w:val="18"/>
        </w:rPr>
        <w:t xml:space="preserve"> For Russia, such intentional difference in the description of the measures at issue must be given meaning, such that the third measure at issue covers specific documents, rather than certain alleged actions.</w:t>
      </w:r>
      <w:r w:rsidRPr="006B2F21">
        <w:rPr>
          <w:rStyle w:val="FootnoteReference"/>
          <w:szCs w:val="18"/>
        </w:rPr>
        <w:footnoteReference w:id="129"/>
      </w:r>
      <w:r w:rsidRPr="006B2F21">
        <w:rPr>
          <w:szCs w:val="18"/>
        </w:rPr>
        <w:t xml:space="preserve"> Russia contends that the Panel erred in disregarding this difference in the description of the measures at issue, and instead engaged in guessing what the complainant could have meant. Ukraine responds that Russia is essentially requesting the Appellate Body to read the numbered list in section</w:t>
      </w:r>
      <w:r w:rsidR="000F44C3" w:rsidRPr="006B2F21">
        <w:rPr>
          <w:szCs w:val="18"/>
        </w:rPr>
        <w:t> </w:t>
      </w:r>
      <w:r w:rsidRPr="006B2F21">
        <w:rPr>
          <w:szCs w:val="18"/>
        </w:rPr>
        <w:t xml:space="preserve">IV of the panel request in isolation </w:t>
      </w:r>
      <w:r w:rsidR="000F44C3" w:rsidRPr="006B2F21">
        <w:rPr>
          <w:szCs w:val="18"/>
        </w:rPr>
        <w:t xml:space="preserve">from </w:t>
      </w:r>
      <w:r w:rsidRPr="006B2F21">
        <w:rPr>
          <w:szCs w:val="18"/>
        </w:rPr>
        <w:t>the remaining part of that section, the other sections of the request, and the text of the covered agreements. For Ukraine, the numbered list and the explanations given in section IV, read together with the introductory paragraph to that list, support the Panel's findings in the preliminary ruling.</w:t>
      </w:r>
      <w:r w:rsidRPr="006B2F21">
        <w:rPr>
          <w:rStyle w:val="FootnoteReference"/>
          <w:szCs w:val="18"/>
        </w:rPr>
        <w:footnoteReference w:id="130"/>
      </w:r>
    </w:p>
    <w:p w14:paraId="23DA487E" w14:textId="082843F7" w:rsidR="00AB41A7" w:rsidRPr="006B2F21" w:rsidRDefault="00AB41A7" w:rsidP="006B2F21">
      <w:pPr>
        <w:pStyle w:val="BodyText"/>
        <w:numPr>
          <w:ilvl w:val="6"/>
          <w:numId w:val="1"/>
        </w:numPr>
        <w:rPr>
          <w:szCs w:val="18"/>
        </w:rPr>
      </w:pPr>
      <w:r w:rsidRPr="006B2F21">
        <w:rPr>
          <w:szCs w:val="18"/>
        </w:rPr>
        <w:t xml:space="preserve">We do not see that the Panel disregarded differences in the description of the measures at issue as alleged by Russia. A review of paragraphs 7.65 to 7.99 </w:t>
      </w:r>
      <w:r w:rsidR="0096378B" w:rsidRPr="006B2F21">
        <w:rPr>
          <w:szCs w:val="18"/>
        </w:rPr>
        <w:t>of the Panel</w:t>
      </w:r>
      <w:r w:rsidR="007D1FEF" w:rsidRPr="006B2F21">
        <w:rPr>
          <w:szCs w:val="18"/>
        </w:rPr>
        <w:t> Report</w:t>
      </w:r>
      <w:r w:rsidR="0096378B" w:rsidRPr="006B2F21">
        <w:rPr>
          <w:szCs w:val="18"/>
        </w:rPr>
        <w:t xml:space="preserve"> </w:t>
      </w:r>
      <w:r w:rsidRPr="006B2F21">
        <w:rPr>
          <w:szCs w:val="18"/>
        </w:rPr>
        <w:t>reveals that, with regard to each of the three measures at issue, the Panel employed a different analytical approach in its assessment of the relevant parts of the panel request. The first measure had been identified by Ukraine as the "non</w:t>
      </w:r>
      <w:r w:rsidR="00B24926" w:rsidRPr="006B2F21">
        <w:rPr>
          <w:szCs w:val="18"/>
        </w:rPr>
        <w:noBreakHyphen/>
      </w:r>
      <w:r w:rsidRPr="006B2F21">
        <w:rPr>
          <w:szCs w:val="18"/>
        </w:rPr>
        <w:t>recognition" of certificates, and the Panel considered that to be the first measure without further analysis. With respect to the second measure, the Panel noted that Ukraine had referred to refusals to recognize certificates, suspension of certificates, and rejections. The Panel then "inferred that Ukraine [had sought] to identify these individual instructions as separate components of measure two"</w:t>
      </w:r>
      <w:r w:rsidR="00A66955" w:rsidRPr="006B2F21">
        <w:rPr>
          <w:szCs w:val="18"/>
        </w:rPr>
        <w:t>.</w:t>
      </w:r>
      <w:r w:rsidRPr="006B2F21">
        <w:rPr>
          <w:rStyle w:val="FootnoteReference"/>
          <w:szCs w:val="18"/>
        </w:rPr>
        <w:footnoteReference w:id="131"/>
      </w:r>
      <w:r w:rsidRPr="006B2F21">
        <w:rPr>
          <w:szCs w:val="18"/>
        </w:rPr>
        <w:t xml:space="preserve"> Concerning the third measure, the Panel noted that the third numbered point identified CU Technical Regulation 001/2011, read together with the Protocol of the </w:t>
      </w:r>
      <w:r w:rsidR="004D48A1" w:rsidRPr="006B2F21">
        <w:rPr>
          <w:szCs w:val="18"/>
        </w:rPr>
        <w:t>MOT</w:t>
      </w:r>
      <w:r w:rsidRPr="006B2F21">
        <w:rPr>
          <w:szCs w:val="18"/>
        </w:rPr>
        <w:t xml:space="preserve"> and instructions mentioned in Annex III. The Panel continued explaining that, in order to better understand the third measure, it was instructive to look </w:t>
      </w:r>
      <w:r w:rsidR="0096378B" w:rsidRPr="006B2F21">
        <w:rPr>
          <w:szCs w:val="18"/>
        </w:rPr>
        <w:t xml:space="preserve">at </w:t>
      </w:r>
      <w:r w:rsidRPr="006B2F21">
        <w:rPr>
          <w:szCs w:val="18"/>
        </w:rPr>
        <w:t>the third narrative paragraph in section II. The Panel observed that the relevant Russian authorities</w:t>
      </w:r>
      <w:r w:rsidR="0096378B" w:rsidRPr="006B2F21">
        <w:rPr>
          <w:szCs w:val="18"/>
        </w:rPr>
        <w:t xml:space="preserve"> had </w:t>
      </w:r>
      <w:r w:rsidRPr="006B2F21">
        <w:rPr>
          <w:szCs w:val="18"/>
        </w:rPr>
        <w:t xml:space="preserve">concluded that certificates issued in other CU countries were not valid in Russia's territory and that the products concerned could not be imported or registered. In other words, according to Ukraine, Russia's authorities concluded that these certificates could not be recognized. </w:t>
      </w:r>
    </w:p>
    <w:p w14:paraId="081BDD19" w14:textId="53167E56" w:rsidR="00AB41A7" w:rsidRPr="006B2F21" w:rsidRDefault="00AB41A7" w:rsidP="006B2F21">
      <w:pPr>
        <w:pStyle w:val="BodyText"/>
        <w:numPr>
          <w:ilvl w:val="6"/>
          <w:numId w:val="1"/>
        </w:numPr>
        <w:rPr>
          <w:szCs w:val="18"/>
        </w:rPr>
      </w:pPr>
      <w:r w:rsidRPr="006B2F21">
        <w:rPr>
          <w:szCs w:val="18"/>
        </w:rPr>
        <w:lastRenderedPageBreak/>
        <w:t xml:space="preserve">This demonstrates that, contrary to what Russia alleges, the Panel did not disregard differences in the description of the measures at issue. On the contrary, while the Panel noted the content of the first measure as clear on the face of the measure, the Panel drew certain inferences in order to determine the content of the second measure, and considered contextual elements contained in other parts of the panel request in order to determine the content of the third measure. </w:t>
      </w:r>
    </w:p>
    <w:p w14:paraId="2FFDBAF6" w14:textId="6B92D195" w:rsidR="00AB41A7" w:rsidRPr="006B2F21" w:rsidRDefault="00AB41A7" w:rsidP="006B2F21">
      <w:pPr>
        <w:pStyle w:val="BodyText"/>
        <w:numPr>
          <w:ilvl w:val="6"/>
          <w:numId w:val="1"/>
        </w:numPr>
        <w:rPr>
          <w:szCs w:val="18"/>
        </w:rPr>
      </w:pPr>
      <w:r w:rsidRPr="006B2F21">
        <w:rPr>
          <w:szCs w:val="18"/>
        </w:rPr>
        <w:t xml:space="preserve">Furthermore, Russia takes issue with the Panel's statement that there is no single way in which a challenged measure must be identified, and asserts that, instead, the Panel should have relied on the plain meaning of the text of Ukraine's panel request and found that the third measure is Technical Regulation 001/2011 as such, read together with the Protocol of the </w:t>
      </w:r>
      <w:r w:rsidR="004D48A1" w:rsidRPr="006B2F21">
        <w:rPr>
          <w:szCs w:val="18"/>
        </w:rPr>
        <w:t>MOT</w:t>
      </w:r>
      <w:r w:rsidRPr="006B2F21">
        <w:rPr>
          <w:szCs w:val="18"/>
        </w:rPr>
        <w:t xml:space="preserve"> and the instructions mentioned in Annex III.</w:t>
      </w:r>
      <w:r w:rsidRPr="006B2F21">
        <w:rPr>
          <w:rStyle w:val="FootnoteReference"/>
          <w:szCs w:val="18"/>
        </w:rPr>
        <w:footnoteReference w:id="132"/>
      </w:r>
      <w:r w:rsidRPr="006B2F21">
        <w:rPr>
          <w:szCs w:val="18"/>
        </w:rPr>
        <w:t xml:space="preserve"> Ukraine disagrees with Russia that the Panel failed to consider the language contained in the panel request on its face</w:t>
      </w:r>
      <w:r w:rsidRPr="006B2F21">
        <w:rPr>
          <w:rStyle w:val="FootnoteReference"/>
          <w:szCs w:val="18"/>
        </w:rPr>
        <w:footnoteReference w:id="133"/>
      </w:r>
      <w:r w:rsidRPr="006B2F21">
        <w:rPr>
          <w:szCs w:val="18"/>
        </w:rPr>
        <w:t>, and submits that the Panel properly considered the panel request as a whole.</w:t>
      </w:r>
    </w:p>
    <w:p w14:paraId="33FA2FA8" w14:textId="6171FE7B" w:rsidR="00AB41A7" w:rsidRPr="006B2F21" w:rsidRDefault="00AB41A7" w:rsidP="006B2F21">
      <w:pPr>
        <w:pStyle w:val="BodyText"/>
        <w:numPr>
          <w:ilvl w:val="6"/>
          <w:numId w:val="1"/>
        </w:numPr>
        <w:rPr>
          <w:szCs w:val="18"/>
        </w:rPr>
      </w:pPr>
      <w:r w:rsidRPr="006B2F21">
        <w:rPr>
          <w:szCs w:val="18"/>
        </w:rPr>
        <w:t>As we have set out above, it is well established that in an analysis under Article 6.2 of the DSU, panels must scrutinize the panel request read as a whole, and on the basis of the language used therein.</w:t>
      </w:r>
      <w:r w:rsidRPr="006B2F21">
        <w:rPr>
          <w:rStyle w:val="FootnoteReference"/>
          <w:szCs w:val="18"/>
        </w:rPr>
        <w:footnoteReference w:id="134"/>
      </w:r>
      <w:r w:rsidRPr="006B2F21">
        <w:rPr>
          <w:szCs w:val="18"/>
        </w:rPr>
        <w:t xml:space="preserve"> Russia's proposed reading of the panel request would not take account of the description of the measure in the third narrative paragraph of section II of the panel request and it would thus not constitute a reading "as a whole". Moreover, we agree with the Panel that the reference to "Technical Regulation No. 001/2011 'On safety of railway rolling stock', </w:t>
      </w:r>
      <w:r w:rsidRPr="006B2F21">
        <w:rPr>
          <w:i/>
          <w:szCs w:val="18"/>
        </w:rPr>
        <w:t>read together with</w:t>
      </w:r>
      <w:r w:rsidRPr="006B2F21">
        <w:rPr>
          <w:szCs w:val="18"/>
        </w:rPr>
        <w:t xml:space="preserve"> the Protocol of the Ministry of Transport of the Russian Federation regarding issuance by certification authority of the Customs Union of the certificates of conformity for products manufactured by third</w:t>
      </w:r>
      <w:r w:rsidR="00B24926" w:rsidRPr="006B2F21">
        <w:rPr>
          <w:szCs w:val="18"/>
        </w:rPr>
        <w:noBreakHyphen/>
      </w:r>
      <w:r w:rsidRPr="006B2F21">
        <w:rPr>
          <w:szCs w:val="18"/>
        </w:rPr>
        <w:t>countries"</w:t>
      </w:r>
      <w:r w:rsidRPr="006B2F21">
        <w:rPr>
          <w:rStyle w:val="FootnoteReference"/>
          <w:szCs w:val="18"/>
        </w:rPr>
        <w:footnoteReference w:id="135"/>
      </w:r>
      <w:r w:rsidRPr="006B2F21">
        <w:rPr>
          <w:szCs w:val="18"/>
        </w:rPr>
        <w:t xml:space="preserve"> indicates that Ukraine was not challenging Technical Regulation 001/2011 "as such", but rather a particular measure expressed in that technical regulation when </w:t>
      </w:r>
      <w:r w:rsidRPr="006B2F21">
        <w:rPr>
          <w:i/>
          <w:szCs w:val="18"/>
        </w:rPr>
        <w:t>read together with</w:t>
      </w:r>
      <w:r w:rsidRPr="006B2F21">
        <w:rPr>
          <w:szCs w:val="18"/>
        </w:rPr>
        <w:t xml:space="preserve"> the relevant Protocol of the </w:t>
      </w:r>
      <w:r w:rsidR="004D48A1" w:rsidRPr="006B2F21">
        <w:rPr>
          <w:szCs w:val="18"/>
        </w:rPr>
        <w:t>MOT</w:t>
      </w:r>
      <w:r w:rsidRPr="006B2F21">
        <w:rPr>
          <w:szCs w:val="18"/>
        </w:rPr>
        <w:t>.</w:t>
      </w:r>
      <w:r w:rsidRPr="006B2F21">
        <w:rPr>
          <w:rStyle w:val="FootnoteReference"/>
          <w:szCs w:val="18"/>
        </w:rPr>
        <w:footnoteReference w:id="136"/>
      </w:r>
      <w:r w:rsidRPr="006B2F21">
        <w:rPr>
          <w:szCs w:val="18"/>
        </w:rPr>
        <w:t xml:space="preserve"> </w:t>
      </w:r>
    </w:p>
    <w:p w14:paraId="20031407" w14:textId="5168F754" w:rsidR="00AB41A7" w:rsidRPr="006B2F21" w:rsidRDefault="00AB41A7" w:rsidP="006B2F21">
      <w:pPr>
        <w:pStyle w:val="BodyText"/>
        <w:numPr>
          <w:ilvl w:val="6"/>
          <w:numId w:val="1"/>
        </w:numPr>
        <w:rPr>
          <w:szCs w:val="18"/>
        </w:rPr>
      </w:pPr>
      <w:r w:rsidRPr="006B2F21">
        <w:rPr>
          <w:szCs w:val="18"/>
        </w:rPr>
        <w:t xml:space="preserve">Finally, Russia also alleges that the Panel failed to properly consider the fact that CU Technical Regulation 001/2011, identified by Ukraine as an element of </w:t>
      </w:r>
      <w:r w:rsidR="00C8621C" w:rsidRPr="006B2F21">
        <w:rPr>
          <w:szCs w:val="18"/>
        </w:rPr>
        <w:t xml:space="preserve">the third </w:t>
      </w:r>
      <w:r w:rsidRPr="006B2F21">
        <w:rPr>
          <w:szCs w:val="18"/>
        </w:rPr>
        <w:t>measure, is a complex legal instrument, and that therefore Ukraine was required to specify particular parts that it wished to challenge before the Panel.</w:t>
      </w:r>
      <w:r w:rsidRPr="006B2F21">
        <w:rPr>
          <w:rStyle w:val="FootnoteReference"/>
          <w:szCs w:val="18"/>
        </w:rPr>
        <w:footnoteReference w:id="137"/>
      </w:r>
      <w:r w:rsidRPr="006B2F21">
        <w:rPr>
          <w:szCs w:val="18"/>
        </w:rPr>
        <w:t xml:space="preserve"> In support of this argument, Russia submits that the panel in </w:t>
      </w:r>
      <w:r w:rsidRPr="006B2F21">
        <w:rPr>
          <w:i/>
          <w:szCs w:val="18"/>
        </w:rPr>
        <w:t>Australia – Apples</w:t>
      </w:r>
      <w:r w:rsidRPr="006B2F21">
        <w:rPr>
          <w:szCs w:val="18"/>
        </w:rPr>
        <w:t xml:space="preserve"> found that whenever a complex and lengthy document is challenged, a panel request shall duly contain a reference to particular parts, sections, or issues to enable a respondent to understand the problem clearly. </w:t>
      </w:r>
    </w:p>
    <w:p w14:paraId="31241BC6" w14:textId="3A7FD93D" w:rsidR="00AB41A7" w:rsidRPr="006B2F21" w:rsidRDefault="00AB41A7" w:rsidP="006B2F21">
      <w:pPr>
        <w:pStyle w:val="BodyText"/>
        <w:numPr>
          <w:ilvl w:val="6"/>
          <w:numId w:val="1"/>
        </w:numPr>
        <w:rPr>
          <w:szCs w:val="18"/>
        </w:rPr>
      </w:pPr>
      <w:r w:rsidRPr="006B2F21">
        <w:rPr>
          <w:szCs w:val="18"/>
        </w:rPr>
        <w:t>We note that the Panel assessed Ukraine's panel request</w:t>
      </w:r>
      <w:r w:rsidR="007F4E52" w:rsidRPr="006B2F21">
        <w:rPr>
          <w:szCs w:val="18"/>
        </w:rPr>
        <w:t>,</w:t>
      </w:r>
      <w:r w:rsidRPr="006B2F21">
        <w:rPr>
          <w:szCs w:val="18"/>
        </w:rPr>
        <w:t xml:space="preserve"> taking account of the findings by the panel in </w:t>
      </w:r>
      <w:r w:rsidRPr="006B2F21">
        <w:rPr>
          <w:i/>
          <w:szCs w:val="18"/>
        </w:rPr>
        <w:t>Australia – Apples</w:t>
      </w:r>
      <w:r w:rsidRPr="006B2F21">
        <w:rPr>
          <w:szCs w:val="18"/>
        </w:rPr>
        <w:t xml:space="preserve">. The Panel noted that New Zealand's panel request contained a broad reference to the measures as specified in the </w:t>
      </w:r>
      <w:bookmarkStart w:id="90" w:name="_Hlk26874307"/>
      <w:r w:rsidR="004467B9" w:rsidRPr="006B2F21">
        <w:rPr>
          <w:szCs w:val="18"/>
        </w:rPr>
        <w:t>f</w:t>
      </w:r>
      <w:r w:rsidRPr="006B2F21">
        <w:rPr>
          <w:szCs w:val="18"/>
        </w:rPr>
        <w:t xml:space="preserve">inal import risk analysis report for apples from New Zealand of November 2006 (FIRA) </w:t>
      </w:r>
      <w:bookmarkEnd w:id="90"/>
      <w:r w:rsidRPr="006B2F21">
        <w:rPr>
          <w:szCs w:val="18"/>
        </w:rPr>
        <w:t>and then a list of 17 specific measures listed in the FIRA.</w:t>
      </w:r>
      <w:r w:rsidRPr="006B2F21">
        <w:rPr>
          <w:rStyle w:val="FootnoteReference"/>
          <w:szCs w:val="18"/>
        </w:rPr>
        <w:footnoteReference w:id="138"/>
      </w:r>
      <w:r w:rsidRPr="006B2F21">
        <w:rPr>
          <w:szCs w:val="18"/>
        </w:rPr>
        <w:t xml:space="preserve"> The identification of the 17 items </w:t>
      </w:r>
      <w:r w:rsidR="00151192" w:rsidRPr="006B2F21">
        <w:rPr>
          <w:szCs w:val="18"/>
        </w:rPr>
        <w:t>in</w:t>
      </w:r>
      <w:r w:rsidRPr="006B2F21">
        <w:rPr>
          <w:szCs w:val="18"/>
        </w:rPr>
        <w:t xml:space="preserve"> the FIRA was found to be sufficiently precise in identifying the specific measures at issue, pursuant to Article 6.2 of the DSU.</w:t>
      </w:r>
      <w:r w:rsidRPr="006B2F21">
        <w:rPr>
          <w:rStyle w:val="FootnoteReference"/>
          <w:szCs w:val="18"/>
        </w:rPr>
        <w:footnoteReference w:id="139"/>
      </w:r>
      <w:r w:rsidRPr="006B2F21">
        <w:rPr>
          <w:szCs w:val="18"/>
        </w:rPr>
        <w:t xml:space="preserve"> However, the panel in </w:t>
      </w:r>
      <w:r w:rsidRPr="006B2F21">
        <w:rPr>
          <w:i/>
          <w:szCs w:val="18"/>
        </w:rPr>
        <w:t>Australia</w:t>
      </w:r>
      <w:r w:rsidR="007D4585">
        <w:rPr>
          <w:i/>
          <w:szCs w:val="18"/>
        </w:rPr>
        <w:t> </w:t>
      </w:r>
      <w:r w:rsidRPr="006B2F21">
        <w:rPr>
          <w:i/>
          <w:szCs w:val="18"/>
        </w:rPr>
        <w:t>–</w:t>
      </w:r>
      <w:r w:rsidR="007D4585">
        <w:rPr>
          <w:i/>
          <w:szCs w:val="18"/>
        </w:rPr>
        <w:t> </w:t>
      </w:r>
      <w:r w:rsidRPr="006B2F21">
        <w:rPr>
          <w:i/>
          <w:szCs w:val="18"/>
        </w:rPr>
        <w:t>Apples</w:t>
      </w:r>
      <w:r w:rsidRPr="006B2F21">
        <w:rPr>
          <w:szCs w:val="18"/>
        </w:rPr>
        <w:t xml:space="preserve"> also found that, given </w:t>
      </w:r>
      <w:r w:rsidR="003A7C53" w:rsidRPr="006B2F21">
        <w:rPr>
          <w:szCs w:val="18"/>
        </w:rPr>
        <w:t xml:space="preserve">the </w:t>
      </w:r>
      <w:r w:rsidRPr="006B2F21">
        <w:rPr>
          <w:szCs w:val="18"/>
        </w:rPr>
        <w:t>length and complexity of the FIRA, a broad reference to it was insufficient as identification of a measure at issue in the sense of Article 6.2 of the DSU.</w:t>
      </w:r>
      <w:r w:rsidRPr="006B2F21">
        <w:rPr>
          <w:rStyle w:val="FootnoteReference"/>
          <w:szCs w:val="18"/>
        </w:rPr>
        <w:footnoteReference w:id="140"/>
      </w:r>
    </w:p>
    <w:p w14:paraId="514A3C7E" w14:textId="2267A2D7" w:rsidR="00AB41A7" w:rsidRPr="006B2F21" w:rsidRDefault="00AB41A7" w:rsidP="006B2F21">
      <w:pPr>
        <w:pStyle w:val="BodyText"/>
        <w:numPr>
          <w:ilvl w:val="6"/>
          <w:numId w:val="1"/>
        </w:numPr>
        <w:rPr>
          <w:szCs w:val="18"/>
        </w:rPr>
      </w:pPr>
      <w:r w:rsidRPr="006B2F21">
        <w:rPr>
          <w:szCs w:val="18"/>
        </w:rPr>
        <w:t xml:space="preserve">In its analysis, the Panel noted significant differences between Ukraine's panel request in the present dispute and New Zealand's panel request in </w:t>
      </w:r>
      <w:r w:rsidRPr="006B2F21">
        <w:rPr>
          <w:i/>
          <w:szCs w:val="18"/>
        </w:rPr>
        <w:t>Australia – Apples</w:t>
      </w:r>
      <w:r w:rsidRPr="006B2F21">
        <w:rPr>
          <w:szCs w:val="18"/>
        </w:rPr>
        <w:t xml:space="preserve">. The Panel noted that Ukraine's panel request identifies the measure at issue in different parts of section II, and that it does so with sufficient clarity to allow a reader to discern that the measure is the alleged requirement that Russia's authorities must not recognize certificates issued in other CU countries if the certified products were not produced in a CU country. The Panel further explained that Ukraine's references </w:t>
      </w:r>
      <w:r w:rsidRPr="006B2F21">
        <w:rPr>
          <w:szCs w:val="18"/>
        </w:rPr>
        <w:lastRenderedPageBreak/>
        <w:t xml:space="preserve">to CU Technical Regulation 001/2011 and the Protocol of the </w:t>
      </w:r>
      <w:r w:rsidR="004D48A1" w:rsidRPr="006B2F21">
        <w:rPr>
          <w:szCs w:val="18"/>
        </w:rPr>
        <w:t>MOT</w:t>
      </w:r>
      <w:r w:rsidRPr="006B2F21">
        <w:rPr>
          <w:szCs w:val="18"/>
        </w:rPr>
        <w:t xml:space="preserve"> in certain parts of the panel request seemed intended to signal the legal instruments from which the challenged measure flows. In contrast, in </w:t>
      </w:r>
      <w:r w:rsidRPr="006B2F21">
        <w:rPr>
          <w:i/>
          <w:szCs w:val="18"/>
        </w:rPr>
        <w:t>Australia – Apples</w:t>
      </w:r>
      <w:r w:rsidRPr="006B2F21">
        <w:rPr>
          <w:szCs w:val="18"/>
        </w:rPr>
        <w:t>, New Zealand attempted to describe the measure at issue as the FIRA, a complex and lengthy legal instrument.</w:t>
      </w:r>
      <w:r w:rsidRPr="006B2F21">
        <w:rPr>
          <w:rStyle w:val="FootnoteReference"/>
          <w:szCs w:val="18"/>
        </w:rPr>
        <w:footnoteReference w:id="141"/>
      </w:r>
    </w:p>
    <w:p w14:paraId="7F67545E" w14:textId="49B153EC" w:rsidR="00883E4E" w:rsidRPr="006B2F21" w:rsidRDefault="00AB41A7" w:rsidP="006B2F21">
      <w:pPr>
        <w:pStyle w:val="BodyText"/>
        <w:numPr>
          <w:ilvl w:val="6"/>
          <w:numId w:val="1"/>
        </w:numPr>
        <w:rPr>
          <w:szCs w:val="18"/>
        </w:rPr>
      </w:pPr>
      <w:r w:rsidRPr="006B2F21">
        <w:rPr>
          <w:szCs w:val="18"/>
        </w:rPr>
        <w:t xml:space="preserve">Accordingly, the Panel did engage with Russia's argument relying on the findings of the panel in </w:t>
      </w:r>
      <w:r w:rsidRPr="006B2F21">
        <w:rPr>
          <w:i/>
          <w:szCs w:val="18"/>
        </w:rPr>
        <w:t>Australia – Apples</w:t>
      </w:r>
      <w:r w:rsidRPr="006B2F21">
        <w:rPr>
          <w:szCs w:val="18"/>
        </w:rPr>
        <w:t xml:space="preserve">. Ultimately, the Panel concluded that the features of the present panel request of Ukraine were different from those of the panel request in </w:t>
      </w:r>
      <w:r w:rsidRPr="006B2F21">
        <w:rPr>
          <w:i/>
          <w:szCs w:val="18"/>
        </w:rPr>
        <w:t>Australia</w:t>
      </w:r>
      <w:r w:rsidR="00C022BB" w:rsidRPr="006B2F21">
        <w:rPr>
          <w:i/>
          <w:szCs w:val="18"/>
        </w:rPr>
        <w:t> </w:t>
      </w:r>
      <w:r w:rsidRPr="006B2F21">
        <w:rPr>
          <w:i/>
          <w:szCs w:val="18"/>
        </w:rPr>
        <w:t>– Apples</w:t>
      </w:r>
      <w:r w:rsidRPr="006B2F21">
        <w:rPr>
          <w:szCs w:val="18"/>
        </w:rPr>
        <w:t xml:space="preserve">. Rather than demonstrating an error in the Panel's application of Article 6.2 of the DSU, Russia disagrees with the reasons given by the Panel for rejecting Russia's argument regarding certain parallels between the panel request at issue and the panel request in </w:t>
      </w:r>
      <w:r w:rsidRPr="006B2F21">
        <w:rPr>
          <w:i/>
          <w:szCs w:val="18"/>
        </w:rPr>
        <w:t>Australia – Apples</w:t>
      </w:r>
      <w:r w:rsidRPr="006B2F21">
        <w:rPr>
          <w:szCs w:val="18"/>
        </w:rPr>
        <w:t>.</w:t>
      </w:r>
      <w:r w:rsidRPr="006B2F21">
        <w:rPr>
          <w:i/>
          <w:szCs w:val="18"/>
        </w:rPr>
        <w:t xml:space="preserve"> </w:t>
      </w:r>
    </w:p>
    <w:p w14:paraId="3409EA11" w14:textId="6D941315" w:rsidR="00883E4E" w:rsidRPr="006B2F21" w:rsidRDefault="00883E4E" w:rsidP="006B2F21">
      <w:pPr>
        <w:pStyle w:val="Heading3"/>
        <w:rPr>
          <w:szCs w:val="18"/>
        </w:rPr>
      </w:pPr>
      <w:bookmarkStart w:id="91" w:name="_Toc31380985"/>
      <w:r w:rsidRPr="006B2F21">
        <w:rPr>
          <w:szCs w:val="18"/>
        </w:rPr>
        <w:t>Conclusion</w:t>
      </w:r>
      <w:bookmarkEnd w:id="91"/>
    </w:p>
    <w:p w14:paraId="10A387FA" w14:textId="647B2AA2" w:rsidR="00AB41A7" w:rsidRPr="006B2F21" w:rsidRDefault="001864D8" w:rsidP="006B2F21">
      <w:pPr>
        <w:pStyle w:val="BodyText"/>
        <w:numPr>
          <w:ilvl w:val="6"/>
          <w:numId w:val="1"/>
        </w:numPr>
        <w:rPr>
          <w:szCs w:val="18"/>
        </w:rPr>
      </w:pPr>
      <w:r w:rsidRPr="006B2F21">
        <w:rPr>
          <w:szCs w:val="18"/>
        </w:rPr>
        <w:t xml:space="preserve">Russia has not established that the Panel erred in determining the scope of its terms of reference in this dispute. We therefore </w:t>
      </w:r>
      <w:r w:rsidRPr="006B2F21">
        <w:rPr>
          <w:szCs w:val="18"/>
          <w:u w:val="single"/>
        </w:rPr>
        <w:t>uphold</w:t>
      </w:r>
      <w:r w:rsidRPr="006B2F21">
        <w:rPr>
          <w:szCs w:val="18"/>
        </w:rPr>
        <w:t xml:space="preserve"> the Panel's finding</w:t>
      </w:r>
      <w:r w:rsidR="00747DD5" w:rsidRPr="006B2F21">
        <w:rPr>
          <w:szCs w:val="18"/>
        </w:rPr>
        <w:t>,</w:t>
      </w:r>
      <w:r w:rsidRPr="006B2F21">
        <w:rPr>
          <w:szCs w:val="18"/>
        </w:rPr>
        <w:t xml:space="preserve"> in paragraphs 8.1.a.i, 8.1.d.iv, and 8.1.d.v of the Panel</w:t>
      </w:r>
      <w:r w:rsidR="007D1FEF" w:rsidRPr="006B2F21">
        <w:rPr>
          <w:szCs w:val="18"/>
        </w:rPr>
        <w:t> Report</w:t>
      </w:r>
      <w:r w:rsidR="00747DD5" w:rsidRPr="006B2F21">
        <w:rPr>
          <w:szCs w:val="18"/>
        </w:rPr>
        <w:t>,</w:t>
      </w:r>
      <w:r w:rsidRPr="006B2F21">
        <w:rPr>
          <w:szCs w:val="18"/>
        </w:rPr>
        <w:t xml:space="preserve"> that Russia has failed to establish that Ukraine's panel request is inconsistent with Article 6.2 of the DSU. </w:t>
      </w:r>
    </w:p>
    <w:p w14:paraId="6CA449C0" w14:textId="77777777" w:rsidR="00632EC6" w:rsidRPr="006B2F21" w:rsidRDefault="00632EC6" w:rsidP="006B2F21">
      <w:pPr>
        <w:pStyle w:val="Heading2"/>
        <w:numPr>
          <w:ilvl w:val="1"/>
          <w:numId w:val="1"/>
        </w:numPr>
        <w:rPr>
          <w:szCs w:val="18"/>
        </w:rPr>
      </w:pPr>
      <w:bookmarkStart w:id="92" w:name="_Toc31380986"/>
      <w:bookmarkStart w:id="93" w:name="_Hlk19710571"/>
      <w:r w:rsidRPr="006B2F21">
        <w:rPr>
          <w:szCs w:val="18"/>
        </w:rPr>
        <w:t xml:space="preserve">Russia's </w:t>
      </w:r>
      <w:r w:rsidR="008115D1" w:rsidRPr="006B2F21">
        <w:rPr>
          <w:szCs w:val="18"/>
        </w:rPr>
        <w:t>claims</w:t>
      </w:r>
      <w:r w:rsidRPr="006B2F21">
        <w:rPr>
          <w:szCs w:val="18"/>
        </w:rPr>
        <w:t xml:space="preserve"> concerning the Panel's findings relating to the third measure</w:t>
      </w:r>
      <w:bookmarkEnd w:id="92"/>
    </w:p>
    <w:bookmarkEnd w:id="93"/>
    <w:p w14:paraId="75AE32F9" w14:textId="28A31237" w:rsidR="00632EC6" w:rsidRPr="006B2F21" w:rsidRDefault="00632EC6" w:rsidP="006B2F21">
      <w:pPr>
        <w:pStyle w:val="BodyText"/>
        <w:numPr>
          <w:ilvl w:val="6"/>
          <w:numId w:val="1"/>
        </w:numPr>
        <w:rPr>
          <w:szCs w:val="18"/>
        </w:rPr>
      </w:pPr>
      <w:r w:rsidRPr="006B2F21">
        <w:rPr>
          <w:szCs w:val="18"/>
        </w:rPr>
        <w:t>On appeal, Russia makes four claims regarding the Panel's findings relating to the third measure. First, Russia claims that the Panel erred under Articles 6.2, 7.1, and 11 of the DSU in finding that the third measure as described by the Panel was within its terms of reference.</w:t>
      </w:r>
      <w:r w:rsidRPr="006B2F21">
        <w:rPr>
          <w:rStyle w:val="FootnoteReference"/>
          <w:szCs w:val="18"/>
        </w:rPr>
        <w:footnoteReference w:id="142"/>
      </w:r>
      <w:r w:rsidRPr="006B2F21">
        <w:rPr>
          <w:szCs w:val="18"/>
        </w:rPr>
        <w:t xml:space="preserve"> Second, Russia claims that the Panel erred under Article 11 of the DSU by making findings regarding the alleged local registration condition after it had found that aspect as it relates to the third measure to be outside its terms of reference.</w:t>
      </w:r>
      <w:r w:rsidRPr="006B2F21">
        <w:rPr>
          <w:rStyle w:val="FootnoteReference"/>
          <w:szCs w:val="18"/>
        </w:rPr>
        <w:footnoteReference w:id="143"/>
      </w:r>
      <w:r w:rsidRPr="006B2F21">
        <w:rPr>
          <w:szCs w:val="18"/>
        </w:rPr>
        <w:t xml:space="preserve"> Third, Russia claims that the Panel erred under Article 11 of the DSU by relieving Ukraine from "the necessity of establishing a </w:t>
      </w:r>
      <w:r w:rsidRPr="006B2F21">
        <w:rPr>
          <w:i/>
          <w:szCs w:val="18"/>
        </w:rPr>
        <w:t>prima facie</w:t>
      </w:r>
      <w:r w:rsidRPr="006B2F21">
        <w:rPr>
          <w:szCs w:val="18"/>
        </w:rPr>
        <w:t xml:space="preserve"> case" with respect to the existence of the third measure as a single measure capable of being challenged under the DSU.</w:t>
      </w:r>
      <w:r w:rsidRPr="006B2F21">
        <w:rPr>
          <w:rStyle w:val="FootnoteReference"/>
          <w:szCs w:val="18"/>
        </w:rPr>
        <w:footnoteReference w:id="144"/>
      </w:r>
      <w:r w:rsidRPr="006B2F21">
        <w:rPr>
          <w:szCs w:val="18"/>
        </w:rPr>
        <w:t xml:space="preserve"> Lastly, Russia claims that the Panel erred under Article 11 of the DSU in finding that the third measure is of a "general" character and "flows from" CU Technical Regulation 001/2011, and that the third measure had been demonstrated to exist.</w:t>
      </w:r>
      <w:r w:rsidRPr="006B2F21">
        <w:rPr>
          <w:rStyle w:val="FootnoteReference"/>
          <w:szCs w:val="18"/>
        </w:rPr>
        <w:footnoteReference w:id="145"/>
      </w:r>
    </w:p>
    <w:p w14:paraId="36E66DC6" w14:textId="6CE640F4" w:rsidR="00632EC6" w:rsidRPr="006B2F21" w:rsidRDefault="00632EC6" w:rsidP="006B2F21">
      <w:pPr>
        <w:pStyle w:val="BodyText"/>
        <w:numPr>
          <w:ilvl w:val="6"/>
          <w:numId w:val="1"/>
        </w:numPr>
        <w:rPr>
          <w:szCs w:val="18"/>
        </w:rPr>
      </w:pPr>
      <w:r w:rsidRPr="006B2F21">
        <w:rPr>
          <w:szCs w:val="18"/>
        </w:rPr>
        <w:t>We begin with a summary of the relevant findings by the Panel, and Russia</w:t>
      </w:r>
      <w:r w:rsidR="00651CB4" w:rsidRPr="006B2F21">
        <w:rPr>
          <w:szCs w:val="18"/>
        </w:rPr>
        <w:t>'s</w:t>
      </w:r>
      <w:r w:rsidRPr="006B2F21">
        <w:rPr>
          <w:szCs w:val="18"/>
        </w:rPr>
        <w:t xml:space="preserve"> and Ukraine's arguments on appeal. We then proceed to assess Russia's claims concerning the Panel's findings relating to the third measure.</w:t>
      </w:r>
    </w:p>
    <w:p w14:paraId="410E0D63" w14:textId="77777777" w:rsidR="00632EC6" w:rsidRPr="006B2F21" w:rsidRDefault="00632EC6" w:rsidP="006B2F21">
      <w:pPr>
        <w:pStyle w:val="Heading3"/>
        <w:numPr>
          <w:ilvl w:val="2"/>
          <w:numId w:val="24"/>
        </w:numPr>
        <w:rPr>
          <w:szCs w:val="18"/>
        </w:rPr>
      </w:pPr>
      <w:bookmarkStart w:id="94" w:name="_Toc406509611"/>
      <w:bookmarkStart w:id="95" w:name="_Toc406511297"/>
      <w:bookmarkStart w:id="96" w:name="_Toc406511759"/>
      <w:bookmarkStart w:id="97" w:name="_Toc406511882"/>
      <w:bookmarkStart w:id="98" w:name="_Toc408585773"/>
      <w:bookmarkStart w:id="99" w:name="_Toc408839179"/>
      <w:bookmarkStart w:id="100" w:name="_Toc408925238"/>
      <w:bookmarkStart w:id="101" w:name="_Toc408932449"/>
      <w:bookmarkStart w:id="102" w:name="_Toc408936294"/>
      <w:bookmarkStart w:id="103" w:name="_Toc409006740"/>
      <w:bookmarkStart w:id="104" w:name="_Toc409007101"/>
      <w:bookmarkStart w:id="105" w:name="_Toc409032082"/>
      <w:bookmarkStart w:id="106" w:name="_Toc409079385"/>
      <w:bookmarkStart w:id="107" w:name="_Toc459822309"/>
      <w:bookmarkStart w:id="108" w:name="_Toc462392153"/>
      <w:bookmarkStart w:id="109" w:name="_Toc8043526"/>
      <w:bookmarkStart w:id="110" w:name="_Toc11418007"/>
      <w:bookmarkStart w:id="111" w:name="_Toc11418048"/>
      <w:bookmarkStart w:id="112" w:name="_Toc11421236"/>
      <w:bookmarkStart w:id="113" w:name="_Toc31380987"/>
      <w:bookmarkStart w:id="114" w:name="_Hlk19710574"/>
      <w:r w:rsidRPr="006B2F21">
        <w:rPr>
          <w:szCs w:val="18"/>
        </w:rPr>
        <w:t>The Panel's findings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bookmarkEnd w:id="114"/>
    <w:p w14:paraId="53245B3E" w14:textId="657C7DA7" w:rsidR="00632EC6" w:rsidRPr="006B2F21" w:rsidRDefault="00632EC6" w:rsidP="006B2F21">
      <w:pPr>
        <w:pStyle w:val="BodyText"/>
        <w:numPr>
          <w:ilvl w:val="6"/>
          <w:numId w:val="1"/>
        </w:numPr>
        <w:rPr>
          <w:szCs w:val="18"/>
          <w:lang w:eastAsia="ko-KR"/>
        </w:rPr>
      </w:pPr>
      <w:r w:rsidRPr="006B2F21">
        <w:rPr>
          <w:szCs w:val="18"/>
        </w:rPr>
        <w:t>Before the Panel, Ukraine challenged the decision by the Russian authorities not to recognize in its territory the validity of certificates issued to producers of Ukrainian railway products in other CU countries as a measure that the Panel referred to as the third measure.</w:t>
      </w:r>
      <w:r w:rsidRPr="006B2F21">
        <w:rPr>
          <w:rStyle w:val="FootnoteReference"/>
          <w:szCs w:val="18"/>
        </w:rPr>
        <w:footnoteReference w:id="146"/>
      </w:r>
      <w:r w:rsidRPr="006B2F21">
        <w:rPr>
          <w:szCs w:val="18"/>
        </w:rPr>
        <w:t xml:space="preserve"> As evidence establishing the existence of this measure, Ukraine submitted to the Panel certain letters issued by the Russian Federal Agency for Railway Transport (ART) as follows</w:t>
      </w:r>
      <w:r w:rsidRPr="006B2F21">
        <w:rPr>
          <w:rStyle w:val="FootnoteReference"/>
          <w:szCs w:val="18"/>
        </w:rPr>
        <w:footnoteReference w:id="147"/>
      </w:r>
      <w:r w:rsidRPr="006B2F21">
        <w:rPr>
          <w:szCs w:val="18"/>
        </w:rPr>
        <w:t>: (i)</w:t>
      </w:r>
      <w:r w:rsidR="00CE542E" w:rsidRPr="006B2F21">
        <w:rPr>
          <w:szCs w:val="18"/>
        </w:rPr>
        <w:t> </w:t>
      </w:r>
      <w:r w:rsidRPr="006B2F21">
        <w:rPr>
          <w:szCs w:val="18"/>
        </w:rPr>
        <w:t>the January 2015 letter, to which Protocol </w:t>
      </w:r>
      <w:r w:rsidR="00151192" w:rsidRPr="006B2F21">
        <w:rPr>
          <w:szCs w:val="18"/>
        </w:rPr>
        <w:t xml:space="preserve">No. </w:t>
      </w:r>
      <w:r w:rsidRPr="006B2F21">
        <w:rPr>
          <w:szCs w:val="18"/>
        </w:rPr>
        <w:t>A 4</w:t>
      </w:r>
      <w:r w:rsidR="00B24926" w:rsidRPr="006B2F21">
        <w:rPr>
          <w:szCs w:val="18"/>
        </w:rPr>
        <w:noBreakHyphen/>
      </w:r>
      <w:r w:rsidRPr="006B2F21">
        <w:rPr>
          <w:szCs w:val="18"/>
        </w:rPr>
        <w:t>3 of the MOT was attached (the January 2015 letter); (ii) the letter sent on 4 February 2016 (the February 2016 letter); and (iii)</w:t>
      </w:r>
      <w:r w:rsidR="00CE542E" w:rsidRPr="006B2F21">
        <w:rPr>
          <w:szCs w:val="18"/>
        </w:rPr>
        <w:t> </w:t>
      </w:r>
      <w:r w:rsidRPr="006B2F21">
        <w:rPr>
          <w:szCs w:val="18"/>
        </w:rPr>
        <w:t xml:space="preserve">the letter of 10 August 2016 (the </w:t>
      </w:r>
      <w:r w:rsidRPr="006B2F21">
        <w:rPr>
          <w:szCs w:val="18"/>
        </w:rPr>
        <w:lastRenderedPageBreak/>
        <w:t>August 2016 letter).</w:t>
      </w:r>
      <w:r w:rsidRPr="006B2F21">
        <w:rPr>
          <w:rStyle w:val="FootnoteReference"/>
          <w:szCs w:val="18"/>
        </w:rPr>
        <w:footnoteReference w:id="148"/>
      </w:r>
      <w:r w:rsidRPr="006B2F21">
        <w:rPr>
          <w:szCs w:val="18"/>
        </w:rPr>
        <w:t xml:space="preserve"> Based on these letters, Ukraine argued before the Panel that the decision not to recognize the validity of certificates issued to Ukrainian producers in other countries was based on the relevant Russian authorities' interpretation of CU Technical Regulation 001/2011.</w:t>
      </w:r>
      <w:r w:rsidRPr="006B2F21">
        <w:rPr>
          <w:rStyle w:val="FootnoteReference"/>
          <w:szCs w:val="18"/>
        </w:rPr>
        <w:footnoteReference w:id="149"/>
      </w:r>
      <w:r w:rsidRPr="006B2F21">
        <w:rPr>
          <w:szCs w:val="18"/>
        </w:rPr>
        <w:t xml:space="preserve"> Specifically, Ukraine argued that the relevant Russian authorities interpreted CU Technical Regulation</w:t>
      </w:r>
      <w:r w:rsidR="00FB1298" w:rsidRPr="006B2F21">
        <w:rPr>
          <w:szCs w:val="18"/>
        </w:rPr>
        <w:t> </w:t>
      </w:r>
      <w:r w:rsidRPr="006B2F21">
        <w:rPr>
          <w:szCs w:val="18"/>
        </w:rPr>
        <w:t>001/2011 as setting out the following two requirements: (i)</w:t>
      </w:r>
      <w:r w:rsidR="00CE542E" w:rsidRPr="006B2F21">
        <w:rPr>
          <w:szCs w:val="18"/>
        </w:rPr>
        <w:t> </w:t>
      </w:r>
      <w:r w:rsidRPr="006B2F21">
        <w:rPr>
          <w:szCs w:val="18"/>
        </w:rPr>
        <w:t>the requirement that only products manufactured in the territory of the CU may be subject to certification under CU Technical Regulation 001/2011 (the local production condition); and (ii)</w:t>
      </w:r>
      <w:r w:rsidR="00CE542E" w:rsidRPr="006B2F21">
        <w:rPr>
          <w:szCs w:val="18"/>
        </w:rPr>
        <w:t> </w:t>
      </w:r>
      <w:r w:rsidRPr="006B2F21">
        <w:rPr>
          <w:szCs w:val="18"/>
        </w:rPr>
        <w:t>the requirement that only entities registered in the same country as the relevant certification body can apply for certification (the local registration condition).</w:t>
      </w:r>
      <w:r w:rsidRPr="006B2F21">
        <w:rPr>
          <w:rStyle w:val="FootnoteReference"/>
          <w:szCs w:val="18"/>
        </w:rPr>
        <w:footnoteReference w:id="150"/>
      </w:r>
    </w:p>
    <w:p w14:paraId="34CD2FEB" w14:textId="025499A5" w:rsidR="00632EC6" w:rsidRPr="006B2F21" w:rsidRDefault="00632EC6" w:rsidP="006B2F21">
      <w:pPr>
        <w:pStyle w:val="BodyText"/>
        <w:numPr>
          <w:ilvl w:val="6"/>
          <w:numId w:val="1"/>
        </w:numPr>
        <w:rPr>
          <w:szCs w:val="18"/>
        </w:rPr>
      </w:pPr>
      <w:r w:rsidRPr="006B2F21">
        <w:rPr>
          <w:szCs w:val="18"/>
        </w:rPr>
        <w:t xml:space="preserve">In response, Russia submitted </w:t>
      </w:r>
      <w:r w:rsidR="00151192" w:rsidRPr="006B2F21">
        <w:rPr>
          <w:szCs w:val="18"/>
        </w:rPr>
        <w:t xml:space="preserve">that </w:t>
      </w:r>
      <w:r w:rsidR="00E055B6" w:rsidRPr="006B2F21">
        <w:rPr>
          <w:szCs w:val="18"/>
        </w:rPr>
        <w:t xml:space="preserve">what </w:t>
      </w:r>
      <w:r w:rsidRPr="006B2F21">
        <w:rPr>
          <w:szCs w:val="18"/>
        </w:rPr>
        <w:t xml:space="preserve">the panel request </w:t>
      </w:r>
      <w:r w:rsidR="00E055B6" w:rsidRPr="006B2F21">
        <w:rPr>
          <w:szCs w:val="18"/>
        </w:rPr>
        <w:t xml:space="preserve">identified </w:t>
      </w:r>
      <w:r w:rsidRPr="006B2F21">
        <w:rPr>
          <w:szCs w:val="18"/>
        </w:rPr>
        <w:t>as the third measure was CU Technical Regulation 001/2011, rather than the decision not to recognize the validity of certificates issued to Ukrainian producers in other countries.</w:t>
      </w:r>
      <w:r w:rsidRPr="006B2F21">
        <w:rPr>
          <w:rStyle w:val="FootnoteReference"/>
          <w:szCs w:val="18"/>
        </w:rPr>
        <w:footnoteReference w:id="151"/>
      </w:r>
      <w:r w:rsidRPr="006B2F21">
        <w:rPr>
          <w:szCs w:val="18"/>
        </w:rPr>
        <w:t xml:space="preserve"> Thus, Russia argued before the Panel that the third measure challenged by Ukraine in its first written submission </w:t>
      </w:r>
      <w:r w:rsidR="00A0240F" w:rsidRPr="006B2F21">
        <w:rPr>
          <w:szCs w:val="18"/>
        </w:rPr>
        <w:t xml:space="preserve">to the Panel </w:t>
      </w:r>
      <w:r w:rsidRPr="006B2F21">
        <w:rPr>
          <w:szCs w:val="18"/>
        </w:rPr>
        <w:t>was "different from the measure identified in [Ukraine's] panel request" and that it was therefore outside the Panel's terms of reference.</w:t>
      </w:r>
      <w:r w:rsidRPr="006B2F21">
        <w:rPr>
          <w:rStyle w:val="FootnoteReference"/>
          <w:szCs w:val="18"/>
        </w:rPr>
        <w:footnoteReference w:id="152"/>
      </w:r>
      <w:r w:rsidRPr="006B2F21">
        <w:rPr>
          <w:szCs w:val="18"/>
        </w:rPr>
        <w:t xml:space="preserve"> On this basis, Russia also contended that its due process right to know what case it has to defend had been prejudiced.</w:t>
      </w:r>
      <w:r w:rsidRPr="006B2F21">
        <w:rPr>
          <w:rStyle w:val="FootnoteReference"/>
          <w:szCs w:val="18"/>
        </w:rPr>
        <w:footnoteReference w:id="153"/>
      </w:r>
    </w:p>
    <w:p w14:paraId="3EB40E68" w14:textId="6FC8C32C" w:rsidR="00632EC6" w:rsidRPr="006B2F21" w:rsidRDefault="00632EC6" w:rsidP="006B2F21">
      <w:pPr>
        <w:pStyle w:val="BodyText"/>
        <w:numPr>
          <w:ilvl w:val="6"/>
          <w:numId w:val="1"/>
        </w:numPr>
        <w:rPr>
          <w:szCs w:val="18"/>
          <w:lang w:eastAsia="en-US"/>
        </w:rPr>
      </w:pPr>
      <w:r w:rsidRPr="006B2F21">
        <w:rPr>
          <w:szCs w:val="18"/>
        </w:rPr>
        <w:t xml:space="preserve">The Panel considered </w:t>
      </w:r>
      <w:r w:rsidR="00A0240F" w:rsidRPr="006B2F21">
        <w:rPr>
          <w:szCs w:val="18"/>
        </w:rPr>
        <w:t xml:space="preserve">that </w:t>
      </w:r>
      <w:r w:rsidRPr="006B2F21">
        <w:rPr>
          <w:szCs w:val="18"/>
        </w:rPr>
        <w:t>the issue before it was whether the third measure as described in Ukraine's written submissions was "different from the measure that is identified in the panel request".</w:t>
      </w:r>
      <w:r w:rsidRPr="006B2F21">
        <w:rPr>
          <w:rStyle w:val="FootnoteReference"/>
          <w:szCs w:val="18"/>
        </w:rPr>
        <w:footnoteReference w:id="154"/>
      </w:r>
      <w:r w:rsidRPr="006B2F21">
        <w:rPr>
          <w:szCs w:val="18"/>
        </w:rPr>
        <w:t xml:space="preserve"> The Panel recalled that</w:t>
      </w:r>
      <w:r w:rsidR="00A0240F" w:rsidRPr="006B2F21">
        <w:rPr>
          <w:szCs w:val="18"/>
        </w:rPr>
        <w:t>,</w:t>
      </w:r>
      <w:r w:rsidRPr="006B2F21">
        <w:rPr>
          <w:szCs w:val="18"/>
        </w:rPr>
        <w:t xml:space="preserve"> in its preliminary ruling, it had already rejected Russia's claim that Ukraine had failed to identify the third measure with sufficient clarity in its panel request. The Panel noted that the third measure as described in Ukraine's panel request concerned "an alleged requirement that Russia's authorities consider to flow from CU Technical Regulation 001/2011".</w:t>
      </w:r>
      <w:r w:rsidRPr="006B2F21">
        <w:rPr>
          <w:rStyle w:val="FootnoteReference"/>
          <w:szCs w:val="18"/>
        </w:rPr>
        <w:footnoteReference w:id="155"/>
      </w:r>
      <w:r w:rsidRPr="006B2F21">
        <w:rPr>
          <w:szCs w:val="18"/>
        </w:rPr>
        <w:t xml:space="preserve"> Under this requirement, the Russian authorities must not recognize certificates issued to Ukrainian producers in other CU countries, unless the local production condition and the local registration condition are met. Concerning the local production condition, the Panel observed that the third narrative paragraph of Ukraine's panel request specifically identifies it as a basis for Ukraine's claim.</w:t>
      </w:r>
      <w:r w:rsidRPr="006B2F21">
        <w:rPr>
          <w:rStyle w:val="FootnoteReference"/>
          <w:szCs w:val="18"/>
        </w:rPr>
        <w:footnoteReference w:id="156"/>
      </w:r>
      <w:r w:rsidRPr="006B2F21">
        <w:rPr>
          <w:szCs w:val="18"/>
        </w:rPr>
        <w:t xml:space="preserve"> Accordingly, the Panel found it "clear … from the analysis of the panel request … that any challenge to the alleged requirement that Russia's authorities must not recognize certificates issued in other CU countries if the certified products were not produced in a CU country is within [the Panel's] terms of reference"</w:t>
      </w:r>
      <w:r w:rsidR="00313C19" w:rsidRPr="006B2F21">
        <w:rPr>
          <w:szCs w:val="18"/>
        </w:rPr>
        <w:t>.</w:t>
      </w:r>
      <w:r w:rsidRPr="006B2F21">
        <w:rPr>
          <w:rStyle w:val="FootnoteReference"/>
          <w:szCs w:val="18"/>
        </w:rPr>
        <w:footnoteReference w:id="157"/>
      </w:r>
      <w:r w:rsidRPr="006B2F21">
        <w:rPr>
          <w:szCs w:val="18"/>
        </w:rPr>
        <w:t xml:space="preserve"> However, the Panel noted that the local registration condition was not expressly mentioned in Ukraine's panel request.</w:t>
      </w:r>
      <w:r w:rsidRPr="006B2F21">
        <w:rPr>
          <w:rStyle w:val="FootnoteReference"/>
          <w:szCs w:val="18"/>
        </w:rPr>
        <w:footnoteReference w:id="158"/>
      </w:r>
      <w:r w:rsidRPr="006B2F21">
        <w:rPr>
          <w:szCs w:val="18"/>
        </w:rPr>
        <w:t xml:space="preserve"> The Panel took the view that the panel request does not give adequate notice to Russia and third parties about Ukraine's claim with respect to the local registration condition. Hence, the Panel concluded that Ukraine's claim concerning non</w:t>
      </w:r>
      <w:r w:rsidR="00B24926" w:rsidRPr="006B2F21">
        <w:rPr>
          <w:szCs w:val="18"/>
        </w:rPr>
        <w:noBreakHyphen/>
      </w:r>
      <w:r w:rsidRPr="006B2F21">
        <w:rPr>
          <w:szCs w:val="18"/>
        </w:rPr>
        <w:t>recognition resulting from a failure to meet the alleged local registration condition was not within the Panel's terms of reference.</w:t>
      </w:r>
      <w:r w:rsidRPr="006B2F21">
        <w:rPr>
          <w:rStyle w:val="FootnoteReference"/>
          <w:szCs w:val="18"/>
        </w:rPr>
        <w:footnoteReference w:id="159"/>
      </w:r>
    </w:p>
    <w:p w14:paraId="1C9982ED" w14:textId="4FE21E38" w:rsidR="00632EC6" w:rsidRPr="006B2F21" w:rsidRDefault="00632EC6" w:rsidP="006B2F21">
      <w:pPr>
        <w:pStyle w:val="BodyText"/>
        <w:numPr>
          <w:ilvl w:val="6"/>
          <w:numId w:val="1"/>
        </w:numPr>
        <w:rPr>
          <w:szCs w:val="18"/>
        </w:rPr>
      </w:pPr>
      <w:r w:rsidRPr="006B2F21">
        <w:rPr>
          <w:szCs w:val="18"/>
        </w:rPr>
        <w:t xml:space="preserve">The Panel then turned to the alleged difference </w:t>
      </w:r>
      <w:r w:rsidR="00A0240F" w:rsidRPr="006B2F21">
        <w:rPr>
          <w:szCs w:val="18"/>
        </w:rPr>
        <w:t xml:space="preserve">between </w:t>
      </w:r>
      <w:r w:rsidRPr="006B2F21">
        <w:rPr>
          <w:szCs w:val="18"/>
        </w:rPr>
        <w:t xml:space="preserve">the descriptions of the third measure </w:t>
      </w:r>
      <w:r w:rsidR="00A0240F" w:rsidRPr="006B2F21">
        <w:rPr>
          <w:szCs w:val="18"/>
        </w:rPr>
        <w:t xml:space="preserve">in </w:t>
      </w:r>
      <w:r w:rsidR="00646A52" w:rsidRPr="006B2F21">
        <w:rPr>
          <w:szCs w:val="18"/>
        </w:rPr>
        <w:t xml:space="preserve">Ukraine's </w:t>
      </w:r>
      <w:r w:rsidRPr="006B2F21">
        <w:rPr>
          <w:szCs w:val="18"/>
        </w:rPr>
        <w:t>panel request and</w:t>
      </w:r>
      <w:r w:rsidR="00A0240F" w:rsidRPr="006B2F21">
        <w:rPr>
          <w:szCs w:val="18"/>
        </w:rPr>
        <w:t xml:space="preserve"> in</w:t>
      </w:r>
      <w:r w:rsidRPr="006B2F21">
        <w:rPr>
          <w:szCs w:val="18"/>
        </w:rPr>
        <w:t xml:space="preserve"> </w:t>
      </w:r>
      <w:r w:rsidR="00646A52" w:rsidRPr="006B2F21">
        <w:rPr>
          <w:szCs w:val="18"/>
        </w:rPr>
        <w:t xml:space="preserve">its </w:t>
      </w:r>
      <w:r w:rsidRPr="006B2F21">
        <w:rPr>
          <w:szCs w:val="18"/>
        </w:rPr>
        <w:t xml:space="preserve">written submissions in the context of defining </w:t>
      </w:r>
      <w:r w:rsidR="00646A52" w:rsidRPr="006B2F21">
        <w:rPr>
          <w:szCs w:val="18"/>
        </w:rPr>
        <w:t>the Panel's</w:t>
      </w:r>
      <w:r w:rsidRPr="006B2F21">
        <w:rPr>
          <w:szCs w:val="18"/>
        </w:rPr>
        <w:t xml:space="preserve"> terms of reference. The Panel noted that the description of the third measure in Ukraine's written </w:t>
      </w:r>
      <w:r w:rsidRPr="006B2F21">
        <w:rPr>
          <w:szCs w:val="18"/>
        </w:rPr>
        <w:lastRenderedPageBreak/>
        <w:t xml:space="preserve">submissions </w:t>
      </w:r>
      <w:r w:rsidR="00A0240F" w:rsidRPr="006B2F21">
        <w:rPr>
          <w:szCs w:val="18"/>
        </w:rPr>
        <w:t xml:space="preserve">to the Panel </w:t>
      </w:r>
      <w:r w:rsidRPr="006B2F21">
        <w:rPr>
          <w:szCs w:val="18"/>
        </w:rPr>
        <w:t>was "somewhat different" from the description in the panel request.</w:t>
      </w:r>
      <w:r w:rsidRPr="006B2F21">
        <w:rPr>
          <w:rStyle w:val="FootnoteReference"/>
          <w:szCs w:val="18"/>
        </w:rPr>
        <w:footnoteReference w:id="160"/>
      </w:r>
      <w:r w:rsidRPr="006B2F21">
        <w:rPr>
          <w:szCs w:val="18"/>
        </w:rPr>
        <w:t xml:space="preserve"> However, the Panel considered that "what matters for purposes of [its] assessment of … the third measure is not so much what terms Ukraine has employed", but rather "whether Ukraine has demonstrated the existence of </w:t>
      </w:r>
      <w:r w:rsidR="00FE1381" w:rsidRPr="006B2F21">
        <w:rPr>
          <w:szCs w:val="18"/>
        </w:rPr>
        <w:t>the</w:t>
      </w:r>
      <w:r w:rsidRPr="006B2F21">
        <w:rPr>
          <w:szCs w:val="18"/>
        </w:rPr>
        <w:t xml:space="preserve"> measure that Ukraine has identified in the panel request".</w:t>
      </w:r>
      <w:r w:rsidRPr="006B2F21">
        <w:rPr>
          <w:rStyle w:val="FootnoteReference"/>
          <w:szCs w:val="18"/>
        </w:rPr>
        <w:footnoteReference w:id="161"/>
      </w:r>
      <w:r w:rsidRPr="006B2F21">
        <w:rPr>
          <w:szCs w:val="18"/>
        </w:rPr>
        <w:t xml:space="preserve"> In this regard, the Panel noted that the reference to Russia's decision regarding the meaning and scope of CU Technical Regulation 001/2011 in </w:t>
      </w:r>
      <w:r w:rsidR="00646A52" w:rsidRPr="006B2F21">
        <w:rPr>
          <w:szCs w:val="18"/>
        </w:rPr>
        <w:t xml:space="preserve">Ukraine's </w:t>
      </w:r>
      <w:r w:rsidRPr="006B2F21">
        <w:rPr>
          <w:szCs w:val="18"/>
        </w:rPr>
        <w:t>panel request indicates that the alleged non</w:t>
      </w:r>
      <w:r w:rsidR="00B24926" w:rsidRPr="006B2F21">
        <w:rPr>
          <w:szCs w:val="18"/>
        </w:rPr>
        <w:noBreakHyphen/>
      </w:r>
      <w:r w:rsidRPr="006B2F21">
        <w:rPr>
          <w:szCs w:val="18"/>
        </w:rPr>
        <w:t>recognition finds its basis in that regulation as interpreted by Russia. As such, the Panel understood the third measure in the panel request to mean "the alleged non</w:t>
      </w:r>
      <w:r w:rsidR="00B24926" w:rsidRPr="006B2F21">
        <w:rPr>
          <w:szCs w:val="18"/>
        </w:rPr>
        <w:noBreakHyphen/>
      </w:r>
      <w:r w:rsidRPr="006B2F21">
        <w:rPr>
          <w:szCs w:val="18"/>
        </w:rPr>
        <w:t xml:space="preserve">recognition requirement </w:t>
      </w:r>
      <w:r w:rsidRPr="006B2F21">
        <w:rPr>
          <w:i/>
          <w:szCs w:val="18"/>
        </w:rPr>
        <w:t xml:space="preserve">flowing from </w:t>
      </w:r>
      <w:r w:rsidRPr="006B2F21">
        <w:rPr>
          <w:szCs w:val="18"/>
        </w:rPr>
        <w:t>CU Technical Regulation 001/2011".</w:t>
      </w:r>
      <w:r w:rsidRPr="006B2F21">
        <w:rPr>
          <w:rStyle w:val="FootnoteReference"/>
          <w:szCs w:val="18"/>
        </w:rPr>
        <w:footnoteReference w:id="162"/>
      </w:r>
      <w:r w:rsidRPr="006B2F21">
        <w:rPr>
          <w:szCs w:val="18"/>
        </w:rPr>
        <w:t xml:space="preserve"> </w:t>
      </w:r>
    </w:p>
    <w:p w14:paraId="48407B17" w14:textId="0A8D4344" w:rsidR="00632EC6" w:rsidRPr="006B2F21" w:rsidRDefault="00632EC6" w:rsidP="006B2F21">
      <w:pPr>
        <w:pStyle w:val="BodyText"/>
        <w:numPr>
          <w:ilvl w:val="6"/>
          <w:numId w:val="1"/>
        </w:numPr>
        <w:rPr>
          <w:szCs w:val="18"/>
        </w:rPr>
      </w:pPr>
      <w:r w:rsidRPr="006B2F21">
        <w:rPr>
          <w:szCs w:val="18"/>
        </w:rPr>
        <w:t>Having clarified the scope of its terms of reference in relation to the third measure, the Panel proceeded to examine whether Ukraine had demonstrated the existence of the measure the Panel found to have been identified in the panel request.</w:t>
      </w:r>
      <w:r w:rsidRPr="006B2F21">
        <w:rPr>
          <w:rStyle w:val="FootnoteReference"/>
          <w:szCs w:val="18"/>
        </w:rPr>
        <w:footnoteReference w:id="163"/>
      </w:r>
      <w:r w:rsidRPr="006B2F21">
        <w:rPr>
          <w:szCs w:val="18"/>
        </w:rPr>
        <w:t xml:space="preserve"> Based on its analysis of the three letters submitted by Ukraine as evidence of the existence of the third measure, the Panel found that the Russian authorities "decided that the relevant certificates issued by Belarus' certification body were not valid in Russia's territory".</w:t>
      </w:r>
      <w:r w:rsidRPr="006B2F21">
        <w:rPr>
          <w:rStyle w:val="FootnoteReference"/>
          <w:szCs w:val="18"/>
        </w:rPr>
        <w:footnoteReference w:id="164"/>
      </w:r>
      <w:r w:rsidRPr="006B2F21">
        <w:rPr>
          <w:szCs w:val="18"/>
        </w:rPr>
        <w:t xml:space="preserve"> The Panel noted that each decision in the three letters "was based explicitly on the provisions of CU Technical Regulation 001/2001" as interpreted by the Russian authorities and applied to the certificates at issue, according to which a certificate cannot be validly issued under Articles 1(1) and 6(9) of that regulation unless, respectively, the local production condition and the local registration condition are satisfied.</w:t>
      </w:r>
      <w:r w:rsidRPr="006B2F21">
        <w:rPr>
          <w:rStyle w:val="FootnoteReference"/>
          <w:szCs w:val="18"/>
        </w:rPr>
        <w:footnoteReference w:id="165"/>
      </w:r>
      <w:r w:rsidRPr="006B2F21">
        <w:rPr>
          <w:szCs w:val="18"/>
        </w:rPr>
        <w:t xml:space="preserve"> The Panel's understanding was confirmed by two of the letters, which "explicitly state that the relevant certificates were issued by Belarus in 'violation' of CU Technical Regulation 001/2011 because Belarus had not enforced the two</w:t>
      </w:r>
      <w:r w:rsidR="004E5553">
        <w:rPr>
          <w:szCs w:val="18"/>
        </w:rPr>
        <w:t> </w:t>
      </w:r>
      <w:r w:rsidRPr="006B2F21">
        <w:rPr>
          <w:szCs w:val="18"/>
        </w:rPr>
        <w:t>requirements"</w:t>
      </w:r>
      <w:r w:rsidR="00E559EA" w:rsidRPr="006B2F21">
        <w:rPr>
          <w:szCs w:val="18"/>
        </w:rPr>
        <w:t>.</w:t>
      </w:r>
      <w:r w:rsidRPr="006B2F21">
        <w:rPr>
          <w:rStyle w:val="FootnoteReference"/>
          <w:szCs w:val="18"/>
        </w:rPr>
        <w:footnoteReference w:id="166"/>
      </w:r>
      <w:r w:rsidRPr="006B2F21">
        <w:rPr>
          <w:szCs w:val="18"/>
        </w:rPr>
        <w:t xml:space="preserve"> In the Panel's view, the evidence submitted by Ukraine indicated that the Russian authorities did not independently </w:t>
      </w:r>
      <w:r w:rsidR="00F61C21" w:rsidRPr="006B2F21">
        <w:rPr>
          <w:szCs w:val="18"/>
        </w:rPr>
        <w:t>"</w:t>
      </w:r>
      <w:r w:rsidRPr="006B2F21">
        <w:rPr>
          <w:szCs w:val="18"/>
        </w:rPr>
        <w:t>decide</w:t>
      </w:r>
      <w:r w:rsidR="00F61C21" w:rsidRPr="006B2F21">
        <w:rPr>
          <w:szCs w:val="18"/>
        </w:rPr>
        <w:t>"</w:t>
      </w:r>
      <w:r w:rsidRPr="006B2F21">
        <w:rPr>
          <w:szCs w:val="18"/>
        </w:rPr>
        <w:t xml:space="preserve"> to establish a new general non</w:t>
      </w:r>
      <w:r w:rsidR="00B24926" w:rsidRPr="006B2F21">
        <w:rPr>
          <w:szCs w:val="18"/>
        </w:rPr>
        <w:noBreakHyphen/>
      </w:r>
      <w:r w:rsidRPr="006B2F21">
        <w:rPr>
          <w:szCs w:val="18"/>
        </w:rPr>
        <w:t>recognition requirement</w:t>
      </w:r>
      <w:r w:rsidR="00F61C21" w:rsidRPr="006B2F21">
        <w:rPr>
          <w:szCs w:val="18"/>
        </w:rPr>
        <w:t>. In</w:t>
      </w:r>
      <w:r w:rsidRPr="006B2F21">
        <w:rPr>
          <w:szCs w:val="18"/>
        </w:rPr>
        <w:t xml:space="preserve">stead, the requirements flowed from CU Technical Regulation 001/2011 as </w:t>
      </w:r>
      <w:r w:rsidR="00F61C21" w:rsidRPr="006B2F21">
        <w:rPr>
          <w:szCs w:val="18"/>
        </w:rPr>
        <w:t>the Russian authorities</w:t>
      </w:r>
      <w:r w:rsidRPr="006B2F21">
        <w:rPr>
          <w:szCs w:val="18"/>
        </w:rPr>
        <w:t xml:space="preserve"> interpreted it.</w:t>
      </w:r>
      <w:r w:rsidRPr="006B2F21">
        <w:rPr>
          <w:rStyle w:val="FootnoteReference"/>
          <w:szCs w:val="18"/>
        </w:rPr>
        <w:footnoteReference w:id="167"/>
      </w:r>
      <w:r w:rsidRPr="006B2F21">
        <w:rPr>
          <w:szCs w:val="18"/>
        </w:rPr>
        <w:t xml:space="preserve"> The Panel found this to be consistent with the third measure as described in the panel request.</w:t>
      </w:r>
    </w:p>
    <w:p w14:paraId="6CBEF5A6" w14:textId="7F435467" w:rsidR="00632EC6" w:rsidRPr="006B2F21" w:rsidRDefault="00632EC6" w:rsidP="006B2F21">
      <w:pPr>
        <w:pStyle w:val="BodyText"/>
        <w:numPr>
          <w:ilvl w:val="6"/>
          <w:numId w:val="1"/>
        </w:numPr>
        <w:rPr>
          <w:szCs w:val="18"/>
        </w:rPr>
      </w:pPr>
      <w:r w:rsidRPr="006B2F21">
        <w:rPr>
          <w:szCs w:val="18"/>
        </w:rPr>
        <w:t>The Panel rejected Russia's argument that Protocol No. A 4</w:t>
      </w:r>
      <w:r w:rsidR="00B24926" w:rsidRPr="006B2F21">
        <w:rPr>
          <w:szCs w:val="18"/>
        </w:rPr>
        <w:noBreakHyphen/>
      </w:r>
      <w:r w:rsidRPr="006B2F21">
        <w:rPr>
          <w:szCs w:val="18"/>
        </w:rPr>
        <w:t>3 is a non</w:t>
      </w:r>
      <w:r w:rsidR="00B24926" w:rsidRPr="006B2F21">
        <w:rPr>
          <w:szCs w:val="18"/>
        </w:rPr>
        <w:noBreakHyphen/>
      </w:r>
      <w:r w:rsidRPr="006B2F21">
        <w:rPr>
          <w:szCs w:val="18"/>
        </w:rPr>
        <w:t>binding document that merely records the opinions of representatives of various Russian railway</w:t>
      </w:r>
      <w:r w:rsidR="00B24926" w:rsidRPr="006B2F21">
        <w:rPr>
          <w:szCs w:val="18"/>
        </w:rPr>
        <w:noBreakHyphen/>
      </w:r>
      <w:r w:rsidRPr="006B2F21">
        <w:rPr>
          <w:szCs w:val="18"/>
        </w:rPr>
        <w:t xml:space="preserve">related bodies. The Panel considered that Protocol </w:t>
      </w:r>
      <w:r w:rsidR="00151192" w:rsidRPr="006B2F21">
        <w:rPr>
          <w:szCs w:val="18"/>
        </w:rPr>
        <w:t>No. </w:t>
      </w:r>
      <w:r w:rsidRPr="006B2F21">
        <w:rPr>
          <w:szCs w:val="18"/>
        </w:rPr>
        <w:t>A 4</w:t>
      </w:r>
      <w:r w:rsidR="00B24926" w:rsidRPr="006B2F21">
        <w:rPr>
          <w:szCs w:val="18"/>
        </w:rPr>
        <w:noBreakHyphen/>
      </w:r>
      <w:r w:rsidRPr="006B2F21">
        <w:rPr>
          <w:szCs w:val="18"/>
        </w:rPr>
        <w:t>3 reveals that the competent authorities "reached a particular view on the scope of CU Technical Regulation 001/2011" and took "decisions" and specific actions on the certificates at issue based on that view.</w:t>
      </w:r>
      <w:r w:rsidRPr="006B2F21">
        <w:rPr>
          <w:rStyle w:val="FootnoteReference"/>
          <w:szCs w:val="18"/>
        </w:rPr>
        <w:footnoteReference w:id="168"/>
      </w:r>
      <w:r w:rsidRPr="006B2F21">
        <w:rPr>
          <w:szCs w:val="18"/>
        </w:rPr>
        <w:t xml:space="preserve"> </w:t>
      </w:r>
      <w:r w:rsidR="00E055B6" w:rsidRPr="006B2F21">
        <w:rPr>
          <w:szCs w:val="18"/>
        </w:rPr>
        <w:t>Furthermore</w:t>
      </w:r>
      <w:r w:rsidRPr="006B2F21">
        <w:rPr>
          <w:szCs w:val="18"/>
        </w:rPr>
        <w:t xml:space="preserve">, the Panel saw no merit in Russia's argument that neither the MOT nor the Russian Federal ART was authorized to decide on the recognition of certificates issued in other CU countries or to interpret CU Technical Regulation 001/2011 under Russian law. </w:t>
      </w:r>
      <w:r w:rsidR="00E055B6" w:rsidRPr="006B2F21">
        <w:rPr>
          <w:szCs w:val="18"/>
        </w:rPr>
        <w:t>For the Panel, t</w:t>
      </w:r>
      <w:r w:rsidRPr="006B2F21">
        <w:rPr>
          <w:szCs w:val="18"/>
        </w:rPr>
        <w:t xml:space="preserve">he question whether the relevant authorities had acted within their remit under domestic law had no relevance for </w:t>
      </w:r>
      <w:r w:rsidR="00387C82" w:rsidRPr="006B2F21">
        <w:rPr>
          <w:szCs w:val="18"/>
        </w:rPr>
        <w:t xml:space="preserve">its </w:t>
      </w:r>
      <w:r w:rsidRPr="006B2F21">
        <w:rPr>
          <w:szCs w:val="18"/>
        </w:rPr>
        <w:t>analysis, which rather hinged on "what these authorities actually did or did not do".</w:t>
      </w:r>
      <w:r w:rsidRPr="006B2F21">
        <w:rPr>
          <w:rStyle w:val="FootnoteReference"/>
          <w:szCs w:val="18"/>
        </w:rPr>
        <w:footnoteReference w:id="169"/>
      </w:r>
    </w:p>
    <w:p w14:paraId="74E2C867" w14:textId="77A9258A" w:rsidR="00632EC6" w:rsidRPr="006B2F21" w:rsidRDefault="00632EC6" w:rsidP="006B2F21">
      <w:pPr>
        <w:pStyle w:val="BodyText"/>
        <w:numPr>
          <w:ilvl w:val="6"/>
          <w:numId w:val="1"/>
        </w:numPr>
        <w:rPr>
          <w:szCs w:val="18"/>
        </w:rPr>
      </w:pPr>
      <w:r w:rsidRPr="006B2F21">
        <w:rPr>
          <w:szCs w:val="18"/>
        </w:rPr>
        <w:t>Moreover, the Panel saw no merit in Russia's argument that Protocol </w:t>
      </w:r>
      <w:r w:rsidR="00151192" w:rsidRPr="006B2F21">
        <w:rPr>
          <w:szCs w:val="18"/>
        </w:rPr>
        <w:t>No. </w:t>
      </w:r>
      <w:r w:rsidRPr="006B2F21">
        <w:rPr>
          <w:szCs w:val="18"/>
        </w:rPr>
        <w:t>A 4</w:t>
      </w:r>
      <w:r w:rsidR="00B24926" w:rsidRPr="006B2F21">
        <w:rPr>
          <w:szCs w:val="18"/>
        </w:rPr>
        <w:noBreakHyphen/>
      </w:r>
      <w:r w:rsidRPr="006B2F21">
        <w:rPr>
          <w:szCs w:val="18"/>
        </w:rPr>
        <w:t xml:space="preserve">3 and the letters concerned products from only two Ukrainian producers and </w:t>
      </w:r>
      <w:r w:rsidR="00E055B6" w:rsidRPr="006B2F21">
        <w:rPr>
          <w:szCs w:val="18"/>
        </w:rPr>
        <w:t xml:space="preserve">that </w:t>
      </w:r>
      <w:r w:rsidRPr="006B2F21">
        <w:rPr>
          <w:szCs w:val="18"/>
        </w:rPr>
        <w:t xml:space="preserve">therefore these documents </w:t>
      </w:r>
      <w:r w:rsidR="00E055B6" w:rsidRPr="006B2F21">
        <w:rPr>
          <w:szCs w:val="18"/>
        </w:rPr>
        <w:t xml:space="preserve">were </w:t>
      </w:r>
      <w:r w:rsidRPr="006B2F21">
        <w:rPr>
          <w:szCs w:val="18"/>
        </w:rPr>
        <w:lastRenderedPageBreak/>
        <w:t>not of general application. The Panel recalled that CU Technical Regulation 001/2011 is a regulation of general application, and found that "</w:t>
      </w:r>
      <w:r w:rsidR="00A0240F" w:rsidRPr="006B2F21">
        <w:rPr>
          <w:szCs w:val="18"/>
        </w:rPr>
        <w:t>[</w:t>
      </w:r>
      <w:r w:rsidRPr="006B2F21">
        <w:rPr>
          <w:szCs w:val="18"/>
        </w:rPr>
        <w:t>n</w:t>
      </w:r>
      <w:r w:rsidR="00A0240F" w:rsidRPr="006B2F21">
        <w:rPr>
          <w:szCs w:val="18"/>
        </w:rPr>
        <w:t>]</w:t>
      </w:r>
      <w:r w:rsidRPr="006B2F21">
        <w:rPr>
          <w:szCs w:val="18"/>
        </w:rPr>
        <w:t>othing in the Protocol or the … letters" suggested that the interpretation of CU Technical Regulation</w:t>
      </w:r>
      <w:r w:rsidR="00E055B6" w:rsidRPr="006B2F21">
        <w:rPr>
          <w:szCs w:val="18"/>
        </w:rPr>
        <w:t> </w:t>
      </w:r>
      <w:r w:rsidRPr="006B2F21">
        <w:rPr>
          <w:szCs w:val="18"/>
        </w:rPr>
        <w:t>001/2011 by the Russian authorities "would not be generally applicable and would apply only to Ukrainian products".</w:t>
      </w:r>
      <w:r w:rsidRPr="006B2F21">
        <w:rPr>
          <w:rStyle w:val="FootnoteReference"/>
          <w:szCs w:val="18"/>
        </w:rPr>
        <w:footnoteReference w:id="170"/>
      </w:r>
      <w:r w:rsidRPr="006B2F21">
        <w:rPr>
          <w:szCs w:val="18"/>
        </w:rPr>
        <w:t xml:space="preserve"> The Panel also recalled that Protocol </w:t>
      </w:r>
      <w:r w:rsidR="00151192" w:rsidRPr="006B2F21">
        <w:rPr>
          <w:szCs w:val="18"/>
        </w:rPr>
        <w:t>No. </w:t>
      </w:r>
      <w:r w:rsidRPr="006B2F21">
        <w:rPr>
          <w:szCs w:val="18"/>
        </w:rPr>
        <w:t>A 4</w:t>
      </w:r>
      <w:r w:rsidR="00B24926" w:rsidRPr="006B2F21">
        <w:rPr>
          <w:szCs w:val="18"/>
        </w:rPr>
        <w:noBreakHyphen/>
      </w:r>
      <w:r w:rsidRPr="006B2F21">
        <w:rPr>
          <w:szCs w:val="18"/>
        </w:rPr>
        <w:t>3 "state[d] that the underlying meeting concerned 'certificates of conformity for products manufactured by third</w:t>
      </w:r>
      <w:r w:rsidR="00B24926" w:rsidRPr="006B2F21">
        <w:rPr>
          <w:szCs w:val="18"/>
        </w:rPr>
        <w:noBreakHyphen/>
      </w:r>
      <w:r w:rsidRPr="006B2F21">
        <w:rPr>
          <w:szCs w:val="18"/>
        </w:rPr>
        <w:t xml:space="preserve">countries', which countries include, but are not limited to </w:t>
      </w:r>
      <w:r w:rsidR="00A0240F" w:rsidRPr="006B2F21">
        <w:rPr>
          <w:szCs w:val="18"/>
        </w:rPr>
        <w:t>Ukraine</w:t>
      </w:r>
      <w:r w:rsidRPr="006B2F21">
        <w:rPr>
          <w:szCs w:val="18"/>
        </w:rPr>
        <w:t>"</w:t>
      </w:r>
      <w:r w:rsidR="008C69D1" w:rsidRPr="006B2F21">
        <w:rPr>
          <w:szCs w:val="18"/>
        </w:rPr>
        <w:t>.</w:t>
      </w:r>
      <w:r w:rsidRPr="006B2F21">
        <w:rPr>
          <w:rStyle w:val="FootnoteReference"/>
          <w:szCs w:val="18"/>
        </w:rPr>
        <w:footnoteReference w:id="171"/>
      </w:r>
      <w:r w:rsidRPr="006B2F21">
        <w:rPr>
          <w:szCs w:val="18"/>
        </w:rPr>
        <w:t xml:space="preserve"> The Panel considered these findings to support its view that the relevant documents provided a "general interpretation"</w:t>
      </w:r>
      <w:r w:rsidRPr="006B2F21">
        <w:rPr>
          <w:rStyle w:val="FootnoteReference"/>
          <w:szCs w:val="18"/>
        </w:rPr>
        <w:footnoteReference w:id="172"/>
      </w:r>
      <w:r w:rsidRPr="006B2F21">
        <w:rPr>
          <w:szCs w:val="18"/>
        </w:rPr>
        <w:t>, whereby the Russian authorities would not recognize a certificate issued under CU Technical Regulation 001/2011 in another CU</w:t>
      </w:r>
      <w:r w:rsidR="00B62F15" w:rsidRPr="006B2F21">
        <w:rPr>
          <w:szCs w:val="18"/>
        </w:rPr>
        <w:t> </w:t>
      </w:r>
      <w:r w:rsidRPr="006B2F21">
        <w:rPr>
          <w:szCs w:val="18"/>
        </w:rPr>
        <w:t>country unless the local production and the local registration conditions are met.</w:t>
      </w:r>
      <w:r w:rsidRPr="006B2F21">
        <w:rPr>
          <w:rStyle w:val="FootnoteReference"/>
          <w:szCs w:val="18"/>
        </w:rPr>
        <w:footnoteReference w:id="173"/>
      </w:r>
    </w:p>
    <w:p w14:paraId="3B2F1539" w14:textId="1978A6CA" w:rsidR="00632EC6" w:rsidRPr="006B2F21" w:rsidRDefault="00632EC6" w:rsidP="006B2F21">
      <w:pPr>
        <w:pStyle w:val="BodyText"/>
        <w:numPr>
          <w:ilvl w:val="6"/>
          <w:numId w:val="1"/>
        </w:numPr>
        <w:rPr>
          <w:szCs w:val="18"/>
        </w:rPr>
      </w:pPr>
      <w:r w:rsidRPr="006B2F21">
        <w:rPr>
          <w:szCs w:val="18"/>
        </w:rPr>
        <w:t xml:space="preserve">Russia also </w:t>
      </w:r>
      <w:r w:rsidR="00E055B6" w:rsidRPr="006B2F21">
        <w:rPr>
          <w:szCs w:val="18"/>
        </w:rPr>
        <w:t xml:space="preserve">referred to </w:t>
      </w:r>
      <w:r w:rsidRPr="006B2F21">
        <w:rPr>
          <w:szCs w:val="18"/>
        </w:rPr>
        <w:t>Article 53 of the Treaty on the Eurasian Economic Union (EAEU Treaty) in support of its argument that it did not apply the local production condition. According to Russia, this provision provides that a product that conforms to CU</w:t>
      </w:r>
      <w:r w:rsidR="00B62F15" w:rsidRPr="006B2F21">
        <w:rPr>
          <w:szCs w:val="18"/>
        </w:rPr>
        <w:t> </w:t>
      </w:r>
      <w:r w:rsidRPr="006B2F21">
        <w:rPr>
          <w:szCs w:val="18"/>
        </w:rPr>
        <w:t xml:space="preserve">technical regulations must be permitted to circulate freely across the territory of the CU. In the Panel's view, however, the letters it examined explicitly state that the certificates issued by Belarus were issued in violation of CU technical regulations. While the Panel acknowledged that there is indeed evidence that Russia had itself </w:t>
      </w:r>
      <w:r w:rsidRPr="006B2F21">
        <w:rPr>
          <w:i/>
          <w:szCs w:val="18"/>
        </w:rPr>
        <w:t>issued</w:t>
      </w:r>
      <w:r w:rsidRPr="006B2F21">
        <w:rPr>
          <w:szCs w:val="18"/>
        </w:rPr>
        <w:t xml:space="preserve"> certificates under CU Technical Regulation 001/2011 to producers located in third countries, the Panel found that there is no evidence that Russia actually </w:t>
      </w:r>
      <w:r w:rsidRPr="006B2F21">
        <w:rPr>
          <w:i/>
          <w:szCs w:val="18"/>
        </w:rPr>
        <w:t>recognized</w:t>
      </w:r>
      <w:r w:rsidRPr="006B2F21">
        <w:rPr>
          <w:szCs w:val="18"/>
        </w:rPr>
        <w:t xml:space="preserve"> a certificate issued under CU Technical Regulation 001/2011 by another CU country to producers outside the CU within the relevant time period. The Panel thus found that Russia did not rebut Ukraine's evidence concerning</w:t>
      </w:r>
      <w:r w:rsidRPr="006B2F21">
        <w:rPr>
          <w:i/>
          <w:szCs w:val="18"/>
        </w:rPr>
        <w:t xml:space="preserve"> non</w:t>
      </w:r>
      <w:r w:rsidR="00B24926" w:rsidRPr="006B2F21">
        <w:rPr>
          <w:i/>
          <w:szCs w:val="18"/>
        </w:rPr>
        <w:noBreakHyphen/>
      </w:r>
      <w:r w:rsidRPr="006B2F21">
        <w:rPr>
          <w:i/>
          <w:szCs w:val="18"/>
        </w:rPr>
        <w:t>recognition</w:t>
      </w:r>
      <w:r w:rsidRPr="006B2F21">
        <w:rPr>
          <w:szCs w:val="18"/>
        </w:rPr>
        <w:t xml:space="preserve"> that shows that a local production condition was enforced.</w:t>
      </w:r>
      <w:r w:rsidRPr="006B2F21">
        <w:rPr>
          <w:rStyle w:val="FootnoteReference"/>
          <w:szCs w:val="18"/>
        </w:rPr>
        <w:footnoteReference w:id="174"/>
      </w:r>
    </w:p>
    <w:p w14:paraId="184E04A6" w14:textId="6A20ACDA" w:rsidR="00632EC6" w:rsidRPr="006B2F21" w:rsidRDefault="00632EC6" w:rsidP="006B2F21">
      <w:pPr>
        <w:pStyle w:val="BodyText"/>
        <w:numPr>
          <w:ilvl w:val="6"/>
          <w:numId w:val="1"/>
        </w:numPr>
        <w:rPr>
          <w:szCs w:val="18"/>
        </w:rPr>
      </w:pPr>
      <w:r w:rsidRPr="006B2F21">
        <w:rPr>
          <w:szCs w:val="18"/>
        </w:rPr>
        <w:t>In light of the foregoing considerations, the Panel concluded that "the third measure ha[d] been demonstrated to exist."</w:t>
      </w:r>
      <w:r w:rsidR="00A0240F" w:rsidRPr="006B2F21">
        <w:rPr>
          <w:rStyle w:val="FootnoteReference"/>
          <w:szCs w:val="18"/>
        </w:rPr>
        <w:footnoteReference w:id="175"/>
      </w:r>
      <w:r w:rsidRPr="006B2F21">
        <w:rPr>
          <w:szCs w:val="18"/>
        </w:rPr>
        <w:t xml:space="preserve"> In particular, the Panel found that the relevant Russian authorities applied "a general non</w:t>
      </w:r>
      <w:r w:rsidR="00B24926" w:rsidRPr="006B2F21">
        <w:rPr>
          <w:szCs w:val="18"/>
        </w:rPr>
        <w:noBreakHyphen/>
      </w:r>
      <w:r w:rsidRPr="006B2F21">
        <w:rPr>
          <w:szCs w:val="18"/>
        </w:rPr>
        <w:t xml:space="preserve">recognition requirement, which these authorities considered to flow from CU Technical Regulation 001/2011 as they interpreted it", according to which the Russian authorities were not to recognize certificates issued under CU Technical Regulation 001/2011 in other CU countries unless the local production condition and the local registration condition </w:t>
      </w:r>
      <w:r w:rsidR="00195A36" w:rsidRPr="006B2F21">
        <w:rPr>
          <w:szCs w:val="18"/>
        </w:rPr>
        <w:t xml:space="preserve">were </w:t>
      </w:r>
      <w:r w:rsidRPr="006B2F21">
        <w:rPr>
          <w:szCs w:val="18"/>
        </w:rPr>
        <w:t>met.</w:t>
      </w:r>
      <w:r w:rsidRPr="006B2F21">
        <w:rPr>
          <w:rStyle w:val="FootnoteReference"/>
          <w:szCs w:val="18"/>
        </w:rPr>
        <w:footnoteReference w:id="176"/>
      </w:r>
      <w:r w:rsidRPr="006B2F21">
        <w:rPr>
          <w:szCs w:val="18"/>
        </w:rPr>
        <w:t xml:space="preserve"> However, the Panel also noted that "the non</w:t>
      </w:r>
      <w:r w:rsidR="00B24926" w:rsidRPr="006B2F21">
        <w:rPr>
          <w:szCs w:val="18"/>
        </w:rPr>
        <w:noBreakHyphen/>
      </w:r>
      <w:r w:rsidRPr="006B2F21">
        <w:rPr>
          <w:szCs w:val="18"/>
        </w:rPr>
        <w:t>recognition requirement falls within the Panel's terms of reference only to the extent that it requires non</w:t>
      </w:r>
      <w:r w:rsidR="00B24926" w:rsidRPr="006B2F21">
        <w:rPr>
          <w:szCs w:val="18"/>
        </w:rPr>
        <w:noBreakHyphen/>
      </w:r>
      <w:r w:rsidRPr="006B2F21">
        <w:rPr>
          <w:szCs w:val="18"/>
        </w:rPr>
        <w:t>recognition in situations where the certified products were not produced in a CU country."</w:t>
      </w:r>
      <w:r w:rsidRPr="006B2F21">
        <w:rPr>
          <w:rStyle w:val="FootnoteReference"/>
          <w:szCs w:val="18"/>
        </w:rPr>
        <w:footnoteReference w:id="177"/>
      </w:r>
    </w:p>
    <w:p w14:paraId="04151F16" w14:textId="74CD9CDD" w:rsidR="00632EC6" w:rsidRPr="006B2F21" w:rsidRDefault="00632EC6" w:rsidP="006B2F21">
      <w:pPr>
        <w:pStyle w:val="Heading3"/>
        <w:numPr>
          <w:ilvl w:val="2"/>
          <w:numId w:val="1"/>
        </w:numPr>
        <w:rPr>
          <w:szCs w:val="18"/>
        </w:rPr>
      </w:pPr>
      <w:bookmarkStart w:id="115" w:name="_Toc31380988"/>
      <w:bookmarkStart w:id="116" w:name="_Hlk19710580"/>
      <w:bookmarkStart w:id="117" w:name="_Ref453846473"/>
      <w:r w:rsidRPr="006B2F21">
        <w:rPr>
          <w:szCs w:val="18"/>
        </w:rPr>
        <w:t>Russia's claim that the Panel erred in finding the existence of the third</w:t>
      </w:r>
      <w:r w:rsidR="006B6696" w:rsidRPr="006B2F21">
        <w:rPr>
          <w:szCs w:val="18"/>
        </w:rPr>
        <w:t> </w:t>
      </w:r>
      <w:r w:rsidRPr="006B2F21">
        <w:rPr>
          <w:szCs w:val="18"/>
        </w:rPr>
        <w:t>measure</w:t>
      </w:r>
      <w:bookmarkEnd w:id="115"/>
    </w:p>
    <w:p w14:paraId="39564D1C" w14:textId="77777777" w:rsidR="00632EC6" w:rsidRPr="006B2F21" w:rsidRDefault="00632EC6" w:rsidP="006B2F21">
      <w:pPr>
        <w:pStyle w:val="Heading4"/>
        <w:numPr>
          <w:ilvl w:val="3"/>
          <w:numId w:val="1"/>
        </w:numPr>
        <w:rPr>
          <w:szCs w:val="18"/>
        </w:rPr>
      </w:pPr>
      <w:bookmarkStart w:id="118" w:name="_Toc31380989"/>
      <w:r w:rsidRPr="006B2F21">
        <w:rPr>
          <w:szCs w:val="18"/>
        </w:rPr>
        <w:t>Arguments on appeal</w:t>
      </w:r>
      <w:bookmarkEnd w:id="118"/>
    </w:p>
    <w:p w14:paraId="3ED8F4E7" w14:textId="32411ADA" w:rsidR="00632EC6" w:rsidRPr="006B2F21" w:rsidRDefault="00632EC6" w:rsidP="006B2F21">
      <w:pPr>
        <w:pStyle w:val="BodyText"/>
        <w:numPr>
          <w:ilvl w:val="6"/>
          <w:numId w:val="1"/>
        </w:numPr>
        <w:rPr>
          <w:szCs w:val="18"/>
        </w:rPr>
      </w:pPr>
      <w:bookmarkStart w:id="119" w:name="_Hlk20833283"/>
      <w:r w:rsidRPr="006B2F21">
        <w:rPr>
          <w:szCs w:val="18"/>
        </w:rPr>
        <w:t>On appeal, Russia requests that we reverse the Panel's finding that the third measure has been demonstrated to exist and that the evidence on the record supports the conclusion that the relevant Russian authorities applied a general non</w:t>
      </w:r>
      <w:r w:rsidR="00B24926" w:rsidRPr="006B2F21">
        <w:rPr>
          <w:szCs w:val="18"/>
        </w:rPr>
        <w:noBreakHyphen/>
      </w:r>
      <w:r w:rsidRPr="006B2F21">
        <w:rPr>
          <w:szCs w:val="18"/>
        </w:rPr>
        <w:t>recognition requirement, which these authorities considered to flow from CU Technical Regulation</w:t>
      </w:r>
      <w:r w:rsidR="00B62F15" w:rsidRPr="006B2F21">
        <w:rPr>
          <w:szCs w:val="18"/>
        </w:rPr>
        <w:t> </w:t>
      </w:r>
      <w:r w:rsidRPr="006B2F21">
        <w:rPr>
          <w:szCs w:val="18"/>
        </w:rPr>
        <w:t>001/2011 as they interpreted it.</w:t>
      </w:r>
      <w:r w:rsidRPr="006B2F21">
        <w:rPr>
          <w:rStyle w:val="FootnoteReference"/>
          <w:szCs w:val="18"/>
        </w:rPr>
        <w:footnoteReference w:id="178"/>
      </w:r>
      <w:r w:rsidRPr="006B2F21">
        <w:rPr>
          <w:szCs w:val="18"/>
        </w:rPr>
        <w:t xml:space="preserve"> Russia submits that, in reaching that finding, the Panel failed to conduct an objective assessment under Article 11 of the DSU.</w:t>
      </w:r>
    </w:p>
    <w:bookmarkEnd w:id="119"/>
    <w:p w14:paraId="24381192" w14:textId="44A34C41" w:rsidR="00632EC6" w:rsidRPr="006B2F21" w:rsidRDefault="00632EC6" w:rsidP="006B2F21">
      <w:pPr>
        <w:pStyle w:val="BodyText"/>
        <w:numPr>
          <w:ilvl w:val="6"/>
          <w:numId w:val="1"/>
        </w:numPr>
        <w:rPr>
          <w:szCs w:val="18"/>
        </w:rPr>
      </w:pPr>
      <w:r w:rsidRPr="006B2F21">
        <w:rPr>
          <w:szCs w:val="18"/>
        </w:rPr>
        <w:t>In support of its position, Russia submits that the application of CU Technical Regulation 001/2011 is not limited to products manufactured within the CU, but that it applies equally to products manufactured outside the CU. Furthermore, Russia contends that it had submitted evidence to the Panel demonstrating that CU Technical Regulation</w:t>
      </w:r>
      <w:r w:rsidR="00F33F78" w:rsidRPr="006B2F21">
        <w:rPr>
          <w:szCs w:val="18"/>
        </w:rPr>
        <w:t> </w:t>
      </w:r>
      <w:r w:rsidRPr="006B2F21">
        <w:rPr>
          <w:szCs w:val="18"/>
        </w:rPr>
        <w:t>001/2011 had in fact been applied to imports of railway products manufactured in third countries.</w:t>
      </w:r>
      <w:r w:rsidRPr="006B2F21">
        <w:rPr>
          <w:rStyle w:val="FootnoteReference"/>
          <w:szCs w:val="18"/>
        </w:rPr>
        <w:footnoteReference w:id="179"/>
      </w:r>
      <w:r w:rsidRPr="006B2F21">
        <w:rPr>
          <w:szCs w:val="18"/>
        </w:rPr>
        <w:t xml:space="preserve"> Russia submits that </w:t>
      </w:r>
      <w:r w:rsidRPr="006B2F21">
        <w:rPr>
          <w:szCs w:val="18"/>
        </w:rPr>
        <w:lastRenderedPageBreak/>
        <w:t>the alleged non</w:t>
      </w:r>
      <w:r w:rsidR="00B24926" w:rsidRPr="006B2F21">
        <w:rPr>
          <w:szCs w:val="18"/>
        </w:rPr>
        <w:noBreakHyphen/>
      </w:r>
      <w:r w:rsidRPr="006B2F21">
        <w:rPr>
          <w:szCs w:val="18"/>
        </w:rPr>
        <w:t xml:space="preserve">recognition requirement could not have </w:t>
      </w:r>
      <w:r w:rsidR="00A80CD1" w:rsidRPr="006B2F21">
        <w:rPr>
          <w:szCs w:val="18"/>
        </w:rPr>
        <w:t xml:space="preserve">flowed </w:t>
      </w:r>
      <w:r w:rsidRPr="006B2F21">
        <w:rPr>
          <w:szCs w:val="18"/>
        </w:rPr>
        <w:t>from CU Technical Regulation 001/2011 and could not be of a general character.</w:t>
      </w:r>
      <w:r w:rsidRPr="006B2F21">
        <w:rPr>
          <w:rStyle w:val="FootnoteReference"/>
          <w:szCs w:val="18"/>
        </w:rPr>
        <w:footnoteReference w:id="180"/>
      </w:r>
    </w:p>
    <w:p w14:paraId="1CB65111" w14:textId="24FF2122" w:rsidR="00632EC6" w:rsidRPr="006B2F21" w:rsidRDefault="00632EC6" w:rsidP="006B2F21">
      <w:pPr>
        <w:pStyle w:val="BodyText"/>
        <w:numPr>
          <w:ilvl w:val="6"/>
          <w:numId w:val="1"/>
        </w:numPr>
        <w:rPr>
          <w:szCs w:val="18"/>
        </w:rPr>
      </w:pPr>
      <w:r w:rsidRPr="006B2F21">
        <w:rPr>
          <w:szCs w:val="18"/>
        </w:rPr>
        <w:t xml:space="preserve">Furthermore, Russia asserts that because </w:t>
      </w:r>
      <w:r w:rsidR="00C32E19" w:rsidRPr="006B2F21">
        <w:rPr>
          <w:szCs w:val="18"/>
        </w:rPr>
        <w:t xml:space="preserve">Ukraine's </w:t>
      </w:r>
      <w:r w:rsidRPr="006B2F21">
        <w:rPr>
          <w:szCs w:val="18"/>
        </w:rPr>
        <w:t>panel request referred to CU Technical Regulation 001/2011 in the description of the third measure, the Panel was required to conduct a detailed examination of the regulation, starting with its text. In failing to engage sufficiently with the text of the regulation, the Panel failed to conduct an objective assessment of the matter.</w:t>
      </w:r>
      <w:r w:rsidRPr="006B2F21">
        <w:rPr>
          <w:rStyle w:val="FootnoteReference"/>
          <w:szCs w:val="18"/>
        </w:rPr>
        <w:footnoteReference w:id="181"/>
      </w:r>
      <w:r w:rsidRPr="006B2F21">
        <w:rPr>
          <w:szCs w:val="18"/>
        </w:rPr>
        <w:t xml:space="preserve"> Russia argues that the text of CU Technical Regulation</w:t>
      </w:r>
      <w:r w:rsidR="00A80CD1" w:rsidRPr="006B2F21">
        <w:rPr>
          <w:szCs w:val="18"/>
        </w:rPr>
        <w:t xml:space="preserve"> 001/2011</w:t>
      </w:r>
      <w:r w:rsidRPr="006B2F21">
        <w:rPr>
          <w:szCs w:val="18"/>
        </w:rPr>
        <w:t xml:space="preserve"> is "origin neutral" and that it does not contain any provision requiring Russian authorities not to recognize the certificates issued by authorities of other CU</w:t>
      </w:r>
      <w:r w:rsidR="00B62F15" w:rsidRPr="006B2F21">
        <w:rPr>
          <w:szCs w:val="18"/>
        </w:rPr>
        <w:t> </w:t>
      </w:r>
      <w:r w:rsidRPr="006B2F21">
        <w:rPr>
          <w:szCs w:val="18"/>
        </w:rPr>
        <w:t>countries for goods manufactured outside the CU.</w:t>
      </w:r>
      <w:r w:rsidRPr="006B2F21">
        <w:rPr>
          <w:rStyle w:val="FootnoteReference"/>
          <w:szCs w:val="18"/>
        </w:rPr>
        <w:footnoteReference w:id="182"/>
      </w:r>
      <w:r w:rsidRPr="006B2F21">
        <w:rPr>
          <w:szCs w:val="18"/>
        </w:rPr>
        <w:t xml:space="preserve"> According to Russia, this was also supported by Article 53 of the EAEU Treaty, which both the Panel and Ukraine acknowledged to require that products subject to technical regulations of the CU be put into circulation within the whole CU without additional requirements or conformity assessment procedures.</w:t>
      </w:r>
      <w:r w:rsidRPr="006B2F21">
        <w:rPr>
          <w:rStyle w:val="FootnoteReference"/>
          <w:szCs w:val="18"/>
        </w:rPr>
        <w:footnoteReference w:id="183"/>
      </w:r>
      <w:r w:rsidR="00E055B6" w:rsidRPr="006B2F21">
        <w:rPr>
          <w:szCs w:val="18"/>
        </w:rPr>
        <w:t xml:space="preserve"> Finally, </w:t>
      </w:r>
      <w:r w:rsidRPr="006B2F21">
        <w:rPr>
          <w:szCs w:val="18"/>
        </w:rPr>
        <w:t xml:space="preserve">Russia </w:t>
      </w:r>
      <w:r w:rsidR="00E055B6" w:rsidRPr="006B2F21">
        <w:rPr>
          <w:szCs w:val="18"/>
        </w:rPr>
        <w:t xml:space="preserve">alleges </w:t>
      </w:r>
      <w:r w:rsidRPr="006B2F21">
        <w:rPr>
          <w:szCs w:val="18"/>
        </w:rPr>
        <w:t xml:space="preserve">that the Panel failed to consider its argument that the Russian authorities that issued the letters the Panel relied </w:t>
      </w:r>
      <w:r w:rsidR="0046369A" w:rsidRPr="006B2F21">
        <w:rPr>
          <w:szCs w:val="18"/>
        </w:rPr>
        <w:t xml:space="preserve">on </w:t>
      </w:r>
      <w:r w:rsidRPr="006B2F21">
        <w:rPr>
          <w:szCs w:val="18"/>
        </w:rPr>
        <w:t>were not competent to interpret CU Technical Regulation 001/2011.</w:t>
      </w:r>
      <w:r w:rsidRPr="006B2F21">
        <w:rPr>
          <w:rStyle w:val="FootnoteReference"/>
          <w:szCs w:val="18"/>
        </w:rPr>
        <w:footnoteReference w:id="184"/>
      </w:r>
    </w:p>
    <w:p w14:paraId="1950BAD1" w14:textId="79D70DDB" w:rsidR="00632EC6" w:rsidRPr="006B2F21" w:rsidRDefault="00632EC6" w:rsidP="006B2F21">
      <w:pPr>
        <w:pStyle w:val="BodyText"/>
        <w:numPr>
          <w:ilvl w:val="6"/>
          <w:numId w:val="1"/>
        </w:numPr>
        <w:rPr>
          <w:szCs w:val="18"/>
        </w:rPr>
      </w:pPr>
      <w:r w:rsidRPr="006B2F21">
        <w:rPr>
          <w:szCs w:val="18"/>
        </w:rPr>
        <w:t>Ukraine requests that we uphold the Panel's conclusion that the third measure, as described by the Panel as a general non</w:t>
      </w:r>
      <w:r w:rsidR="00B24926" w:rsidRPr="006B2F21">
        <w:rPr>
          <w:szCs w:val="18"/>
        </w:rPr>
        <w:noBreakHyphen/>
      </w:r>
      <w:r w:rsidRPr="006B2F21">
        <w:rPr>
          <w:szCs w:val="18"/>
        </w:rPr>
        <w:t>recognition requirement, which the Russian authorities considered to flow from CU Technical Regulation 001/2011 as they interpreted it, had been demonstrated to exist.</w:t>
      </w:r>
      <w:r w:rsidRPr="006B2F21">
        <w:rPr>
          <w:rStyle w:val="FootnoteReference"/>
          <w:szCs w:val="18"/>
        </w:rPr>
        <w:footnoteReference w:id="185"/>
      </w:r>
      <w:r w:rsidRPr="006B2F21">
        <w:rPr>
          <w:szCs w:val="18"/>
        </w:rPr>
        <w:t xml:space="preserve"> First, with respect to Russia's argument that the Panel erred by finding that the third</w:t>
      </w:r>
      <w:r w:rsidR="004E5553">
        <w:rPr>
          <w:szCs w:val="18"/>
        </w:rPr>
        <w:t> </w:t>
      </w:r>
      <w:r w:rsidRPr="006B2F21">
        <w:rPr>
          <w:szCs w:val="18"/>
        </w:rPr>
        <w:t>measure "flows from" CU Technical Regulation 001/2011, Ukraine disagrees with Russia that the Panel of its own motion found that the third measure flows from CU Technical Regulation</w:t>
      </w:r>
      <w:r w:rsidR="004E5553">
        <w:rPr>
          <w:szCs w:val="18"/>
        </w:rPr>
        <w:t> </w:t>
      </w:r>
      <w:r w:rsidRPr="006B2F21">
        <w:rPr>
          <w:szCs w:val="18"/>
        </w:rPr>
        <w:t xml:space="preserve">001/2011. Ukraine submits that the relevant Russian authorities </w:t>
      </w:r>
      <w:r w:rsidRPr="006B2F21">
        <w:rPr>
          <w:i/>
          <w:szCs w:val="18"/>
        </w:rPr>
        <w:t>themselves</w:t>
      </w:r>
      <w:r w:rsidRPr="006B2F21">
        <w:rPr>
          <w:szCs w:val="18"/>
        </w:rPr>
        <w:t xml:space="preserve"> interpreted the regulation to establish the non</w:t>
      </w:r>
      <w:r w:rsidR="00B24926" w:rsidRPr="006B2F21">
        <w:rPr>
          <w:szCs w:val="18"/>
        </w:rPr>
        <w:noBreakHyphen/>
      </w:r>
      <w:r w:rsidRPr="006B2F21">
        <w:rPr>
          <w:szCs w:val="18"/>
        </w:rPr>
        <w:t>recognition requirement.</w:t>
      </w:r>
      <w:r w:rsidRPr="006B2F21">
        <w:rPr>
          <w:rStyle w:val="FootnoteReference"/>
          <w:szCs w:val="18"/>
        </w:rPr>
        <w:footnoteReference w:id="186"/>
      </w:r>
      <w:r w:rsidRPr="006B2F21">
        <w:rPr>
          <w:szCs w:val="18"/>
        </w:rPr>
        <w:t xml:space="preserve"> </w:t>
      </w:r>
    </w:p>
    <w:p w14:paraId="491B9BE6" w14:textId="2F12228F" w:rsidR="00632EC6" w:rsidRPr="006B2F21" w:rsidRDefault="00632EC6" w:rsidP="006B2F21">
      <w:pPr>
        <w:pStyle w:val="BodyText"/>
        <w:numPr>
          <w:ilvl w:val="6"/>
          <w:numId w:val="1"/>
        </w:numPr>
        <w:rPr>
          <w:szCs w:val="18"/>
        </w:rPr>
      </w:pPr>
      <w:r w:rsidRPr="006B2F21">
        <w:rPr>
          <w:szCs w:val="18"/>
        </w:rPr>
        <w:t>With respect to Russia's argument that the Panel erred by not examining CU Technical Regulation 001/2011, Ukraine argues that since the third measure was not CU Technical Regulation 001/2011 "</w:t>
      </w:r>
      <w:r w:rsidRPr="006B2F21">
        <w:rPr>
          <w:i/>
          <w:szCs w:val="18"/>
        </w:rPr>
        <w:t>per se</w:t>
      </w:r>
      <w:r w:rsidRPr="006B2F21">
        <w:rPr>
          <w:szCs w:val="18"/>
        </w:rPr>
        <w:t>"</w:t>
      </w:r>
      <w:r w:rsidRPr="006B2F21">
        <w:rPr>
          <w:rStyle w:val="FootnoteReference"/>
          <w:szCs w:val="18"/>
        </w:rPr>
        <w:footnoteReference w:id="187"/>
      </w:r>
      <w:r w:rsidRPr="006B2F21">
        <w:rPr>
          <w:szCs w:val="18"/>
        </w:rPr>
        <w:t>, the Panel was under no obligation to examine that document separately from Protocol </w:t>
      </w:r>
      <w:r w:rsidR="00151192" w:rsidRPr="006B2F21">
        <w:rPr>
          <w:szCs w:val="18"/>
        </w:rPr>
        <w:t>No. </w:t>
      </w:r>
      <w:r w:rsidRPr="006B2F21">
        <w:rPr>
          <w:szCs w:val="18"/>
        </w:rPr>
        <w:t>A 4</w:t>
      </w:r>
      <w:r w:rsidR="00B24926" w:rsidRPr="006B2F21">
        <w:rPr>
          <w:szCs w:val="18"/>
        </w:rPr>
        <w:noBreakHyphen/>
      </w:r>
      <w:r w:rsidRPr="006B2F21">
        <w:rPr>
          <w:szCs w:val="18"/>
        </w:rPr>
        <w:t>3 and the other instruments.</w:t>
      </w:r>
      <w:r w:rsidRPr="006B2F21">
        <w:rPr>
          <w:rStyle w:val="FootnoteReference"/>
          <w:szCs w:val="18"/>
        </w:rPr>
        <w:footnoteReference w:id="188"/>
      </w:r>
      <w:r w:rsidRPr="006B2F21">
        <w:rPr>
          <w:szCs w:val="18"/>
        </w:rPr>
        <w:t xml:space="preserve"> In any event, Ukraine submits that the Panel did examine CU Technical Regulation 001/2011, albeit not in its analysis of the third measure.</w:t>
      </w:r>
      <w:r w:rsidRPr="006B2F21">
        <w:rPr>
          <w:rStyle w:val="FootnoteReference"/>
          <w:szCs w:val="18"/>
        </w:rPr>
        <w:footnoteReference w:id="189"/>
      </w:r>
    </w:p>
    <w:p w14:paraId="43389455" w14:textId="6AA6CAD9" w:rsidR="00632EC6" w:rsidRPr="006B2F21" w:rsidRDefault="00E055B6" w:rsidP="006B2F21">
      <w:pPr>
        <w:pStyle w:val="BodyText"/>
        <w:numPr>
          <w:ilvl w:val="6"/>
          <w:numId w:val="1"/>
        </w:numPr>
        <w:rPr>
          <w:szCs w:val="18"/>
        </w:rPr>
      </w:pPr>
      <w:r w:rsidRPr="006B2F21">
        <w:rPr>
          <w:szCs w:val="18"/>
        </w:rPr>
        <w:t>In addition</w:t>
      </w:r>
      <w:r w:rsidR="00632EC6" w:rsidRPr="006B2F21">
        <w:rPr>
          <w:szCs w:val="18"/>
        </w:rPr>
        <w:t>, Ukraine submits that the Panel was not required to examine whether Russia's authorities correctly understood or had the authority under Russian law to interpret CU Technical Regulation 001/2011.</w:t>
      </w:r>
      <w:r w:rsidR="00632EC6" w:rsidRPr="006B2F21">
        <w:rPr>
          <w:rStyle w:val="FootnoteReference"/>
          <w:szCs w:val="18"/>
        </w:rPr>
        <w:footnoteReference w:id="190"/>
      </w:r>
      <w:r w:rsidR="00632EC6" w:rsidRPr="006B2F21">
        <w:rPr>
          <w:szCs w:val="18"/>
        </w:rPr>
        <w:t xml:space="preserve"> For Ukraine, it was correct of the Panel not to engage with the question whether or not the MOT or the Russian Federal ART was competent to interpret CU Technical Regulation 001/2011. Rather, what mattered for the purpose of the Panel's analysis was that the non</w:t>
      </w:r>
      <w:r w:rsidR="00B24926" w:rsidRPr="006B2F21">
        <w:rPr>
          <w:szCs w:val="18"/>
        </w:rPr>
        <w:noBreakHyphen/>
      </w:r>
      <w:r w:rsidR="00632EC6" w:rsidRPr="006B2F21">
        <w:rPr>
          <w:szCs w:val="18"/>
        </w:rPr>
        <w:t>recognition requirement "was actually made operative in practice with respect to Ukrainian producers as a result of the decision made by the Russian authorities".</w:t>
      </w:r>
      <w:r w:rsidR="00632EC6" w:rsidRPr="006B2F21">
        <w:rPr>
          <w:rStyle w:val="FootnoteReference"/>
          <w:szCs w:val="18"/>
        </w:rPr>
        <w:footnoteReference w:id="191"/>
      </w:r>
      <w:r w:rsidR="00632EC6" w:rsidRPr="006B2F21">
        <w:rPr>
          <w:szCs w:val="18"/>
        </w:rPr>
        <w:t xml:space="preserve"> </w:t>
      </w:r>
    </w:p>
    <w:p w14:paraId="6C9F492F" w14:textId="77777777" w:rsidR="00632EC6" w:rsidRPr="006B2F21" w:rsidRDefault="00632EC6" w:rsidP="006B2F21">
      <w:pPr>
        <w:pStyle w:val="Heading4"/>
        <w:numPr>
          <w:ilvl w:val="3"/>
          <w:numId w:val="1"/>
        </w:numPr>
        <w:rPr>
          <w:szCs w:val="18"/>
        </w:rPr>
      </w:pPr>
      <w:bookmarkStart w:id="120" w:name="_Hlk19710621"/>
      <w:bookmarkStart w:id="121" w:name="_Toc31380990"/>
      <w:r w:rsidRPr="006B2F21">
        <w:rPr>
          <w:szCs w:val="18"/>
        </w:rPr>
        <w:t>Analysis</w:t>
      </w:r>
      <w:bookmarkEnd w:id="120"/>
      <w:bookmarkEnd w:id="121"/>
    </w:p>
    <w:p w14:paraId="35C774C7" w14:textId="6DA2B2CF" w:rsidR="00632EC6" w:rsidRPr="006B2F21" w:rsidRDefault="00632EC6" w:rsidP="006B2F21">
      <w:pPr>
        <w:pStyle w:val="BodyText"/>
        <w:numPr>
          <w:ilvl w:val="6"/>
          <w:numId w:val="1"/>
        </w:numPr>
        <w:rPr>
          <w:szCs w:val="18"/>
        </w:rPr>
      </w:pPr>
      <w:bookmarkStart w:id="122" w:name="_Ref26253137"/>
      <w:r w:rsidRPr="006B2F21">
        <w:rPr>
          <w:szCs w:val="18"/>
        </w:rPr>
        <w:t xml:space="preserve">As part of its objective assessment of the matter under Article 11 of the DSU, a panel must "thoroughly scrutinize the measure before it, both in its design and in its operation, and identify its </w:t>
      </w:r>
      <w:r w:rsidRPr="006B2F21">
        <w:rPr>
          <w:szCs w:val="18"/>
        </w:rPr>
        <w:lastRenderedPageBreak/>
        <w:t>principal characteristics".</w:t>
      </w:r>
      <w:r w:rsidRPr="006B2F21">
        <w:rPr>
          <w:rStyle w:val="FootnoteReference"/>
          <w:szCs w:val="18"/>
        </w:rPr>
        <w:footnoteReference w:id="192"/>
      </w:r>
      <w:r w:rsidRPr="006B2F21">
        <w:rPr>
          <w:szCs w:val="18"/>
        </w:rPr>
        <w:t xml:space="preserve"> This entails identifying "</w:t>
      </w:r>
      <w:r w:rsidRPr="006B2F21">
        <w:rPr>
          <w:i/>
          <w:szCs w:val="18"/>
        </w:rPr>
        <w:t>all</w:t>
      </w:r>
      <w:r w:rsidRPr="006B2F21">
        <w:rPr>
          <w:szCs w:val="18"/>
        </w:rPr>
        <w:t xml:space="preserve"> relevant characteristics of the measure", recognizing "which features are the most central to that measure itself", and "which are to be accorded the most significance for purposes of characterizing the relevant [measure]".</w:t>
      </w:r>
      <w:r w:rsidRPr="006B2F21">
        <w:rPr>
          <w:rStyle w:val="FootnoteReference"/>
          <w:szCs w:val="18"/>
        </w:rPr>
        <w:footnoteReference w:id="193"/>
      </w:r>
      <w:r w:rsidRPr="006B2F21">
        <w:rPr>
          <w:szCs w:val="18"/>
        </w:rPr>
        <w:t xml:space="preserve"> Exactly what is required for a panel to do so is bound to vary depending on the circumstances of each case, the evidence proffered by the parties, and the nature of the measure itself.</w:t>
      </w:r>
      <w:r w:rsidRPr="006B2F21">
        <w:rPr>
          <w:rStyle w:val="FootnoteReference"/>
          <w:szCs w:val="18"/>
        </w:rPr>
        <w:footnoteReference w:id="194"/>
      </w:r>
      <w:r w:rsidRPr="006B2F21">
        <w:rPr>
          <w:szCs w:val="18"/>
        </w:rPr>
        <w:t xml:space="preserve"> In this regard, panels enjoy a margin of discretion to structure their assessment as they see fit, provided they proceed "on the basis of a properly structured analysis"</w:t>
      </w:r>
      <w:r w:rsidRPr="006B2F21">
        <w:rPr>
          <w:rStyle w:val="FootnoteReference"/>
          <w:szCs w:val="18"/>
        </w:rPr>
        <w:footnoteReference w:id="195"/>
      </w:r>
      <w:r w:rsidRPr="006B2F21">
        <w:rPr>
          <w:szCs w:val="18"/>
        </w:rPr>
        <w:t>, provide "reasoned and adequate explanations and coherent reasoning"</w:t>
      </w:r>
      <w:r w:rsidRPr="006B2F21">
        <w:rPr>
          <w:rStyle w:val="FootnoteReference"/>
          <w:szCs w:val="18"/>
        </w:rPr>
        <w:footnoteReference w:id="196"/>
      </w:r>
      <w:r w:rsidRPr="006B2F21">
        <w:rPr>
          <w:szCs w:val="18"/>
        </w:rPr>
        <w:t>, base their findings on a "sufficient evidentiary basis"</w:t>
      </w:r>
      <w:r w:rsidRPr="006B2F21">
        <w:rPr>
          <w:rStyle w:val="FootnoteReference"/>
          <w:szCs w:val="18"/>
        </w:rPr>
        <w:footnoteReference w:id="197"/>
      </w:r>
      <w:r w:rsidRPr="006B2F21">
        <w:rPr>
          <w:szCs w:val="18"/>
        </w:rPr>
        <w:t>, treat evidence with "even</w:t>
      </w:r>
      <w:r w:rsidR="00B24926" w:rsidRPr="006B2F21">
        <w:rPr>
          <w:szCs w:val="18"/>
        </w:rPr>
        <w:noBreakHyphen/>
      </w:r>
      <w:r w:rsidRPr="006B2F21">
        <w:rPr>
          <w:szCs w:val="18"/>
        </w:rPr>
        <w:t>handedness"</w:t>
      </w:r>
      <w:r w:rsidRPr="006B2F21">
        <w:rPr>
          <w:rStyle w:val="FootnoteReference"/>
          <w:szCs w:val="18"/>
        </w:rPr>
        <w:footnoteReference w:id="198"/>
      </w:r>
      <w:r w:rsidRPr="006B2F21">
        <w:rPr>
          <w:szCs w:val="18"/>
        </w:rPr>
        <w:t>, and carry out a "holistic assessment" of all pertinent elements before reaching its conclusions.</w:t>
      </w:r>
      <w:bookmarkEnd w:id="122"/>
      <w:r w:rsidRPr="006B2F21">
        <w:rPr>
          <w:rStyle w:val="FootnoteReference"/>
          <w:szCs w:val="18"/>
        </w:rPr>
        <w:footnoteReference w:id="199"/>
      </w:r>
    </w:p>
    <w:p w14:paraId="3FD7D4EE" w14:textId="709D653F" w:rsidR="00632EC6" w:rsidRPr="006B2F21" w:rsidRDefault="00632EC6" w:rsidP="006B2F21">
      <w:pPr>
        <w:pStyle w:val="BodyText"/>
        <w:numPr>
          <w:ilvl w:val="6"/>
          <w:numId w:val="1"/>
        </w:numPr>
        <w:rPr>
          <w:szCs w:val="18"/>
        </w:rPr>
      </w:pPr>
      <w:bookmarkStart w:id="123" w:name="_Ref26253139"/>
      <w:r w:rsidRPr="006B2F21">
        <w:rPr>
          <w:szCs w:val="18"/>
        </w:rPr>
        <w:t>Furthermore, the Appellate Body cannot base a finding of inconsistency under Article 11 simply on the conclusion that it might have reached a different factual finding from the one the panel reached.</w:t>
      </w:r>
      <w:r w:rsidRPr="006B2F21">
        <w:rPr>
          <w:rStyle w:val="FootnoteReference"/>
          <w:szCs w:val="18"/>
        </w:rPr>
        <w:footnoteReference w:id="200"/>
      </w:r>
      <w:r w:rsidRPr="006B2F21">
        <w:rPr>
          <w:szCs w:val="18"/>
        </w:rPr>
        <w:t xml:space="preserve"> It is therefore not sufficient for a participant raising a claim under Article 11 simply to disagree with a panel.</w:t>
      </w:r>
      <w:r w:rsidRPr="006B2F21">
        <w:rPr>
          <w:rStyle w:val="FootnoteReference"/>
          <w:szCs w:val="18"/>
        </w:rPr>
        <w:footnoteReference w:id="201"/>
      </w:r>
      <w:r w:rsidRPr="006B2F21">
        <w:rPr>
          <w:szCs w:val="18"/>
        </w:rPr>
        <w:t xml:space="preserve"> In addition, the Appellate Body has stated that not every error in the appreciation of a particular piece of evidence will rise to the level of a failure by </w:t>
      </w:r>
      <w:r w:rsidR="00497440" w:rsidRPr="006B2F21">
        <w:rPr>
          <w:szCs w:val="18"/>
        </w:rPr>
        <w:t xml:space="preserve">a </w:t>
      </w:r>
      <w:r w:rsidRPr="006B2F21">
        <w:rPr>
          <w:szCs w:val="18"/>
        </w:rPr>
        <w:t>panel to comply with its duties under Article 11 of the DSU. To find that a panel acted inconsistently with Article 11, the Appellate Body would have to be satisfied that the panel's errors, taken together or singly, undermine the objectivity of the panel's assessment of the matter before it.</w:t>
      </w:r>
      <w:bookmarkEnd w:id="123"/>
      <w:r w:rsidRPr="006B2F21">
        <w:rPr>
          <w:rStyle w:val="FootnoteReference"/>
          <w:szCs w:val="18"/>
        </w:rPr>
        <w:footnoteReference w:id="202"/>
      </w:r>
    </w:p>
    <w:p w14:paraId="561071BF" w14:textId="73DA1ED9" w:rsidR="00632EC6" w:rsidRPr="006B2F21" w:rsidRDefault="00632EC6" w:rsidP="006B2F21">
      <w:pPr>
        <w:pStyle w:val="BodyText"/>
        <w:numPr>
          <w:ilvl w:val="6"/>
          <w:numId w:val="1"/>
        </w:numPr>
        <w:rPr>
          <w:szCs w:val="18"/>
        </w:rPr>
      </w:pPr>
      <w:r w:rsidRPr="006B2F21">
        <w:rPr>
          <w:szCs w:val="18"/>
        </w:rPr>
        <w:t>With these considerations in mind, we turn to address Russia's claim that the Panel erred under Article 11 of the DSU in finding the existence of the third measure as a "general" non</w:t>
      </w:r>
      <w:r w:rsidR="00B24926" w:rsidRPr="006B2F21">
        <w:rPr>
          <w:szCs w:val="18"/>
        </w:rPr>
        <w:noBreakHyphen/>
      </w:r>
      <w:r w:rsidRPr="006B2F21">
        <w:rPr>
          <w:szCs w:val="18"/>
        </w:rPr>
        <w:t>recognition requirement that "flows from" CU Technical Regulation</w:t>
      </w:r>
      <w:r w:rsidR="00B62F15" w:rsidRPr="006B2F21">
        <w:rPr>
          <w:szCs w:val="18"/>
        </w:rPr>
        <w:t> </w:t>
      </w:r>
      <w:r w:rsidRPr="006B2F21">
        <w:rPr>
          <w:szCs w:val="18"/>
        </w:rPr>
        <w:t>001/2011.</w:t>
      </w:r>
    </w:p>
    <w:p w14:paraId="4FE88A92" w14:textId="1BC0E6B3" w:rsidR="00632EC6" w:rsidRPr="006B2F21" w:rsidRDefault="00632EC6" w:rsidP="006B2F21">
      <w:pPr>
        <w:pStyle w:val="BodyText"/>
        <w:numPr>
          <w:ilvl w:val="6"/>
          <w:numId w:val="1"/>
        </w:numPr>
        <w:rPr>
          <w:szCs w:val="18"/>
        </w:rPr>
      </w:pPr>
      <w:r w:rsidRPr="006B2F21">
        <w:rPr>
          <w:szCs w:val="18"/>
        </w:rPr>
        <w:t xml:space="preserve">We first turn to Russia's argument that </w:t>
      </w:r>
      <w:r w:rsidR="00FA1E1C" w:rsidRPr="006B2F21">
        <w:rPr>
          <w:szCs w:val="18"/>
        </w:rPr>
        <w:t xml:space="preserve">Ukraine's </w:t>
      </w:r>
      <w:r w:rsidRPr="006B2F21">
        <w:rPr>
          <w:szCs w:val="18"/>
        </w:rPr>
        <w:t xml:space="preserve">"[p]anel [r]equest specifies the matter as CU Technical Regulation 001/2011 and thus it is the </w:t>
      </w:r>
      <w:r w:rsidRPr="006B2F21">
        <w:rPr>
          <w:i/>
          <w:szCs w:val="18"/>
        </w:rPr>
        <w:t>obligation</w:t>
      </w:r>
      <w:r w:rsidRPr="006B2F21">
        <w:rPr>
          <w:szCs w:val="18"/>
        </w:rPr>
        <w:t xml:space="preserve"> of the Panel to examine CU Technical Regulation 001/2011, including its content"</w:t>
      </w:r>
      <w:r w:rsidR="00FA1E1C" w:rsidRPr="006B2F21">
        <w:rPr>
          <w:szCs w:val="18"/>
        </w:rPr>
        <w:t>.</w:t>
      </w:r>
      <w:r w:rsidRPr="006B2F21">
        <w:rPr>
          <w:rStyle w:val="FootnoteReference"/>
          <w:szCs w:val="18"/>
        </w:rPr>
        <w:footnoteReference w:id="203"/>
      </w:r>
      <w:r w:rsidRPr="006B2F21">
        <w:rPr>
          <w:szCs w:val="18"/>
        </w:rPr>
        <w:t xml:space="preserve"> This contention appears to be based on the proposition that the third measure consists of CU Technical Regulation 001/2011 as such.</w:t>
      </w:r>
      <w:r w:rsidRPr="006B2F21">
        <w:rPr>
          <w:rStyle w:val="FootnoteReference"/>
          <w:szCs w:val="18"/>
        </w:rPr>
        <w:footnoteReference w:id="204"/>
      </w:r>
      <w:r w:rsidRPr="006B2F21">
        <w:rPr>
          <w:szCs w:val="18"/>
        </w:rPr>
        <w:t xml:space="preserve"> However, as we have found above, the third measure as identified by Ukraine was the alleged decision by the relevant Russian authorities that they will not recognize the validity of certificates issued for Ukrainian railway products by certification bodies in other CU countries unless the products were manufactured within the CU.</w:t>
      </w:r>
      <w:r w:rsidRPr="006B2F21">
        <w:rPr>
          <w:rStyle w:val="FootnoteReference"/>
          <w:szCs w:val="18"/>
        </w:rPr>
        <w:footnoteReference w:id="205"/>
      </w:r>
      <w:r w:rsidRPr="006B2F21">
        <w:rPr>
          <w:szCs w:val="18"/>
        </w:rPr>
        <w:t xml:space="preserve"> The Panel examined the three letters submitted by Ukraine as evidence of this measure and made a factual finding that these documents showed that the relevant Russian authorities </w:t>
      </w:r>
      <w:r w:rsidRPr="006B2F21">
        <w:rPr>
          <w:i/>
          <w:szCs w:val="18"/>
        </w:rPr>
        <w:t>themselves</w:t>
      </w:r>
      <w:r w:rsidRPr="006B2F21">
        <w:rPr>
          <w:szCs w:val="18"/>
        </w:rPr>
        <w:t xml:space="preserve"> interpreted Article 1(1) of CU Technical Regulation 001/2011 as imposing the non</w:t>
      </w:r>
      <w:r w:rsidR="00B24926" w:rsidRPr="006B2F21">
        <w:rPr>
          <w:szCs w:val="18"/>
        </w:rPr>
        <w:noBreakHyphen/>
      </w:r>
      <w:r w:rsidRPr="006B2F21">
        <w:rPr>
          <w:szCs w:val="18"/>
        </w:rPr>
        <w:t xml:space="preserve">recognition requirement based on, </w:t>
      </w:r>
      <w:r w:rsidRPr="006B2F21">
        <w:rPr>
          <w:i/>
          <w:szCs w:val="18"/>
        </w:rPr>
        <w:t>inter alia</w:t>
      </w:r>
      <w:r w:rsidRPr="006B2F21">
        <w:rPr>
          <w:szCs w:val="18"/>
        </w:rPr>
        <w:t xml:space="preserve">, the local production condition, and applied it on Ukrainian railway imports to come to a decision not to recognize certificates issued to </w:t>
      </w:r>
      <w:r w:rsidRPr="006B2F21">
        <w:rPr>
          <w:szCs w:val="18"/>
        </w:rPr>
        <w:lastRenderedPageBreak/>
        <w:t>these Ukrainian imports in other CU</w:t>
      </w:r>
      <w:r w:rsidR="00B62F15" w:rsidRPr="006B2F21">
        <w:rPr>
          <w:szCs w:val="18"/>
        </w:rPr>
        <w:t> </w:t>
      </w:r>
      <w:r w:rsidRPr="006B2F21">
        <w:rPr>
          <w:szCs w:val="18"/>
        </w:rPr>
        <w:t>countries.</w:t>
      </w:r>
      <w:r w:rsidRPr="006B2F21">
        <w:rPr>
          <w:rStyle w:val="FootnoteReference"/>
          <w:szCs w:val="18"/>
        </w:rPr>
        <w:footnoteReference w:id="206"/>
      </w:r>
      <w:r w:rsidRPr="006B2F21">
        <w:rPr>
          <w:szCs w:val="18"/>
        </w:rPr>
        <w:t xml:space="preserve"> Thus, the Panel did not interpret of its own motion CU Technical Regulation 001/2011 to find that the third measure </w:t>
      </w:r>
      <w:r w:rsidRPr="006B2F21">
        <w:rPr>
          <w:i/>
          <w:szCs w:val="18"/>
        </w:rPr>
        <w:t>in fact</w:t>
      </w:r>
      <w:r w:rsidRPr="006B2F21">
        <w:rPr>
          <w:szCs w:val="18"/>
        </w:rPr>
        <w:t xml:space="preserve"> "flows from" that regulation. Rather, the Panel found, as a factual matter based on its examination of the three letters, that the relevant Russian authorities themselves indicated CU Technical Regulation</w:t>
      </w:r>
      <w:r w:rsidR="009F5DA1" w:rsidRPr="006B2F21">
        <w:rPr>
          <w:szCs w:val="18"/>
        </w:rPr>
        <w:t> </w:t>
      </w:r>
      <w:r w:rsidRPr="006B2F21">
        <w:rPr>
          <w:szCs w:val="18"/>
        </w:rPr>
        <w:t>001/2011 as the source of the third measure as Ukraine identified in its panel request.</w:t>
      </w:r>
      <w:r w:rsidRPr="006B2F21">
        <w:rPr>
          <w:rStyle w:val="FootnoteReference"/>
          <w:szCs w:val="18"/>
        </w:rPr>
        <w:footnoteReference w:id="207"/>
      </w:r>
      <w:r w:rsidRPr="006B2F21">
        <w:rPr>
          <w:szCs w:val="18"/>
        </w:rPr>
        <w:t xml:space="preserve"> </w:t>
      </w:r>
    </w:p>
    <w:p w14:paraId="2718E93E" w14:textId="27CEE4AF" w:rsidR="00632EC6" w:rsidRPr="006B2F21" w:rsidRDefault="00632EC6" w:rsidP="006B2F21">
      <w:pPr>
        <w:pStyle w:val="BodyText"/>
        <w:numPr>
          <w:ilvl w:val="6"/>
          <w:numId w:val="1"/>
        </w:numPr>
        <w:rPr>
          <w:szCs w:val="18"/>
        </w:rPr>
      </w:pPr>
      <w:r w:rsidRPr="006B2F21">
        <w:rPr>
          <w:szCs w:val="18"/>
        </w:rPr>
        <w:t>Next, we turn to Russia's reliance on Article 53 of the EAEU Treaty.</w:t>
      </w:r>
      <w:r w:rsidRPr="006B2F21">
        <w:rPr>
          <w:rStyle w:val="FootnoteReference"/>
          <w:szCs w:val="18"/>
        </w:rPr>
        <w:footnoteReference w:id="208"/>
      </w:r>
      <w:r w:rsidRPr="006B2F21">
        <w:rPr>
          <w:szCs w:val="18"/>
        </w:rPr>
        <w:t xml:space="preserve"> Russia contends that this provision requires that products subject to technical regulations of the CU be put into circulation within the whole CU without additional requirements or conformity assessment procedures. For Russia, this demonstrates that the non</w:t>
      </w:r>
      <w:r w:rsidR="00B24926" w:rsidRPr="006B2F21">
        <w:rPr>
          <w:szCs w:val="18"/>
        </w:rPr>
        <w:noBreakHyphen/>
      </w:r>
      <w:r w:rsidRPr="006B2F21">
        <w:rPr>
          <w:szCs w:val="18"/>
        </w:rPr>
        <w:t>recognition requirement challenged by Ukraine does not exist.</w:t>
      </w:r>
      <w:r w:rsidRPr="006B2F21">
        <w:rPr>
          <w:rStyle w:val="FootnoteReference"/>
          <w:szCs w:val="18"/>
        </w:rPr>
        <w:footnoteReference w:id="209"/>
      </w:r>
      <w:r w:rsidRPr="006B2F21">
        <w:rPr>
          <w:szCs w:val="18"/>
        </w:rPr>
        <w:t xml:space="preserve"> In this respect, we note that the Panel reviewed the three letters provided by Ukraine as evidence of the third measure and found that the relevant Russian authorities decided that the relevant certificates issued by the Belarusian certification body were not valid in Russia's territory</w:t>
      </w:r>
      <w:r w:rsidR="004518D1" w:rsidRPr="006B2F21">
        <w:rPr>
          <w:szCs w:val="18"/>
        </w:rPr>
        <w:t xml:space="preserve">. This decision was expressly </w:t>
      </w:r>
      <w:r w:rsidRPr="006B2F21">
        <w:rPr>
          <w:szCs w:val="18"/>
        </w:rPr>
        <w:t>based on the provisions of CU Technical Regulation 001/2011, which the Russian authorities interpreted as imposing the local production condition and the local registration condition.</w:t>
      </w:r>
      <w:r w:rsidRPr="006B2F21">
        <w:rPr>
          <w:rStyle w:val="FootnoteReference"/>
          <w:szCs w:val="18"/>
        </w:rPr>
        <w:footnoteReference w:id="210"/>
      </w:r>
      <w:r w:rsidRPr="006B2F21">
        <w:rPr>
          <w:szCs w:val="18"/>
        </w:rPr>
        <w:t xml:space="preserve"> In our view, the Panel thus found that the non</w:t>
      </w:r>
      <w:r w:rsidR="00B24926" w:rsidRPr="006B2F21">
        <w:rPr>
          <w:szCs w:val="18"/>
        </w:rPr>
        <w:noBreakHyphen/>
      </w:r>
      <w:r w:rsidRPr="006B2F21">
        <w:rPr>
          <w:szCs w:val="18"/>
        </w:rPr>
        <w:t xml:space="preserve">recognition requirement challenged by Ukraine did in fact exist, notwithstanding the argument by Russia that such a requirement would be in breach of Article 53 of the EAEU Treaty. Thus, </w:t>
      </w:r>
      <w:r w:rsidR="004518D1" w:rsidRPr="006B2F21">
        <w:rPr>
          <w:szCs w:val="18"/>
        </w:rPr>
        <w:t xml:space="preserve">for the Panel, </w:t>
      </w:r>
      <w:r w:rsidRPr="006B2F21">
        <w:rPr>
          <w:szCs w:val="18"/>
        </w:rPr>
        <w:t xml:space="preserve">evidence regarding whether or not the third measure is permitted under Article 53 of the EAEU Treaty </w:t>
      </w:r>
      <w:r w:rsidR="004518D1" w:rsidRPr="006B2F21">
        <w:rPr>
          <w:szCs w:val="18"/>
        </w:rPr>
        <w:t xml:space="preserve">was </w:t>
      </w:r>
      <w:r w:rsidRPr="006B2F21">
        <w:rPr>
          <w:szCs w:val="18"/>
        </w:rPr>
        <w:t xml:space="preserve">not probative in determining whether the third measure existed in reality. </w:t>
      </w:r>
    </w:p>
    <w:p w14:paraId="01B8C013" w14:textId="41352E70" w:rsidR="00632EC6" w:rsidRPr="006B2F21" w:rsidRDefault="00632EC6" w:rsidP="006B2F21">
      <w:pPr>
        <w:pStyle w:val="BodyText"/>
        <w:numPr>
          <w:ilvl w:val="6"/>
          <w:numId w:val="1"/>
        </w:numPr>
        <w:rPr>
          <w:szCs w:val="18"/>
        </w:rPr>
      </w:pPr>
      <w:r w:rsidRPr="006B2F21">
        <w:rPr>
          <w:szCs w:val="18"/>
        </w:rPr>
        <w:t>We now turn to Russia's assertion that the Panel did not consider its argument that neither the MOT nor the Russian Federal ART had the authority to interpret CU Technical Regulation 001/2011.</w:t>
      </w:r>
      <w:r w:rsidRPr="006B2F21">
        <w:rPr>
          <w:rStyle w:val="FootnoteReference"/>
          <w:szCs w:val="18"/>
        </w:rPr>
        <w:footnoteReference w:id="211"/>
      </w:r>
      <w:r w:rsidRPr="006B2F21">
        <w:rPr>
          <w:szCs w:val="18"/>
        </w:rPr>
        <w:t xml:space="preserve"> We note that the Panel indeed addressed this argument.</w:t>
      </w:r>
      <w:r w:rsidRPr="006B2F21">
        <w:rPr>
          <w:rStyle w:val="FootnoteReference"/>
          <w:szCs w:val="18"/>
        </w:rPr>
        <w:footnoteReference w:id="212"/>
      </w:r>
      <w:r w:rsidRPr="006B2F21">
        <w:rPr>
          <w:szCs w:val="18"/>
        </w:rPr>
        <w:t xml:space="preserve"> In particular, the Panel explicitly noted Russia's argument that neither the MOT </w:t>
      </w:r>
      <w:r w:rsidR="00BF0756" w:rsidRPr="006B2F21">
        <w:rPr>
          <w:szCs w:val="18"/>
        </w:rPr>
        <w:t xml:space="preserve">nor </w:t>
      </w:r>
      <w:r w:rsidRPr="006B2F21">
        <w:rPr>
          <w:szCs w:val="18"/>
        </w:rPr>
        <w:t>the Russian Federal ART had the authority to interpret CU Technical Regulation 001/2011.</w:t>
      </w:r>
      <w:r w:rsidRPr="006B2F21">
        <w:rPr>
          <w:rStyle w:val="FootnoteReference"/>
          <w:szCs w:val="18"/>
        </w:rPr>
        <w:footnoteReference w:id="213"/>
      </w:r>
      <w:r w:rsidRPr="006B2F21">
        <w:rPr>
          <w:szCs w:val="18"/>
        </w:rPr>
        <w:t xml:space="preserve"> The Panel then recalled Protocol </w:t>
      </w:r>
      <w:r w:rsidR="00151192" w:rsidRPr="006B2F21">
        <w:rPr>
          <w:szCs w:val="18"/>
        </w:rPr>
        <w:t>No. </w:t>
      </w:r>
      <w:r w:rsidRPr="006B2F21">
        <w:rPr>
          <w:szCs w:val="18"/>
        </w:rPr>
        <w:t>A 4</w:t>
      </w:r>
      <w:r w:rsidR="00B24926" w:rsidRPr="006B2F21">
        <w:rPr>
          <w:szCs w:val="18"/>
        </w:rPr>
        <w:noBreakHyphen/>
      </w:r>
      <w:r w:rsidRPr="006B2F21">
        <w:rPr>
          <w:szCs w:val="18"/>
        </w:rPr>
        <w:t>3 and the letters, and found that it is clear from these documents that the Russian authorities reached a conclusion on the meaning and scope of certain provisions of CU Technical Regulation 001/2011 and based their decisions on it.</w:t>
      </w:r>
      <w:r w:rsidRPr="006B2F21">
        <w:rPr>
          <w:rStyle w:val="FootnoteReference"/>
          <w:szCs w:val="18"/>
        </w:rPr>
        <w:footnoteReference w:id="214"/>
      </w:r>
      <w:r w:rsidRPr="006B2F21">
        <w:rPr>
          <w:szCs w:val="18"/>
        </w:rPr>
        <w:t xml:space="preserve"> In </w:t>
      </w:r>
      <w:r w:rsidR="00AA4109" w:rsidRPr="006B2F21">
        <w:rPr>
          <w:szCs w:val="18"/>
        </w:rPr>
        <w:t>the presence of</w:t>
      </w:r>
      <w:r w:rsidRPr="006B2F21">
        <w:rPr>
          <w:szCs w:val="18"/>
        </w:rPr>
        <w:t xml:space="preserve"> evidence of what the Russian authorities actually did according to these letters, the Panel concluded that whether or not the relevant Russian authorities had the power to interpret CU Technical Regulation 001/2011 and whether they interpreted it correctly was not relevant to its analysis. Instead, the Panel found that what is relevant for its analysis was what the Russian authorities actually did or did not do</w:t>
      </w:r>
      <w:r w:rsidRPr="006B2F21">
        <w:rPr>
          <w:rStyle w:val="FootnoteReference"/>
          <w:szCs w:val="18"/>
        </w:rPr>
        <w:footnoteReference w:id="215"/>
      </w:r>
      <w:r w:rsidRPr="006B2F21">
        <w:rPr>
          <w:szCs w:val="18"/>
        </w:rPr>
        <w:t>, which the Panel discerned from Protocol </w:t>
      </w:r>
      <w:r w:rsidR="00151192" w:rsidRPr="006B2F21">
        <w:rPr>
          <w:szCs w:val="18"/>
        </w:rPr>
        <w:t>No. </w:t>
      </w:r>
      <w:r w:rsidRPr="006B2F21">
        <w:rPr>
          <w:szCs w:val="18"/>
        </w:rPr>
        <w:t>A 4</w:t>
      </w:r>
      <w:r w:rsidR="00B24926" w:rsidRPr="006B2F21">
        <w:rPr>
          <w:szCs w:val="18"/>
        </w:rPr>
        <w:noBreakHyphen/>
      </w:r>
      <w:r w:rsidRPr="006B2F21">
        <w:rPr>
          <w:szCs w:val="18"/>
        </w:rPr>
        <w:t xml:space="preserve">3 and the letters. From our review of the Panel's analysis, we do not see that the Panel "did not consider" or "disregarded" Russia's arguments that neither the MOT nor the Russian Federal ART had the authority to interpret CU Technical Regulation 001/2011. Rather, the Panel did consider these arguments in light of its finding of what the relevant Russian authorities actually did. </w:t>
      </w:r>
    </w:p>
    <w:p w14:paraId="27AD567F" w14:textId="27572B5F" w:rsidR="00632EC6" w:rsidRPr="006B2F21" w:rsidRDefault="00632EC6" w:rsidP="006B2F21">
      <w:pPr>
        <w:pStyle w:val="BodyText"/>
        <w:numPr>
          <w:ilvl w:val="6"/>
          <w:numId w:val="1"/>
        </w:numPr>
        <w:rPr>
          <w:szCs w:val="18"/>
        </w:rPr>
      </w:pPr>
      <w:r w:rsidRPr="006B2F21">
        <w:rPr>
          <w:szCs w:val="18"/>
        </w:rPr>
        <w:t xml:space="preserve">In addition, we do not consider that Russia has established that the Panel erred in finding that the competence of the MOT and the </w:t>
      </w:r>
      <w:r w:rsidR="00FA1E1C" w:rsidRPr="006B2F21">
        <w:rPr>
          <w:szCs w:val="18"/>
        </w:rPr>
        <w:t xml:space="preserve">Russian </w:t>
      </w:r>
      <w:r w:rsidRPr="006B2F21">
        <w:rPr>
          <w:szCs w:val="18"/>
        </w:rPr>
        <w:t xml:space="preserve">Federal ART to interpret CU Technical Regulation 001/2011 is not relevant for the purpose of assessing the existence of the third measure. </w:t>
      </w:r>
      <w:r w:rsidR="00AA4109" w:rsidRPr="006B2F21">
        <w:rPr>
          <w:szCs w:val="18"/>
        </w:rPr>
        <w:t>W</w:t>
      </w:r>
      <w:r w:rsidRPr="006B2F21">
        <w:rPr>
          <w:szCs w:val="18"/>
        </w:rPr>
        <w:t xml:space="preserve">e recall </w:t>
      </w:r>
      <w:r w:rsidR="00AA4109" w:rsidRPr="006B2F21">
        <w:rPr>
          <w:szCs w:val="18"/>
        </w:rPr>
        <w:t xml:space="preserve">that </w:t>
      </w:r>
      <w:r w:rsidRPr="006B2F21">
        <w:rPr>
          <w:szCs w:val="18"/>
        </w:rPr>
        <w:t xml:space="preserve">the third measure at issue did not include CU Technical Regulation 001/2011 </w:t>
      </w:r>
      <w:r w:rsidRPr="006B2F21">
        <w:rPr>
          <w:i/>
          <w:szCs w:val="18"/>
        </w:rPr>
        <w:t>per se</w:t>
      </w:r>
      <w:r w:rsidRPr="006B2F21">
        <w:rPr>
          <w:szCs w:val="18"/>
        </w:rPr>
        <w:t>, but consisted of the alleged non</w:t>
      </w:r>
      <w:r w:rsidR="00B24926" w:rsidRPr="006B2F21">
        <w:rPr>
          <w:szCs w:val="18"/>
        </w:rPr>
        <w:noBreakHyphen/>
      </w:r>
      <w:r w:rsidRPr="006B2F21">
        <w:rPr>
          <w:szCs w:val="18"/>
        </w:rPr>
        <w:t xml:space="preserve">recognition requirement that the relevant Russian authorities themselves considered to flow from CU Technical Regulation 001/2011 according to their interpretation. As such, we do not see the relevance of the competence of the relevant Russian authorities to interpret CU Technical Regulation 001/2011 in determining whether the third measure exists. </w:t>
      </w:r>
    </w:p>
    <w:p w14:paraId="3FDC0574" w14:textId="562792CF" w:rsidR="00632EC6" w:rsidRPr="006B2F21" w:rsidRDefault="00632EC6" w:rsidP="006B2F21">
      <w:pPr>
        <w:pStyle w:val="BodyText"/>
        <w:numPr>
          <w:ilvl w:val="6"/>
          <w:numId w:val="1"/>
        </w:numPr>
        <w:rPr>
          <w:szCs w:val="18"/>
        </w:rPr>
      </w:pPr>
      <w:r w:rsidRPr="006B2F21">
        <w:rPr>
          <w:szCs w:val="18"/>
        </w:rPr>
        <w:t>Finally, we turn to Russia's argument that a "general" non</w:t>
      </w:r>
      <w:r w:rsidR="00B24926" w:rsidRPr="006B2F21">
        <w:rPr>
          <w:szCs w:val="18"/>
        </w:rPr>
        <w:noBreakHyphen/>
      </w:r>
      <w:r w:rsidRPr="006B2F21">
        <w:rPr>
          <w:szCs w:val="18"/>
        </w:rPr>
        <w:t>recognition requirement that "flows from" CU Technical Regulation 001/2011 did not exist because it was CU Technical Regulation 001/2011 (as opposed to the alleged non</w:t>
      </w:r>
      <w:r w:rsidR="00B24926" w:rsidRPr="006B2F21">
        <w:rPr>
          <w:szCs w:val="18"/>
        </w:rPr>
        <w:noBreakHyphen/>
      </w:r>
      <w:r w:rsidRPr="006B2F21">
        <w:rPr>
          <w:szCs w:val="18"/>
        </w:rPr>
        <w:t xml:space="preserve">recognition requirement) that applied to all </w:t>
      </w:r>
      <w:r w:rsidRPr="006B2F21">
        <w:rPr>
          <w:szCs w:val="18"/>
        </w:rPr>
        <w:lastRenderedPageBreak/>
        <w:t>products regardless of their location of manufacture.</w:t>
      </w:r>
      <w:r w:rsidRPr="006B2F21">
        <w:rPr>
          <w:rStyle w:val="FootnoteReference"/>
          <w:szCs w:val="18"/>
        </w:rPr>
        <w:footnoteReference w:id="216"/>
      </w:r>
      <w:r w:rsidRPr="006B2F21">
        <w:rPr>
          <w:szCs w:val="18"/>
        </w:rPr>
        <w:t xml:space="preserve"> Russia's assertion is based on the evidence of Russia's issuance of certificates under CU Technical Regulation 001/2011 to producers outside the CU territory.</w:t>
      </w:r>
      <w:r w:rsidRPr="006B2F21">
        <w:rPr>
          <w:rStyle w:val="FootnoteReference"/>
          <w:szCs w:val="18"/>
        </w:rPr>
        <w:footnoteReference w:id="217"/>
      </w:r>
      <w:r w:rsidRPr="006B2F21">
        <w:rPr>
          <w:szCs w:val="18"/>
        </w:rPr>
        <w:t xml:space="preserve"> In this regard, we recall that the measure </w:t>
      </w:r>
      <w:r w:rsidR="00AA4109" w:rsidRPr="006B2F21">
        <w:rPr>
          <w:szCs w:val="18"/>
        </w:rPr>
        <w:t xml:space="preserve">subject to </w:t>
      </w:r>
      <w:r w:rsidRPr="006B2F21">
        <w:rPr>
          <w:szCs w:val="18"/>
        </w:rPr>
        <w:t xml:space="preserve">the Panel's inquiry was the </w:t>
      </w:r>
      <w:r w:rsidRPr="006B2F21">
        <w:rPr>
          <w:i/>
          <w:szCs w:val="18"/>
        </w:rPr>
        <w:t>non</w:t>
      </w:r>
      <w:r w:rsidR="00B24926" w:rsidRPr="006B2F21">
        <w:rPr>
          <w:i/>
          <w:szCs w:val="18"/>
        </w:rPr>
        <w:noBreakHyphen/>
      </w:r>
      <w:r w:rsidRPr="006B2F21">
        <w:rPr>
          <w:i/>
          <w:szCs w:val="18"/>
        </w:rPr>
        <w:t>recognition</w:t>
      </w:r>
      <w:r w:rsidRPr="006B2F21">
        <w:rPr>
          <w:szCs w:val="18"/>
        </w:rPr>
        <w:t xml:space="preserve"> by Russia of certificates already issued under CU Technical Regulation 001/2011 to products manufactured in other CU countries.</w:t>
      </w:r>
      <w:r w:rsidRPr="006B2F21">
        <w:rPr>
          <w:rStyle w:val="FootnoteReference"/>
          <w:szCs w:val="18"/>
        </w:rPr>
        <w:footnoteReference w:id="218"/>
      </w:r>
      <w:r w:rsidRPr="006B2F21">
        <w:rPr>
          <w:szCs w:val="18"/>
        </w:rPr>
        <w:t xml:space="preserve"> The Panel stated that the third measure at issue concerned "only the non</w:t>
      </w:r>
      <w:r w:rsidR="00B24926" w:rsidRPr="006B2F21">
        <w:rPr>
          <w:szCs w:val="18"/>
        </w:rPr>
        <w:noBreakHyphen/>
      </w:r>
      <w:r w:rsidRPr="006B2F21">
        <w:rPr>
          <w:szCs w:val="18"/>
        </w:rPr>
        <w:t>recognition by Russia of certificates already issued to Ukrainian producers under CU Technical Regulation 001/2011 in other CU countries" but "[i]t does not concern non</w:t>
      </w:r>
      <w:r w:rsidR="00B24926" w:rsidRPr="006B2F21">
        <w:rPr>
          <w:szCs w:val="18"/>
        </w:rPr>
        <w:noBreakHyphen/>
      </w:r>
      <w:r w:rsidRPr="006B2F21">
        <w:rPr>
          <w:szCs w:val="18"/>
        </w:rPr>
        <w:t>certification by Russia"</w:t>
      </w:r>
      <w:r w:rsidRPr="006B2F21">
        <w:rPr>
          <w:rStyle w:val="FootnoteReference"/>
          <w:szCs w:val="18"/>
        </w:rPr>
        <w:footnoteReference w:id="219"/>
      </w:r>
      <w:r w:rsidRPr="006B2F21">
        <w:rPr>
          <w:szCs w:val="18"/>
        </w:rPr>
        <w:t xml:space="preserve">, i.e. issuance of certificates under CU Technical Regulation 001/2011 by </w:t>
      </w:r>
      <w:r w:rsidR="00AA4109" w:rsidRPr="006B2F21">
        <w:rPr>
          <w:szCs w:val="18"/>
        </w:rPr>
        <w:t xml:space="preserve">the </w:t>
      </w:r>
      <w:r w:rsidRPr="006B2F21">
        <w:rPr>
          <w:szCs w:val="18"/>
        </w:rPr>
        <w:t>Russia</w:t>
      </w:r>
      <w:r w:rsidR="00AA4109" w:rsidRPr="006B2F21">
        <w:rPr>
          <w:szCs w:val="18"/>
        </w:rPr>
        <w:t>n authorities</w:t>
      </w:r>
      <w:r w:rsidRPr="006B2F21">
        <w:rPr>
          <w:szCs w:val="18"/>
        </w:rPr>
        <w:t xml:space="preserve">. The evidence submitted by Russia, however, relates to Russia's </w:t>
      </w:r>
      <w:r w:rsidRPr="006B2F21">
        <w:rPr>
          <w:i/>
          <w:szCs w:val="18"/>
        </w:rPr>
        <w:t>issuance</w:t>
      </w:r>
      <w:r w:rsidRPr="006B2F21">
        <w:rPr>
          <w:szCs w:val="18"/>
        </w:rPr>
        <w:t xml:space="preserve"> of certificates under CU Technical Regulation 001/2011. Specifically, Russia submitted to the Panel that it had issued certificates under CU Technical Regulation 001/2011 and subsequent amendments to producers located in Austria, Czech Republic, Germany, Hungary, Italy, Japan, Spain, Switzerland, and the United Kingdom.</w:t>
      </w:r>
      <w:r w:rsidRPr="006B2F21">
        <w:rPr>
          <w:rStyle w:val="FootnoteReference"/>
          <w:szCs w:val="18"/>
        </w:rPr>
        <w:footnoteReference w:id="220"/>
      </w:r>
      <w:r w:rsidRPr="006B2F21">
        <w:rPr>
          <w:szCs w:val="18"/>
        </w:rPr>
        <w:t xml:space="preserve"> While the Panel acknowledged that "there is indeed evidence that Russia ha[d] itself issued certificates under CU Technical Regulation 001/2011 to producers located in third countries", it ultimately found that "there is no evidence that … Russia actually allowed registration and importation of products produced outside the CU</w:t>
      </w:r>
      <w:r w:rsidR="006B6696" w:rsidRPr="006B2F21">
        <w:rPr>
          <w:szCs w:val="18"/>
        </w:rPr>
        <w:t> </w:t>
      </w:r>
      <w:r w:rsidRPr="006B2F21">
        <w:rPr>
          <w:szCs w:val="18"/>
        </w:rPr>
        <w:t>and covered by a certificate issued under CU Technical Regulation 001/2011 by another CU country."</w:t>
      </w:r>
      <w:r w:rsidRPr="006B2F21">
        <w:rPr>
          <w:rStyle w:val="FootnoteReference"/>
          <w:szCs w:val="18"/>
        </w:rPr>
        <w:footnoteReference w:id="221"/>
      </w:r>
      <w:r w:rsidRPr="006B2F21">
        <w:rPr>
          <w:rStyle w:val="FootnoteReference"/>
          <w:szCs w:val="18"/>
        </w:rPr>
        <w:t xml:space="preserve"> </w:t>
      </w:r>
      <w:r w:rsidRPr="006B2F21">
        <w:rPr>
          <w:szCs w:val="18"/>
        </w:rPr>
        <w:t>We agree with the Panel that "Russia [had] therefore not rebutted Ukraine's evidence concerning non</w:t>
      </w:r>
      <w:r w:rsidR="00B24926" w:rsidRPr="006B2F21">
        <w:rPr>
          <w:szCs w:val="18"/>
        </w:rPr>
        <w:noBreakHyphen/>
      </w:r>
      <w:r w:rsidRPr="006B2F21">
        <w:rPr>
          <w:szCs w:val="18"/>
        </w:rPr>
        <w:t xml:space="preserve">recognition that shows that a production condition was enforced" on the basis of evidence relating to the </w:t>
      </w:r>
      <w:r w:rsidR="00E2673F" w:rsidRPr="006B2F21">
        <w:rPr>
          <w:szCs w:val="18"/>
        </w:rPr>
        <w:t xml:space="preserve">Russian </w:t>
      </w:r>
      <w:r w:rsidRPr="006B2F21">
        <w:rPr>
          <w:szCs w:val="18"/>
        </w:rPr>
        <w:t>authorities</w:t>
      </w:r>
      <w:r w:rsidR="00E2673F" w:rsidRPr="006B2F21">
        <w:rPr>
          <w:szCs w:val="18"/>
        </w:rPr>
        <w:t>'</w:t>
      </w:r>
      <w:r w:rsidRPr="006B2F21">
        <w:rPr>
          <w:szCs w:val="18"/>
        </w:rPr>
        <w:t xml:space="preserve"> </w:t>
      </w:r>
      <w:r w:rsidRPr="006B2F21">
        <w:rPr>
          <w:i/>
          <w:szCs w:val="18"/>
        </w:rPr>
        <w:t>issuance</w:t>
      </w:r>
      <w:r w:rsidRPr="006B2F21">
        <w:rPr>
          <w:szCs w:val="18"/>
        </w:rPr>
        <w:t xml:space="preserve"> of new certificates.</w:t>
      </w:r>
      <w:r w:rsidRPr="006B2F21">
        <w:rPr>
          <w:rStyle w:val="FootnoteReference"/>
          <w:szCs w:val="18"/>
        </w:rPr>
        <w:footnoteReference w:id="222"/>
      </w:r>
    </w:p>
    <w:p w14:paraId="241EBF40" w14:textId="37A1DC52" w:rsidR="00486463" w:rsidRPr="006B2F21" w:rsidRDefault="00486463" w:rsidP="006B2F21">
      <w:pPr>
        <w:pStyle w:val="Heading4"/>
        <w:rPr>
          <w:szCs w:val="18"/>
        </w:rPr>
      </w:pPr>
      <w:bookmarkStart w:id="124" w:name="_Toc31380991"/>
      <w:r w:rsidRPr="006B2F21">
        <w:rPr>
          <w:szCs w:val="18"/>
        </w:rPr>
        <w:t>Conclusion</w:t>
      </w:r>
      <w:bookmarkEnd w:id="124"/>
    </w:p>
    <w:p w14:paraId="76CA1046" w14:textId="4B8D0B0C" w:rsidR="00632EC6" w:rsidRPr="006B2F21" w:rsidRDefault="00632EC6" w:rsidP="006B2F21">
      <w:pPr>
        <w:pStyle w:val="BodyText"/>
        <w:numPr>
          <w:ilvl w:val="6"/>
          <w:numId w:val="1"/>
        </w:numPr>
        <w:rPr>
          <w:szCs w:val="18"/>
        </w:rPr>
      </w:pPr>
      <w:bookmarkStart w:id="125" w:name="_Hlk30777763"/>
      <w:r w:rsidRPr="006B2F21">
        <w:rPr>
          <w:szCs w:val="18"/>
        </w:rPr>
        <w:t xml:space="preserve">Russia has not established that the Panel acted inconsistently with Article 11 of the DSU in finding that the third measure is of a "general" character and flows </w:t>
      </w:r>
      <w:r w:rsidR="007E695A" w:rsidRPr="006B2F21">
        <w:rPr>
          <w:szCs w:val="18"/>
        </w:rPr>
        <w:t xml:space="preserve">from </w:t>
      </w:r>
      <w:r w:rsidRPr="006B2F21">
        <w:rPr>
          <w:szCs w:val="18"/>
        </w:rPr>
        <w:t>CU Technical Regulation</w:t>
      </w:r>
      <w:r w:rsidR="00DA6BBD">
        <w:rPr>
          <w:szCs w:val="18"/>
        </w:rPr>
        <w:t> </w:t>
      </w:r>
      <w:r w:rsidRPr="006B2F21">
        <w:rPr>
          <w:szCs w:val="18"/>
        </w:rPr>
        <w:t xml:space="preserve">001/2011. We therefore </w:t>
      </w:r>
      <w:r w:rsidRPr="006B2F21">
        <w:rPr>
          <w:szCs w:val="18"/>
          <w:u w:val="single"/>
        </w:rPr>
        <w:t>uphold</w:t>
      </w:r>
      <w:r w:rsidRPr="006B2F21">
        <w:rPr>
          <w:szCs w:val="18"/>
        </w:rPr>
        <w:t xml:space="preserve"> the Panel's finding</w:t>
      </w:r>
      <w:r w:rsidR="00F203D7" w:rsidRPr="006B2F21">
        <w:rPr>
          <w:szCs w:val="18"/>
        </w:rPr>
        <w:t>,</w:t>
      </w:r>
      <w:r w:rsidRPr="006B2F21">
        <w:rPr>
          <w:szCs w:val="18"/>
        </w:rPr>
        <w:t xml:space="preserve"> in paragraph 7.861</w:t>
      </w:r>
      <w:r w:rsidR="00F203D7" w:rsidRPr="006B2F21">
        <w:rPr>
          <w:szCs w:val="18"/>
        </w:rPr>
        <w:t xml:space="preserve"> of the Panel</w:t>
      </w:r>
      <w:r w:rsidR="00AE6EAE" w:rsidRPr="006B2F21">
        <w:rPr>
          <w:szCs w:val="18"/>
        </w:rPr>
        <w:t> Report</w:t>
      </w:r>
      <w:r w:rsidR="006B0EFB" w:rsidRPr="006B2F21">
        <w:rPr>
          <w:szCs w:val="18"/>
        </w:rPr>
        <w:t>,</w:t>
      </w:r>
      <w:r w:rsidRPr="006B2F21">
        <w:rPr>
          <w:szCs w:val="18"/>
        </w:rPr>
        <w:t xml:space="preserve"> that the third measure as a general non</w:t>
      </w:r>
      <w:r w:rsidR="00B24926" w:rsidRPr="006B2F21">
        <w:rPr>
          <w:szCs w:val="18"/>
        </w:rPr>
        <w:noBreakHyphen/>
      </w:r>
      <w:r w:rsidRPr="006B2F21">
        <w:rPr>
          <w:szCs w:val="18"/>
        </w:rPr>
        <w:t>recognition requirement, which the relevant Russian authorities considered to flow from CU Technical Regulation 001/2011, had been demonstrated to exist</w:t>
      </w:r>
      <w:bookmarkEnd w:id="125"/>
      <w:r w:rsidRPr="006B2F21">
        <w:rPr>
          <w:szCs w:val="18"/>
        </w:rPr>
        <w:t xml:space="preserve">. </w:t>
      </w:r>
    </w:p>
    <w:p w14:paraId="40DF452A" w14:textId="77777777" w:rsidR="00632EC6" w:rsidRPr="006B2F21" w:rsidRDefault="00632EC6" w:rsidP="006B2F21">
      <w:pPr>
        <w:pStyle w:val="Heading3"/>
        <w:numPr>
          <w:ilvl w:val="2"/>
          <w:numId w:val="1"/>
        </w:numPr>
        <w:rPr>
          <w:szCs w:val="18"/>
        </w:rPr>
      </w:pPr>
      <w:bookmarkStart w:id="126" w:name="_Toc31380992"/>
      <w:bookmarkStart w:id="127" w:name="_Hlk19710604"/>
      <w:r w:rsidRPr="006B2F21">
        <w:rPr>
          <w:szCs w:val="18"/>
        </w:rPr>
        <w:t xml:space="preserve">Russia's claim that the Panel erred by relieving Ukraine from the necessity of establishing a </w:t>
      </w:r>
      <w:r w:rsidRPr="006B2F21">
        <w:rPr>
          <w:i/>
          <w:szCs w:val="18"/>
        </w:rPr>
        <w:t>prima facie</w:t>
      </w:r>
      <w:r w:rsidRPr="006B2F21">
        <w:rPr>
          <w:szCs w:val="18"/>
        </w:rPr>
        <w:t xml:space="preserve"> case that the third measure exists as a single measure</w:t>
      </w:r>
      <w:bookmarkEnd w:id="126"/>
    </w:p>
    <w:p w14:paraId="506D4049" w14:textId="77777777" w:rsidR="00632EC6" w:rsidRPr="006B2F21" w:rsidRDefault="00632EC6" w:rsidP="006B2F21">
      <w:pPr>
        <w:pStyle w:val="Heading4"/>
        <w:numPr>
          <w:ilvl w:val="3"/>
          <w:numId w:val="1"/>
        </w:numPr>
        <w:rPr>
          <w:szCs w:val="18"/>
        </w:rPr>
      </w:pPr>
      <w:bookmarkStart w:id="128" w:name="_Toc31380993"/>
      <w:r w:rsidRPr="006B2F21">
        <w:rPr>
          <w:szCs w:val="18"/>
        </w:rPr>
        <w:t>Arguments on appeal</w:t>
      </w:r>
      <w:bookmarkEnd w:id="128"/>
    </w:p>
    <w:bookmarkEnd w:id="127"/>
    <w:p w14:paraId="0A481D2B" w14:textId="6144F2FB" w:rsidR="00632EC6" w:rsidRPr="006B2F21" w:rsidRDefault="00632EC6" w:rsidP="006B2F21">
      <w:pPr>
        <w:pStyle w:val="BodyText"/>
        <w:numPr>
          <w:ilvl w:val="6"/>
          <w:numId w:val="1"/>
        </w:numPr>
        <w:rPr>
          <w:szCs w:val="18"/>
        </w:rPr>
      </w:pPr>
      <w:r w:rsidRPr="006B2F21">
        <w:rPr>
          <w:szCs w:val="18"/>
        </w:rPr>
        <w:t xml:space="preserve">Russia requests us to reverse the Panel's finding that the third measure had been demonstrated to exist. Russia asserts that the Panel failed to conduct an objective assessment under Article 11 of the DSU by impermissibly relieving Ukraine of the duty to make a </w:t>
      </w:r>
      <w:r w:rsidRPr="006B2F21">
        <w:rPr>
          <w:i/>
          <w:szCs w:val="18"/>
        </w:rPr>
        <w:t>prima facie</w:t>
      </w:r>
      <w:r w:rsidRPr="006B2F21">
        <w:rPr>
          <w:szCs w:val="18"/>
        </w:rPr>
        <w:t xml:space="preserve"> case </w:t>
      </w:r>
      <w:r w:rsidR="00BD6E12" w:rsidRPr="006B2F21">
        <w:rPr>
          <w:szCs w:val="18"/>
        </w:rPr>
        <w:t xml:space="preserve">with </w:t>
      </w:r>
      <w:r w:rsidRPr="006B2F21">
        <w:rPr>
          <w:szCs w:val="18"/>
        </w:rPr>
        <w:t xml:space="preserve">respect </w:t>
      </w:r>
      <w:r w:rsidR="00BD6E12" w:rsidRPr="006B2F21">
        <w:rPr>
          <w:szCs w:val="18"/>
        </w:rPr>
        <w:t xml:space="preserve">to </w:t>
      </w:r>
      <w:r w:rsidRPr="006B2F21">
        <w:rPr>
          <w:szCs w:val="18"/>
        </w:rPr>
        <w:t>the existence of "a single measure composed of several different documents".</w:t>
      </w:r>
      <w:r w:rsidRPr="006B2F21">
        <w:rPr>
          <w:rStyle w:val="FootnoteReference"/>
          <w:szCs w:val="18"/>
        </w:rPr>
        <w:footnoteReference w:id="223"/>
      </w:r>
      <w:r w:rsidRPr="006B2F21">
        <w:rPr>
          <w:szCs w:val="18"/>
        </w:rPr>
        <w:t xml:space="preserve"> </w:t>
      </w:r>
      <w:bookmarkEnd w:id="116"/>
      <w:bookmarkEnd w:id="117"/>
      <w:r w:rsidRPr="006B2F21">
        <w:rPr>
          <w:szCs w:val="18"/>
        </w:rPr>
        <w:t xml:space="preserve">Relying on the Appellate Body Reports in </w:t>
      </w:r>
      <w:r w:rsidRPr="006B2F21">
        <w:rPr>
          <w:i/>
          <w:szCs w:val="18"/>
        </w:rPr>
        <w:t>Argentina – Import Measures</w:t>
      </w:r>
      <w:r w:rsidRPr="006B2F21">
        <w:rPr>
          <w:szCs w:val="18"/>
        </w:rPr>
        <w:t>, Russia submits that a complainant challenging such a measure will "normally need to provide evidence of how the different components operated together as part of a single measure and how a single measure exists as distinct from its components".</w:t>
      </w:r>
      <w:r w:rsidRPr="006B2F21">
        <w:rPr>
          <w:rStyle w:val="FootnoteReference"/>
          <w:szCs w:val="18"/>
        </w:rPr>
        <w:footnoteReference w:id="224"/>
      </w:r>
      <w:r w:rsidRPr="006B2F21">
        <w:rPr>
          <w:szCs w:val="18"/>
        </w:rPr>
        <w:t xml:space="preserve"> Thus, in Russia's view, Ukraine was required to make a </w:t>
      </w:r>
      <w:r w:rsidRPr="006B2F21">
        <w:rPr>
          <w:i/>
          <w:szCs w:val="18"/>
        </w:rPr>
        <w:t>prima facie</w:t>
      </w:r>
      <w:r w:rsidRPr="006B2F21">
        <w:rPr>
          <w:szCs w:val="18"/>
        </w:rPr>
        <w:t xml:space="preserve"> case with respect to the existence of the third measure as a single measure.</w:t>
      </w:r>
      <w:r w:rsidRPr="006B2F21">
        <w:rPr>
          <w:rStyle w:val="FootnoteReference"/>
          <w:szCs w:val="18"/>
        </w:rPr>
        <w:footnoteReference w:id="225"/>
      </w:r>
      <w:r w:rsidRPr="006B2F21">
        <w:rPr>
          <w:szCs w:val="18"/>
        </w:rPr>
        <w:t xml:space="preserve"> Russia contends that Ukraine proceeded from "an unsubstantiated presumption of existence of a single measure capable of being challenged".</w:t>
      </w:r>
      <w:r w:rsidRPr="006B2F21">
        <w:rPr>
          <w:rStyle w:val="FootnoteReference"/>
          <w:szCs w:val="18"/>
        </w:rPr>
        <w:footnoteReference w:id="226"/>
      </w:r>
      <w:r w:rsidRPr="006B2F21">
        <w:rPr>
          <w:szCs w:val="18"/>
        </w:rPr>
        <w:t xml:space="preserve"> Russia also argues that the different documents identified in </w:t>
      </w:r>
      <w:r w:rsidR="002074B1" w:rsidRPr="006B2F21">
        <w:rPr>
          <w:szCs w:val="18"/>
        </w:rPr>
        <w:t xml:space="preserve">Ukraine's </w:t>
      </w:r>
      <w:r w:rsidRPr="006B2F21">
        <w:rPr>
          <w:szCs w:val="18"/>
        </w:rPr>
        <w:t>panel request, namely</w:t>
      </w:r>
      <w:r w:rsidR="00D30219">
        <w:rPr>
          <w:szCs w:val="18"/>
        </w:rPr>
        <w:t>,</w:t>
      </w:r>
      <w:r w:rsidRPr="006B2F21">
        <w:rPr>
          <w:szCs w:val="18"/>
        </w:rPr>
        <w:t xml:space="preserve"> CU Technical </w:t>
      </w:r>
      <w:r w:rsidR="00151192" w:rsidRPr="006B2F21">
        <w:rPr>
          <w:szCs w:val="18"/>
        </w:rPr>
        <w:t xml:space="preserve">Regulation </w:t>
      </w:r>
      <w:r w:rsidRPr="006B2F21">
        <w:rPr>
          <w:szCs w:val="18"/>
        </w:rPr>
        <w:t xml:space="preserve">001/2011 and the letters, have different legal force and scope of </w:t>
      </w:r>
      <w:r w:rsidRPr="006B2F21">
        <w:rPr>
          <w:szCs w:val="18"/>
        </w:rPr>
        <w:lastRenderedPageBreak/>
        <w:t>application and that Ukraine was therefore required to explain how these different instruments operated together as a single measure.</w:t>
      </w:r>
      <w:r w:rsidRPr="006B2F21">
        <w:rPr>
          <w:rStyle w:val="FootnoteReference"/>
          <w:szCs w:val="18"/>
        </w:rPr>
        <w:footnoteReference w:id="227"/>
      </w:r>
      <w:r w:rsidRPr="006B2F21">
        <w:rPr>
          <w:szCs w:val="18"/>
        </w:rPr>
        <w:t xml:space="preserve"> </w:t>
      </w:r>
    </w:p>
    <w:p w14:paraId="0B93BCA3" w14:textId="2DA2F9BF" w:rsidR="00632EC6" w:rsidRPr="006B2F21" w:rsidRDefault="00632EC6" w:rsidP="006B2F21">
      <w:pPr>
        <w:pStyle w:val="BodyText"/>
        <w:numPr>
          <w:ilvl w:val="6"/>
          <w:numId w:val="1"/>
        </w:numPr>
        <w:rPr>
          <w:szCs w:val="18"/>
        </w:rPr>
      </w:pPr>
      <w:r w:rsidRPr="006B2F21">
        <w:rPr>
          <w:szCs w:val="18"/>
        </w:rPr>
        <w:t xml:space="preserve">In response, Ukraine contends that it provided sufficient evidence and arguments to establish a </w:t>
      </w:r>
      <w:r w:rsidRPr="006B2F21">
        <w:rPr>
          <w:i/>
          <w:szCs w:val="18"/>
        </w:rPr>
        <w:t>prima facie</w:t>
      </w:r>
      <w:r w:rsidRPr="006B2F21">
        <w:rPr>
          <w:szCs w:val="18"/>
        </w:rPr>
        <w:t xml:space="preserve"> case that the third measure existed as a single measure.</w:t>
      </w:r>
      <w:r w:rsidRPr="006B2F21">
        <w:rPr>
          <w:rStyle w:val="FootnoteReference"/>
          <w:szCs w:val="18"/>
        </w:rPr>
        <w:footnoteReference w:id="228"/>
      </w:r>
      <w:r w:rsidRPr="006B2F21">
        <w:rPr>
          <w:szCs w:val="18"/>
        </w:rPr>
        <w:t xml:space="preserve"> According to Ukraine, the decision not to recognize the validity of certificates issued to Ukrainian railway products by other CU countries is found in Protocol </w:t>
      </w:r>
      <w:r w:rsidR="00151192" w:rsidRPr="006B2F21">
        <w:rPr>
          <w:szCs w:val="18"/>
        </w:rPr>
        <w:t>No. </w:t>
      </w:r>
      <w:r w:rsidRPr="006B2F21">
        <w:rPr>
          <w:szCs w:val="18"/>
        </w:rPr>
        <w:t>A 4</w:t>
      </w:r>
      <w:r w:rsidR="00B24926" w:rsidRPr="006B2F21">
        <w:rPr>
          <w:szCs w:val="18"/>
        </w:rPr>
        <w:noBreakHyphen/>
      </w:r>
      <w:r w:rsidRPr="006B2F21">
        <w:rPr>
          <w:szCs w:val="18"/>
        </w:rPr>
        <w:t>3 and the letters listed in Annex III to the panel request. Ukraine contends that these documents "clearly demonstrate that the Russian Federation imposed additional requirements", namely</w:t>
      </w:r>
      <w:r w:rsidR="00151192" w:rsidRPr="006B2F21">
        <w:rPr>
          <w:szCs w:val="18"/>
        </w:rPr>
        <w:t>,</w:t>
      </w:r>
      <w:r w:rsidRPr="006B2F21">
        <w:rPr>
          <w:szCs w:val="18"/>
        </w:rPr>
        <w:t xml:space="preserve"> the local production condition and the local registration condition, and that the Russian authorities themselves relied on the text of CU Technical Regulation 001/2011 as a source of these additional requirements.</w:t>
      </w:r>
      <w:r w:rsidRPr="006B2F21">
        <w:rPr>
          <w:rStyle w:val="FootnoteReference"/>
          <w:szCs w:val="18"/>
        </w:rPr>
        <w:footnoteReference w:id="229"/>
      </w:r>
      <w:r w:rsidRPr="006B2F21">
        <w:rPr>
          <w:szCs w:val="18"/>
        </w:rPr>
        <w:t xml:space="preserve"> Furthermore, Ukraine asserts that the instructions mentioned in Annex III to </w:t>
      </w:r>
      <w:r w:rsidR="002074B1" w:rsidRPr="006B2F21">
        <w:rPr>
          <w:szCs w:val="18"/>
        </w:rPr>
        <w:t xml:space="preserve">its </w:t>
      </w:r>
      <w:r w:rsidRPr="006B2F21">
        <w:rPr>
          <w:szCs w:val="18"/>
        </w:rPr>
        <w:t>panel request "illustrat[e] the practical realization of the single measure".</w:t>
      </w:r>
      <w:r w:rsidRPr="006B2F21">
        <w:rPr>
          <w:rStyle w:val="FootnoteReference"/>
          <w:szCs w:val="18"/>
        </w:rPr>
        <w:footnoteReference w:id="230"/>
      </w:r>
      <w:r w:rsidRPr="006B2F21">
        <w:rPr>
          <w:szCs w:val="18"/>
        </w:rPr>
        <w:t xml:space="preserve"> With respect to Russia's argument based on the alleged differences in the legal force and scope of the different documents, Ukraine contends that the decision not to accept in the territory of Russia the validity of the conformity assessment certificates issued in other CU countries was explicitly prescribed in the letters identified in Annex III to </w:t>
      </w:r>
      <w:r w:rsidR="002074B1" w:rsidRPr="006B2F21">
        <w:rPr>
          <w:szCs w:val="18"/>
        </w:rPr>
        <w:t xml:space="preserve">its </w:t>
      </w:r>
      <w:r w:rsidRPr="006B2F21">
        <w:rPr>
          <w:szCs w:val="18"/>
        </w:rPr>
        <w:t>panel request, irrespective of the nature of these documents.</w:t>
      </w:r>
      <w:bookmarkStart w:id="129" w:name="_Hlk19710610"/>
      <w:r w:rsidRPr="006B2F21">
        <w:rPr>
          <w:rStyle w:val="FootnoteReference"/>
          <w:szCs w:val="18"/>
        </w:rPr>
        <w:footnoteReference w:id="231"/>
      </w:r>
    </w:p>
    <w:p w14:paraId="3DB86DAA" w14:textId="77777777" w:rsidR="00632EC6" w:rsidRPr="006B2F21" w:rsidRDefault="00632EC6" w:rsidP="006B2F21">
      <w:pPr>
        <w:pStyle w:val="Heading4"/>
        <w:numPr>
          <w:ilvl w:val="3"/>
          <w:numId w:val="1"/>
        </w:numPr>
        <w:rPr>
          <w:szCs w:val="18"/>
        </w:rPr>
      </w:pPr>
      <w:bookmarkStart w:id="130" w:name="_Toc31380994"/>
      <w:r w:rsidRPr="006B2F21">
        <w:rPr>
          <w:szCs w:val="18"/>
        </w:rPr>
        <w:t>Analysis</w:t>
      </w:r>
      <w:bookmarkEnd w:id="130"/>
    </w:p>
    <w:p w14:paraId="6753F24A" w14:textId="4338898C" w:rsidR="00632EC6" w:rsidRPr="006B2F21" w:rsidRDefault="00632EC6" w:rsidP="006B2F21">
      <w:pPr>
        <w:pStyle w:val="BodyText"/>
        <w:numPr>
          <w:ilvl w:val="6"/>
          <w:numId w:val="1"/>
        </w:numPr>
        <w:rPr>
          <w:szCs w:val="18"/>
        </w:rPr>
      </w:pPr>
      <w:r w:rsidRPr="006B2F21">
        <w:rPr>
          <w:szCs w:val="18"/>
        </w:rPr>
        <w:t>We begin by recalling that "any act or omission attributable to a WTO Member can be a measure of that Member for purposes of dispute settlement proceedings</w:t>
      </w:r>
      <w:r w:rsidR="00071183" w:rsidRPr="006B2F21">
        <w:rPr>
          <w:szCs w:val="18"/>
        </w:rPr>
        <w:t>.</w:t>
      </w:r>
      <w:r w:rsidRPr="006B2F21">
        <w:rPr>
          <w:szCs w:val="18"/>
        </w:rPr>
        <w:t>"</w:t>
      </w:r>
      <w:r w:rsidRPr="006B2F21">
        <w:rPr>
          <w:rStyle w:val="FootnoteReference"/>
          <w:szCs w:val="18"/>
        </w:rPr>
        <w:footnoteReference w:id="232"/>
      </w:r>
      <w:r w:rsidRPr="006B2F21">
        <w:rPr>
          <w:szCs w:val="18"/>
        </w:rPr>
        <w:t xml:space="preserve"> In identifying a measure and its characteristics, we have referred above to the standard under Article 11</w:t>
      </w:r>
      <w:r w:rsidR="006A09D9" w:rsidRPr="006B2F21">
        <w:rPr>
          <w:szCs w:val="18"/>
        </w:rPr>
        <w:t xml:space="preserve"> of the DSU</w:t>
      </w:r>
      <w:r w:rsidRPr="006B2F21">
        <w:rPr>
          <w:szCs w:val="18"/>
        </w:rPr>
        <w:t>, which requires a panel to "thoroughly scrutinize the measure before it, both in its design and in its operation, and identify its principal characteristics".</w:t>
      </w:r>
      <w:r w:rsidRPr="006B2F21">
        <w:rPr>
          <w:rStyle w:val="FootnoteReference"/>
          <w:szCs w:val="18"/>
        </w:rPr>
        <w:footnoteReference w:id="233"/>
      </w:r>
      <w:r w:rsidRPr="006B2F21">
        <w:rPr>
          <w:szCs w:val="18"/>
        </w:rPr>
        <w:t xml:space="preserve"> Exactly what is required for a panel to do so is bound to vary depending on the circumstances of each case.</w:t>
      </w:r>
      <w:r w:rsidRPr="006B2F21">
        <w:rPr>
          <w:rStyle w:val="FootnoteReference"/>
          <w:szCs w:val="18"/>
        </w:rPr>
        <w:footnoteReference w:id="234"/>
      </w:r>
      <w:r w:rsidRPr="006B2F21">
        <w:rPr>
          <w:szCs w:val="18"/>
        </w:rPr>
        <w:t xml:space="preserve"> Panels enjoy a margin of discretion to structure their assessment as they see fit, and they do not err under Article 11 of the DSU unless they exceed their authority as </w:t>
      </w:r>
      <w:r w:rsidR="00071183" w:rsidRPr="006B2F21">
        <w:rPr>
          <w:szCs w:val="18"/>
        </w:rPr>
        <w:t xml:space="preserve">the </w:t>
      </w:r>
      <w:r w:rsidRPr="006B2F21">
        <w:rPr>
          <w:szCs w:val="18"/>
        </w:rPr>
        <w:t>trier of facts.</w:t>
      </w:r>
      <w:r w:rsidRPr="006B2F21">
        <w:rPr>
          <w:rStyle w:val="FootnoteReference"/>
          <w:szCs w:val="18"/>
        </w:rPr>
        <w:footnoteReference w:id="235"/>
      </w:r>
      <w:r w:rsidRPr="006B2F21">
        <w:rPr>
          <w:szCs w:val="18"/>
        </w:rPr>
        <w:t xml:space="preserve"> In terms of the question whether a complainant has met its </w:t>
      </w:r>
      <w:r w:rsidRPr="006B2F21">
        <w:rPr>
          <w:i/>
          <w:szCs w:val="18"/>
        </w:rPr>
        <w:t>prima facie</w:t>
      </w:r>
      <w:r w:rsidRPr="006B2F21">
        <w:rPr>
          <w:szCs w:val="18"/>
        </w:rPr>
        <w:t xml:space="preserve"> case to show the relevant features of the measure, a complainant need not definitively persuade a panel of the soundness of its position. Instead, a complainant meets its </w:t>
      </w:r>
      <w:r w:rsidRPr="006B2F21">
        <w:rPr>
          <w:i/>
          <w:szCs w:val="18"/>
        </w:rPr>
        <w:t>prima facie</w:t>
      </w:r>
      <w:r w:rsidRPr="006B2F21">
        <w:rPr>
          <w:szCs w:val="18"/>
        </w:rPr>
        <w:t xml:space="preserve"> burden by presenting sufficient arguments and evidence "to raise a presumption in favour of its claim".</w:t>
      </w:r>
      <w:r w:rsidRPr="006B2F21">
        <w:rPr>
          <w:rStyle w:val="FootnoteReference"/>
          <w:szCs w:val="18"/>
        </w:rPr>
        <w:footnoteReference w:id="236"/>
      </w:r>
      <w:r w:rsidRPr="006B2F21">
        <w:rPr>
          <w:szCs w:val="18"/>
        </w:rPr>
        <w:t xml:space="preserve"> </w:t>
      </w:r>
    </w:p>
    <w:p w14:paraId="1A82F16D" w14:textId="32C47D18" w:rsidR="00632EC6" w:rsidRPr="006B2F21" w:rsidRDefault="00632EC6" w:rsidP="006B2F21">
      <w:pPr>
        <w:pStyle w:val="BodyText"/>
        <w:numPr>
          <w:ilvl w:val="6"/>
          <w:numId w:val="1"/>
        </w:numPr>
        <w:rPr>
          <w:szCs w:val="18"/>
        </w:rPr>
      </w:pPr>
      <w:r w:rsidRPr="006B2F21">
        <w:rPr>
          <w:szCs w:val="18"/>
        </w:rPr>
        <w:t>In the present case, the Panel found that Ukraine's challenge was directed at Russia's decision not to recognize the validity of certificates issued for Ukrainian railway products by certification bodies in other CU countries. The Panel considered Ukraine's submission that this decision can be found in Protocol </w:t>
      </w:r>
      <w:r w:rsidR="00151192" w:rsidRPr="006B2F21">
        <w:rPr>
          <w:szCs w:val="18"/>
        </w:rPr>
        <w:t>No. </w:t>
      </w:r>
      <w:r w:rsidRPr="006B2F21">
        <w:rPr>
          <w:szCs w:val="18"/>
        </w:rPr>
        <w:t>A 4</w:t>
      </w:r>
      <w:r w:rsidR="00B24926" w:rsidRPr="006B2F21">
        <w:rPr>
          <w:szCs w:val="18"/>
        </w:rPr>
        <w:noBreakHyphen/>
      </w:r>
      <w:r w:rsidRPr="006B2F21">
        <w:rPr>
          <w:szCs w:val="18"/>
        </w:rPr>
        <w:t xml:space="preserve">3 and two individual decisions contained in the letters listed in Annex III to </w:t>
      </w:r>
      <w:r w:rsidR="00071183" w:rsidRPr="006B2F21">
        <w:rPr>
          <w:szCs w:val="18"/>
        </w:rPr>
        <w:t xml:space="preserve">Ukraine's </w:t>
      </w:r>
      <w:r w:rsidRPr="006B2F21">
        <w:rPr>
          <w:szCs w:val="18"/>
        </w:rPr>
        <w:t>panel request. The Panel also understood Ukraine to argue that Russia based its alleged decisions contained in Protocol </w:t>
      </w:r>
      <w:r w:rsidR="00151192" w:rsidRPr="006B2F21">
        <w:rPr>
          <w:szCs w:val="18"/>
        </w:rPr>
        <w:t>No. </w:t>
      </w:r>
      <w:r w:rsidRPr="006B2F21">
        <w:rPr>
          <w:szCs w:val="18"/>
        </w:rPr>
        <w:t>A 4</w:t>
      </w:r>
      <w:r w:rsidR="00B24926" w:rsidRPr="006B2F21">
        <w:rPr>
          <w:szCs w:val="18"/>
        </w:rPr>
        <w:noBreakHyphen/>
      </w:r>
      <w:r w:rsidRPr="006B2F21">
        <w:rPr>
          <w:szCs w:val="18"/>
        </w:rPr>
        <w:t>3 and the letters on its interpretation of CU Technical Regulation 001/2011.</w:t>
      </w:r>
      <w:r w:rsidRPr="006B2F21">
        <w:rPr>
          <w:rStyle w:val="FootnoteReference"/>
          <w:szCs w:val="18"/>
        </w:rPr>
        <w:footnoteReference w:id="237"/>
      </w:r>
      <w:r w:rsidRPr="006B2F21">
        <w:rPr>
          <w:szCs w:val="18"/>
        </w:rPr>
        <w:t xml:space="preserve"> The Panel then proceeded with its own examination of the evidence to assess the arguments and evidence put forward by Ukraine. Specifically, the Panel examined Protocol </w:t>
      </w:r>
      <w:r w:rsidR="00151192" w:rsidRPr="006B2F21">
        <w:rPr>
          <w:szCs w:val="18"/>
        </w:rPr>
        <w:t>No. </w:t>
      </w:r>
      <w:r w:rsidRPr="006B2F21">
        <w:rPr>
          <w:szCs w:val="18"/>
        </w:rPr>
        <w:t>A 4</w:t>
      </w:r>
      <w:r w:rsidR="00B24926" w:rsidRPr="006B2F21">
        <w:rPr>
          <w:szCs w:val="18"/>
        </w:rPr>
        <w:noBreakHyphen/>
      </w:r>
      <w:r w:rsidRPr="006B2F21">
        <w:rPr>
          <w:szCs w:val="18"/>
        </w:rPr>
        <w:t xml:space="preserve">3 and the letters at issue, and noted that they indicate that the Russian authorities decided that the relevant certificates issued by the Belarusian certification body were not valid in </w:t>
      </w:r>
      <w:r w:rsidRPr="006B2F21">
        <w:rPr>
          <w:szCs w:val="18"/>
        </w:rPr>
        <w:lastRenderedPageBreak/>
        <w:t>Russia's territory.</w:t>
      </w:r>
      <w:r w:rsidRPr="006B2F21">
        <w:rPr>
          <w:rStyle w:val="FootnoteReference"/>
          <w:szCs w:val="18"/>
        </w:rPr>
        <w:footnoteReference w:id="238"/>
      </w:r>
      <w:r w:rsidRPr="006B2F21">
        <w:rPr>
          <w:szCs w:val="18"/>
        </w:rPr>
        <w:t xml:space="preserve"> The documents at issue also indicated that these decisions were the result of the Russian authorities' interpretation of CU Technical Regulation 001/2011 that a certificate cannot be validly issued under the regulation unless, </w:t>
      </w:r>
      <w:r w:rsidRPr="006B2F21">
        <w:rPr>
          <w:i/>
          <w:szCs w:val="18"/>
        </w:rPr>
        <w:t>inter alia</w:t>
      </w:r>
      <w:r w:rsidRPr="006B2F21">
        <w:rPr>
          <w:szCs w:val="18"/>
        </w:rPr>
        <w:t>, the products were manufactured within the CU territory.</w:t>
      </w:r>
      <w:r w:rsidRPr="006B2F21">
        <w:rPr>
          <w:rStyle w:val="FootnoteReference"/>
          <w:szCs w:val="18"/>
        </w:rPr>
        <w:footnoteReference w:id="239"/>
      </w:r>
      <w:r w:rsidRPr="006B2F21">
        <w:rPr>
          <w:szCs w:val="18"/>
        </w:rPr>
        <w:t xml:space="preserve"> In the Panel's view, the decisions at issue were explicitly based on CU Technical Regulation 001/2011 as interpreted by the Russian authorities themselves.</w:t>
      </w:r>
    </w:p>
    <w:p w14:paraId="2C74B5B2" w14:textId="36FFC142" w:rsidR="00632EC6" w:rsidRPr="006B2F21" w:rsidRDefault="00632EC6" w:rsidP="006B2F21">
      <w:pPr>
        <w:pStyle w:val="BodyText"/>
        <w:numPr>
          <w:ilvl w:val="6"/>
          <w:numId w:val="1"/>
        </w:numPr>
        <w:rPr>
          <w:szCs w:val="18"/>
        </w:rPr>
      </w:pPr>
      <w:r w:rsidRPr="006B2F21">
        <w:rPr>
          <w:szCs w:val="18"/>
        </w:rPr>
        <w:t>Contrary to what Russia asserts on appeal, the Panel did not base its finding that the third measure existed on an unsubstantiated presumption of existence of a single measure capable of being challenged. Rather, the Panel assessed the relationships and interactions among the different instruments at issue and confirmed that: (i)</w:t>
      </w:r>
      <w:r w:rsidR="00CE542E" w:rsidRPr="006B2F21">
        <w:rPr>
          <w:szCs w:val="18"/>
        </w:rPr>
        <w:t> </w:t>
      </w:r>
      <w:r w:rsidRPr="006B2F21">
        <w:rPr>
          <w:szCs w:val="18"/>
        </w:rPr>
        <w:t>the alleged decisions not to recognize certificates issued under CU Technical Regulation 001/2011 in other CU countries to products manufactured outside the CU territory were contained in Protocol </w:t>
      </w:r>
      <w:r w:rsidR="00151192" w:rsidRPr="006B2F21">
        <w:rPr>
          <w:szCs w:val="18"/>
        </w:rPr>
        <w:t>No. </w:t>
      </w:r>
      <w:r w:rsidRPr="006B2F21">
        <w:rPr>
          <w:szCs w:val="18"/>
        </w:rPr>
        <w:t>A 4</w:t>
      </w:r>
      <w:r w:rsidR="00B24926" w:rsidRPr="006B2F21">
        <w:rPr>
          <w:szCs w:val="18"/>
        </w:rPr>
        <w:noBreakHyphen/>
      </w:r>
      <w:r w:rsidRPr="006B2F21">
        <w:rPr>
          <w:szCs w:val="18"/>
        </w:rPr>
        <w:t>3 and the letters submitted by Ukraine as evidence; and (ii)</w:t>
      </w:r>
      <w:r w:rsidR="00CE542E" w:rsidRPr="006B2F21">
        <w:rPr>
          <w:szCs w:val="18"/>
        </w:rPr>
        <w:t> </w:t>
      </w:r>
      <w:r w:rsidRPr="006B2F21">
        <w:rPr>
          <w:szCs w:val="18"/>
        </w:rPr>
        <w:t>these decisions were based on the Russian authorities' interpretation of CU Technical Regulation</w:t>
      </w:r>
      <w:r w:rsidR="00B967F6" w:rsidRPr="006B2F21">
        <w:rPr>
          <w:szCs w:val="18"/>
        </w:rPr>
        <w:t> </w:t>
      </w:r>
      <w:r w:rsidRPr="006B2F21">
        <w:rPr>
          <w:szCs w:val="18"/>
        </w:rPr>
        <w:t xml:space="preserve">001/2011. Accordingly, the Panel assessed the arguments and evidence put forward by Ukraine in order to make a </w:t>
      </w:r>
      <w:r w:rsidRPr="006B2F21">
        <w:rPr>
          <w:i/>
          <w:szCs w:val="18"/>
        </w:rPr>
        <w:t>prima facie</w:t>
      </w:r>
      <w:r w:rsidRPr="006B2F21">
        <w:rPr>
          <w:szCs w:val="18"/>
        </w:rPr>
        <w:t xml:space="preserve"> case that the third measure existed as a single measure.</w:t>
      </w:r>
    </w:p>
    <w:p w14:paraId="146B3200" w14:textId="67446037" w:rsidR="00632EC6" w:rsidRPr="006B2F21" w:rsidRDefault="00632EC6" w:rsidP="006B2F21">
      <w:pPr>
        <w:pStyle w:val="BodyText"/>
        <w:numPr>
          <w:ilvl w:val="6"/>
          <w:numId w:val="1"/>
        </w:numPr>
        <w:rPr>
          <w:szCs w:val="18"/>
        </w:rPr>
      </w:pPr>
      <w:r w:rsidRPr="006B2F21">
        <w:rPr>
          <w:szCs w:val="18"/>
        </w:rPr>
        <w:t xml:space="preserve">In any event, we note that Russia's claim is based on its assertion that differences in the legal force and scope of application of the different documents proffered as evidence of a single measure </w:t>
      </w:r>
      <w:r w:rsidRPr="006B2F21">
        <w:rPr>
          <w:i/>
          <w:szCs w:val="18"/>
        </w:rPr>
        <w:t>must</w:t>
      </w:r>
      <w:r w:rsidRPr="006B2F21">
        <w:rPr>
          <w:szCs w:val="18"/>
        </w:rPr>
        <w:t xml:space="preserve"> be taken into consideration, on the basis of the panel's finding in </w:t>
      </w:r>
      <w:r w:rsidRPr="006B2F21">
        <w:rPr>
          <w:i/>
          <w:szCs w:val="18"/>
        </w:rPr>
        <w:t>US – COOL</w:t>
      </w:r>
      <w:r w:rsidRPr="006B2F21">
        <w:rPr>
          <w:szCs w:val="18"/>
        </w:rPr>
        <w:t>.</w:t>
      </w:r>
      <w:r w:rsidRPr="006B2F21">
        <w:rPr>
          <w:rStyle w:val="FootnoteReference"/>
          <w:szCs w:val="18"/>
        </w:rPr>
        <w:footnoteReference w:id="240"/>
      </w:r>
      <w:r w:rsidRPr="006B2F21">
        <w:rPr>
          <w:szCs w:val="18"/>
        </w:rPr>
        <w:t xml:space="preserve"> However, we do not </w:t>
      </w:r>
      <w:r w:rsidR="00F92E7E" w:rsidRPr="006B2F21">
        <w:rPr>
          <w:szCs w:val="18"/>
        </w:rPr>
        <w:t xml:space="preserve">see that </w:t>
      </w:r>
      <w:r w:rsidRPr="006B2F21">
        <w:rPr>
          <w:szCs w:val="18"/>
        </w:rPr>
        <w:t xml:space="preserve">panel's statement </w:t>
      </w:r>
      <w:r w:rsidR="00F92E7E" w:rsidRPr="006B2F21">
        <w:rPr>
          <w:szCs w:val="18"/>
        </w:rPr>
        <w:t xml:space="preserve">to </w:t>
      </w:r>
      <w:r w:rsidRPr="006B2F21">
        <w:rPr>
          <w:szCs w:val="18"/>
        </w:rPr>
        <w:t xml:space="preserve">stand for the proposition </w:t>
      </w:r>
      <w:r w:rsidR="00F92E7E" w:rsidRPr="006B2F21">
        <w:rPr>
          <w:szCs w:val="18"/>
        </w:rPr>
        <w:t xml:space="preserve">Russia </w:t>
      </w:r>
      <w:r w:rsidRPr="006B2F21">
        <w:rPr>
          <w:szCs w:val="18"/>
        </w:rPr>
        <w:t xml:space="preserve">puts forward. In particular, the question before the panel in </w:t>
      </w:r>
      <w:r w:rsidRPr="006B2F21">
        <w:rPr>
          <w:i/>
          <w:szCs w:val="18"/>
        </w:rPr>
        <w:t>US – COOL</w:t>
      </w:r>
      <w:r w:rsidRPr="006B2F21">
        <w:rPr>
          <w:szCs w:val="18"/>
        </w:rPr>
        <w:t xml:space="preserve"> was whether to treat several requirements or provisions as a single measure or multiple measures, which is different from the question of what </w:t>
      </w:r>
      <w:r w:rsidR="001C550F" w:rsidRPr="006B2F21">
        <w:rPr>
          <w:szCs w:val="18"/>
        </w:rPr>
        <w:t xml:space="preserve">arguments and </w:t>
      </w:r>
      <w:r w:rsidRPr="006B2F21">
        <w:rPr>
          <w:szCs w:val="18"/>
        </w:rPr>
        <w:t xml:space="preserve">evidence are required for establishing a </w:t>
      </w:r>
      <w:r w:rsidRPr="006B2F21">
        <w:rPr>
          <w:i/>
          <w:szCs w:val="18"/>
        </w:rPr>
        <w:t>prima facie</w:t>
      </w:r>
      <w:r w:rsidRPr="006B2F21">
        <w:rPr>
          <w:szCs w:val="18"/>
        </w:rPr>
        <w:t xml:space="preserve"> case regarding the existence of a single measure as we face here.</w:t>
      </w:r>
      <w:r w:rsidRPr="006B2F21">
        <w:rPr>
          <w:rStyle w:val="FootnoteReference"/>
          <w:szCs w:val="18"/>
        </w:rPr>
        <w:footnoteReference w:id="241"/>
      </w:r>
      <w:r w:rsidRPr="006B2F21">
        <w:rPr>
          <w:szCs w:val="18"/>
        </w:rPr>
        <w:t xml:space="preserve"> In addition, with respect to the question whether to treat several requirements or provisions as a single measure or multiple measures, the panel</w:t>
      </w:r>
      <w:r w:rsidR="00F92E7E" w:rsidRPr="006B2F21">
        <w:rPr>
          <w:szCs w:val="18"/>
        </w:rPr>
        <w:t xml:space="preserve"> in </w:t>
      </w:r>
      <w:r w:rsidR="00F92E7E" w:rsidRPr="006B2F21">
        <w:rPr>
          <w:i/>
          <w:szCs w:val="18"/>
        </w:rPr>
        <w:t>US</w:t>
      </w:r>
      <w:r w:rsidR="00FB7DBF" w:rsidRPr="006B2F21">
        <w:rPr>
          <w:i/>
          <w:szCs w:val="18"/>
        </w:rPr>
        <w:t> </w:t>
      </w:r>
      <w:r w:rsidR="00F92E7E" w:rsidRPr="006B2F21">
        <w:rPr>
          <w:i/>
          <w:szCs w:val="18"/>
        </w:rPr>
        <w:t>–</w:t>
      </w:r>
      <w:r w:rsidR="00FB7DBF" w:rsidRPr="006B2F21">
        <w:rPr>
          <w:i/>
          <w:szCs w:val="18"/>
        </w:rPr>
        <w:t> </w:t>
      </w:r>
      <w:r w:rsidR="00F92E7E" w:rsidRPr="006B2F21">
        <w:rPr>
          <w:i/>
          <w:szCs w:val="18"/>
        </w:rPr>
        <w:t>COOL</w:t>
      </w:r>
      <w:r w:rsidR="00F92E7E" w:rsidRPr="006B2F21">
        <w:rPr>
          <w:szCs w:val="18"/>
        </w:rPr>
        <w:t xml:space="preserve"> </w:t>
      </w:r>
      <w:r w:rsidRPr="006B2F21">
        <w:rPr>
          <w:szCs w:val="18"/>
        </w:rPr>
        <w:t xml:space="preserve">did not </w:t>
      </w:r>
      <w:r w:rsidR="00F92E7E" w:rsidRPr="006B2F21">
        <w:rPr>
          <w:szCs w:val="18"/>
        </w:rPr>
        <w:t xml:space="preserve">set out </w:t>
      </w:r>
      <w:r w:rsidRPr="006B2F21">
        <w:rPr>
          <w:szCs w:val="18"/>
        </w:rPr>
        <w:t>any specific criteria, but stressed that the analysis requires case</w:t>
      </w:r>
      <w:r w:rsidR="00B24926" w:rsidRPr="006B2F21">
        <w:rPr>
          <w:szCs w:val="18"/>
        </w:rPr>
        <w:noBreakHyphen/>
      </w:r>
      <w:r w:rsidRPr="006B2F21">
        <w:rPr>
          <w:szCs w:val="18"/>
        </w:rPr>
        <w:t>specific considerations.</w:t>
      </w:r>
      <w:r w:rsidRPr="006B2F21">
        <w:rPr>
          <w:rStyle w:val="FootnoteReference"/>
          <w:szCs w:val="18"/>
        </w:rPr>
        <w:footnoteReference w:id="242"/>
      </w:r>
      <w:r w:rsidRPr="006B2F21">
        <w:rPr>
          <w:szCs w:val="18"/>
        </w:rPr>
        <w:t xml:space="preserve"> </w:t>
      </w:r>
    </w:p>
    <w:p w14:paraId="76299EB2" w14:textId="5A6B2401" w:rsidR="00486463" w:rsidRPr="006B2F21" w:rsidRDefault="00486463" w:rsidP="006B2F21">
      <w:pPr>
        <w:pStyle w:val="Heading4"/>
        <w:rPr>
          <w:szCs w:val="18"/>
        </w:rPr>
      </w:pPr>
      <w:bookmarkStart w:id="131" w:name="_Toc31380995"/>
      <w:r w:rsidRPr="006B2F21">
        <w:rPr>
          <w:szCs w:val="18"/>
        </w:rPr>
        <w:t>Conclusion</w:t>
      </w:r>
      <w:bookmarkEnd w:id="131"/>
    </w:p>
    <w:p w14:paraId="6F69F6A6" w14:textId="452C0EE6" w:rsidR="00632EC6" w:rsidRPr="006B2F21" w:rsidRDefault="00632EC6" w:rsidP="006B2F21">
      <w:pPr>
        <w:pStyle w:val="BodyText"/>
        <w:numPr>
          <w:ilvl w:val="6"/>
          <w:numId w:val="1"/>
        </w:numPr>
        <w:rPr>
          <w:szCs w:val="18"/>
        </w:rPr>
      </w:pPr>
      <w:r w:rsidRPr="006B2F21">
        <w:rPr>
          <w:szCs w:val="18"/>
        </w:rPr>
        <w:t xml:space="preserve">Russia has not established that Ukraine failed to meet its </w:t>
      </w:r>
      <w:r w:rsidRPr="006B2F21">
        <w:rPr>
          <w:i/>
          <w:szCs w:val="18"/>
        </w:rPr>
        <w:t>prima facie</w:t>
      </w:r>
      <w:r w:rsidRPr="006B2F21">
        <w:rPr>
          <w:szCs w:val="18"/>
        </w:rPr>
        <w:t xml:space="preserve"> burden to establish the existence of the third measure as a single measure. We therefore </w:t>
      </w:r>
      <w:r w:rsidRPr="006B2F21">
        <w:rPr>
          <w:szCs w:val="18"/>
          <w:u w:val="single"/>
        </w:rPr>
        <w:t>uphold</w:t>
      </w:r>
      <w:r w:rsidRPr="006B2F21">
        <w:rPr>
          <w:szCs w:val="18"/>
        </w:rPr>
        <w:t xml:space="preserve"> the Panel's finding</w:t>
      </w:r>
      <w:r w:rsidR="00D54F2C" w:rsidRPr="006B2F21">
        <w:rPr>
          <w:szCs w:val="18"/>
        </w:rPr>
        <w:t>,</w:t>
      </w:r>
      <w:r w:rsidRPr="006B2F21">
        <w:rPr>
          <w:szCs w:val="18"/>
        </w:rPr>
        <w:t xml:space="preserve"> in paragraph 7.861 </w:t>
      </w:r>
      <w:r w:rsidR="00D54F2C" w:rsidRPr="006B2F21">
        <w:rPr>
          <w:szCs w:val="18"/>
        </w:rPr>
        <w:t>of the Panel</w:t>
      </w:r>
      <w:r w:rsidR="00AE6EAE" w:rsidRPr="006B2F21">
        <w:rPr>
          <w:szCs w:val="18"/>
        </w:rPr>
        <w:t> Report</w:t>
      </w:r>
      <w:r w:rsidR="00D54F2C" w:rsidRPr="006B2F21">
        <w:rPr>
          <w:szCs w:val="18"/>
        </w:rPr>
        <w:t xml:space="preserve">, </w:t>
      </w:r>
      <w:r w:rsidRPr="006B2F21">
        <w:rPr>
          <w:szCs w:val="18"/>
        </w:rPr>
        <w:t xml:space="preserve">that the third measure had been demonstrated to exist. </w:t>
      </w:r>
    </w:p>
    <w:p w14:paraId="4F28378A" w14:textId="77777777" w:rsidR="00632EC6" w:rsidRPr="006B2F21" w:rsidRDefault="00632EC6" w:rsidP="006B2F21">
      <w:pPr>
        <w:pStyle w:val="Heading3"/>
        <w:numPr>
          <w:ilvl w:val="2"/>
          <w:numId w:val="1"/>
        </w:numPr>
        <w:rPr>
          <w:szCs w:val="18"/>
        </w:rPr>
      </w:pPr>
      <w:bookmarkStart w:id="132" w:name="_Toc31380996"/>
      <w:bookmarkEnd w:id="129"/>
      <w:r w:rsidRPr="006B2F21">
        <w:rPr>
          <w:szCs w:val="18"/>
        </w:rPr>
        <w:t>Russia's claim that the Panel erred in finding that the third measure was within its terms of reference</w:t>
      </w:r>
      <w:bookmarkEnd w:id="132"/>
    </w:p>
    <w:p w14:paraId="54E77F13" w14:textId="77777777" w:rsidR="00632EC6" w:rsidRPr="006B2F21" w:rsidRDefault="00632EC6" w:rsidP="006B2F21">
      <w:pPr>
        <w:pStyle w:val="Heading4"/>
        <w:numPr>
          <w:ilvl w:val="3"/>
          <w:numId w:val="1"/>
        </w:numPr>
        <w:rPr>
          <w:szCs w:val="18"/>
        </w:rPr>
      </w:pPr>
      <w:bookmarkStart w:id="133" w:name="_Toc31380997"/>
      <w:r w:rsidRPr="006B2F21">
        <w:rPr>
          <w:szCs w:val="18"/>
        </w:rPr>
        <w:t>Arguments on appeal</w:t>
      </w:r>
      <w:bookmarkEnd w:id="133"/>
    </w:p>
    <w:p w14:paraId="5002E2DA" w14:textId="294F373C" w:rsidR="00632EC6" w:rsidRPr="006B2F21" w:rsidRDefault="00632EC6" w:rsidP="006B2F21">
      <w:pPr>
        <w:pStyle w:val="BodyText"/>
        <w:numPr>
          <w:ilvl w:val="6"/>
          <w:numId w:val="1"/>
        </w:numPr>
        <w:rPr>
          <w:szCs w:val="18"/>
        </w:rPr>
      </w:pPr>
      <w:r w:rsidRPr="006B2F21">
        <w:rPr>
          <w:szCs w:val="18"/>
        </w:rPr>
        <w:t xml:space="preserve">Russia requests us to reverse the Panel's finding that the third measure, as described in the Panel Report, fell within the Panel's terms of reference. According to Russia, the Panel acted inconsistently with Articles 6.2 and 7.1 of the DSU by finding that the third measure, as framed by Ukraine in its first written submission </w:t>
      </w:r>
      <w:r w:rsidR="006451E0" w:rsidRPr="006B2F21">
        <w:rPr>
          <w:szCs w:val="18"/>
        </w:rPr>
        <w:t xml:space="preserve">to </w:t>
      </w:r>
      <w:r w:rsidRPr="006B2F21">
        <w:rPr>
          <w:szCs w:val="18"/>
        </w:rPr>
        <w:t>the Panel and as determined to exist by the Panel, was within the Panel's terms of reference.</w:t>
      </w:r>
      <w:r w:rsidRPr="006B2F21">
        <w:rPr>
          <w:rStyle w:val="FootnoteReference"/>
          <w:szCs w:val="18"/>
        </w:rPr>
        <w:footnoteReference w:id="243"/>
      </w:r>
      <w:r w:rsidRPr="006B2F21">
        <w:rPr>
          <w:szCs w:val="18"/>
        </w:rPr>
        <w:t xml:space="preserve"> Russia contends that</w:t>
      </w:r>
      <w:r w:rsidR="006451E0" w:rsidRPr="006B2F21">
        <w:rPr>
          <w:szCs w:val="18"/>
        </w:rPr>
        <w:t>,</w:t>
      </w:r>
      <w:r w:rsidRPr="006B2F21">
        <w:rPr>
          <w:szCs w:val="18"/>
        </w:rPr>
        <w:t xml:space="preserve"> consequently, the measure assessed by the Panel was not the third measure that was within its terms of reference, and that the Panel erred under Article 11 of the DSU by improperly expanding its jurisdiction, and examining and ruling on </w:t>
      </w:r>
      <w:r w:rsidR="0094610E" w:rsidRPr="006B2F21">
        <w:rPr>
          <w:szCs w:val="18"/>
        </w:rPr>
        <w:t xml:space="preserve">that </w:t>
      </w:r>
      <w:r w:rsidRPr="006B2F21">
        <w:rPr>
          <w:szCs w:val="18"/>
        </w:rPr>
        <w:t>measure.</w:t>
      </w:r>
    </w:p>
    <w:p w14:paraId="19C5B511" w14:textId="45CB63C3" w:rsidR="00632EC6" w:rsidRPr="006B2F21" w:rsidRDefault="00632EC6" w:rsidP="006B2F21">
      <w:pPr>
        <w:pStyle w:val="BodyText"/>
        <w:numPr>
          <w:ilvl w:val="6"/>
          <w:numId w:val="1"/>
        </w:numPr>
        <w:rPr>
          <w:szCs w:val="18"/>
        </w:rPr>
      </w:pPr>
      <w:r w:rsidRPr="006B2F21">
        <w:rPr>
          <w:szCs w:val="18"/>
        </w:rPr>
        <w:t xml:space="preserve">First, Russia argues that the descriptions of the third measure in </w:t>
      </w:r>
      <w:r w:rsidR="0094610E" w:rsidRPr="006B2F21">
        <w:rPr>
          <w:szCs w:val="18"/>
        </w:rPr>
        <w:t xml:space="preserve">Ukraine's </w:t>
      </w:r>
      <w:r w:rsidRPr="006B2F21">
        <w:rPr>
          <w:szCs w:val="18"/>
        </w:rPr>
        <w:t xml:space="preserve">written submissions </w:t>
      </w:r>
      <w:r w:rsidR="00F92E7E" w:rsidRPr="006B2F21">
        <w:rPr>
          <w:szCs w:val="18"/>
        </w:rPr>
        <w:t xml:space="preserve">to the Panel </w:t>
      </w:r>
      <w:r w:rsidRPr="006B2F21">
        <w:rPr>
          <w:szCs w:val="18"/>
        </w:rPr>
        <w:t xml:space="preserve">are "different, by description, nature, coverage, and content" from the third measure identified in </w:t>
      </w:r>
      <w:r w:rsidR="0094610E" w:rsidRPr="006B2F21">
        <w:rPr>
          <w:szCs w:val="18"/>
        </w:rPr>
        <w:t xml:space="preserve">its </w:t>
      </w:r>
      <w:r w:rsidRPr="006B2F21">
        <w:rPr>
          <w:szCs w:val="18"/>
        </w:rPr>
        <w:t>panel request.</w:t>
      </w:r>
      <w:r w:rsidRPr="006B2F21">
        <w:rPr>
          <w:rStyle w:val="FootnoteReference"/>
          <w:szCs w:val="18"/>
        </w:rPr>
        <w:footnoteReference w:id="244"/>
      </w:r>
      <w:r w:rsidRPr="006B2F21">
        <w:rPr>
          <w:szCs w:val="18"/>
        </w:rPr>
        <w:t xml:space="preserve"> In this regard, Russia alleges that the Panel improperly relied on the third narrative paragraph of section II of </w:t>
      </w:r>
      <w:r w:rsidR="0094610E" w:rsidRPr="006B2F21">
        <w:rPr>
          <w:szCs w:val="18"/>
        </w:rPr>
        <w:t xml:space="preserve">the </w:t>
      </w:r>
      <w:r w:rsidRPr="006B2F21">
        <w:rPr>
          <w:szCs w:val="18"/>
        </w:rPr>
        <w:t xml:space="preserve">panel request in its analysis of whether the third measure described by Ukraine in its first written submission to the Panel was within the Panel's </w:t>
      </w:r>
      <w:r w:rsidRPr="006B2F21">
        <w:rPr>
          <w:szCs w:val="18"/>
        </w:rPr>
        <w:lastRenderedPageBreak/>
        <w:t>terms of reference.</w:t>
      </w:r>
      <w:r w:rsidRPr="006B2F21">
        <w:rPr>
          <w:rStyle w:val="FootnoteReference"/>
          <w:szCs w:val="18"/>
        </w:rPr>
        <w:footnoteReference w:id="245"/>
      </w:r>
      <w:r w:rsidRPr="006B2F21">
        <w:rPr>
          <w:szCs w:val="18"/>
        </w:rPr>
        <w:t xml:space="preserve"> In Russia's view, "the plain meaning of the text of the third measure indicates that Ukraine challenged [CU] Technical Regulation No. 001/2011 as such, read together with [Protocol </w:t>
      </w:r>
      <w:r w:rsidR="00151192" w:rsidRPr="006B2F21">
        <w:rPr>
          <w:szCs w:val="18"/>
        </w:rPr>
        <w:t>No. </w:t>
      </w:r>
      <w:r w:rsidRPr="006B2F21">
        <w:rPr>
          <w:szCs w:val="18"/>
        </w:rPr>
        <w:t>A 4</w:t>
      </w:r>
      <w:r w:rsidR="00B24926" w:rsidRPr="006B2F21">
        <w:rPr>
          <w:szCs w:val="18"/>
        </w:rPr>
        <w:noBreakHyphen/>
      </w:r>
      <w:r w:rsidRPr="006B2F21">
        <w:rPr>
          <w:szCs w:val="18"/>
        </w:rPr>
        <w:t>3] and the instructions mentioned in Annex III."</w:t>
      </w:r>
      <w:r w:rsidRPr="006B2F21">
        <w:rPr>
          <w:rStyle w:val="FootnoteReference"/>
          <w:szCs w:val="18"/>
        </w:rPr>
        <w:footnoteReference w:id="246"/>
      </w:r>
      <w:r w:rsidRPr="006B2F21">
        <w:rPr>
          <w:szCs w:val="18"/>
        </w:rPr>
        <w:t xml:space="preserve"> Russia notes that, in contrast, Ukraine described the third measure in its first written submission as: "the </w:t>
      </w:r>
      <w:r w:rsidRPr="006B2F21">
        <w:rPr>
          <w:i/>
          <w:szCs w:val="18"/>
        </w:rPr>
        <w:t>decision</w:t>
      </w:r>
      <w:r w:rsidRPr="006B2F21">
        <w:rPr>
          <w:szCs w:val="18"/>
        </w:rPr>
        <w:t xml:space="preserve"> of the Russian Federation not to accept in its territory the validity of the conformity assessment certificates issued to Ukrainian producers in other CU countries"</w:t>
      </w:r>
      <w:r w:rsidRPr="006B2F21">
        <w:rPr>
          <w:rStyle w:val="FootnoteReference"/>
          <w:szCs w:val="18"/>
        </w:rPr>
        <w:footnoteReference w:id="247"/>
      </w:r>
      <w:r w:rsidRPr="006B2F21">
        <w:rPr>
          <w:szCs w:val="18"/>
        </w:rPr>
        <w:t xml:space="preserve">; "additional </w:t>
      </w:r>
      <w:r w:rsidRPr="006B2F21">
        <w:rPr>
          <w:i/>
          <w:szCs w:val="18"/>
        </w:rPr>
        <w:t>requirements</w:t>
      </w:r>
      <w:r w:rsidRPr="006B2F21">
        <w:rPr>
          <w:szCs w:val="18"/>
        </w:rPr>
        <w:t>", i.e. the local production condition and the local registration condition</w:t>
      </w:r>
      <w:r w:rsidRPr="006B2F21">
        <w:rPr>
          <w:rStyle w:val="FootnoteReference"/>
          <w:szCs w:val="18"/>
        </w:rPr>
        <w:footnoteReference w:id="248"/>
      </w:r>
      <w:r w:rsidRPr="006B2F21">
        <w:rPr>
          <w:szCs w:val="18"/>
        </w:rPr>
        <w:t xml:space="preserve">; "the </w:t>
      </w:r>
      <w:r w:rsidRPr="006B2F21">
        <w:rPr>
          <w:i/>
          <w:szCs w:val="18"/>
        </w:rPr>
        <w:t>conformity assessment procedures</w:t>
      </w:r>
      <w:r w:rsidRPr="006B2F21">
        <w:rPr>
          <w:szCs w:val="18"/>
        </w:rPr>
        <w:t>" set out in Article 6(9) of CU Technical Regulation</w:t>
      </w:r>
      <w:r w:rsidR="00151192" w:rsidRPr="006B2F21">
        <w:rPr>
          <w:szCs w:val="18"/>
        </w:rPr>
        <w:t> </w:t>
      </w:r>
      <w:r w:rsidRPr="006B2F21">
        <w:rPr>
          <w:szCs w:val="18"/>
        </w:rPr>
        <w:t>001/2011 read together with a certain letter in Annex III</w:t>
      </w:r>
      <w:r w:rsidRPr="006B2F21">
        <w:rPr>
          <w:rStyle w:val="FootnoteReference"/>
          <w:szCs w:val="18"/>
        </w:rPr>
        <w:footnoteReference w:id="249"/>
      </w:r>
      <w:r w:rsidRPr="006B2F21">
        <w:rPr>
          <w:szCs w:val="18"/>
        </w:rPr>
        <w:t>; and "</w:t>
      </w:r>
      <w:r w:rsidRPr="006B2F21">
        <w:rPr>
          <w:i/>
          <w:szCs w:val="18"/>
        </w:rPr>
        <w:t>administration</w:t>
      </w:r>
      <w:r w:rsidRPr="006B2F21">
        <w:rPr>
          <w:szCs w:val="18"/>
        </w:rPr>
        <w:t>" of CU Technical Regulation 001/2011, read together with Protocol </w:t>
      </w:r>
      <w:r w:rsidR="00151192" w:rsidRPr="006B2F21">
        <w:rPr>
          <w:szCs w:val="18"/>
        </w:rPr>
        <w:t>No. </w:t>
      </w:r>
      <w:r w:rsidRPr="006B2F21">
        <w:rPr>
          <w:szCs w:val="18"/>
        </w:rPr>
        <w:t>A</w:t>
      </w:r>
      <w:r w:rsidR="00151192" w:rsidRPr="006B2F21">
        <w:rPr>
          <w:szCs w:val="18"/>
        </w:rPr>
        <w:t> </w:t>
      </w:r>
      <w:r w:rsidRPr="006B2F21">
        <w:rPr>
          <w:szCs w:val="18"/>
        </w:rPr>
        <w:t>4</w:t>
      </w:r>
      <w:r w:rsidR="00B24926" w:rsidRPr="006B2F21">
        <w:rPr>
          <w:szCs w:val="18"/>
        </w:rPr>
        <w:noBreakHyphen/>
      </w:r>
      <w:r w:rsidRPr="006B2F21">
        <w:rPr>
          <w:szCs w:val="18"/>
        </w:rPr>
        <w:t xml:space="preserve">3 and the decisions in Annex III </w:t>
      </w:r>
      <w:r w:rsidR="0061714D" w:rsidRPr="006B2F21">
        <w:rPr>
          <w:szCs w:val="18"/>
        </w:rPr>
        <w:t xml:space="preserve">to </w:t>
      </w:r>
      <w:r w:rsidRPr="006B2F21">
        <w:rPr>
          <w:szCs w:val="18"/>
        </w:rPr>
        <w:t>the panel request.</w:t>
      </w:r>
      <w:r w:rsidRPr="006B2F21">
        <w:rPr>
          <w:rStyle w:val="FootnoteReference"/>
          <w:szCs w:val="18"/>
        </w:rPr>
        <w:footnoteReference w:id="250"/>
      </w:r>
      <w:r w:rsidRPr="006B2F21">
        <w:rPr>
          <w:szCs w:val="18"/>
        </w:rPr>
        <w:t xml:space="preserve"> To Russia, these different permutations of the description of the third measure in Ukraine's first written submissions </w:t>
      </w:r>
      <w:r w:rsidR="006451E0" w:rsidRPr="006B2F21">
        <w:rPr>
          <w:szCs w:val="18"/>
        </w:rPr>
        <w:t xml:space="preserve">to the Panel </w:t>
      </w:r>
      <w:r w:rsidRPr="006B2F21">
        <w:rPr>
          <w:szCs w:val="18"/>
        </w:rPr>
        <w:t xml:space="preserve">constitute </w:t>
      </w:r>
      <w:r w:rsidRPr="006B2F21">
        <w:rPr>
          <w:i/>
          <w:szCs w:val="18"/>
        </w:rPr>
        <w:t>separate</w:t>
      </w:r>
      <w:r w:rsidRPr="006B2F21">
        <w:rPr>
          <w:szCs w:val="18"/>
        </w:rPr>
        <w:t xml:space="preserve"> measures.</w:t>
      </w:r>
    </w:p>
    <w:p w14:paraId="50C007EB" w14:textId="5914A4ED" w:rsidR="00632EC6" w:rsidRPr="006B2F21" w:rsidRDefault="00632EC6" w:rsidP="006B2F21">
      <w:pPr>
        <w:pStyle w:val="BodyText"/>
        <w:numPr>
          <w:ilvl w:val="6"/>
          <w:numId w:val="1"/>
        </w:numPr>
        <w:rPr>
          <w:szCs w:val="18"/>
        </w:rPr>
      </w:pPr>
      <w:r w:rsidRPr="006B2F21">
        <w:rPr>
          <w:szCs w:val="18"/>
        </w:rPr>
        <w:t xml:space="preserve">Second, Russia argues that the Panel erred in </w:t>
      </w:r>
      <w:r w:rsidR="002D7503" w:rsidRPr="006B2F21">
        <w:rPr>
          <w:szCs w:val="18"/>
        </w:rPr>
        <w:t>referring to the third measure as "the alleged non</w:t>
      </w:r>
      <w:r w:rsidR="002F377E" w:rsidRPr="006B2F21">
        <w:rPr>
          <w:szCs w:val="18"/>
        </w:rPr>
        <w:noBreakHyphen/>
      </w:r>
      <w:r w:rsidR="002D7503" w:rsidRPr="006B2F21">
        <w:rPr>
          <w:szCs w:val="18"/>
        </w:rPr>
        <w:t>recognition requirement flowing from CU Technical Regulation 001/2011".</w:t>
      </w:r>
      <w:r w:rsidR="002D7503" w:rsidRPr="006B2F21">
        <w:rPr>
          <w:rStyle w:val="FootnoteReference"/>
          <w:szCs w:val="18"/>
        </w:rPr>
        <w:footnoteReference w:id="251"/>
      </w:r>
      <w:r w:rsidR="002D7503" w:rsidRPr="006B2F21">
        <w:rPr>
          <w:szCs w:val="18"/>
        </w:rPr>
        <w:t xml:space="preserve"> Moreover, Russia alleges that the Panel referred to this measure in ways different from how it had been presented to it by </w:t>
      </w:r>
      <w:r w:rsidR="005C2C0A" w:rsidRPr="006B2F21">
        <w:rPr>
          <w:szCs w:val="18"/>
        </w:rPr>
        <w:t>Ukraine's</w:t>
      </w:r>
      <w:r w:rsidR="002D7503" w:rsidRPr="006B2F21">
        <w:rPr>
          <w:szCs w:val="18"/>
        </w:rPr>
        <w:t xml:space="preserve"> panel request. </w:t>
      </w:r>
      <w:r w:rsidRPr="006B2F21">
        <w:rPr>
          <w:szCs w:val="18"/>
        </w:rPr>
        <w:t xml:space="preserve">According to Russia, neither Ukraine's panel request nor its first written submission to the Panel identified the third measure found to exist by the Panel. Russia contends that the Panel's characterization of the third measure was erroneous because "[t]he Panel's description of the measure is </w:t>
      </w:r>
      <w:r w:rsidRPr="006B2F21">
        <w:rPr>
          <w:i/>
          <w:szCs w:val="18"/>
        </w:rPr>
        <w:t>not</w:t>
      </w:r>
      <w:r w:rsidRPr="006B2F21">
        <w:rPr>
          <w:szCs w:val="18"/>
        </w:rPr>
        <w:t xml:space="preserve"> how Ukraine presented </w:t>
      </w:r>
      <w:r w:rsidRPr="006B2F21">
        <w:rPr>
          <w:i/>
          <w:szCs w:val="18"/>
        </w:rPr>
        <w:t>its own understanding</w:t>
      </w:r>
      <w:r w:rsidRPr="006B2F21">
        <w:rPr>
          <w:szCs w:val="18"/>
        </w:rPr>
        <w:t xml:space="preserve"> of the third measure" in its panel request.</w:t>
      </w:r>
      <w:r w:rsidRPr="006B2F21">
        <w:rPr>
          <w:rStyle w:val="FootnoteReference"/>
          <w:szCs w:val="18"/>
        </w:rPr>
        <w:footnoteReference w:id="252"/>
      </w:r>
      <w:r w:rsidRPr="006B2F21">
        <w:rPr>
          <w:szCs w:val="18"/>
        </w:rPr>
        <w:t xml:space="preserve"> As such, "the Panel's finding that it was Ukraine who had identified the third measure [as the Panel described it] [was] clearly wrong"</w:t>
      </w:r>
      <w:r w:rsidRPr="006B2F21">
        <w:rPr>
          <w:rStyle w:val="FootnoteReference"/>
          <w:szCs w:val="18"/>
        </w:rPr>
        <w:footnoteReference w:id="253"/>
      </w:r>
      <w:r w:rsidRPr="006B2F21">
        <w:rPr>
          <w:szCs w:val="18"/>
        </w:rPr>
        <w:t>, and rather "the Panel played a complaining party's role in 'identify[ing] the specific measure at issue' at the later stage in the process" by adopting a description of the measure that Ukraine did not present.</w:t>
      </w:r>
      <w:r w:rsidRPr="006B2F21">
        <w:rPr>
          <w:rStyle w:val="FootnoteReference"/>
          <w:szCs w:val="18"/>
        </w:rPr>
        <w:footnoteReference w:id="254"/>
      </w:r>
    </w:p>
    <w:p w14:paraId="71FCABCB" w14:textId="20ADA451" w:rsidR="00632EC6" w:rsidRPr="006B2F21" w:rsidRDefault="00632EC6" w:rsidP="006B2F21">
      <w:pPr>
        <w:pStyle w:val="BodyText"/>
        <w:numPr>
          <w:ilvl w:val="6"/>
          <w:numId w:val="1"/>
        </w:numPr>
        <w:rPr>
          <w:szCs w:val="18"/>
        </w:rPr>
      </w:pPr>
      <w:r w:rsidRPr="006B2F21">
        <w:rPr>
          <w:szCs w:val="18"/>
        </w:rPr>
        <w:t xml:space="preserve">In response, Ukraine requests us to uphold the Panel's finding that the third measure challenged in its written submissions </w:t>
      </w:r>
      <w:r w:rsidR="006451E0" w:rsidRPr="006B2F21">
        <w:rPr>
          <w:szCs w:val="18"/>
        </w:rPr>
        <w:t xml:space="preserve">was </w:t>
      </w:r>
      <w:r w:rsidRPr="006B2F21">
        <w:rPr>
          <w:szCs w:val="18"/>
        </w:rPr>
        <w:t>within the Panel's terms of reference.</w:t>
      </w:r>
      <w:r w:rsidRPr="006B2F21">
        <w:rPr>
          <w:rStyle w:val="FootnoteReference"/>
          <w:szCs w:val="18"/>
        </w:rPr>
        <w:footnoteReference w:id="255"/>
      </w:r>
      <w:r w:rsidRPr="006B2F21">
        <w:rPr>
          <w:szCs w:val="18"/>
        </w:rPr>
        <w:t xml:space="preserve"> Ukraine contends that the Panel correctly identified the third</w:t>
      </w:r>
      <w:r w:rsidR="003F110A" w:rsidRPr="006B2F21">
        <w:rPr>
          <w:szCs w:val="18"/>
        </w:rPr>
        <w:t> </w:t>
      </w:r>
      <w:r w:rsidRPr="006B2F21">
        <w:rPr>
          <w:szCs w:val="18"/>
        </w:rPr>
        <w:t xml:space="preserve">measure by reading the list of the </w:t>
      </w:r>
      <w:r w:rsidR="0094610E" w:rsidRPr="006B2F21">
        <w:rPr>
          <w:szCs w:val="18"/>
        </w:rPr>
        <w:t xml:space="preserve">instruments </w:t>
      </w:r>
      <w:r w:rsidRPr="006B2F21">
        <w:rPr>
          <w:szCs w:val="18"/>
        </w:rPr>
        <w:t>in section II of its panel request together with the narrative paragraphs.</w:t>
      </w:r>
      <w:r w:rsidRPr="006B2F21">
        <w:rPr>
          <w:rStyle w:val="FootnoteReference"/>
          <w:szCs w:val="18"/>
        </w:rPr>
        <w:footnoteReference w:id="256"/>
      </w:r>
      <w:r w:rsidRPr="006B2F21">
        <w:rPr>
          <w:szCs w:val="18"/>
        </w:rPr>
        <w:t xml:space="preserve"> Accordingly, Ukraine insists that its panel request "clearly and correctly identifie</w:t>
      </w:r>
      <w:r w:rsidR="0094610E" w:rsidRPr="006B2F21">
        <w:rPr>
          <w:szCs w:val="18"/>
        </w:rPr>
        <w:t>[d]</w:t>
      </w:r>
      <w:r w:rsidRPr="006B2F21">
        <w:rPr>
          <w:szCs w:val="18"/>
        </w:rPr>
        <w:t xml:space="preserve"> the specific measure" at issue and met the requirements of Article 6.2 of the DSU.</w:t>
      </w:r>
      <w:r w:rsidRPr="006B2F21">
        <w:rPr>
          <w:rStyle w:val="FootnoteReference"/>
          <w:szCs w:val="18"/>
        </w:rPr>
        <w:footnoteReference w:id="257"/>
      </w:r>
      <w:r w:rsidRPr="006B2F21">
        <w:rPr>
          <w:szCs w:val="18"/>
        </w:rPr>
        <w:t xml:space="preserve"> In addition, Ukraine recalls that the Panel found that there is no single way in which a challenged measure must be identified.</w:t>
      </w:r>
      <w:r w:rsidRPr="006B2F21">
        <w:rPr>
          <w:rStyle w:val="FootnoteReference"/>
          <w:szCs w:val="18"/>
        </w:rPr>
        <w:footnoteReference w:id="258"/>
      </w:r>
      <w:r w:rsidRPr="006B2F21">
        <w:rPr>
          <w:szCs w:val="18"/>
        </w:rPr>
        <w:t xml:space="preserve"> According to Ukraine, this is because whether a panel request adequately identifies the specific measures at issue depends on the particular context in which those measures exist and operate.</w:t>
      </w:r>
      <w:r w:rsidRPr="006B2F21">
        <w:rPr>
          <w:rStyle w:val="FootnoteReference"/>
          <w:szCs w:val="18"/>
        </w:rPr>
        <w:footnoteReference w:id="259"/>
      </w:r>
      <w:r w:rsidRPr="006B2F21">
        <w:rPr>
          <w:szCs w:val="18"/>
        </w:rPr>
        <w:t xml:space="preserve"> In this case, Ukraine contends that the Panel correctly considered that Ukraine's panel request sufficiently identifies the measure at issue and met the requirements of Article 6.2 of the DSU.</w:t>
      </w:r>
      <w:r w:rsidRPr="006B2F21">
        <w:rPr>
          <w:rStyle w:val="FootnoteReference"/>
          <w:szCs w:val="18"/>
        </w:rPr>
        <w:footnoteReference w:id="260"/>
      </w:r>
      <w:r w:rsidRPr="006B2F21">
        <w:rPr>
          <w:szCs w:val="18"/>
        </w:rPr>
        <w:t xml:space="preserve"> With respect to Russia's claim under Article 11 of the DSU, Ukraine contends that the Panel conducted a detailed analysis of the arguments raised by Russia.</w:t>
      </w:r>
      <w:r w:rsidRPr="006B2F21">
        <w:rPr>
          <w:rStyle w:val="FootnoteReference"/>
          <w:szCs w:val="18"/>
        </w:rPr>
        <w:footnoteReference w:id="261"/>
      </w:r>
      <w:r w:rsidRPr="006B2F21">
        <w:rPr>
          <w:szCs w:val="18"/>
        </w:rPr>
        <w:t xml:space="preserve"> Noting that a finding of inconsistency under Article 11 cannot be based simply on the conclusion that the Appellate Body might have reached a different factual finding from the one that the panel reached</w:t>
      </w:r>
      <w:r w:rsidRPr="006B2F21">
        <w:rPr>
          <w:rStyle w:val="FootnoteReference"/>
          <w:szCs w:val="18"/>
        </w:rPr>
        <w:footnoteReference w:id="262"/>
      </w:r>
      <w:r w:rsidRPr="006B2F21">
        <w:rPr>
          <w:szCs w:val="18"/>
        </w:rPr>
        <w:t>, Ukraine contends that Russia failed to establish that the Panel acted inconsistently with Article 11.</w:t>
      </w:r>
      <w:r w:rsidRPr="006B2F21">
        <w:rPr>
          <w:rStyle w:val="FootnoteReference"/>
          <w:szCs w:val="18"/>
        </w:rPr>
        <w:footnoteReference w:id="263"/>
      </w:r>
    </w:p>
    <w:p w14:paraId="05577A65" w14:textId="511E6669" w:rsidR="00632EC6" w:rsidRPr="006B2F21" w:rsidRDefault="00632EC6" w:rsidP="006B2F21">
      <w:pPr>
        <w:pStyle w:val="BodyText"/>
        <w:numPr>
          <w:ilvl w:val="6"/>
          <w:numId w:val="1"/>
        </w:numPr>
        <w:rPr>
          <w:szCs w:val="18"/>
        </w:rPr>
      </w:pPr>
      <w:r w:rsidRPr="006B2F21">
        <w:rPr>
          <w:szCs w:val="18"/>
        </w:rPr>
        <w:lastRenderedPageBreak/>
        <w:t xml:space="preserve">According to Ukraine, based on </w:t>
      </w:r>
      <w:r w:rsidR="00557C5C" w:rsidRPr="006B2F21">
        <w:rPr>
          <w:szCs w:val="18"/>
        </w:rPr>
        <w:t xml:space="preserve">a </w:t>
      </w:r>
      <w:r w:rsidRPr="006B2F21">
        <w:rPr>
          <w:szCs w:val="18"/>
        </w:rPr>
        <w:t>proper reading of its panel request, the third measure identified in the panel request is Russia's "</w:t>
      </w:r>
      <w:r w:rsidRPr="006B2F21">
        <w:rPr>
          <w:i/>
          <w:szCs w:val="18"/>
        </w:rPr>
        <w:t>decision</w:t>
      </w:r>
      <w:r w:rsidRPr="006B2F21">
        <w:rPr>
          <w:szCs w:val="18"/>
        </w:rPr>
        <w:t xml:space="preserve"> not to accept in its territory the validity of the conformity assessment certificates issued to Ukrainian producers in other CU countries and not to register such producers for operation in its territory"</w:t>
      </w:r>
      <w:r w:rsidR="006451E0" w:rsidRPr="006B2F21">
        <w:rPr>
          <w:szCs w:val="18"/>
        </w:rPr>
        <w:t>.</w:t>
      </w:r>
      <w:r w:rsidRPr="006B2F21">
        <w:rPr>
          <w:rStyle w:val="FootnoteReference"/>
          <w:szCs w:val="18"/>
        </w:rPr>
        <w:footnoteReference w:id="264"/>
      </w:r>
      <w:r w:rsidRPr="006B2F21">
        <w:rPr>
          <w:szCs w:val="18"/>
        </w:rPr>
        <w:t xml:space="preserve"> Viewed in this light, Ukraine considers that the third measure identified in its panel request had not been modified in its subsequent submissions</w:t>
      </w:r>
      <w:r w:rsidRPr="006B2F21">
        <w:rPr>
          <w:rStyle w:val="FootnoteReference"/>
          <w:szCs w:val="18"/>
        </w:rPr>
        <w:footnoteReference w:id="265"/>
      </w:r>
      <w:r w:rsidRPr="006B2F21">
        <w:rPr>
          <w:szCs w:val="18"/>
        </w:rPr>
        <w:t>, and that the Panel's description of the third measure also comported with the third measure as identified in the panel request.</w:t>
      </w:r>
      <w:r w:rsidRPr="006B2F21">
        <w:rPr>
          <w:rStyle w:val="FootnoteReference"/>
          <w:szCs w:val="18"/>
        </w:rPr>
        <w:footnoteReference w:id="266"/>
      </w:r>
      <w:r w:rsidRPr="006B2F21">
        <w:rPr>
          <w:szCs w:val="18"/>
        </w:rPr>
        <w:t xml:space="preserve"> On the basis of the foregoing considerations, Ukraine also requests that we dismiss Russia's claim that its due process rights were prejudiced.</w:t>
      </w:r>
      <w:r w:rsidRPr="006B2F21">
        <w:rPr>
          <w:rStyle w:val="FootnoteReference"/>
          <w:szCs w:val="18"/>
        </w:rPr>
        <w:footnoteReference w:id="267"/>
      </w:r>
    </w:p>
    <w:p w14:paraId="07FF1AAF" w14:textId="18474D06" w:rsidR="00632EC6" w:rsidRPr="006B2F21" w:rsidRDefault="00632EC6" w:rsidP="006B2F21">
      <w:pPr>
        <w:pStyle w:val="BodyText"/>
        <w:numPr>
          <w:ilvl w:val="6"/>
          <w:numId w:val="1"/>
        </w:numPr>
        <w:rPr>
          <w:szCs w:val="18"/>
        </w:rPr>
      </w:pPr>
      <w:r w:rsidRPr="006B2F21">
        <w:rPr>
          <w:szCs w:val="18"/>
        </w:rPr>
        <w:t>With respect to Russia's claim that different permutations of the third measure in Ukraine's written submissions constitute different "measures", Ukraine first notes that the portions of the Panel Report Russia takes issue with are merely "explaining the context of the third measure</w:t>
      </w:r>
      <w:r w:rsidR="00B6496E">
        <w:rPr>
          <w:szCs w:val="18"/>
        </w:rPr>
        <w:t> </w:t>
      </w:r>
      <w:r w:rsidRPr="006B2F21">
        <w:rPr>
          <w:szCs w:val="18"/>
        </w:rPr>
        <w:t>…</w:t>
      </w:r>
      <w:r w:rsidR="00B6496E">
        <w:rPr>
          <w:szCs w:val="18"/>
        </w:rPr>
        <w:t> </w:t>
      </w:r>
      <w:r w:rsidRPr="006B2F21">
        <w:rPr>
          <w:szCs w:val="18"/>
        </w:rPr>
        <w:t>and</w:t>
      </w:r>
      <w:r w:rsidR="006451E0" w:rsidRPr="006B2F21">
        <w:rPr>
          <w:szCs w:val="18"/>
        </w:rPr>
        <w:t> </w:t>
      </w:r>
      <w:r w:rsidRPr="006B2F21">
        <w:rPr>
          <w:szCs w:val="18"/>
        </w:rPr>
        <w:t>…</w:t>
      </w:r>
      <w:r w:rsidR="006451E0" w:rsidRPr="006B2F21">
        <w:rPr>
          <w:szCs w:val="18"/>
        </w:rPr>
        <w:t> </w:t>
      </w:r>
      <w:r w:rsidRPr="006B2F21">
        <w:rPr>
          <w:szCs w:val="18"/>
        </w:rPr>
        <w:t>do not contain any additional meaning or definitions" of the third measure.</w:t>
      </w:r>
      <w:r w:rsidRPr="006B2F21">
        <w:rPr>
          <w:rStyle w:val="FootnoteReference"/>
          <w:szCs w:val="18"/>
        </w:rPr>
        <w:footnoteReference w:id="268"/>
      </w:r>
      <w:r w:rsidRPr="006B2F21">
        <w:rPr>
          <w:szCs w:val="18"/>
        </w:rPr>
        <w:t xml:space="preserve"> Ukraine contends that it has </w:t>
      </w:r>
      <w:r w:rsidR="00B6496E">
        <w:rPr>
          <w:szCs w:val="18"/>
        </w:rPr>
        <w:t>not</w:t>
      </w:r>
      <w:r w:rsidRPr="006B2F21">
        <w:rPr>
          <w:szCs w:val="18"/>
        </w:rPr>
        <w:t xml:space="preserve"> claimed</w:t>
      </w:r>
      <w:r w:rsidR="00B6496E">
        <w:rPr>
          <w:szCs w:val="18"/>
        </w:rPr>
        <w:t xml:space="preserve"> that</w:t>
      </w:r>
      <w:r w:rsidRPr="006B2F21">
        <w:rPr>
          <w:szCs w:val="18"/>
        </w:rPr>
        <w:t xml:space="preserve"> the various permutations of the third measure </w:t>
      </w:r>
      <w:r w:rsidR="00B6496E">
        <w:rPr>
          <w:szCs w:val="18"/>
        </w:rPr>
        <w:t xml:space="preserve">are </w:t>
      </w:r>
      <w:r w:rsidRPr="006B2F21">
        <w:rPr>
          <w:szCs w:val="18"/>
        </w:rPr>
        <w:t xml:space="preserve">separate measures, </w:t>
      </w:r>
      <w:r w:rsidR="00B6496E">
        <w:rPr>
          <w:szCs w:val="18"/>
        </w:rPr>
        <w:t>but</w:t>
      </w:r>
      <w:r w:rsidRPr="006B2F21">
        <w:rPr>
          <w:szCs w:val="18"/>
        </w:rPr>
        <w:t xml:space="preserve"> that they are "component parts" and "practical realization" of the third measure.</w:t>
      </w:r>
      <w:r w:rsidRPr="006B2F21">
        <w:rPr>
          <w:rStyle w:val="FootnoteReference"/>
          <w:szCs w:val="18"/>
        </w:rPr>
        <w:footnoteReference w:id="269"/>
      </w:r>
      <w:r w:rsidRPr="006B2F21">
        <w:rPr>
          <w:szCs w:val="18"/>
        </w:rPr>
        <w:t xml:space="preserve"> With respect to Russia's claim that the Panel modified the third measure from how it was presented by Ukraine, Ukraine recalled that the third measure, properly read from the panel request, is "the decision of the Russian Federation not to accept in its territory the validity of the conformity assessment certificates issued to Ukrainian producers in other CU countries"</w:t>
      </w:r>
      <w:r w:rsidR="0065493C" w:rsidRPr="006B2F21">
        <w:rPr>
          <w:szCs w:val="18"/>
        </w:rPr>
        <w:t>.</w:t>
      </w:r>
      <w:r w:rsidRPr="006B2F21">
        <w:rPr>
          <w:rStyle w:val="FootnoteReference"/>
          <w:szCs w:val="18"/>
        </w:rPr>
        <w:footnoteReference w:id="270"/>
      </w:r>
      <w:r w:rsidRPr="006B2F21">
        <w:rPr>
          <w:szCs w:val="18"/>
        </w:rPr>
        <w:t xml:space="preserve"> That "decision" is contained in Protocol </w:t>
      </w:r>
      <w:r w:rsidR="00B6496E">
        <w:rPr>
          <w:szCs w:val="18"/>
        </w:rPr>
        <w:t>No. </w:t>
      </w:r>
      <w:r w:rsidRPr="006B2F21">
        <w:rPr>
          <w:szCs w:val="18"/>
        </w:rPr>
        <w:t>A 4</w:t>
      </w:r>
      <w:r w:rsidR="00B24926" w:rsidRPr="006B2F21">
        <w:rPr>
          <w:szCs w:val="18"/>
        </w:rPr>
        <w:noBreakHyphen/>
      </w:r>
      <w:r w:rsidRPr="006B2F21">
        <w:rPr>
          <w:szCs w:val="18"/>
        </w:rPr>
        <w:t>3 explicitly referred to in the panel request, and it establishes the local production condition based on the authorities' interpretation of CU Technical Regulation 001/2011.</w:t>
      </w:r>
      <w:r w:rsidRPr="006B2F21">
        <w:rPr>
          <w:rStyle w:val="FootnoteReference"/>
          <w:szCs w:val="18"/>
        </w:rPr>
        <w:footnoteReference w:id="271"/>
      </w:r>
      <w:r w:rsidRPr="006B2F21">
        <w:rPr>
          <w:szCs w:val="18"/>
        </w:rPr>
        <w:t xml:space="preserve"> Thus, Ukraine contends that the Panel's description of the third</w:t>
      </w:r>
      <w:r w:rsidR="003F110A" w:rsidRPr="006B2F21">
        <w:rPr>
          <w:szCs w:val="18"/>
        </w:rPr>
        <w:t> </w:t>
      </w:r>
      <w:r w:rsidRPr="006B2F21">
        <w:rPr>
          <w:szCs w:val="18"/>
        </w:rPr>
        <w:t>measure as "a general non</w:t>
      </w:r>
      <w:r w:rsidR="00B24926" w:rsidRPr="006B2F21">
        <w:rPr>
          <w:szCs w:val="18"/>
        </w:rPr>
        <w:noBreakHyphen/>
      </w:r>
      <w:r w:rsidRPr="006B2F21">
        <w:rPr>
          <w:szCs w:val="18"/>
        </w:rPr>
        <w:t>recognition requirement which [the relevant Russian authorities] considered to flow from CU Technical Regulation 001/2011 as they interpreted it" was correct.</w:t>
      </w:r>
      <w:r w:rsidRPr="006B2F21">
        <w:rPr>
          <w:rStyle w:val="FootnoteReference"/>
          <w:szCs w:val="18"/>
        </w:rPr>
        <w:footnoteReference w:id="272"/>
      </w:r>
    </w:p>
    <w:p w14:paraId="60AF6292" w14:textId="77777777" w:rsidR="00632EC6" w:rsidRPr="006B2F21" w:rsidRDefault="00632EC6" w:rsidP="006B2F21">
      <w:pPr>
        <w:pStyle w:val="Heading4"/>
        <w:numPr>
          <w:ilvl w:val="3"/>
          <w:numId w:val="1"/>
        </w:numPr>
        <w:rPr>
          <w:szCs w:val="18"/>
        </w:rPr>
      </w:pPr>
      <w:bookmarkStart w:id="134" w:name="_Toc31380998"/>
      <w:bookmarkStart w:id="135" w:name="_Hlk19710590"/>
      <w:r w:rsidRPr="006B2F21">
        <w:rPr>
          <w:szCs w:val="18"/>
        </w:rPr>
        <w:t>Analysis</w:t>
      </w:r>
      <w:bookmarkEnd w:id="134"/>
    </w:p>
    <w:p w14:paraId="43656151" w14:textId="59EA7321" w:rsidR="00632EC6" w:rsidRPr="006B2F21" w:rsidRDefault="00632EC6" w:rsidP="006B2F21">
      <w:pPr>
        <w:pStyle w:val="BodyText"/>
        <w:numPr>
          <w:ilvl w:val="6"/>
          <w:numId w:val="1"/>
        </w:numPr>
        <w:rPr>
          <w:szCs w:val="18"/>
        </w:rPr>
      </w:pPr>
      <w:r w:rsidRPr="006B2F21">
        <w:rPr>
          <w:szCs w:val="18"/>
        </w:rPr>
        <w:t>The participants disagree as to whether the third measure Ukraine challenged</w:t>
      </w:r>
      <w:r w:rsidR="006F46CB" w:rsidRPr="006B2F21">
        <w:rPr>
          <w:szCs w:val="18"/>
        </w:rPr>
        <w:t>,</w:t>
      </w:r>
      <w:r w:rsidRPr="006B2F21">
        <w:rPr>
          <w:szCs w:val="18"/>
        </w:rPr>
        <w:t xml:space="preserve"> and the Panel understood and assessed for conformity with the covered agreements</w:t>
      </w:r>
      <w:r w:rsidR="006F46CB" w:rsidRPr="006B2F21">
        <w:rPr>
          <w:szCs w:val="18"/>
        </w:rPr>
        <w:t>,</w:t>
      </w:r>
      <w:r w:rsidRPr="006B2F21">
        <w:rPr>
          <w:szCs w:val="18"/>
        </w:rPr>
        <w:t xml:space="preserve"> was the third measure that Ukraine had identified in </w:t>
      </w:r>
      <w:r w:rsidR="006F46CB" w:rsidRPr="006B2F21">
        <w:rPr>
          <w:szCs w:val="18"/>
        </w:rPr>
        <w:t xml:space="preserve">its </w:t>
      </w:r>
      <w:r w:rsidRPr="006B2F21">
        <w:rPr>
          <w:szCs w:val="18"/>
        </w:rPr>
        <w:t>panel request. In particular, the Panel found that the third measure identified in the panel request is the alleged requirement that Russia's authorities must not recognize certificates issued in other CU countries if the certified railway products were not produced in a CU country.</w:t>
      </w:r>
      <w:r w:rsidRPr="006B2F21">
        <w:rPr>
          <w:rStyle w:val="FootnoteReference"/>
          <w:szCs w:val="18"/>
        </w:rPr>
        <w:footnoteReference w:id="273"/>
      </w:r>
      <w:r w:rsidRPr="006B2F21">
        <w:rPr>
          <w:szCs w:val="18"/>
        </w:rPr>
        <w:t xml:space="preserve"> The Panel then found that the relevant Russian authorities applied a "general non</w:t>
      </w:r>
      <w:r w:rsidR="00B24926" w:rsidRPr="006B2F21">
        <w:rPr>
          <w:szCs w:val="18"/>
        </w:rPr>
        <w:noBreakHyphen/>
      </w:r>
      <w:r w:rsidRPr="006B2F21">
        <w:rPr>
          <w:szCs w:val="18"/>
        </w:rPr>
        <w:t>recognition requirement, which these authorities considered to flow from CU Technical Regulation 001/2011 as they interpreted it", according to which the Russian authorities were not to recognize certificates issued under the regulation in other CU countries if the certified products were not produced in a CU country.</w:t>
      </w:r>
      <w:r w:rsidRPr="006B2F21">
        <w:rPr>
          <w:rStyle w:val="FootnoteReference"/>
          <w:szCs w:val="18"/>
        </w:rPr>
        <w:footnoteReference w:id="274"/>
      </w:r>
      <w:r w:rsidRPr="006B2F21">
        <w:rPr>
          <w:szCs w:val="18"/>
        </w:rPr>
        <w:t xml:space="preserve"> For its part, Russia contends that what Ukraine had identified as the third measure in the panel request is "[CU] Technical Regulation</w:t>
      </w:r>
      <w:r w:rsidR="0066317F" w:rsidRPr="006B2F21">
        <w:rPr>
          <w:szCs w:val="18"/>
        </w:rPr>
        <w:t> </w:t>
      </w:r>
      <w:r w:rsidRPr="006B2F21">
        <w:rPr>
          <w:szCs w:val="18"/>
        </w:rPr>
        <w:t>001/2011 … read together with [Protocol </w:t>
      </w:r>
      <w:r w:rsidR="00B6496E">
        <w:rPr>
          <w:szCs w:val="18"/>
        </w:rPr>
        <w:t>No. </w:t>
      </w:r>
      <w:r w:rsidRPr="006B2F21">
        <w:rPr>
          <w:szCs w:val="18"/>
        </w:rPr>
        <w:t>A 4</w:t>
      </w:r>
      <w:r w:rsidR="00B24926" w:rsidRPr="006B2F21">
        <w:rPr>
          <w:szCs w:val="18"/>
        </w:rPr>
        <w:noBreakHyphen/>
      </w:r>
      <w:r w:rsidRPr="006B2F21">
        <w:rPr>
          <w:szCs w:val="18"/>
        </w:rPr>
        <w:t>3 and the letters listed in Annex III to the panel request]".</w:t>
      </w:r>
      <w:r w:rsidRPr="006B2F21">
        <w:rPr>
          <w:rStyle w:val="FootnoteReference"/>
          <w:szCs w:val="18"/>
        </w:rPr>
        <w:footnoteReference w:id="275"/>
      </w:r>
      <w:r w:rsidRPr="006B2F21">
        <w:rPr>
          <w:szCs w:val="18"/>
        </w:rPr>
        <w:t xml:space="preserve"> Thus, to Russia, neither the third measure the Panel found to exist nor the third measure challenged by Ukraine fell within the Panel's terms of reference.</w:t>
      </w:r>
    </w:p>
    <w:p w14:paraId="235337F2" w14:textId="4B7E4AA3" w:rsidR="00632EC6" w:rsidRPr="006B2F21" w:rsidRDefault="00632EC6" w:rsidP="006B2F21">
      <w:pPr>
        <w:pStyle w:val="BodyText"/>
        <w:numPr>
          <w:ilvl w:val="6"/>
          <w:numId w:val="1"/>
        </w:numPr>
        <w:rPr>
          <w:szCs w:val="18"/>
        </w:rPr>
      </w:pPr>
      <w:r w:rsidRPr="006B2F21">
        <w:rPr>
          <w:szCs w:val="18"/>
        </w:rPr>
        <w:t>With respect to Russia's separate claim that the Panel erred in its preliminary ruling</w:t>
      </w:r>
      <w:r w:rsidR="00151192" w:rsidRPr="006B2F21">
        <w:rPr>
          <w:szCs w:val="18"/>
        </w:rPr>
        <w:t>,</w:t>
      </w:r>
      <w:r w:rsidRPr="006B2F21">
        <w:rPr>
          <w:szCs w:val="18"/>
        </w:rPr>
        <w:t xml:space="preserve"> in </w:t>
      </w:r>
      <w:r w:rsidRPr="00241174">
        <w:rPr>
          <w:szCs w:val="18"/>
        </w:rPr>
        <w:t>section</w:t>
      </w:r>
      <w:r w:rsidR="0093034E">
        <w:rPr>
          <w:szCs w:val="18"/>
        </w:rPr>
        <w:t> </w:t>
      </w:r>
      <w:r w:rsidR="00241174" w:rsidRPr="00241174">
        <w:rPr>
          <w:szCs w:val="18"/>
        </w:rPr>
        <w:t xml:space="preserve">5.1 </w:t>
      </w:r>
      <w:r w:rsidRPr="00241174">
        <w:rPr>
          <w:szCs w:val="18"/>
        </w:rPr>
        <w:t>above,</w:t>
      </w:r>
      <w:r w:rsidRPr="006B2F21">
        <w:rPr>
          <w:szCs w:val="18"/>
        </w:rPr>
        <w:t xml:space="preserve"> we disagreed with Russia that the Panel erred in finding that the third measure identified in </w:t>
      </w:r>
      <w:r w:rsidR="006F46CB" w:rsidRPr="006B2F21">
        <w:rPr>
          <w:szCs w:val="18"/>
        </w:rPr>
        <w:t xml:space="preserve">Ukraine's </w:t>
      </w:r>
      <w:r w:rsidRPr="006B2F21">
        <w:rPr>
          <w:szCs w:val="18"/>
        </w:rPr>
        <w:t>panel request is the alleged requirement that Russia's authorities must not recognize certificates issued in other CU</w:t>
      </w:r>
      <w:r w:rsidR="003F110A" w:rsidRPr="006B2F21">
        <w:rPr>
          <w:szCs w:val="18"/>
        </w:rPr>
        <w:t> </w:t>
      </w:r>
      <w:r w:rsidRPr="006B2F21">
        <w:rPr>
          <w:szCs w:val="18"/>
        </w:rPr>
        <w:t>countries if the certified railway products were not produced in a CU country.</w:t>
      </w:r>
      <w:r w:rsidRPr="006B2F21">
        <w:rPr>
          <w:rStyle w:val="FootnoteReference"/>
          <w:szCs w:val="18"/>
        </w:rPr>
        <w:footnoteReference w:id="276"/>
      </w:r>
      <w:r w:rsidRPr="006B2F21">
        <w:rPr>
          <w:szCs w:val="18"/>
        </w:rPr>
        <w:t xml:space="preserve"> In particular, we found that the Panel was correct in considering the </w:t>
      </w:r>
      <w:r w:rsidR="00020FF0" w:rsidRPr="006B2F21">
        <w:rPr>
          <w:szCs w:val="18"/>
        </w:rPr>
        <w:t>p</w:t>
      </w:r>
      <w:r w:rsidRPr="006B2F21">
        <w:rPr>
          <w:szCs w:val="18"/>
        </w:rPr>
        <w:t xml:space="preserve">anel request as a whole, including the third narrative paragraph of section II </w:t>
      </w:r>
      <w:r w:rsidR="00557C5C" w:rsidRPr="006B2F21">
        <w:rPr>
          <w:szCs w:val="18"/>
        </w:rPr>
        <w:t>there</w:t>
      </w:r>
      <w:r w:rsidRPr="006B2F21">
        <w:rPr>
          <w:szCs w:val="18"/>
        </w:rPr>
        <w:t xml:space="preserve">of. Here, Russia claims that the Panel acted inconsistently with Articles 6.2 and 7.1 of the DSU by finding that the third measure, </w:t>
      </w:r>
      <w:r w:rsidRPr="006B2F21">
        <w:rPr>
          <w:szCs w:val="18"/>
        </w:rPr>
        <w:lastRenderedPageBreak/>
        <w:t xml:space="preserve">as described by Ukraine in its first written submission </w:t>
      </w:r>
      <w:r w:rsidR="00020FF0" w:rsidRPr="006B2F21">
        <w:rPr>
          <w:szCs w:val="18"/>
        </w:rPr>
        <w:t xml:space="preserve">to </w:t>
      </w:r>
      <w:r w:rsidRPr="006B2F21">
        <w:rPr>
          <w:szCs w:val="18"/>
        </w:rPr>
        <w:t>the Panel, and as determined by the Panel, was within the Panel's terms of reference. This claim is based on the very premise we rejected in our analysis of Russia's claims relating to the Panel's preliminary ruling, namely</w:t>
      </w:r>
      <w:r w:rsidR="00D30219">
        <w:rPr>
          <w:szCs w:val="18"/>
        </w:rPr>
        <w:t>,</w:t>
      </w:r>
      <w:r w:rsidRPr="006B2F21">
        <w:rPr>
          <w:szCs w:val="18"/>
        </w:rPr>
        <w:t xml:space="preserve"> that the Panel erred in finding the third measure to consist of a requirement that Russia's authorities must not recognize certificates issued in other CU</w:t>
      </w:r>
      <w:r w:rsidR="003F110A" w:rsidRPr="006B2F21">
        <w:rPr>
          <w:szCs w:val="18"/>
        </w:rPr>
        <w:t> </w:t>
      </w:r>
      <w:r w:rsidRPr="006B2F21">
        <w:rPr>
          <w:szCs w:val="18"/>
        </w:rPr>
        <w:t>countries if the certified railway products were not produced in a CU</w:t>
      </w:r>
      <w:r w:rsidR="00AC76E0">
        <w:rPr>
          <w:szCs w:val="18"/>
        </w:rPr>
        <w:t> </w:t>
      </w:r>
      <w:r w:rsidRPr="006B2F21">
        <w:rPr>
          <w:szCs w:val="18"/>
        </w:rPr>
        <w:t xml:space="preserve">country. Having rejected that contention, we must for the same reason also reject the contention that the Panel erred in finding that the third measure, as framed by Ukraine in its first written submission </w:t>
      </w:r>
      <w:r w:rsidR="00020FF0" w:rsidRPr="006B2F21">
        <w:rPr>
          <w:szCs w:val="18"/>
        </w:rPr>
        <w:t xml:space="preserve">to </w:t>
      </w:r>
      <w:r w:rsidRPr="006B2F21">
        <w:rPr>
          <w:szCs w:val="18"/>
        </w:rPr>
        <w:t xml:space="preserve">the Panel and as determined to exist by the Panel, was within the Panel's terms of reference. </w:t>
      </w:r>
    </w:p>
    <w:p w14:paraId="2C048143" w14:textId="52573B33" w:rsidR="00671074" w:rsidRPr="006B2F21" w:rsidRDefault="00671074" w:rsidP="006B2F21">
      <w:pPr>
        <w:pStyle w:val="Heading4"/>
        <w:rPr>
          <w:szCs w:val="18"/>
        </w:rPr>
      </w:pPr>
      <w:bookmarkStart w:id="136" w:name="_Toc31380999"/>
      <w:r w:rsidRPr="006B2F21">
        <w:rPr>
          <w:szCs w:val="18"/>
        </w:rPr>
        <w:t>Conclusion</w:t>
      </w:r>
      <w:bookmarkEnd w:id="136"/>
    </w:p>
    <w:p w14:paraId="4A95F862" w14:textId="221FC6F2" w:rsidR="00632EC6" w:rsidRPr="006B2F21" w:rsidRDefault="00632EC6" w:rsidP="006B2F21">
      <w:pPr>
        <w:pStyle w:val="BodyText"/>
        <w:numPr>
          <w:ilvl w:val="6"/>
          <w:numId w:val="1"/>
        </w:numPr>
        <w:rPr>
          <w:szCs w:val="18"/>
        </w:rPr>
      </w:pPr>
      <w:r w:rsidRPr="006B2F21">
        <w:rPr>
          <w:szCs w:val="18"/>
        </w:rPr>
        <w:t>Russia's claim regarding the terms of reference concerning the third</w:t>
      </w:r>
      <w:r w:rsidR="003F110A" w:rsidRPr="006B2F21">
        <w:rPr>
          <w:szCs w:val="18"/>
        </w:rPr>
        <w:t> </w:t>
      </w:r>
      <w:r w:rsidRPr="006B2F21">
        <w:rPr>
          <w:szCs w:val="18"/>
        </w:rPr>
        <w:t xml:space="preserve">measure is based on the premise that the Panel erred in its preliminary ruling. We have rejected that allegation of error and upheld the Panel's preliminary ruling. Consequently, we </w:t>
      </w:r>
      <w:r w:rsidRPr="006B2F21">
        <w:rPr>
          <w:szCs w:val="18"/>
          <w:u w:val="single"/>
        </w:rPr>
        <w:t>uphold</w:t>
      </w:r>
      <w:r w:rsidRPr="006B2F21">
        <w:rPr>
          <w:szCs w:val="18"/>
        </w:rPr>
        <w:t xml:space="preserve"> the Panel's finding</w:t>
      </w:r>
      <w:r w:rsidR="00020FF0" w:rsidRPr="006B2F21">
        <w:rPr>
          <w:szCs w:val="18"/>
        </w:rPr>
        <w:t>,</w:t>
      </w:r>
      <w:r w:rsidRPr="006B2F21">
        <w:rPr>
          <w:szCs w:val="18"/>
        </w:rPr>
        <w:t xml:space="preserve"> in paragraphs 7.823 and 8.1.d.i of the Panel Report</w:t>
      </w:r>
      <w:r w:rsidR="00020FF0" w:rsidRPr="006B2F21">
        <w:rPr>
          <w:szCs w:val="18"/>
        </w:rPr>
        <w:t>,</w:t>
      </w:r>
      <w:r w:rsidRPr="006B2F21">
        <w:rPr>
          <w:szCs w:val="18"/>
        </w:rPr>
        <w:t xml:space="preserve"> that the non</w:t>
      </w:r>
      <w:r w:rsidR="00B24926" w:rsidRPr="006B2F21">
        <w:rPr>
          <w:szCs w:val="18"/>
        </w:rPr>
        <w:noBreakHyphen/>
      </w:r>
      <w:r w:rsidRPr="006B2F21">
        <w:rPr>
          <w:szCs w:val="18"/>
        </w:rPr>
        <w:t xml:space="preserve">recognition requirement based on the local production condition is properly before the Panel. </w:t>
      </w:r>
      <w:bookmarkEnd w:id="135"/>
    </w:p>
    <w:p w14:paraId="7666ADA7" w14:textId="5E4E37F5" w:rsidR="00632EC6" w:rsidRPr="006B2F21" w:rsidRDefault="00632EC6" w:rsidP="006B2F21">
      <w:pPr>
        <w:pStyle w:val="Heading3"/>
        <w:numPr>
          <w:ilvl w:val="2"/>
          <w:numId w:val="1"/>
        </w:numPr>
        <w:rPr>
          <w:szCs w:val="18"/>
        </w:rPr>
      </w:pPr>
      <w:bookmarkStart w:id="137" w:name="_Toc31381000"/>
      <w:r w:rsidRPr="006B2F21">
        <w:rPr>
          <w:szCs w:val="18"/>
        </w:rPr>
        <w:t>Russia's claim that the Panel erred by mak</w:t>
      </w:r>
      <w:r w:rsidR="00F605DF" w:rsidRPr="006B2F21">
        <w:rPr>
          <w:szCs w:val="18"/>
        </w:rPr>
        <w:t>ing</w:t>
      </w:r>
      <w:r w:rsidRPr="006B2F21">
        <w:rPr>
          <w:szCs w:val="18"/>
        </w:rPr>
        <w:t xml:space="preserve"> findings with respect to the alleged registration condition</w:t>
      </w:r>
      <w:bookmarkEnd w:id="137"/>
      <w:r w:rsidRPr="006B2F21">
        <w:rPr>
          <w:szCs w:val="18"/>
        </w:rPr>
        <w:t xml:space="preserve"> </w:t>
      </w:r>
    </w:p>
    <w:p w14:paraId="5C20C8A4" w14:textId="77777777" w:rsidR="00632EC6" w:rsidRPr="006B2F21" w:rsidRDefault="00632EC6" w:rsidP="006B2F21">
      <w:pPr>
        <w:pStyle w:val="Heading4"/>
        <w:numPr>
          <w:ilvl w:val="3"/>
          <w:numId w:val="1"/>
        </w:numPr>
        <w:rPr>
          <w:szCs w:val="18"/>
        </w:rPr>
      </w:pPr>
      <w:bookmarkStart w:id="138" w:name="_Toc31381001"/>
      <w:r w:rsidRPr="006B2F21">
        <w:rPr>
          <w:szCs w:val="18"/>
        </w:rPr>
        <w:t>Arguments on appeal</w:t>
      </w:r>
      <w:bookmarkEnd w:id="138"/>
    </w:p>
    <w:p w14:paraId="70BE27D9" w14:textId="1D170BA1" w:rsidR="00632EC6" w:rsidRPr="006B2F21" w:rsidRDefault="00632EC6" w:rsidP="006B2F21">
      <w:pPr>
        <w:pStyle w:val="BodyText"/>
        <w:numPr>
          <w:ilvl w:val="6"/>
          <w:numId w:val="1"/>
        </w:numPr>
        <w:rPr>
          <w:szCs w:val="18"/>
        </w:rPr>
      </w:pPr>
      <w:r w:rsidRPr="006B2F21">
        <w:rPr>
          <w:szCs w:val="18"/>
        </w:rPr>
        <w:t>Russia requests us to reverse the Panel's erroneous "findings" concerning the local registration condition.</w:t>
      </w:r>
      <w:r w:rsidRPr="006B2F21">
        <w:rPr>
          <w:rStyle w:val="FootnoteReference"/>
          <w:szCs w:val="18"/>
        </w:rPr>
        <w:footnoteReference w:id="277"/>
      </w:r>
      <w:r w:rsidRPr="006B2F21">
        <w:rPr>
          <w:szCs w:val="18"/>
        </w:rPr>
        <w:t xml:space="preserve"> Russia recalls that the Panel found that "[n]on</w:t>
      </w:r>
      <w:r w:rsidR="00B24926" w:rsidRPr="006B2F21">
        <w:rPr>
          <w:szCs w:val="18"/>
        </w:rPr>
        <w:noBreakHyphen/>
      </w:r>
      <w:r w:rsidRPr="006B2F21">
        <w:rPr>
          <w:szCs w:val="18"/>
        </w:rPr>
        <w:t>recognition resulting from a failure to meet the alleged registration condition is … not a measure within [its] terms of reference." Consequently, the Panel concluded that it will "not make findings with regard to those of Ukraine's claims about non</w:t>
      </w:r>
      <w:r w:rsidR="00B24926" w:rsidRPr="006B2F21">
        <w:rPr>
          <w:szCs w:val="18"/>
        </w:rPr>
        <w:noBreakHyphen/>
      </w:r>
      <w:r w:rsidRPr="006B2F21">
        <w:rPr>
          <w:szCs w:val="18"/>
        </w:rPr>
        <w:t>recognition that relate to the alleged registration condition".</w:t>
      </w:r>
      <w:r w:rsidRPr="006B2F21">
        <w:rPr>
          <w:rStyle w:val="FootnoteReference"/>
          <w:szCs w:val="18"/>
        </w:rPr>
        <w:footnoteReference w:id="278"/>
      </w:r>
      <w:r w:rsidRPr="006B2F21">
        <w:rPr>
          <w:szCs w:val="18"/>
        </w:rPr>
        <w:t xml:space="preserve"> Russia contends that, despite this finding, the Panel continued making findings with respect to the alleged registration condition and </w:t>
      </w:r>
      <w:r w:rsidR="000F7302" w:rsidRPr="006B2F21">
        <w:rPr>
          <w:szCs w:val="18"/>
        </w:rPr>
        <w:t xml:space="preserve">it took </w:t>
      </w:r>
      <w:r w:rsidRPr="006B2F21">
        <w:rPr>
          <w:szCs w:val="18"/>
        </w:rPr>
        <w:t>these findings into account</w:t>
      </w:r>
      <w:r w:rsidR="000F7302" w:rsidRPr="006B2F21">
        <w:rPr>
          <w:szCs w:val="18"/>
        </w:rPr>
        <w:t xml:space="preserve">. Russia alleges that this </w:t>
      </w:r>
      <w:r w:rsidRPr="006B2F21">
        <w:rPr>
          <w:szCs w:val="18"/>
        </w:rPr>
        <w:t>constitutes an error under Article 11 of the DSU.</w:t>
      </w:r>
      <w:r w:rsidRPr="006B2F21">
        <w:rPr>
          <w:rStyle w:val="FootnoteReference"/>
          <w:szCs w:val="18"/>
        </w:rPr>
        <w:footnoteReference w:id="279"/>
      </w:r>
      <w:r w:rsidRPr="006B2F21">
        <w:rPr>
          <w:szCs w:val="18"/>
        </w:rPr>
        <w:t xml:space="preserve"> </w:t>
      </w:r>
    </w:p>
    <w:p w14:paraId="4A0B9BBA" w14:textId="1825E912" w:rsidR="00632EC6" w:rsidRPr="006B2F21" w:rsidRDefault="00632EC6" w:rsidP="006B2F21">
      <w:pPr>
        <w:pStyle w:val="BodyText"/>
        <w:numPr>
          <w:ilvl w:val="6"/>
          <w:numId w:val="1"/>
        </w:numPr>
        <w:rPr>
          <w:szCs w:val="18"/>
        </w:rPr>
      </w:pPr>
      <w:r w:rsidRPr="006B2F21">
        <w:rPr>
          <w:szCs w:val="18"/>
        </w:rPr>
        <w:t>Ukraine, for its part, requests us to uphold the Panel findings challenged by Russia.</w:t>
      </w:r>
      <w:r w:rsidRPr="006B2F21">
        <w:rPr>
          <w:rStyle w:val="FootnoteReference"/>
          <w:szCs w:val="18"/>
        </w:rPr>
        <w:footnoteReference w:id="280"/>
      </w:r>
      <w:r w:rsidRPr="006B2F21">
        <w:rPr>
          <w:szCs w:val="18"/>
        </w:rPr>
        <w:t xml:space="preserve"> In Ukraine's view</w:t>
      </w:r>
      <w:r w:rsidR="0088441E" w:rsidRPr="006B2F21">
        <w:rPr>
          <w:szCs w:val="18"/>
        </w:rPr>
        <w:t>,</w:t>
      </w:r>
      <w:r w:rsidRPr="006B2F21">
        <w:rPr>
          <w:szCs w:val="18"/>
        </w:rPr>
        <w:t xml:space="preserve"> the Panel did not exceed its mandate by referring to the local registration condition.</w:t>
      </w:r>
      <w:r w:rsidRPr="006B2F21">
        <w:rPr>
          <w:rStyle w:val="FootnoteReference"/>
          <w:szCs w:val="18"/>
        </w:rPr>
        <w:footnoteReference w:id="281"/>
      </w:r>
    </w:p>
    <w:p w14:paraId="3A621DFD" w14:textId="77777777" w:rsidR="00632EC6" w:rsidRPr="006B2F21" w:rsidRDefault="00632EC6" w:rsidP="006B2F21">
      <w:pPr>
        <w:pStyle w:val="Heading4"/>
        <w:numPr>
          <w:ilvl w:val="3"/>
          <w:numId w:val="1"/>
        </w:numPr>
        <w:rPr>
          <w:szCs w:val="18"/>
        </w:rPr>
      </w:pPr>
      <w:bookmarkStart w:id="139" w:name="_Toc31381002"/>
      <w:bookmarkStart w:id="140" w:name="_Hlk19710597"/>
      <w:r w:rsidRPr="006B2F21">
        <w:rPr>
          <w:szCs w:val="18"/>
        </w:rPr>
        <w:t>Analysis</w:t>
      </w:r>
      <w:bookmarkEnd w:id="139"/>
    </w:p>
    <w:bookmarkEnd w:id="140"/>
    <w:p w14:paraId="61255092" w14:textId="04B4918F" w:rsidR="00632EC6" w:rsidRPr="006B2F21" w:rsidRDefault="00632EC6" w:rsidP="006B2F21">
      <w:pPr>
        <w:pStyle w:val="BodyText"/>
        <w:numPr>
          <w:ilvl w:val="6"/>
          <w:numId w:val="1"/>
        </w:numPr>
        <w:rPr>
          <w:szCs w:val="18"/>
        </w:rPr>
      </w:pPr>
      <w:r w:rsidRPr="006B2F21">
        <w:rPr>
          <w:szCs w:val="18"/>
        </w:rPr>
        <w:t xml:space="preserve">Russia claims that the Panel failed to conduct an objective assessment of the matter before it because </w:t>
      </w:r>
      <w:r w:rsidR="009305FC" w:rsidRPr="006B2F21">
        <w:rPr>
          <w:szCs w:val="18"/>
        </w:rPr>
        <w:t xml:space="preserve">it </w:t>
      </w:r>
      <w:r w:rsidRPr="006B2F21">
        <w:rPr>
          <w:szCs w:val="18"/>
        </w:rPr>
        <w:t>"consider[ed] the alleged [local] registration condition as if this element of the third measure as described in Ukraine's [first written submission] had been within the Panel's terms of reference"</w:t>
      </w:r>
      <w:r w:rsidR="0088441E" w:rsidRPr="006B2F21">
        <w:rPr>
          <w:szCs w:val="18"/>
        </w:rPr>
        <w:t>.</w:t>
      </w:r>
      <w:r w:rsidRPr="006B2F21">
        <w:rPr>
          <w:rStyle w:val="FootnoteReference"/>
          <w:szCs w:val="18"/>
        </w:rPr>
        <w:footnoteReference w:id="282"/>
      </w:r>
      <w:r w:rsidRPr="006B2F21">
        <w:rPr>
          <w:szCs w:val="18"/>
        </w:rPr>
        <w:t xml:space="preserve"> Thus, the question before us is whether the challenged paragraphs of the Panel Report regarding the local registration condition constitute an assessment of a matter that was not before the Panel.</w:t>
      </w:r>
    </w:p>
    <w:p w14:paraId="6F90CCD3" w14:textId="1A71DFA5" w:rsidR="00632EC6" w:rsidRPr="006B2F21" w:rsidRDefault="00632EC6" w:rsidP="006B2F21">
      <w:pPr>
        <w:pStyle w:val="BodyText"/>
        <w:numPr>
          <w:ilvl w:val="6"/>
          <w:numId w:val="1"/>
        </w:numPr>
        <w:rPr>
          <w:szCs w:val="18"/>
        </w:rPr>
      </w:pPr>
      <w:r w:rsidRPr="006B2F21">
        <w:rPr>
          <w:szCs w:val="18"/>
        </w:rPr>
        <w:t>Article 11 of the DSU provides that a panel should make an objective assessment of the "matter" before it. The term "matter" is referred to in Article 7 of the DSU. The Appellate Body has stated that "[t]he measures and the claims identified in the panel request constitute the 'matter referred to the DSB', which serves as a basis for the panel's terms of reference under Article 7.1 of the DSU."</w:t>
      </w:r>
      <w:r w:rsidRPr="006B2F21">
        <w:rPr>
          <w:rStyle w:val="FootnoteReference"/>
          <w:szCs w:val="18"/>
        </w:rPr>
        <w:footnoteReference w:id="283"/>
      </w:r>
      <w:r w:rsidRPr="006B2F21">
        <w:rPr>
          <w:szCs w:val="18"/>
        </w:rPr>
        <w:t xml:space="preserve"> Article 11 of the DSU also refers to the "matter" before the panel</w:t>
      </w:r>
      <w:r w:rsidR="0088441E" w:rsidRPr="006B2F21">
        <w:rPr>
          <w:szCs w:val="18"/>
        </w:rPr>
        <w:t>,</w:t>
      </w:r>
      <w:r w:rsidRPr="006B2F21">
        <w:rPr>
          <w:szCs w:val="18"/>
        </w:rPr>
        <w:t xml:space="preserve"> and it requires a </w:t>
      </w:r>
      <w:r w:rsidRPr="006B2F21">
        <w:rPr>
          <w:szCs w:val="18"/>
        </w:rPr>
        <w:lastRenderedPageBreak/>
        <w:t>panel to make an objective assessment of that "matter".</w:t>
      </w:r>
      <w:r w:rsidRPr="006B2F21">
        <w:rPr>
          <w:rStyle w:val="FootnoteReference"/>
          <w:szCs w:val="18"/>
        </w:rPr>
        <w:footnoteReference w:id="284"/>
      </w:r>
      <w:r w:rsidRPr="006B2F21">
        <w:rPr>
          <w:szCs w:val="18"/>
        </w:rPr>
        <w:t xml:space="preserve"> More specifically, Article 11 requires panels to conduct an objective assessment, including an objective assessment of the facts of the case and the applicability of and conformity with the relevant covered agreements. </w:t>
      </w:r>
      <w:r w:rsidR="009305FC" w:rsidRPr="006B2F21">
        <w:rPr>
          <w:szCs w:val="18"/>
          <w:lang w:eastAsia="ko-KR"/>
        </w:rPr>
        <w:t>N</w:t>
      </w:r>
      <w:r w:rsidRPr="006B2F21">
        <w:rPr>
          <w:szCs w:val="18"/>
          <w:lang w:eastAsia="ko-KR"/>
        </w:rPr>
        <w:t xml:space="preserve">ot every error in the appreciation of evidence will necessarily rise to the level of a failure by a panel to comply with its duties under Article 11 of the DSU. For example, some inconsequential inaccuracies may not necessarily </w:t>
      </w:r>
      <w:r w:rsidR="009305FC" w:rsidRPr="006B2F21">
        <w:rPr>
          <w:szCs w:val="18"/>
          <w:lang w:eastAsia="ko-KR"/>
        </w:rPr>
        <w:t xml:space="preserve">constitute a violation of </w:t>
      </w:r>
      <w:r w:rsidRPr="006B2F21">
        <w:rPr>
          <w:szCs w:val="18"/>
          <w:lang w:eastAsia="ko-KR"/>
        </w:rPr>
        <w:t xml:space="preserve">Article 11 of the DSU </w:t>
      </w:r>
      <w:r w:rsidR="00A07511" w:rsidRPr="006B2F21">
        <w:rPr>
          <w:szCs w:val="18"/>
          <w:lang w:eastAsia="ko-KR"/>
        </w:rPr>
        <w:t>as</w:t>
      </w:r>
      <w:r w:rsidRPr="006B2F21">
        <w:rPr>
          <w:szCs w:val="18"/>
          <w:lang w:eastAsia="ko-KR"/>
        </w:rPr>
        <w:t xml:space="preserve"> long as they do not undermine the remainder of the panel's analysis.</w:t>
      </w:r>
      <w:r w:rsidRPr="006B2F21">
        <w:rPr>
          <w:rStyle w:val="FootnoteReference"/>
          <w:szCs w:val="18"/>
          <w:lang w:eastAsia="ko-KR"/>
        </w:rPr>
        <w:footnoteReference w:id="285"/>
      </w:r>
      <w:r w:rsidRPr="006B2F21">
        <w:rPr>
          <w:szCs w:val="18"/>
          <w:lang w:eastAsia="ko-KR"/>
        </w:rPr>
        <w:t xml:space="preserve"> Only those errors that are so material that, "taken together or singly", </w:t>
      </w:r>
      <w:r w:rsidR="0077283D" w:rsidRPr="006B2F21">
        <w:rPr>
          <w:szCs w:val="18"/>
          <w:lang w:eastAsia="ko-KR"/>
        </w:rPr>
        <w:t xml:space="preserve">they </w:t>
      </w:r>
      <w:r w:rsidRPr="006B2F21">
        <w:rPr>
          <w:szCs w:val="18"/>
          <w:lang w:eastAsia="ko-KR"/>
        </w:rPr>
        <w:t>undermine the objectivity of the panel's assessment of the matter lead to a violation of Article 11 of the DSU.</w:t>
      </w:r>
      <w:r w:rsidRPr="006B2F21">
        <w:rPr>
          <w:rStyle w:val="FootnoteReference"/>
          <w:szCs w:val="18"/>
          <w:lang w:eastAsia="ko-KR"/>
        </w:rPr>
        <w:footnoteReference w:id="286"/>
      </w:r>
      <w:r w:rsidRPr="006B2F21">
        <w:rPr>
          <w:szCs w:val="18"/>
          <w:lang w:eastAsia="ko-KR"/>
        </w:rPr>
        <w:t xml:space="preserve"> The Appellate Body has also found that panels have not exceeded their terms of reference when making certain </w:t>
      </w:r>
      <w:r w:rsidRPr="006B2F21">
        <w:rPr>
          <w:szCs w:val="18"/>
        </w:rPr>
        <w:t>purely descriptive comments that did not rise to the level of legal findings or conclusions.</w:t>
      </w:r>
      <w:r w:rsidRPr="006B2F21">
        <w:rPr>
          <w:rStyle w:val="FootnoteReference"/>
          <w:szCs w:val="18"/>
        </w:rPr>
        <w:footnoteReference w:id="287"/>
      </w:r>
    </w:p>
    <w:p w14:paraId="210EA80D" w14:textId="483FC53C" w:rsidR="00632EC6" w:rsidRPr="006B2F21" w:rsidRDefault="00632EC6" w:rsidP="006B2F21">
      <w:pPr>
        <w:pStyle w:val="BodyText"/>
        <w:numPr>
          <w:ilvl w:val="6"/>
          <w:numId w:val="1"/>
        </w:numPr>
        <w:rPr>
          <w:szCs w:val="18"/>
        </w:rPr>
      </w:pPr>
      <w:r w:rsidRPr="006B2F21">
        <w:rPr>
          <w:szCs w:val="18"/>
        </w:rPr>
        <w:t>With that in mind, we turn to assess whether</w:t>
      </w:r>
      <w:r w:rsidR="004858CF" w:rsidRPr="006B2F21">
        <w:rPr>
          <w:szCs w:val="18"/>
        </w:rPr>
        <w:t>,</w:t>
      </w:r>
      <w:r w:rsidRPr="006B2F21">
        <w:rPr>
          <w:szCs w:val="18"/>
        </w:rPr>
        <w:t xml:space="preserve"> in considering the local registration condition, the Panel exceeded its terms of reference and thereby acted inconsistently with Article 11 of the DSU. Russia takes issue with the following statements made by the Panel. First, paragraphs 7.847 and 7.849, in the section titled "Existence of the [third] measure at issue" of the Panel Report</w:t>
      </w:r>
      <w:r w:rsidR="008E12F3" w:rsidRPr="006B2F21">
        <w:rPr>
          <w:szCs w:val="18"/>
        </w:rPr>
        <w:t xml:space="preserve">, contain </w:t>
      </w:r>
      <w:r w:rsidRPr="006B2F21">
        <w:rPr>
          <w:szCs w:val="18"/>
        </w:rPr>
        <w:t>the Panel</w:t>
      </w:r>
      <w:r w:rsidR="008E12F3" w:rsidRPr="006B2F21">
        <w:rPr>
          <w:szCs w:val="18"/>
        </w:rPr>
        <w:t>'s</w:t>
      </w:r>
      <w:r w:rsidRPr="006B2F21">
        <w:rPr>
          <w:szCs w:val="18"/>
        </w:rPr>
        <w:t xml:space="preserve"> factual examination of the three letters from Russia's </w:t>
      </w:r>
      <w:r w:rsidR="004858CF" w:rsidRPr="006B2F21">
        <w:rPr>
          <w:szCs w:val="18"/>
        </w:rPr>
        <w:t xml:space="preserve">Federal </w:t>
      </w:r>
      <w:r w:rsidRPr="006B2F21">
        <w:rPr>
          <w:szCs w:val="18"/>
        </w:rPr>
        <w:t>ART to Ukrainian producers that Ukraine submitted as evidence. Second, paragraphs 7.850 (the third and the fourth</w:t>
      </w:r>
      <w:r w:rsidR="002A0B08">
        <w:rPr>
          <w:szCs w:val="18"/>
        </w:rPr>
        <w:t> </w:t>
      </w:r>
      <w:r w:rsidRPr="006B2F21">
        <w:rPr>
          <w:szCs w:val="18"/>
        </w:rPr>
        <w:t>sentences), 7.853, and 7.854 also appear in the same section</w:t>
      </w:r>
      <w:r w:rsidR="004858CF" w:rsidRPr="006B2F21">
        <w:rPr>
          <w:szCs w:val="18"/>
        </w:rPr>
        <w:t>,</w:t>
      </w:r>
      <w:r w:rsidRPr="006B2F21">
        <w:rPr>
          <w:szCs w:val="18"/>
        </w:rPr>
        <w:t xml:space="preserve"> and the Panel indicated in these paragraphs its understanding of the "non</w:t>
      </w:r>
      <w:r w:rsidR="00B24926" w:rsidRPr="006B2F21">
        <w:rPr>
          <w:szCs w:val="18"/>
        </w:rPr>
        <w:noBreakHyphen/>
      </w:r>
      <w:r w:rsidRPr="006B2F21">
        <w:rPr>
          <w:szCs w:val="18"/>
        </w:rPr>
        <w:t>recognition requirement" and the Russian authorities' interpretation of CU Technical Regulation 001/2011. Third, paragraph 7.861 is the conclusion of the "Existence of the [third] measure at issue" section, where the Panel found that the third measure had been demonstrated to exist. Lastly, paragraphs 7.897, 7.899, 7.917, and</w:t>
      </w:r>
      <w:r w:rsidR="00A07511" w:rsidRPr="006B2F21">
        <w:rPr>
          <w:szCs w:val="18"/>
        </w:rPr>
        <w:t> </w:t>
      </w:r>
      <w:r w:rsidRPr="006B2F21">
        <w:rPr>
          <w:szCs w:val="18"/>
        </w:rPr>
        <w:t>7.926 appear in the sections addressing Ukraine's claims under Articles I:1 and III:4 of the GATT 1994 with respect to the third measure. More specifically, these paragraphs appear in the context of the Panel's assessment of whether Ukrainian railway products and certain other goods are "like", and whether Russia treated Ukrainian railway products less favourably.</w:t>
      </w:r>
    </w:p>
    <w:p w14:paraId="4A51B5B1" w14:textId="771FA24D" w:rsidR="00632EC6" w:rsidRPr="006B2F21" w:rsidRDefault="00632EC6" w:rsidP="006B2F21">
      <w:pPr>
        <w:pStyle w:val="BodyText"/>
        <w:numPr>
          <w:ilvl w:val="6"/>
          <w:numId w:val="1"/>
        </w:numPr>
        <w:rPr>
          <w:szCs w:val="18"/>
        </w:rPr>
      </w:pPr>
      <w:r w:rsidRPr="006B2F21">
        <w:rPr>
          <w:szCs w:val="18"/>
        </w:rPr>
        <w:t>With respect to the first group of paragraphs in the Panel Report challenged by Russia under this claim, namely</w:t>
      </w:r>
      <w:r w:rsidR="00A07511" w:rsidRPr="006B2F21">
        <w:rPr>
          <w:szCs w:val="18"/>
        </w:rPr>
        <w:t>,</w:t>
      </w:r>
      <w:r w:rsidRPr="006B2F21">
        <w:rPr>
          <w:szCs w:val="18"/>
        </w:rPr>
        <w:t xml:space="preserve"> paragraphs 7.847 and 7.849 of the Panel Report, the Panel described the content of Protocol </w:t>
      </w:r>
      <w:r w:rsidR="00A07511" w:rsidRPr="006B2F21">
        <w:rPr>
          <w:szCs w:val="18"/>
        </w:rPr>
        <w:t>No. </w:t>
      </w:r>
      <w:r w:rsidRPr="006B2F21">
        <w:rPr>
          <w:szCs w:val="18"/>
        </w:rPr>
        <w:t>A 4</w:t>
      </w:r>
      <w:r w:rsidR="00B24926" w:rsidRPr="006B2F21">
        <w:rPr>
          <w:szCs w:val="18"/>
        </w:rPr>
        <w:noBreakHyphen/>
      </w:r>
      <w:r w:rsidRPr="006B2F21">
        <w:rPr>
          <w:szCs w:val="18"/>
        </w:rPr>
        <w:t>3 and the letters submitted by Ukraine as evidence of the third measure. In paragraph 7.847, the Panel noted that the Russian authorities provided their interpretation of Articles 1(1) and 6(9) of CU Technical Regulation 001/2011 in Protocol </w:t>
      </w:r>
      <w:r w:rsidR="00A07511" w:rsidRPr="006B2F21">
        <w:rPr>
          <w:szCs w:val="18"/>
        </w:rPr>
        <w:t>No. </w:t>
      </w:r>
      <w:r w:rsidRPr="006B2F21">
        <w:rPr>
          <w:szCs w:val="18"/>
        </w:rPr>
        <w:t>A 4</w:t>
      </w:r>
      <w:r w:rsidR="00B24926" w:rsidRPr="006B2F21">
        <w:rPr>
          <w:szCs w:val="18"/>
        </w:rPr>
        <w:noBreakHyphen/>
      </w:r>
      <w:r w:rsidRPr="006B2F21">
        <w:rPr>
          <w:szCs w:val="18"/>
        </w:rPr>
        <w:t>3 and the letters. According to this interpretation, a certificate cannot be validly issued under CU Technical Regulation</w:t>
      </w:r>
      <w:r w:rsidR="002A0B08">
        <w:rPr>
          <w:szCs w:val="18"/>
        </w:rPr>
        <w:t> </w:t>
      </w:r>
      <w:r w:rsidRPr="006B2F21">
        <w:rPr>
          <w:szCs w:val="18"/>
        </w:rPr>
        <w:t>001/2011 unless the local production condition and the local registration condition are met. In paragraph 7.849, the Panel continued to describe the content of Protocol </w:t>
      </w:r>
      <w:r w:rsidR="00A07511" w:rsidRPr="006B2F21">
        <w:rPr>
          <w:szCs w:val="18"/>
        </w:rPr>
        <w:t>No. </w:t>
      </w:r>
      <w:r w:rsidRPr="006B2F21">
        <w:rPr>
          <w:szCs w:val="18"/>
        </w:rPr>
        <w:t>A 4</w:t>
      </w:r>
      <w:r w:rsidR="00B24926" w:rsidRPr="006B2F21">
        <w:rPr>
          <w:szCs w:val="18"/>
        </w:rPr>
        <w:noBreakHyphen/>
      </w:r>
      <w:r w:rsidRPr="006B2F21">
        <w:rPr>
          <w:szCs w:val="18"/>
        </w:rPr>
        <w:t>3 and the letters, and clarified that the reference to the local registration condition is found in only two of the letters, but not in the Protocol.</w:t>
      </w:r>
    </w:p>
    <w:p w14:paraId="3BB41F44" w14:textId="2EE3215C" w:rsidR="00632EC6" w:rsidRPr="006B2F21" w:rsidRDefault="00632EC6" w:rsidP="006B2F21">
      <w:pPr>
        <w:pStyle w:val="BodyText"/>
        <w:numPr>
          <w:ilvl w:val="6"/>
          <w:numId w:val="1"/>
        </w:numPr>
        <w:rPr>
          <w:szCs w:val="18"/>
        </w:rPr>
      </w:pPr>
      <w:r w:rsidRPr="006B2F21">
        <w:rPr>
          <w:szCs w:val="18"/>
        </w:rPr>
        <w:t xml:space="preserve">In our view, these remarks by the Panel are descriptive comments regarding the evidence put forward by Ukraine concerning the third measure at issue. According to the Panel's examination of the evidence, particularly the 2016 letters, both the local production condition and the local registration condition were mentioned together in each letter. In this way, the local production condition and the local registration condition were part of the </w:t>
      </w:r>
      <w:r w:rsidRPr="006B2F21">
        <w:rPr>
          <w:i/>
          <w:szCs w:val="18"/>
        </w:rPr>
        <w:t>same</w:t>
      </w:r>
      <w:r w:rsidRPr="006B2F21">
        <w:rPr>
          <w:szCs w:val="18"/>
        </w:rPr>
        <w:t xml:space="preserve"> evidence put before the Panel by Ukraine to prove the existence of the third</w:t>
      </w:r>
      <w:r w:rsidR="003F110A" w:rsidRPr="006B2F21">
        <w:rPr>
          <w:szCs w:val="18"/>
        </w:rPr>
        <w:t> </w:t>
      </w:r>
      <w:r w:rsidRPr="006B2F21">
        <w:rPr>
          <w:szCs w:val="18"/>
        </w:rPr>
        <w:t>measure. In this context, we do not consider that the Panel exceeded its terms of reference by merely describing the content of the evidence before it. As noted above, by making descriptive comments about a piece of evidence, a panel does not necessarily exceed its terms of reference, especially where such statements do not amount to legal findings or conclusions.</w:t>
      </w:r>
    </w:p>
    <w:p w14:paraId="082056FD" w14:textId="568B33DF" w:rsidR="00632EC6" w:rsidRPr="006B2F21" w:rsidRDefault="00632EC6" w:rsidP="006B2F21">
      <w:pPr>
        <w:pStyle w:val="BodyText"/>
        <w:numPr>
          <w:ilvl w:val="6"/>
          <w:numId w:val="1"/>
        </w:numPr>
        <w:rPr>
          <w:szCs w:val="18"/>
        </w:rPr>
      </w:pPr>
      <w:r w:rsidRPr="006B2F21">
        <w:rPr>
          <w:szCs w:val="18"/>
        </w:rPr>
        <w:t>We now turn to the second group of paragraphs in the Panel Report challenged by Russia under this claim. In the third and the fourth sentences of paragraph 7.850, the Panel addressed Russia's argument that the letters concern products from only two Ukrainian producers and that the letters are not of general application. In response</w:t>
      </w:r>
      <w:r w:rsidR="0072293D" w:rsidRPr="006B2F21">
        <w:rPr>
          <w:szCs w:val="18"/>
        </w:rPr>
        <w:t xml:space="preserve"> to </w:t>
      </w:r>
      <w:r w:rsidR="00557C5C" w:rsidRPr="006B2F21">
        <w:rPr>
          <w:szCs w:val="18"/>
        </w:rPr>
        <w:t>that argument</w:t>
      </w:r>
      <w:r w:rsidRPr="006B2F21">
        <w:rPr>
          <w:szCs w:val="18"/>
        </w:rPr>
        <w:t>, the Panel observed in the third</w:t>
      </w:r>
      <w:r w:rsidR="002A0B08">
        <w:rPr>
          <w:szCs w:val="18"/>
        </w:rPr>
        <w:t> </w:t>
      </w:r>
      <w:r w:rsidRPr="006B2F21">
        <w:rPr>
          <w:szCs w:val="18"/>
        </w:rPr>
        <w:t xml:space="preserve">sentence that nothing in the Protocol or the letters suggests that the Russian authorities' </w:t>
      </w:r>
      <w:r w:rsidRPr="006B2F21">
        <w:rPr>
          <w:szCs w:val="18"/>
        </w:rPr>
        <w:lastRenderedPageBreak/>
        <w:t>interpretation of Articles 1(1) and 6(9) of CU Technical Regulation 001/2011 would not be generally applicable and would apply only to Ukrainian products. In the fourth sentence, the Panel conclude</w:t>
      </w:r>
      <w:r w:rsidR="0072293D" w:rsidRPr="006B2F21">
        <w:rPr>
          <w:szCs w:val="18"/>
        </w:rPr>
        <w:t>d</w:t>
      </w:r>
      <w:r w:rsidRPr="006B2F21">
        <w:rPr>
          <w:szCs w:val="18"/>
        </w:rPr>
        <w:t xml:space="preserve"> that "the relevant documents provide a general interpretation" on the basis of its examination of Protocol </w:t>
      </w:r>
      <w:r w:rsidR="00A07511" w:rsidRPr="006B2F21">
        <w:rPr>
          <w:szCs w:val="18"/>
        </w:rPr>
        <w:t>No. </w:t>
      </w:r>
      <w:r w:rsidRPr="006B2F21">
        <w:rPr>
          <w:szCs w:val="18"/>
        </w:rPr>
        <w:t>A 4</w:t>
      </w:r>
      <w:r w:rsidR="00B24926" w:rsidRPr="006B2F21">
        <w:rPr>
          <w:szCs w:val="18"/>
        </w:rPr>
        <w:noBreakHyphen/>
      </w:r>
      <w:r w:rsidRPr="006B2F21">
        <w:rPr>
          <w:szCs w:val="18"/>
        </w:rPr>
        <w:t>3 and the letters. Turning next to paragraphs 7.853 and 7.854, we note that the Panel, in paragraph 7.853, considered that Protocol </w:t>
      </w:r>
      <w:r w:rsidR="00A07511" w:rsidRPr="006B2F21">
        <w:rPr>
          <w:szCs w:val="18"/>
        </w:rPr>
        <w:t>No. </w:t>
      </w:r>
      <w:r w:rsidRPr="006B2F21">
        <w:rPr>
          <w:szCs w:val="18"/>
        </w:rPr>
        <w:t>A 4</w:t>
      </w:r>
      <w:r w:rsidR="00B24926" w:rsidRPr="006B2F21">
        <w:rPr>
          <w:szCs w:val="18"/>
        </w:rPr>
        <w:noBreakHyphen/>
      </w:r>
      <w:r w:rsidRPr="006B2F21">
        <w:rPr>
          <w:szCs w:val="18"/>
        </w:rPr>
        <w:t>3 and the letters support its view that the Russian authorities applied a general non</w:t>
      </w:r>
      <w:r w:rsidR="00B24926" w:rsidRPr="006B2F21">
        <w:rPr>
          <w:szCs w:val="18"/>
        </w:rPr>
        <w:noBreakHyphen/>
      </w:r>
      <w:r w:rsidRPr="006B2F21">
        <w:rPr>
          <w:szCs w:val="18"/>
        </w:rPr>
        <w:t>recognition requirement, which they considered to flow from CU Technical Regulation 001/2011 as they interpreted it. In paragraph 7.854, the Panel stressed that the evidence indicates that the non</w:t>
      </w:r>
      <w:r w:rsidR="00B24926" w:rsidRPr="006B2F21">
        <w:rPr>
          <w:szCs w:val="18"/>
        </w:rPr>
        <w:noBreakHyphen/>
      </w:r>
      <w:r w:rsidRPr="006B2F21">
        <w:rPr>
          <w:szCs w:val="18"/>
        </w:rPr>
        <w:t xml:space="preserve">recognition requirement flows from CU Technical Regulation 001/2011 as "interpreted" by the Russian authorities. Accordingly, the Panel found that </w:t>
      </w:r>
      <w:r w:rsidR="0072293D" w:rsidRPr="006B2F21">
        <w:rPr>
          <w:szCs w:val="18"/>
        </w:rPr>
        <w:t xml:space="preserve">Ukraine's </w:t>
      </w:r>
      <w:r w:rsidRPr="006B2F21">
        <w:rPr>
          <w:szCs w:val="18"/>
        </w:rPr>
        <w:t>panel request correctly identified CU Technical Regulation 001/2011 as the source of the non</w:t>
      </w:r>
      <w:r w:rsidR="00B24926" w:rsidRPr="006B2F21">
        <w:rPr>
          <w:szCs w:val="18"/>
        </w:rPr>
        <w:noBreakHyphen/>
      </w:r>
      <w:r w:rsidRPr="006B2F21">
        <w:rPr>
          <w:szCs w:val="18"/>
        </w:rPr>
        <w:t xml:space="preserve">recognition requirement as interpreted and applied by Russia in the Protocol and the letters. </w:t>
      </w:r>
    </w:p>
    <w:p w14:paraId="5BB5CEDF" w14:textId="1F9B89A2" w:rsidR="00632EC6" w:rsidRPr="006B2F21" w:rsidRDefault="00632EC6" w:rsidP="006B2F21">
      <w:pPr>
        <w:pStyle w:val="BodyText"/>
        <w:numPr>
          <w:ilvl w:val="6"/>
          <w:numId w:val="1"/>
        </w:numPr>
        <w:rPr>
          <w:szCs w:val="18"/>
        </w:rPr>
      </w:pPr>
      <w:r w:rsidRPr="006B2F21">
        <w:rPr>
          <w:szCs w:val="18"/>
        </w:rPr>
        <w:t xml:space="preserve">We do not see that the Panel made findings regarding the local registration condition </w:t>
      </w:r>
      <w:r w:rsidRPr="006B2F21">
        <w:rPr>
          <w:i/>
          <w:szCs w:val="18"/>
        </w:rPr>
        <w:t>per se</w:t>
      </w:r>
      <w:r w:rsidRPr="006B2F21">
        <w:rPr>
          <w:szCs w:val="18"/>
        </w:rPr>
        <w:t xml:space="preserve"> in these paragraphs. Notably, there is no mention of the local registration condition. While paragraphs 7.853 and 7.854 refer to the "non</w:t>
      </w:r>
      <w:r w:rsidR="00B24926" w:rsidRPr="006B2F21">
        <w:rPr>
          <w:szCs w:val="18"/>
        </w:rPr>
        <w:noBreakHyphen/>
      </w:r>
      <w:r w:rsidRPr="006B2F21">
        <w:rPr>
          <w:szCs w:val="18"/>
        </w:rPr>
        <w:t>recognition requirement", which, based on the Panel's examination of the evidence in preceding paragraphs, encompasses the local registration condition, it also encompasses the local production condition, which the Panel found to be within its terms of reference. Similarly, in paragraph 7.850, the Panel concluded that "[t]he relevant documents provide a general interpretation</w:t>
      </w:r>
      <w:r w:rsidR="00AE2072" w:rsidRPr="006B2F21">
        <w:rPr>
          <w:szCs w:val="18"/>
        </w:rPr>
        <w:t>.</w:t>
      </w:r>
      <w:r w:rsidRPr="006B2F21">
        <w:rPr>
          <w:szCs w:val="18"/>
        </w:rPr>
        <w:t>" This interpretation includes not only the interpretation of Article 6(9) of CU Technical Regulation 001/2011 that concerns the local registration condition</w:t>
      </w:r>
      <w:r w:rsidR="00242149" w:rsidRPr="006B2F21">
        <w:rPr>
          <w:szCs w:val="18"/>
        </w:rPr>
        <w:t>,</w:t>
      </w:r>
      <w:r w:rsidRPr="006B2F21">
        <w:rPr>
          <w:szCs w:val="18"/>
        </w:rPr>
        <w:t xml:space="preserve"> </w:t>
      </w:r>
      <w:r w:rsidR="00F739C5" w:rsidRPr="006B2F21">
        <w:rPr>
          <w:szCs w:val="18"/>
        </w:rPr>
        <w:t xml:space="preserve">but </w:t>
      </w:r>
      <w:r w:rsidRPr="006B2F21">
        <w:rPr>
          <w:szCs w:val="18"/>
        </w:rPr>
        <w:t>also the interpretation of Article 1(1) of CU Technical Regulation 001/2011 that concerns the local production condition. In our view, the Panel considered the "non</w:t>
      </w:r>
      <w:r w:rsidR="00B24926" w:rsidRPr="006B2F21">
        <w:rPr>
          <w:szCs w:val="18"/>
        </w:rPr>
        <w:noBreakHyphen/>
      </w:r>
      <w:r w:rsidRPr="006B2F21">
        <w:rPr>
          <w:szCs w:val="18"/>
        </w:rPr>
        <w:t xml:space="preserve">recognition requirement" and the interpretation of CU Technical Regulation 001/2011 provided in the documents at issue </w:t>
      </w:r>
      <w:r w:rsidRPr="006B2F21">
        <w:rPr>
          <w:i/>
          <w:szCs w:val="18"/>
        </w:rPr>
        <w:t>as a whole</w:t>
      </w:r>
      <w:r w:rsidRPr="006B2F21">
        <w:rPr>
          <w:szCs w:val="18"/>
        </w:rPr>
        <w:t>, and extrapolated relevant features to clarify its understanding of the third measure at issue. For</w:t>
      </w:r>
      <w:r w:rsidR="002A0B08">
        <w:rPr>
          <w:szCs w:val="18"/>
        </w:rPr>
        <w:t> </w:t>
      </w:r>
      <w:r w:rsidRPr="006B2F21">
        <w:rPr>
          <w:szCs w:val="18"/>
        </w:rPr>
        <w:t>example, in paragraph 7.853, the Panel considered that Protocol </w:t>
      </w:r>
      <w:r w:rsidR="00A07511" w:rsidRPr="006B2F21">
        <w:rPr>
          <w:szCs w:val="18"/>
        </w:rPr>
        <w:t>No. </w:t>
      </w:r>
      <w:r w:rsidRPr="006B2F21">
        <w:rPr>
          <w:szCs w:val="18"/>
        </w:rPr>
        <w:t>A 4</w:t>
      </w:r>
      <w:r w:rsidR="00B24926" w:rsidRPr="006B2F21">
        <w:rPr>
          <w:szCs w:val="18"/>
        </w:rPr>
        <w:noBreakHyphen/>
      </w:r>
      <w:r w:rsidRPr="006B2F21">
        <w:rPr>
          <w:szCs w:val="18"/>
        </w:rPr>
        <w:t>3 and the letters show that a general "non</w:t>
      </w:r>
      <w:r w:rsidR="00B24926" w:rsidRPr="006B2F21">
        <w:rPr>
          <w:szCs w:val="18"/>
        </w:rPr>
        <w:noBreakHyphen/>
      </w:r>
      <w:r w:rsidRPr="006B2F21">
        <w:rPr>
          <w:szCs w:val="18"/>
        </w:rPr>
        <w:t>recognition requirement" was applied, before concluding that "[t]he situations in which that requirement was applied included those where a certificate had been issued in another CU</w:t>
      </w:r>
      <w:r w:rsidR="00A07511" w:rsidRPr="006B2F21">
        <w:rPr>
          <w:szCs w:val="18"/>
        </w:rPr>
        <w:t> </w:t>
      </w:r>
      <w:r w:rsidRPr="006B2F21">
        <w:rPr>
          <w:szCs w:val="18"/>
        </w:rPr>
        <w:t>country in violation of the production condition." In paragraphs 7.850 and 7.854, the Panel concludes that the "non</w:t>
      </w:r>
      <w:r w:rsidR="00B24926" w:rsidRPr="006B2F21">
        <w:rPr>
          <w:szCs w:val="18"/>
        </w:rPr>
        <w:noBreakHyphen/>
      </w:r>
      <w:r w:rsidRPr="006B2F21">
        <w:rPr>
          <w:szCs w:val="18"/>
        </w:rPr>
        <w:t>recognition requirement" flows from CU Technical Regulation</w:t>
      </w:r>
      <w:r w:rsidR="00F739C5" w:rsidRPr="006B2F21">
        <w:rPr>
          <w:szCs w:val="18"/>
        </w:rPr>
        <w:t> </w:t>
      </w:r>
      <w:r w:rsidRPr="006B2F21">
        <w:rPr>
          <w:szCs w:val="18"/>
        </w:rPr>
        <w:t xml:space="preserve">001/2011 and that the documents provide a "general" interpretation, which underpin the Panel's understanding that the </w:t>
      </w:r>
      <w:r w:rsidRPr="006B2F21">
        <w:rPr>
          <w:i/>
          <w:szCs w:val="18"/>
        </w:rPr>
        <w:t>third measure</w:t>
      </w:r>
      <w:r w:rsidRPr="006B2F21">
        <w:rPr>
          <w:szCs w:val="18"/>
        </w:rPr>
        <w:t xml:space="preserve"> is of a general character and flows from CU Technical Regulation 001/2011.</w:t>
      </w:r>
      <w:r w:rsidRPr="006B2F21">
        <w:rPr>
          <w:rStyle w:val="FootnoteReference"/>
          <w:szCs w:val="18"/>
        </w:rPr>
        <w:footnoteReference w:id="288"/>
      </w:r>
      <w:r w:rsidRPr="006B2F21">
        <w:rPr>
          <w:szCs w:val="18"/>
        </w:rPr>
        <w:t xml:space="preserve"> As we see it, in the challenged paragraphs of the Panel Report, the Panel considered evidence concerning the local production condition and the third measure at issue, but it did not make any findings regarding the local registration condition </w:t>
      </w:r>
      <w:r w:rsidRPr="006B2F21">
        <w:rPr>
          <w:i/>
          <w:szCs w:val="18"/>
        </w:rPr>
        <w:t>per se</w:t>
      </w:r>
      <w:r w:rsidRPr="006B2F21">
        <w:rPr>
          <w:szCs w:val="18"/>
        </w:rPr>
        <w:t>.</w:t>
      </w:r>
    </w:p>
    <w:p w14:paraId="68CE2C3B" w14:textId="1D442D51" w:rsidR="00632EC6" w:rsidRPr="006B2F21" w:rsidRDefault="00632EC6" w:rsidP="006B2F21">
      <w:pPr>
        <w:pStyle w:val="BodyText"/>
        <w:numPr>
          <w:ilvl w:val="6"/>
          <w:numId w:val="1"/>
        </w:numPr>
        <w:rPr>
          <w:szCs w:val="18"/>
        </w:rPr>
      </w:pPr>
      <w:r w:rsidRPr="006B2F21">
        <w:rPr>
          <w:szCs w:val="18"/>
        </w:rPr>
        <w:t>In paragraph 7.861, the Panel concluded that the third measure had been demonstrated to exist. In so doing, the Panel found that the third measure consists of the non</w:t>
      </w:r>
      <w:r w:rsidR="00B24926" w:rsidRPr="006B2F21">
        <w:rPr>
          <w:szCs w:val="18"/>
        </w:rPr>
        <w:noBreakHyphen/>
      </w:r>
      <w:r w:rsidRPr="006B2F21">
        <w:rPr>
          <w:szCs w:val="18"/>
        </w:rPr>
        <w:t xml:space="preserve">recognition requirement, which the Russian authorities considered to flow from CU Technical Regulation 001/2011 as they interpreted it, for products not meeting the local production condition or the local registration condition. In this context, the Panel made reference to the local registration condition </w:t>
      </w:r>
      <w:r w:rsidR="009305FC" w:rsidRPr="006B2F21">
        <w:rPr>
          <w:szCs w:val="18"/>
        </w:rPr>
        <w:t xml:space="preserve">when </w:t>
      </w:r>
      <w:r w:rsidRPr="006B2F21">
        <w:rPr>
          <w:szCs w:val="18"/>
        </w:rPr>
        <w:t>describing the content of the "non</w:t>
      </w:r>
      <w:r w:rsidR="00B24926" w:rsidRPr="006B2F21">
        <w:rPr>
          <w:szCs w:val="18"/>
        </w:rPr>
        <w:noBreakHyphen/>
      </w:r>
      <w:r w:rsidRPr="006B2F21">
        <w:rPr>
          <w:szCs w:val="18"/>
        </w:rPr>
        <w:t xml:space="preserve">recognition requirement". However, in our view, this reference to the local registration condition is part of the Panel's </w:t>
      </w:r>
      <w:r w:rsidRPr="006B2F21">
        <w:rPr>
          <w:i/>
          <w:szCs w:val="18"/>
        </w:rPr>
        <w:t>reasoning</w:t>
      </w:r>
      <w:r w:rsidRPr="006B2F21">
        <w:rPr>
          <w:szCs w:val="18"/>
        </w:rPr>
        <w:t xml:space="preserve"> for its finding regarding the existence of the third measure. In this regard, we recall that the Panel found that the evidence, i.e. Protocol </w:t>
      </w:r>
      <w:r w:rsidR="00A07511" w:rsidRPr="006B2F21">
        <w:rPr>
          <w:szCs w:val="18"/>
        </w:rPr>
        <w:t>No. </w:t>
      </w:r>
      <w:r w:rsidRPr="006B2F21">
        <w:rPr>
          <w:szCs w:val="18"/>
        </w:rPr>
        <w:t>A 4</w:t>
      </w:r>
      <w:r w:rsidR="00B24926" w:rsidRPr="006B2F21">
        <w:rPr>
          <w:szCs w:val="18"/>
        </w:rPr>
        <w:noBreakHyphen/>
      </w:r>
      <w:r w:rsidRPr="006B2F21">
        <w:rPr>
          <w:szCs w:val="18"/>
        </w:rPr>
        <w:t>3 and the letters, contained both the local production condition and the local registration condition. As such, these documents supported the Panel's conclusion that Russia applied the "non</w:t>
      </w:r>
      <w:r w:rsidR="00B24926" w:rsidRPr="006B2F21">
        <w:rPr>
          <w:szCs w:val="18"/>
        </w:rPr>
        <w:noBreakHyphen/>
      </w:r>
      <w:r w:rsidRPr="006B2F21">
        <w:rPr>
          <w:szCs w:val="18"/>
        </w:rPr>
        <w:t xml:space="preserve">recognition requirement" encompassing both conditions, which in turn, formed the basis of the Panel's finding that the third measure had been demonstrated to exist. Thus, we do not find that the Panel made any "finding" regarding the local registration condition </w:t>
      </w:r>
      <w:r w:rsidRPr="006B2F21">
        <w:rPr>
          <w:i/>
          <w:szCs w:val="18"/>
        </w:rPr>
        <w:t>per se</w:t>
      </w:r>
      <w:r w:rsidRPr="006B2F21">
        <w:rPr>
          <w:szCs w:val="18"/>
        </w:rPr>
        <w:t>, but rather that the Panel based its conclusion regarding the existence of the third measure on its examination of the evidence before it.</w:t>
      </w:r>
    </w:p>
    <w:p w14:paraId="4883D0DD" w14:textId="546D2CDF" w:rsidR="00632EC6" w:rsidRPr="006B2F21" w:rsidRDefault="00632EC6" w:rsidP="006B2F21">
      <w:pPr>
        <w:pStyle w:val="BodyText"/>
        <w:numPr>
          <w:ilvl w:val="6"/>
          <w:numId w:val="1"/>
        </w:numPr>
        <w:rPr>
          <w:szCs w:val="18"/>
        </w:rPr>
      </w:pPr>
      <w:r w:rsidRPr="006B2F21">
        <w:rPr>
          <w:szCs w:val="18"/>
        </w:rPr>
        <w:t xml:space="preserve">Moreover, the Panel's reference to the local registration condition in the "Existence of the [third] measure" section should be viewed in light of the Panel's conclusion </w:t>
      </w:r>
      <w:r w:rsidR="00E462BC" w:rsidRPr="006B2F21">
        <w:rPr>
          <w:szCs w:val="18"/>
        </w:rPr>
        <w:t xml:space="preserve">in </w:t>
      </w:r>
      <w:r w:rsidRPr="006B2F21">
        <w:rPr>
          <w:szCs w:val="18"/>
        </w:rPr>
        <w:t>that section contained in paragraph 7.862 that "the non</w:t>
      </w:r>
      <w:r w:rsidR="00B24926" w:rsidRPr="006B2F21">
        <w:rPr>
          <w:szCs w:val="18"/>
        </w:rPr>
        <w:noBreakHyphen/>
      </w:r>
      <w:r w:rsidRPr="006B2F21">
        <w:rPr>
          <w:szCs w:val="18"/>
        </w:rPr>
        <w:t>recognition requirement falls within the Panel's terms of reference only to the extent that it requires non</w:t>
      </w:r>
      <w:r w:rsidR="00B24926" w:rsidRPr="006B2F21">
        <w:rPr>
          <w:szCs w:val="18"/>
        </w:rPr>
        <w:noBreakHyphen/>
      </w:r>
      <w:r w:rsidRPr="006B2F21">
        <w:rPr>
          <w:szCs w:val="18"/>
        </w:rPr>
        <w:t xml:space="preserve">recognition in situations where the certified products were not </w:t>
      </w:r>
      <w:r w:rsidRPr="006B2F21">
        <w:rPr>
          <w:szCs w:val="18"/>
        </w:rPr>
        <w:lastRenderedPageBreak/>
        <w:t>produced in a CU country."</w:t>
      </w:r>
      <w:r w:rsidRPr="006B2F21">
        <w:rPr>
          <w:rStyle w:val="FootnoteReference"/>
          <w:szCs w:val="18"/>
        </w:rPr>
        <w:footnoteReference w:id="289"/>
      </w:r>
      <w:r w:rsidRPr="006B2F21">
        <w:rPr>
          <w:szCs w:val="18"/>
        </w:rPr>
        <w:t xml:space="preserve"> The Panel's conclusion demonstrates that it was mindful of the limitation of its terms of reference, and in particular of the fact that its terms of reference did not include the local registration condition. As we see it, paragraph 7.862 thus qualifies the Panel's findings regarding the existence of the third measure in the sense that the Panel's findings concern that measure only as far as the local production condition is concerned.</w:t>
      </w:r>
    </w:p>
    <w:p w14:paraId="03F08AAD" w14:textId="55BEB372" w:rsidR="00632EC6" w:rsidRPr="006B2F21" w:rsidRDefault="00632EC6" w:rsidP="006B2F21">
      <w:pPr>
        <w:pStyle w:val="BodyText"/>
        <w:numPr>
          <w:ilvl w:val="6"/>
          <w:numId w:val="1"/>
        </w:numPr>
        <w:rPr>
          <w:szCs w:val="18"/>
        </w:rPr>
      </w:pPr>
      <w:r w:rsidRPr="006B2F21">
        <w:rPr>
          <w:szCs w:val="18"/>
        </w:rPr>
        <w:t>We now turn to the third group of paragraphs of the Panel Report challenged by Russia under the claim that the Panel acted inconsistently with Article 11 of the DSU by making "findings" regarding the local registration condition, consisting of paragraphs 7.897, 7.899, 7.917, and 7.926 of the Panel Report. Paragraphs 7.897 and</w:t>
      </w:r>
      <w:r w:rsidR="00D314B9" w:rsidRPr="006B2F21">
        <w:rPr>
          <w:szCs w:val="18"/>
        </w:rPr>
        <w:t> </w:t>
      </w:r>
      <w:r w:rsidRPr="006B2F21">
        <w:rPr>
          <w:szCs w:val="18"/>
        </w:rPr>
        <w:t>7.899 are in the Panel's analysis of like imported products in the context of Ukraine's claim under Article I:1 of the GATT 1994 with respect to the third measure. In paragraph 7.897, the Panel examined Ukraine's argument</w:t>
      </w:r>
      <w:r w:rsidRPr="006B2F21">
        <w:rPr>
          <w:rStyle w:val="FootnoteReference"/>
          <w:szCs w:val="18"/>
        </w:rPr>
        <w:footnoteReference w:id="290"/>
      </w:r>
      <w:r w:rsidRPr="006B2F21">
        <w:rPr>
          <w:szCs w:val="18"/>
        </w:rPr>
        <w:t xml:space="preserve"> that the third measure distinguishes between products based solely on the origin of the product. The Panel began its analysis by recalling that</w:t>
      </w:r>
      <w:r w:rsidR="00CF491E" w:rsidRPr="006B2F21">
        <w:rPr>
          <w:szCs w:val="18"/>
        </w:rPr>
        <w:t>,</w:t>
      </w:r>
      <w:r w:rsidRPr="006B2F21">
        <w:rPr>
          <w:szCs w:val="18"/>
        </w:rPr>
        <w:t xml:space="preserve"> under the "non</w:t>
      </w:r>
      <w:r w:rsidR="00B24926" w:rsidRPr="006B2F21">
        <w:rPr>
          <w:szCs w:val="18"/>
        </w:rPr>
        <w:noBreakHyphen/>
      </w:r>
      <w:r w:rsidRPr="006B2F21">
        <w:rPr>
          <w:szCs w:val="18"/>
        </w:rPr>
        <w:t>recognition requirement"</w:t>
      </w:r>
      <w:r w:rsidR="00242149" w:rsidRPr="006B2F21">
        <w:rPr>
          <w:szCs w:val="18"/>
        </w:rPr>
        <w:t>,</w:t>
      </w:r>
      <w:r w:rsidRPr="006B2F21">
        <w:rPr>
          <w:szCs w:val="18"/>
        </w:rPr>
        <w:t xml:space="preserve"> the Russian authorities would not recognize a certificate issued under CU Technical Regulation</w:t>
      </w:r>
      <w:r w:rsidR="002A0B08">
        <w:rPr>
          <w:szCs w:val="18"/>
        </w:rPr>
        <w:t xml:space="preserve"> </w:t>
      </w:r>
      <w:r w:rsidRPr="006B2F21">
        <w:rPr>
          <w:szCs w:val="18"/>
        </w:rPr>
        <w:t>001/2011 by other CU countries for a product manufactured in Ukraine. The Panel compared a Ukrainian product</w:t>
      </w:r>
      <w:r w:rsidR="00A07511" w:rsidRPr="006B2F21">
        <w:rPr>
          <w:szCs w:val="18"/>
        </w:rPr>
        <w:t>,</w:t>
      </w:r>
      <w:r w:rsidRPr="006B2F21">
        <w:rPr>
          <w:szCs w:val="18"/>
        </w:rPr>
        <w:t xml:space="preserve"> on the one hand</w:t>
      </w:r>
      <w:r w:rsidR="002F611C" w:rsidRPr="006B2F21">
        <w:rPr>
          <w:szCs w:val="18"/>
        </w:rPr>
        <w:t>,</w:t>
      </w:r>
      <w:r w:rsidRPr="006B2F21">
        <w:rPr>
          <w:szCs w:val="18"/>
        </w:rPr>
        <w:t xml:space="preserve"> and a Belarusian and Kazakh product</w:t>
      </w:r>
      <w:r w:rsidR="00A07511" w:rsidRPr="006B2F21">
        <w:rPr>
          <w:szCs w:val="18"/>
        </w:rPr>
        <w:t>,</w:t>
      </w:r>
      <w:r w:rsidRPr="006B2F21">
        <w:rPr>
          <w:szCs w:val="18"/>
        </w:rPr>
        <w:t xml:space="preserve"> on the other. In making this comparison, the Panel assumed that the applicants in each case were registered in the country of the relevant conformity authorities, i.e. that they satisfied the local registration condition. Based on this analysis, the Panel concluded that the only basis for the difference in treatment between the products is where they were produced. Consequently, the Panel found that the non</w:t>
      </w:r>
      <w:r w:rsidR="00B24926" w:rsidRPr="006B2F21">
        <w:rPr>
          <w:szCs w:val="18"/>
        </w:rPr>
        <w:noBreakHyphen/>
      </w:r>
      <w:r w:rsidRPr="006B2F21">
        <w:rPr>
          <w:szCs w:val="18"/>
        </w:rPr>
        <w:t>recognition requirement in some situations draws a distinction based on the origin of the products. In paragraph 7.899, the Panel, based on its analysis, concluded that "the non</w:t>
      </w:r>
      <w:r w:rsidR="00B24926" w:rsidRPr="006B2F21">
        <w:rPr>
          <w:szCs w:val="18"/>
        </w:rPr>
        <w:noBreakHyphen/>
      </w:r>
      <w:r w:rsidRPr="006B2F21">
        <w:rPr>
          <w:szCs w:val="18"/>
        </w:rPr>
        <w:t>recognition requirement in certain situations results in an origin</w:t>
      </w:r>
      <w:r w:rsidR="00B24926" w:rsidRPr="006B2F21">
        <w:rPr>
          <w:szCs w:val="18"/>
        </w:rPr>
        <w:noBreakHyphen/>
      </w:r>
      <w:r w:rsidRPr="006B2F21">
        <w:rPr>
          <w:szCs w:val="18"/>
        </w:rPr>
        <w:t>based distinction between imported railway products, [and] the likeness of the products can be presumed."</w:t>
      </w:r>
      <w:r w:rsidRPr="006B2F21">
        <w:rPr>
          <w:rStyle w:val="FootnoteReference"/>
          <w:szCs w:val="18"/>
        </w:rPr>
        <w:footnoteReference w:id="291"/>
      </w:r>
    </w:p>
    <w:p w14:paraId="3E04C0E6" w14:textId="1DC0A2A3" w:rsidR="00632EC6" w:rsidRPr="006B2F21" w:rsidRDefault="00632EC6" w:rsidP="006B2F21">
      <w:pPr>
        <w:pStyle w:val="BodyText"/>
        <w:numPr>
          <w:ilvl w:val="6"/>
          <w:numId w:val="1"/>
        </w:numPr>
        <w:rPr>
          <w:szCs w:val="18"/>
        </w:rPr>
      </w:pPr>
      <w:r w:rsidRPr="006B2F21">
        <w:rPr>
          <w:szCs w:val="18"/>
        </w:rPr>
        <w:t>Paragraphs 7.917 and 7.926 of the Panel Report are found in the section containing the Panel's analysis of the third measure with respect to Ukraine's claim under Article III:4 of the GATT 1994. In paragraph 7.917, the Panel examined whether imported and domestic products are "like". Similarly to its analysis under Article I:1, the Panel began by recalling that under the non</w:t>
      </w:r>
      <w:r w:rsidR="00B24926" w:rsidRPr="006B2F21">
        <w:rPr>
          <w:szCs w:val="18"/>
        </w:rPr>
        <w:noBreakHyphen/>
      </w:r>
      <w:r w:rsidRPr="006B2F21">
        <w:rPr>
          <w:szCs w:val="18"/>
        </w:rPr>
        <w:t>recognition requirement, the Russian authorities would not recognize a certificate issued under CU Technical Regulation 001/2011 by other CU</w:t>
      </w:r>
      <w:r w:rsidR="00C76DA6" w:rsidRPr="006B2F21">
        <w:rPr>
          <w:szCs w:val="18"/>
        </w:rPr>
        <w:t> </w:t>
      </w:r>
      <w:r w:rsidRPr="006B2F21">
        <w:rPr>
          <w:szCs w:val="18"/>
        </w:rPr>
        <w:t xml:space="preserve">countries for a product manufactured in Ukraine. The Panel then compared a Ukrainian product </w:t>
      </w:r>
      <w:r w:rsidR="002F611C" w:rsidRPr="006B2F21">
        <w:rPr>
          <w:szCs w:val="18"/>
        </w:rPr>
        <w:t xml:space="preserve">to </w:t>
      </w:r>
      <w:r w:rsidRPr="006B2F21">
        <w:rPr>
          <w:szCs w:val="18"/>
        </w:rPr>
        <w:t>a Russian product. In making this comparison, the Panel assumed that the applicants in each case were registered in the country of the relevant conformity authorities, i.e. that they had satisfied the local registration condition. Based on this analysis, the Panel concluded that</w:t>
      </w:r>
      <w:r w:rsidR="002F611C" w:rsidRPr="006B2F21">
        <w:rPr>
          <w:szCs w:val="18"/>
        </w:rPr>
        <w:t>,</w:t>
      </w:r>
      <w:r w:rsidRPr="006B2F21">
        <w:rPr>
          <w:szCs w:val="18"/>
        </w:rPr>
        <w:t xml:space="preserve"> in certain situations, the Ukrainian products and the domestic (Russian) products </w:t>
      </w:r>
      <w:r w:rsidR="007A0C08" w:rsidRPr="006B2F21">
        <w:rPr>
          <w:szCs w:val="18"/>
        </w:rPr>
        <w:t xml:space="preserve">were </w:t>
      </w:r>
      <w:r w:rsidRPr="006B2F21">
        <w:rPr>
          <w:szCs w:val="18"/>
        </w:rPr>
        <w:t>treated differently based solely on where they were produced. In paragraph 7.926, the Panel examined whether there is "less favourable" treatment within the meaning of Article III:4. The Panel recalled that under the non</w:t>
      </w:r>
      <w:r w:rsidR="00B24926" w:rsidRPr="006B2F21">
        <w:rPr>
          <w:szCs w:val="18"/>
        </w:rPr>
        <w:noBreakHyphen/>
      </w:r>
      <w:r w:rsidRPr="006B2F21">
        <w:rPr>
          <w:szCs w:val="18"/>
        </w:rPr>
        <w:t>recognition requirement, a product produced in Ukraine and a product produced domestically (in Russia) will be treated differently in certain situations, namely</w:t>
      </w:r>
      <w:r w:rsidR="00CF491E" w:rsidRPr="006B2F21">
        <w:rPr>
          <w:szCs w:val="18"/>
        </w:rPr>
        <w:t>,</w:t>
      </w:r>
      <w:r w:rsidRPr="006B2F21">
        <w:rPr>
          <w:szCs w:val="18"/>
        </w:rPr>
        <w:t xml:space="preserve"> when both products satisfy the local registration condition. Accordingly, the Panel concluded that "the non</w:t>
      </w:r>
      <w:r w:rsidR="00B24926" w:rsidRPr="006B2F21">
        <w:rPr>
          <w:szCs w:val="18"/>
        </w:rPr>
        <w:noBreakHyphen/>
      </w:r>
      <w:r w:rsidRPr="006B2F21">
        <w:rPr>
          <w:szCs w:val="18"/>
        </w:rPr>
        <w:t>recognition requirement in certain situations (when the applicant for certification is registered at the place where the certification body is also located) distorts the conditions of competition to the detriment of that sub</w:t>
      </w:r>
      <w:r w:rsidR="00B24926" w:rsidRPr="006B2F21">
        <w:rPr>
          <w:szCs w:val="18"/>
        </w:rPr>
        <w:noBreakHyphen/>
      </w:r>
      <w:r w:rsidRPr="006B2F21">
        <w:rPr>
          <w:szCs w:val="18"/>
        </w:rPr>
        <w:t>category of imported products which comprises products not produced in a CU country</w:t>
      </w:r>
      <w:r w:rsidR="008E12F3" w:rsidRPr="006B2F21">
        <w:rPr>
          <w:szCs w:val="18"/>
        </w:rPr>
        <w:t>.</w:t>
      </w:r>
      <w:r w:rsidRPr="006B2F21">
        <w:rPr>
          <w:szCs w:val="18"/>
        </w:rPr>
        <w:t xml:space="preserve">" </w:t>
      </w:r>
      <w:r w:rsidR="008E12F3" w:rsidRPr="006B2F21">
        <w:rPr>
          <w:szCs w:val="18"/>
        </w:rPr>
        <w:t xml:space="preserve">Moreover, the Panel </w:t>
      </w:r>
      <w:r w:rsidRPr="006B2F21">
        <w:rPr>
          <w:szCs w:val="18"/>
        </w:rPr>
        <w:t>determined that the non</w:t>
      </w:r>
      <w:r w:rsidR="00B24926" w:rsidRPr="006B2F21">
        <w:rPr>
          <w:szCs w:val="18"/>
        </w:rPr>
        <w:noBreakHyphen/>
      </w:r>
      <w:r w:rsidRPr="006B2F21">
        <w:rPr>
          <w:szCs w:val="18"/>
        </w:rPr>
        <w:t xml:space="preserve">recognition requirement accords "less favourable" treatment to these imported products </w:t>
      </w:r>
      <w:r w:rsidR="008E12F3" w:rsidRPr="006B2F21">
        <w:rPr>
          <w:szCs w:val="18"/>
        </w:rPr>
        <w:t xml:space="preserve">as compared </w:t>
      </w:r>
      <w:r w:rsidRPr="006B2F21">
        <w:rPr>
          <w:szCs w:val="18"/>
        </w:rPr>
        <w:t>to the like domestic product</w:t>
      </w:r>
      <w:r w:rsidR="00F37053" w:rsidRPr="006B2F21">
        <w:rPr>
          <w:szCs w:val="18"/>
        </w:rPr>
        <w:t>s</w:t>
      </w:r>
      <w:r w:rsidRPr="006B2F21">
        <w:rPr>
          <w:szCs w:val="18"/>
        </w:rPr>
        <w:t>.</w:t>
      </w:r>
      <w:r w:rsidR="002D7503" w:rsidRPr="006B2F21">
        <w:rPr>
          <w:rStyle w:val="FootnoteReference"/>
          <w:szCs w:val="18"/>
        </w:rPr>
        <w:footnoteReference w:id="292"/>
      </w:r>
    </w:p>
    <w:p w14:paraId="57691E48" w14:textId="3B3C4D9C" w:rsidR="00632EC6" w:rsidRPr="006B2F21" w:rsidRDefault="00632EC6" w:rsidP="006B2F21">
      <w:pPr>
        <w:pStyle w:val="BodyText"/>
        <w:numPr>
          <w:ilvl w:val="6"/>
          <w:numId w:val="1"/>
        </w:numPr>
        <w:rPr>
          <w:szCs w:val="18"/>
        </w:rPr>
      </w:pPr>
      <w:r w:rsidRPr="006B2F21">
        <w:rPr>
          <w:szCs w:val="18"/>
        </w:rPr>
        <w:t xml:space="preserve">In our view, these findings by the Panel concerned the third measure as it relates to the local production condition. Specifically, as summarized above, in these paragraphs the Panel found that the Ukrainian products were treated differently based on where they were </w:t>
      </w:r>
      <w:r w:rsidRPr="006B2F21">
        <w:rPr>
          <w:i/>
          <w:szCs w:val="18"/>
        </w:rPr>
        <w:t>produced</w:t>
      </w:r>
      <w:r w:rsidRPr="006B2F21">
        <w:rPr>
          <w:szCs w:val="18"/>
        </w:rPr>
        <w:t xml:space="preserve">. The Panel made no findings about the treatment based on whether an applicant company is registered in the country of the conformity assessment authority. It is true that the Panel made remarks regarding the local registration condition, </w:t>
      </w:r>
      <w:r w:rsidR="002D7503" w:rsidRPr="006B2F21">
        <w:rPr>
          <w:szCs w:val="18"/>
        </w:rPr>
        <w:t xml:space="preserve">but these were only made in order to isolate the impact of the local </w:t>
      </w:r>
      <w:r w:rsidR="002D7503" w:rsidRPr="006B2F21">
        <w:rPr>
          <w:szCs w:val="18"/>
        </w:rPr>
        <w:lastRenderedPageBreak/>
        <w:t xml:space="preserve">production condition. In other words, had the Panel not assumed that the products at issue were comparable in </w:t>
      </w:r>
      <w:r w:rsidR="007949A2" w:rsidRPr="006B2F21">
        <w:rPr>
          <w:szCs w:val="18"/>
        </w:rPr>
        <w:t xml:space="preserve">all </w:t>
      </w:r>
      <w:r w:rsidR="002D7503" w:rsidRPr="006B2F21">
        <w:rPr>
          <w:szCs w:val="18"/>
        </w:rPr>
        <w:t>aspect</w:t>
      </w:r>
      <w:r w:rsidR="007949A2" w:rsidRPr="006B2F21">
        <w:rPr>
          <w:szCs w:val="18"/>
        </w:rPr>
        <w:t>s</w:t>
      </w:r>
      <w:r w:rsidR="002D7503" w:rsidRPr="006B2F21">
        <w:rPr>
          <w:szCs w:val="18"/>
        </w:rPr>
        <w:t xml:space="preserve"> other than their place of manufacture, the Panel could not render a finding regarding the impact of the local production condition. Thus, we consider that these remarks do not constitute findings </w:t>
      </w:r>
      <w:r w:rsidR="002D7503" w:rsidRPr="006B2F21">
        <w:rPr>
          <w:i/>
          <w:iCs/>
          <w:szCs w:val="18"/>
        </w:rPr>
        <w:t>per se</w:t>
      </w:r>
      <w:r w:rsidR="002D7503" w:rsidRPr="006B2F21">
        <w:rPr>
          <w:szCs w:val="18"/>
        </w:rPr>
        <w:t xml:space="preserve">, but that the Panel was describing aspects of its comparative analysis. Therefore, we do not consider these remarks regarding the local registration condition to be an assessment or "finding" regarding the local registration condition </w:t>
      </w:r>
      <w:r w:rsidR="002D7503" w:rsidRPr="006B2F21">
        <w:rPr>
          <w:i/>
          <w:szCs w:val="18"/>
        </w:rPr>
        <w:t>per se</w:t>
      </w:r>
      <w:r w:rsidRPr="006B2F21">
        <w:rPr>
          <w:szCs w:val="18"/>
        </w:rPr>
        <w:t>.</w:t>
      </w:r>
    </w:p>
    <w:p w14:paraId="14ED1719" w14:textId="346CB04D" w:rsidR="006F416D" w:rsidRPr="006B2F21" w:rsidRDefault="006F416D" w:rsidP="006B2F21">
      <w:pPr>
        <w:pStyle w:val="Heading4"/>
        <w:rPr>
          <w:szCs w:val="18"/>
        </w:rPr>
      </w:pPr>
      <w:bookmarkStart w:id="141" w:name="_Toc31381003"/>
      <w:r w:rsidRPr="006B2F21">
        <w:rPr>
          <w:szCs w:val="18"/>
        </w:rPr>
        <w:t>Conclusion</w:t>
      </w:r>
      <w:bookmarkEnd w:id="141"/>
    </w:p>
    <w:p w14:paraId="4FFE6EE5" w14:textId="7C847318" w:rsidR="00FA1AB0" w:rsidRPr="006B2F21" w:rsidRDefault="00DA6BBD" w:rsidP="006B2F21">
      <w:pPr>
        <w:pStyle w:val="BodyText"/>
        <w:numPr>
          <w:ilvl w:val="6"/>
          <w:numId w:val="1"/>
        </w:numPr>
        <w:rPr>
          <w:szCs w:val="18"/>
        </w:rPr>
      </w:pPr>
      <w:r>
        <w:rPr>
          <w:szCs w:val="18"/>
        </w:rPr>
        <w:t>T</w:t>
      </w:r>
      <w:r w:rsidR="00632EC6" w:rsidRPr="006B2F21">
        <w:rPr>
          <w:szCs w:val="18"/>
        </w:rPr>
        <w:t xml:space="preserve">he Panel's statements challenged by Russia as constituting "findings" concerning the local registration condition were either merely descriptive statements or concerned the third measure within the Panel's terms of reference. Consequently, we </w:t>
      </w:r>
      <w:r w:rsidR="00632EC6" w:rsidRPr="006B2F21">
        <w:rPr>
          <w:szCs w:val="18"/>
          <w:u w:val="single"/>
        </w:rPr>
        <w:t>find</w:t>
      </w:r>
      <w:r w:rsidR="00632EC6" w:rsidRPr="006B2F21">
        <w:rPr>
          <w:szCs w:val="18"/>
        </w:rPr>
        <w:t xml:space="preserve"> that Russia has failed to establish that the Panel acted inconsistently with Article 11 of the DSU by continuing to make findings with respect to a matter that was not within its terms of reference.</w:t>
      </w:r>
    </w:p>
    <w:p w14:paraId="6FDE0EA7" w14:textId="77777777" w:rsidR="003D01DD" w:rsidRPr="006B2F21" w:rsidRDefault="003D01DD" w:rsidP="006B2F21">
      <w:pPr>
        <w:pStyle w:val="Heading2"/>
        <w:numPr>
          <w:ilvl w:val="1"/>
          <w:numId w:val="1"/>
        </w:numPr>
        <w:rPr>
          <w:szCs w:val="18"/>
        </w:rPr>
      </w:pPr>
      <w:bookmarkStart w:id="142" w:name="_Toc26805630"/>
      <w:bookmarkStart w:id="143" w:name="_Toc31381004"/>
      <w:r w:rsidRPr="006B2F21">
        <w:rPr>
          <w:szCs w:val="18"/>
        </w:rPr>
        <w:t>Ukraine's claim under Article 5.1.1 of the TBT Agreement</w:t>
      </w:r>
      <w:bookmarkEnd w:id="142"/>
      <w:bookmarkEnd w:id="143"/>
    </w:p>
    <w:p w14:paraId="34E51B26" w14:textId="77777777" w:rsidR="003D01DD" w:rsidRPr="006B2F21" w:rsidRDefault="003D01DD" w:rsidP="006B2F21">
      <w:pPr>
        <w:pStyle w:val="BodyText"/>
        <w:numPr>
          <w:ilvl w:val="6"/>
          <w:numId w:val="1"/>
        </w:numPr>
        <w:rPr>
          <w:szCs w:val="18"/>
        </w:rPr>
      </w:pPr>
      <w:r w:rsidRPr="006B2F21">
        <w:rPr>
          <w:szCs w:val="18"/>
        </w:rPr>
        <w:t>We now turn to Ukraine's claim that the Panel erred in its interpretation and application of Article 5.1.1 of the TBT Agreement and failed to make an objective assessment of the matter before it pursuant to Article 11 of the DSU in finding that Ukraine failed to establish that Russia had acted inconsistently with Article 5.1.1 of the TBT Agreement. Ukraine requests us to reverse the Panel's conclusions in paragraphs 8.1.b.i and 8.1.c.i of the Panel Report.</w:t>
      </w:r>
      <w:r w:rsidRPr="006B2F21">
        <w:rPr>
          <w:szCs w:val="18"/>
          <w:vertAlign w:val="superscript"/>
        </w:rPr>
        <w:footnoteReference w:id="293"/>
      </w:r>
      <w:r w:rsidRPr="006B2F21">
        <w:rPr>
          <w:szCs w:val="18"/>
        </w:rPr>
        <w:t xml:space="preserve"> </w:t>
      </w:r>
    </w:p>
    <w:p w14:paraId="544F4BA8" w14:textId="77777777" w:rsidR="003D01DD" w:rsidRPr="006B2F21" w:rsidRDefault="003D01DD" w:rsidP="006B2F21">
      <w:pPr>
        <w:pStyle w:val="Heading3"/>
        <w:numPr>
          <w:ilvl w:val="2"/>
          <w:numId w:val="15"/>
        </w:numPr>
        <w:rPr>
          <w:szCs w:val="18"/>
        </w:rPr>
      </w:pPr>
      <w:bookmarkStart w:id="144" w:name="_Toc26805631"/>
      <w:bookmarkStart w:id="145" w:name="_Toc31381005"/>
      <w:bookmarkStart w:id="146" w:name="_Hlk20391081"/>
      <w:r w:rsidRPr="006B2F21">
        <w:rPr>
          <w:szCs w:val="18"/>
        </w:rPr>
        <w:t>The Panel's findings</w:t>
      </w:r>
      <w:bookmarkEnd w:id="144"/>
      <w:bookmarkEnd w:id="145"/>
    </w:p>
    <w:p w14:paraId="0116577C" w14:textId="77777777" w:rsidR="003D01DD" w:rsidRPr="006B2F21" w:rsidRDefault="003D01DD" w:rsidP="006B2F21">
      <w:pPr>
        <w:pStyle w:val="BodyText"/>
        <w:numPr>
          <w:ilvl w:val="6"/>
          <w:numId w:val="1"/>
        </w:numPr>
        <w:rPr>
          <w:szCs w:val="18"/>
        </w:rPr>
      </w:pPr>
      <w:bookmarkStart w:id="147" w:name="_Hlk21600307"/>
      <w:r w:rsidRPr="006B2F21">
        <w:rPr>
          <w:szCs w:val="18"/>
        </w:rPr>
        <w:t>The Panel noted that Article 5.1.1 of the TBT Agreement establishes obligations to provide national treatment and most</w:t>
      </w:r>
      <w:r w:rsidRPr="006B2F21">
        <w:rPr>
          <w:szCs w:val="18"/>
        </w:rPr>
        <w:noBreakHyphen/>
        <w:t>favoured nation treatment with regard to access for suppliers from other Members to covered conformity assessment procedures of importing Members.</w:t>
      </w:r>
      <w:r w:rsidRPr="006B2F21">
        <w:rPr>
          <w:szCs w:val="18"/>
          <w:vertAlign w:val="superscript"/>
        </w:rPr>
        <w:footnoteReference w:id="294"/>
      </w:r>
      <w:r w:rsidRPr="006B2F21">
        <w:rPr>
          <w:szCs w:val="18"/>
        </w:rPr>
        <w:t xml:space="preserve"> In the Panel's view, an importing Member acts inconsistently with Article 5.1.1 if three elements are established: (i) the suppliers of another Member that have been granted less favourable access are suppliers of products that are "like" the products of domestic suppliers or suppliers from any other country that have been granted more favourable access; (ii) the importing Member (through the preparation, adoption, or application of a covered conformity assessment procedure) "grants access" for suppliers of products from another Member "under conditions less favourable" than those accorded to suppliers of domestic products or products from any other country; and (iii) the importing Member grants access under conditions less favourable for suppliers of like products "in a comparable situation".</w:t>
      </w:r>
      <w:r w:rsidRPr="006B2F21">
        <w:rPr>
          <w:szCs w:val="18"/>
          <w:vertAlign w:val="superscript"/>
        </w:rPr>
        <w:footnoteReference w:id="295"/>
      </w:r>
    </w:p>
    <w:p w14:paraId="5126CF4B" w14:textId="77777777" w:rsidR="003D01DD" w:rsidRPr="006B2F21" w:rsidRDefault="003D01DD" w:rsidP="006B2F21">
      <w:pPr>
        <w:pStyle w:val="BodyText"/>
        <w:numPr>
          <w:ilvl w:val="6"/>
          <w:numId w:val="1"/>
        </w:numPr>
        <w:rPr>
          <w:szCs w:val="18"/>
        </w:rPr>
      </w:pPr>
      <w:r w:rsidRPr="006B2F21">
        <w:rPr>
          <w:szCs w:val="18"/>
        </w:rPr>
        <w:t>Regarding the first element, the Panel considered that the same criteria that are applied for determining whether products are "like" in the context of Article 2.1 of the TBT Agreement are applicable in the context of Article 5.1.1.</w:t>
      </w:r>
      <w:r w:rsidRPr="006B2F21">
        <w:rPr>
          <w:szCs w:val="18"/>
          <w:vertAlign w:val="superscript"/>
        </w:rPr>
        <w:footnoteReference w:id="296"/>
      </w:r>
      <w:r w:rsidRPr="006B2F21">
        <w:rPr>
          <w:szCs w:val="18"/>
        </w:rPr>
        <w:t xml:space="preserve"> With respect to the phrase "conditions no less favourable", the Panel observed that differential access conditions would be relevant under Article 5.1.1 if they modified the conditions of competition, or competitive opportunities, among relevant suppliers of like products to the detriment of suppliers of the complaining Member.</w:t>
      </w:r>
      <w:r w:rsidRPr="006B2F21">
        <w:rPr>
          <w:szCs w:val="18"/>
          <w:vertAlign w:val="superscript"/>
        </w:rPr>
        <w:footnoteReference w:id="297"/>
      </w:r>
      <w:r w:rsidRPr="006B2F21">
        <w:rPr>
          <w:szCs w:val="18"/>
        </w:rPr>
        <w:t xml:space="preserve"> The Panel recalled that Ukraine challenged not the preparation or adoption of a conformity assessment procedure (i.e. not a conformity assessment procedure as such), but the application of a conformity assessment procedure to particular Ukrainian suppliers (i.e. individual instances of application of the procedure).</w:t>
      </w:r>
      <w:r w:rsidRPr="006B2F21">
        <w:rPr>
          <w:szCs w:val="18"/>
          <w:vertAlign w:val="superscript"/>
        </w:rPr>
        <w:footnoteReference w:id="298"/>
      </w:r>
      <w:r w:rsidRPr="006B2F21">
        <w:rPr>
          <w:szCs w:val="18"/>
        </w:rPr>
        <w:t xml:space="preserve"> According to the Panel, in the case of such challenge, less favourable access conditions exist "where the importing Member denies or limits the right or possibility of a supplier of another Member to have conformity assessment activities undertaken under the rules of the applicable conformity assessment procedure, either in respect of the entire conformity assessment procedure or any of its relevant parts, but does not deny or limit the right or possibility of access of another supplier of a like product from the importing Member or any other country."</w:t>
      </w:r>
      <w:r w:rsidRPr="006B2F21">
        <w:rPr>
          <w:szCs w:val="18"/>
          <w:vertAlign w:val="superscript"/>
        </w:rPr>
        <w:footnoteReference w:id="299"/>
      </w:r>
      <w:r w:rsidRPr="006B2F21">
        <w:rPr>
          <w:szCs w:val="18"/>
        </w:rPr>
        <w:t xml:space="preserve"> </w:t>
      </w:r>
    </w:p>
    <w:bookmarkEnd w:id="147"/>
    <w:p w14:paraId="58EB4045" w14:textId="77777777" w:rsidR="003D01DD" w:rsidRPr="006B2F21" w:rsidRDefault="003D01DD" w:rsidP="006B2F21">
      <w:pPr>
        <w:pStyle w:val="BodyText"/>
        <w:numPr>
          <w:ilvl w:val="6"/>
          <w:numId w:val="1"/>
        </w:numPr>
        <w:rPr>
          <w:szCs w:val="18"/>
        </w:rPr>
      </w:pPr>
      <w:r w:rsidRPr="006B2F21">
        <w:rPr>
          <w:szCs w:val="18"/>
        </w:rPr>
        <w:lastRenderedPageBreak/>
        <w:t xml:space="preserve"> Furthermore, the Panel took account of the fact that, unlike in Article 2.1 of the TBT Agreement, the text of Article 5.1.1 qualifies the non</w:t>
      </w:r>
      <w:r w:rsidRPr="006B2F21">
        <w:rPr>
          <w:szCs w:val="18"/>
        </w:rPr>
        <w:noBreakHyphen/>
        <w:t>discrimination obligations by including the phrase "in a comparable situation".</w:t>
      </w:r>
      <w:r w:rsidRPr="006B2F21">
        <w:rPr>
          <w:rStyle w:val="FootnoteReference"/>
          <w:szCs w:val="18"/>
        </w:rPr>
        <w:footnoteReference w:id="300"/>
      </w:r>
      <w:r w:rsidRPr="006B2F21">
        <w:rPr>
          <w:szCs w:val="18"/>
        </w:rPr>
        <w:t xml:space="preserve"> In the Panel's view, this phrase "confirms that Article 5.1.1 permits differential access conditions where they concern situations that are not comparable", and "preserves a degree of flexibility for the importing Member to design and apply its conformity assessment procedures in a situation</w:t>
      </w:r>
      <w:r w:rsidRPr="006B2F21">
        <w:rPr>
          <w:szCs w:val="18"/>
        </w:rPr>
        <w:noBreakHyphen/>
        <w:t>appropriate manner".</w:t>
      </w:r>
      <w:r w:rsidRPr="006B2F21">
        <w:rPr>
          <w:rStyle w:val="FootnoteReference"/>
          <w:szCs w:val="18"/>
        </w:rPr>
        <w:footnoteReference w:id="301"/>
      </w:r>
      <w:r w:rsidRPr="006B2F21">
        <w:rPr>
          <w:szCs w:val="18"/>
        </w:rPr>
        <w:t xml:space="preserve"> The Panel was therefore not persuaded that there is a need to import into Article 5.1.1 the test developed by the Appellate Body for determining the existence of less favourable treatment under Article 2.1 of the TBT Agreement.</w:t>
      </w:r>
      <w:r w:rsidRPr="006B2F21">
        <w:rPr>
          <w:rStyle w:val="FootnoteReference"/>
          <w:szCs w:val="18"/>
        </w:rPr>
        <w:footnoteReference w:id="302"/>
      </w:r>
    </w:p>
    <w:p w14:paraId="540D7C12" w14:textId="77777777" w:rsidR="003D01DD" w:rsidRPr="006B2F21" w:rsidRDefault="003D01DD" w:rsidP="006B2F21">
      <w:pPr>
        <w:pStyle w:val="BodyText"/>
        <w:numPr>
          <w:ilvl w:val="6"/>
          <w:numId w:val="1"/>
        </w:numPr>
        <w:rPr>
          <w:szCs w:val="18"/>
        </w:rPr>
      </w:pPr>
      <w:r w:rsidRPr="006B2F21">
        <w:rPr>
          <w:szCs w:val="18"/>
        </w:rPr>
        <w:t>With regard to the interpretation of the term "in a comparable situation", the Panel noted that it "qualifies the preceding part of the first sentence of Article 5.1.1, that is, the requirement to grant access under no less favourable conditions".</w:t>
      </w:r>
      <w:r w:rsidRPr="006B2F21">
        <w:rPr>
          <w:szCs w:val="18"/>
          <w:vertAlign w:val="superscript"/>
        </w:rPr>
        <w:footnoteReference w:id="303"/>
      </w:r>
      <w:r w:rsidRPr="006B2F21">
        <w:rPr>
          <w:szCs w:val="18"/>
        </w:rPr>
        <w:t xml:space="preserve"> The Panel considered that "this phrase warrants a comparison of differential conditions of access with a view to determining whether the less favourable conditions of access are being granted despite the situation being comparable."</w:t>
      </w:r>
      <w:r w:rsidRPr="006B2F21">
        <w:rPr>
          <w:szCs w:val="18"/>
          <w:vertAlign w:val="superscript"/>
        </w:rPr>
        <w:footnoteReference w:id="304"/>
      </w:r>
      <w:r w:rsidRPr="006B2F21">
        <w:rPr>
          <w:szCs w:val="18"/>
        </w:rPr>
        <w:t xml:space="preserve"> For the Panel, the relevant context for assessing whether a situation is comparable, such that no less favourable access conditions must be granted, is that of assessing conformity under the rules of the procedure and conducting conformity assessment activities. Referring to the definition of conformity assessment procedures in Annex 1.3 to the TBT Agreement, the Panel concluded that "aspects of a situation that have a bearing on, for instance, the ability of the importing Member to undertake such activities under the rules of the procedure with adequate confidence would, in principle, seem to be relevant", and that "the relevant aspects of a situation would include aspects specific to the suppliers who are claimed to have been granted access under less favourable conditions or to the location of the suppliers' facilities."</w:t>
      </w:r>
      <w:r w:rsidRPr="006B2F21">
        <w:rPr>
          <w:szCs w:val="18"/>
          <w:vertAlign w:val="superscript"/>
        </w:rPr>
        <w:footnoteReference w:id="305"/>
      </w:r>
    </w:p>
    <w:p w14:paraId="245D92B0" w14:textId="2523BE9C" w:rsidR="003D01DD" w:rsidRPr="006B2F21" w:rsidRDefault="003D01DD" w:rsidP="006B2F21">
      <w:pPr>
        <w:pStyle w:val="BodyText"/>
        <w:numPr>
          <w:ilvl w:val="6"/>
          <w:numId w:val="1"/>
        </w:numPr>
        <w:rPr>
          <w:szCs w:val="18"/>
        </w:rPr>
      </w:pPr>
      <w:r w:rsidRPr="006B2F21">
        <w:rPr>
          <w:szCs w:val="18"/>
        </w:rPr>
        <w:t>Turning to the application of Article 5.1.1 of the TBT Agreement to the</w:t>
      </w:r>
      <w:r w:rsidR="00CF491E" w:rsidRPr="006B2F21">
        <w:rPr>
          <w:szCs w:val="18"/>
        </w:rPr>
        <w:t> </w:t>
      </w:r>
      <w:r w:rsidRPr="006B2F21">
        <w:rPr>
          <w:szCs w:val="18"/>
        </w:rPr>
        <w:t>14</w:t>
      </w:r>
      <w:r w:rsidR="00CF491E" w:rsidRPr="006B2F21">
        <w:rPr>
          <w:szCs w:val="18"/>
        </w:rPr>
        <w:t> </w:t>
      </w:r>
      <w:r w:rsidRPr="006B2F21">
        <w:rPr>
          <w:szCs w:val="18"/>
        </w:rPr>
        <w:t>instructions through which the FBO suspended valid certificates of conformity held by Ukrainian producers of railway products, the Panel considered that Ukraine "has the burden of demonstrating that Russia applied its conformity assessment procedure for railway products so as to grant access for suppliers of like products originating in Ukraine under conditions less favourable than those accorded to suppliers of like Russian products or like products from other countries, in a comparable situation"</w:t>
      </w:r>
      <w:r w:rsidR="001E2D8C" w:rsidRPr="006B2F21">
        <w:rPr>
          <w:szCs w:val="18"/>
        </w:rPr>
        <w:t>.</w:t>
      </w:r>
      <w:r w:rsidRPr="006B2F21">
        <w:rPr>
          <w:szCs w:val="18"/>
          <w:vertAlign w:val="superscript"/>
        </w:rPr>
        <w:footnoteReference w:id="306"/>
      </w:r>
      <w:r w:rsidRPr="006B2F21">
        <w:rPr>
          <w:szCs w:val="18"/>
        </w:rPr>
        <w:t xml:space="preserve"> For the purpose of examining the elements necessary to demonstrate an inconsistency with Article 5.1.1, the Panel assumed that the relevant Ukrainian suppliers are suppliers of railway products "like" those of the Russian and other foreign suppliers that Ukraine alleges to enjoy better access conditions.</w:t>
      </w:r>
      <w:r w:rsidRPr="006B2F21">
        <w:rPr>
          <w:szCs w:val="18"/>
          <w:vertAlign w:val="superscript"/>
        </w:rPr>
        <w:footnoteReference w:id="307"/>
      </w:r>
      <w:r w:rsidRPr="006B2F21">
        <w:rPr>
          <w:szCs w:val="18"/>
        </w:rPr>
        <w:t xml:space="preserve"> </w:t>
      </w:r>
    </w:p>
    <w:p w14:paraId="34D11CBD" w14:textId="77777777" w:rsidR="003D01DD" w:rsidRPr="006B2F21" w:rsidRDefault="003D01DD" w:rsidP="006B2F21">
      <w:pPr>
        <w:pStyle w:val="BodyText"/>
        <w:numPr>
          <w:ilvl w:val="6"/>
          <w:numId w:val="1"/>
        </w:numPr>
        <w:rPr>
          <w:szCs w:val="18"/>
        </w:rPr>
      </w:pPr>
      <w:r w:rsidRPr="006B2F21">
        <w:rPr>
          <w:szCs w:val="18"/>
        </w:rPr>
        <w:t>With respect to the question whether Russia granted access for specific suppliers of products from another Member under conditions less favourable, the Panel considered that the inspection controls at issue fell within the definition of "conformity assessment procedures" in Annex 1.3 to the TBT Agreement.</w:t>
      </w:r>
      <w:r w:rsidRPr="006B2F21">
        <w:rPr>
          <w:szCs w:val="18"/>
          <w:vertAlign w:val="superscript"/>
        </w:rPr>
        <w:footnoteReference w:id="308"/>
      </w:r>
      <w:r w:rsidRPr="006B2F21">
        <w:rPr>
          <w:szCs w:val="18"/>
        </w:rPr>
        <w:t xml:space="preserve"> The evidence before the Panel demonstrated that, through the 14 instructions, the FBO suspended valid certificates held by the five affected suppliers of Ukrainian railway products with the reason that the conditions for inspection control were not present at the time of issuance of the corresponding instruction, and therefore "did not grant the affected suppliers of Ukrainian railway products access to inspection control, which is part of Russia's conformity assessment procedure for railway products".</w:t>
      </w:r>
      <w:r w:rsidRPr="006B2F21">
        <w:rPr>
          <w:szCs w:val="18"/>
          <w:vertAlign w:val="superscript"/>
        </w:rPr>
        <w:footnoteReference w:id="309"/>
      </w:r>
      <w:r w:rsidRPr="006B2F21">
        <w:rPr>
          <w:szCs w:val="18"/>
        </w:rPr>
        <w:t xml:space="preserve"> At the same time, the FBO granted suppliers of Russian and European railway products access to such inspection control.</w:t>
      </w:r>
      <w:r w:rsidRPr="006B2F21">
        <w:rPr>
          <w:szCs w:val="18"/>
          <w:vertAlign w:val="superscript"/>
        </w:rPr>
        <w:footnoteReference w:id="310"/>
      </w:r>
      <w:r w:rsidRPr="006B2F21">
        <w:rPr>
          <w:szCs w:val="18"/>
        </w:rPr>
        <w:t xml:space="preserve"> For the Panel, this difference modified the conditions of competition for access to Russia's conformity assessment procedure for railway products to the detriment of each of the affected Ukrainian suppliers.</w:t>
      </w:r>
      <w:r w:rsidRPr="006B2F21">
        <w:rPr>
          <w:szCs w:val="18"/>
          <w:vertAlign w:val="superscript"/>
        </w:rPr>
        <w:footnoteReference w:id="311"/>
      </w:r>
      <w:r w:rsidRPr="006B2F21">
        <w:rPr>
          <w:szCs w:val="18"/>
        </w:rPr>
        <w:t xml:space="preserve"> The Panel thus found that "Russia, by issuing the 14 challenged instructions, applied its conformity assessment procedure </w:t>
      </w:r>
      <w:r w:rsidRPr="006B2F21">
        <w:rPr>
          <w:szCs w:val="18"/>
        </w:rPr>
        <w:lastRenderedPageBreak/>
        <w:t>so as to grant access for the relevant suppliers of Ukrainian railway products under conditions less favourable than those accorded to suppliers of Russian and European railway products."</w:t>
      </w:r>
      <w:r w:rsidRPr="006B2F21">
        <w:rPr>
          <w:szCs w:val="18"/>
          <w:vertAlign w:val="superscript"/>
        </w:rPr>
        <w:footnoteReference w:id="312"/>
      </w:r>
    </w:p>
    <w:p w14:paraId="55485E58" w14:textId="39FA3774" w:rsidR="003D01DD" w:rsidRPr="006B2F21" w:rsidRDefault="003D01DD" w:rsidP="006B2F21">
      <w:pPr>
        <w:pStyle w:val="BodyText"/>
        <w:numPr>
          <w:ilvl w:val="6"/>
          <w:numId w:val="1"/>
        </w:numPr>
        <w:rPr>
          <w:szCs w:val="18"/>
        </w:rPr>
      </w:pPr>
      <w:r w:rsidRPr="006B2F21">
        <w:rPr>
          <w:szCs w:val="18"/>
        </w:rPr>
        <w:t>Concerning the question whether Ukrainian suppliers and those from other Members are "in</w:t>
      </w:r>
      <w:r w:rsidR="00D54287">
        <w:rPr>
          <w:szCs w:val="18"/>
        </w:rPr>
        <w:t> </w:t>
      </w:r>
      <w:r w:rsidRPr="006B2F21">
        <w:rPr>
          <w:szCs w:val="18"/>
        </w:rPr>
        <w:t>a comparable situation", the Panel took the view that "conducting an objective assessment of the matter entails reviewing the explanations provided both in the challenged instructions and by Russia in these proceedings" on the basis of the evidence on the record.</w:t>
      </w:r>
      <w:r w:rsidRPr="006B2F21">
        <w:rPr>
          <w:szCs w:val="18"/>
          <w:vertAlign w:val="superscript"/>
        </w:rPr>
        <w:footnoteReference w:id="313"/>
      </w:r>
      <w:r w:rsidRPr="006B2F21">
        <w:rPr>
          <w:szCs w:val="18"/>
        </w:rPr>
        <w:t xml:space="preserve"> In its overall assessment of the evidence on the record, the Panel underscored that while importing Members should not lightly be allowed to invoke an inability to carry out parts of their conformity assessment procedure, as this could undermine market</w:t>
      </w:r>
      <w:r w:rsidRPr="006B2F21">
        <w:rPr>
          <w:szCs w:val="18"/>
        </w:rPr>
        <w:noBreakHyphen/>
        <w:t>access commitments, inspections are often carried out abroad by government officials of the importing Member and in some situations their life or health may be at risk.</w:t>
      </w:r>
      <w:r w:rsidRPr="006B2F21">
        <w:rPr>
          <w:szCs w:val="18"/>
          <w:vertAlign w:val="superscript"/>
        </w:rPr>
        <w:footnoteReference w:id="314"/>
      </w:r>
      <w:r w:rsidRPr="006B2F21">
        <w:rPr>
          <w:szCs w:val="18"/>
        </w:rPr>
        <w:t xml:space="preserve"> For the Panel, in the specific circumstances of the dispute, "the importing Member in applying Article 5.1.1</w:t>
      </w:r>
      <w:r w:rsidR="004467B9" w:rsidRPr="006B2F21">
        <w:rPr>
          <w:szCs w:val="18"/>
        </w:rPr>
        <w:t> </w:t>
      </w:r>
      <w:r w:rsidRPr="006B2F21">
        <w:rPr>
          <w:szCs w:val="18"/>
        </w:rPr>
        <w:t>may confront the need to weigh and balance the interests of suppliers of products originating in the territories of other Members in an assessment of conformity against its interest in safeguarding the life or health of its employees when undertaking conformity assessment activities, such as inspections, abroad."</w:t>
      </w:r>
      <w:r w:rsidRPr="006B2F21">
        <w:rPr>
          <w:szCs w:val="18"/>
          <w:vertAlign w:val="superscript"/>
        </w:rPr>
        <w:footnoteReference w:id="315"/>
      </w:r>
      <w:r w:rsidRPr="006B2F21">
        <w:rPr>
          <w:szCs w:val="18"/>
        </w:rPr>
        <w:t xml:space="preserve"> </w:t>
      </w:r>
    </w:p>
    <w:p w14:paraId="54582E15" w14:textId="6FF24DC1" w:rsidR="003D01DD" w:rsidRPr="006B2F21" w:rsidRDefault="003D01DD" w:rsidP="006B2F21">
      <w:pPr>
        <w:pStyle w:val="BodyText"/>
        <w:numPr>
          <w:ilvl w:val="6"/>
          <w:numId w:val="1"/>
        </w:numPr>
        <w:rPr>
          <w:szCs w:val="18"/>
        </w:rPr>
      </w:pPr>
      <w:r w:rsidRPr="006B2F21">
        <w:rPr>
          <w:szCs w:val="18"/>
        </w:rPr>
        <w:t>Based on the evidence before it, the Panel considered that the FBO could be justifiably concerned about the life or health of any employees that it sen</w:t>
      </w:r>
      <w:r w:rsidR="00CF491E" w:rsidRPr="006B2F21">
        <w:rPr>
          <w:szCs w:val="18"/>
        </w:rPr>
        <w:t>t</w:t>
      </w:r>
      <w:r w:rsidRPr="006B2F21">
        <w:rPr>
          <w:szCs w:val="18"/>
        </w:rPr>
        <w:t xml:space="preserve"> to Ukraine to carry out inspections. Specifically, the Panel took the view that the situation "during the relevant time</w:t>
      </w:r>
      <w:r w:rsidRPr="006B2F21">
        <w:rPr>
          <w:szCs w:val="18"/>
        </w:rPr>
        <w:noBreakHyphen/>
        <w:t>period was marked by instability and unpredictability, and this was also reflected in the travel advice that Russia's Ministry of Foreign Affairs issued for the benefit of its own citizens".</w:t>
      </w:r>
      <w:r w:rsidRPr="006B2F21">
        <w:rPr>
          <w:szCs w:val="18"/>
          <w:vertAlign w:val="superscript"/>
        </w:rPr>
        <w:footnoteReference w:id="316"/>
      </w:r>
      <w:r w:rsidRPr="006B2F21">
        <w:rPr>
          <w:szCs w:val="18"/>
        </w:rPr>
        <w:t xml:space="preserve"> In sum, the Panel found that, "during the relevant time</w:t>
      </w:r>
      <w:r w:rsidRPr="006B2F21">
        <w:rPr>
          <w:szCs w:val="18"/>
        </w:rPr>
        <w:noBreakHyphen/>
        <w:t>period, the FBO did not act outside its margin of discretion by balancing the interests of Ukrainian suppliers and FBO employees and then erring on the side of ensuring the safety of the latter and determining that the conditions for carrying out inspection control in Ukraine were not satisfied."</w:t>
      </w:r>
      <w:r w:rsidRPr="006B2F21">
        <w:rPr>
          <w:szCs w:val="18"/>
          <w:vertAlign w:val="superscript"/>
        </w:rPr>
        <w:footnoteReference w:id="317"/>
      </w:r>
      <w:r w:rsidRPr="006B2F21">
        <w:rPr>
          <w:szCs w:val="18"/>
        </w:rPr>
        <w:t xml:space="preserve"> The Panel therefore stated that, "in this instance related to risks to life and health of FBO inspectors, over the time</w:t>
      </w:r>
      <w:r w:rsidRPr="006B2F21">
        <w:rPr>
          <w:szCs w:val="18"/>
        </w:rPr>
        <w:noBreakHyphen/>
        <w:t>frame examined above, the situation in Ukraine was not comparable to other countries."</w:t>
      </w:r>
      <w:r w:rsidRPr="006B2F21">
        <w:rPr>
          <w:szCs w:val="18"/>
          <w:vertAlign w:val="superscript"/>
        </w:rPr>
        <w:footnoteReference w:id="318"/>
      </w:r>
      <w:r w:rsidRPr="006B2F21">
        <w:rPr>
          <w:szCs w:val="18"/>
        </w:rPr>
        <w:t xml:space="preserve"> On this basis, the Panel concluded that, "between April 2014 and December 2016, Ukrainian suppliers of railway products were denied no less favourable access in a situation that was not comparable to the situation in which Russia granted access to suppliers of Russian railway products and suppliers of railway products from other countries."</w:t>
      </w:r>
      <w:r w:rsidRPr="006B2F21">
        <w:rPr>
          <w:szCs w:val="18"/>
          <w:vertAlign w:val="superscript"/>
        </w:rPr>
        <w:footnoteReference w:id="319"/>
      </w:r>
    </w:p>
    <w:p w14:paraId="55ECCCD8" w14:textId="77777777" w:rsidR="003D01DD" w:rsidRPr="006B2F21" w:rsidRDefault="003D01DD" w:rsidP="006B2F21">
      <w:pPr>
        <w:pStyle w:val="Heading3"/>
        <w:numPr>
          <w:ilvl w:val="2"/>
          <w:numId w:val="1"/>
        </w:numPr>
        <w:rPr>
          <w:szCs w:val="18"/>
        </w:rPr>
      </w:pPr>
      <w:bookmarkStart w:id="148" w:name="_Toc26805632"/>
      <w:bookmarkStart w:id="149" w:name="_Toc31381006"/>
      <w:r w:rsidRPr="006B2F21">
        <w:rPr>
          <w:szCs w:val="18"/>
        </w:rPr>
        <w:t>Claims and arguments on appeal</w:t>
      </w:r>
      <w:bookmarkEnd w:id="148"/>
      <w:bookmarkEnd w:id="149"/>
    </w:p>
    <w:p w14:paraId="787B65EA" w14:textId="77C5C958" w:rsidR="003D01DD" w:rsidRPr="006B2F21" w:rsidRDefault="003D01DD" w:rsidP="006B2F21">
      <w:pPr>
        <w:pStyle w:val="BodyText"/>
        <w:numPr>
          <w:ilvl w:val="6"/>
          <w:numId w:val="1"/>
        </w:numPr>
        <w:rPr>
          <w:szCs w:val="18"/>
        </w:rPr>
      </w:pPr>
      <w:r w:rsidRPr="006B2F21">
        <w:rPr>
          <w:szCs w:val="18"/>
        </w:rPr>
        <w:t>On appeal, Ukraine requests us to reverse the Panel's conclusions that Ukraine failed to establish that Russia had acted inconsistently with Article 5.1.1 of the TBT Agreement.</w:t>
      </w:r>
      <w:r w:rsidRPr="006B2F21">
        <w:rPr>
          <w:szCs w:val="18"/>
          <w:vertAlign w:val="superscript"/>
        </w:rPr>
        <w:footnoteReference w:id="320"/>
      </w:r>
      <w:r w:rsidRPr="006B2F21">
        <w:rPr>
          <w:szCs w:val="18"/>
        </w:rPr>
        <w:t xml:space="preserve"> In Ukraine's view, the Panel erred in its interpretation and application of the phrase "in a comparable situation" in Article 5.1.1 by failing to elaborate on what exactly has to be compared. Specifically, Ukraine considers that the Panel provided a very limited interpretation of the phrase "in a comparable situation" and did not clarify whether an assessment of the situation of a country as a whole or that of the relevant suppliers is required.</w:t>
      </w:r>
      <w:r w:rsidRPr="006B2F21">
        <w:rPr>
          <w:rStyle w:val="FootnoteReference"/>
          <w:szCs w:val="18"/>
        </w:rPr>
        <w:footnoteReference w:id="321"/>
      </w:r>
      <w:r w:rsidRPr="006B2F21">
        <w:rPr>
          <w:szCs w:val="18"/>
        </w:rPr>
        <w:t xml:space="preserve"> Ukraine also argues that, in applying this provision to the facts of the case, the Panel focused on the risk to life or health of Russian </w:t>
      </w:r>
      <w:r w:rsidRPr="006B2F21">
        <w:rPr>
          <w:i/>
          <w:szCs w:val="18"/>
        </w:rPr>
        <w:t>inspectors</w:t>
      </w:r>
      <w:r w:rsidRPr="006B2F21">
        <w:rPr>
          <w:szCs w:val="18"/>
        </w:rPr>
        <w:t xml:space="preserve">, rather than on aspects specific to the </w:t>
      </w:r>
      <w:r w:rsidRPr="006B2F21">
        <w:rPr>
          <w:i/>
          <w:szCs w:val="18"/>
        </w:rPr>
        <w:t>suppliers</w:t>
      </w:r>
      <w:r w:rsidRPr="006B2F21">
        <w:rPr>
          <w:szCs w:val="18"/>
        </w:rPr>
        <w:t xml:space="preserve"> at issue or the location of the suppliers' facilities.</w:t>
      </w:r>
      <w:r w:rsidRPr="006B2F21">
        <w:rPr>
          <w:rStyle w:val="FootnoteReference"/>
          <w:szCs w:val="18"/>
        </w:rPr>
        <w:footnoteReference w:id="322"/>
      </w:r>
      <w:r w:rsidRPr="006B2F21">
        <w:rPr>
          <w:szCs w:val="18"/>
        </w:rPr>
        <w:t xml:space="preserve"> Furthermore, Ukraine takes issue with an analogy the Panel made between the objective of conformity assessment procedures under Article 5.1.1 of the TBT Agreement, on the one hand, and the legitimate objective of protecting human life or health under Article 2.2 of that agreement, on the other. According to Ukraine, the phrase "a comparable situation" may not be understood as a basis for an importing Member to act for the protection of the interests recognized in the sixth recital of the preamble of </w:t>
      </w:r>
      <w:r w:rsidRPr="006B2F21">
        <w:rPr>
          <w:szCs w:val="18"/>
        </w:rPr>
        <w:lastRenderedPageBreak/>
        <w:t>the TBT Agreement without the protection of those interests being directly linked to the situation of the suppliers subject to the measures at issue with respect to conditions of access to the conformity assessment procedure.</w:t>
      </w:r>
      <w:r w:rsidRPr="006B2F21">
        <w:rPr>
          <w:rStyle w:val="FootnoteReference"/>
          <w:szCs w:val="18"/>
        </w:rPr>
        <w:footnoteReference w:id="323"/>
      </w:r>
      <w:r w:rsidRPr="006B2F21">
        <w:rPr>
          <w:szCs w:val="18"/>
        </w:rPr>
        <w:t xml:space="preserve"> </w:t>
      </w:r>
    </w:p>
    <w:p w14:paraId="3101ADFB" w14:textId="16097CF1" w:rsidR="003D01DD" w:rsidRPr="006B2F21" w:rsidRDefault="003D01DD" w:rsidP="006B2F21">
      <w:pPr>
        <w:pStyle w:val="BodyText"/>
        <w:numPr>
          <w:ilvl w:val="6"/>
          <w:numId w:val="1"/>
        </w:numPr>
        <w:rPr>
          <w:szCs w:val="18"/>
        </w:rPr>
      </w:pPr>
      <w:r w:rsidRPr="006B2F21">
        <w:rPr>
          <w:szCs w:val="18"/>
        </w:rPr>
        <w:t>Ukraine further submits that the Panel failed to make an objective assessment of the matter in its analysis of Article 5.1.1 of the TBT Agreement by failing to: (i) accurately determine adequate burden of proof; (ii) apply the correct standard of review; and (iii) conduct an objective assessment of Russia's evidence concerning the security situation in Ukraine in its examination of whether Russia granted to Ukrainian suppliers' access under less favourable conditions in a comparable situation.</w:t>
      </w:r>
    </w:p>
    <w:p w14:paraId="287C4649" w14:textId="0FF710B5" w:rsidR="003D01DD" w:rsidRPr="006B2F21" w:rsidRDefault="003D01DD" w:rsidP="006B2F21">
      <w:pPr>
        <w:pStyle w:val="BodyText"/>
        <w:numPr>
          <w:ilvl w:val="6"/>
          <w:numId w:val="1"/>
        </w:numPr>
        <w:rPr>
          <w:szCs w:val="18"/>
        </w:rPr>
      </w:pPr>
      <w:r w:rsidRPr="006B2F21">
        <w:rPr>
          <w:szCs w:val="18"/>
        </w:rPr>
        <w:t>In response, Russia requests us to uphold the Panel's conclusions under Article 5.1.1.</w:t>
      </w:r>
      <w:r w:rsidRPr="006B2F21">
        <w:rPr>
          <w:rStyle w:val="FootnoteReference"/>
          <w:szCs w:val="18"/>
        </w:rPr>
        <w:footnoteReference w:id="324"/>
      </w:r>
      <w:r w:rsidRPr="006B2F21">
        <w:rPr>
          <w:szCs w:val="18"/>
        </w:rPr>
        <w:t xml:space="preserve"> Russia submits that the Panel correctly interpreted and applied the term "in a comparable situation" under Article 5.1.1 of the TBT Agreement.</w:t>
      </w:r>
      <w:r w:rsidRPr="006B2F21">
        <w:rPr>
          <w:rStyle w:val="FootnoteReference"/>
          <w:szCs w:val="18"/>
        </w:rPr>
        <w:footnoteReference w:id="325"/>
      </w:r>
      <w:r w:rsidRPr="006B2F21">
        <w:rPr>
          <w:szCs w:val="18"/>
        </w:rPr>
        <w:t xml:space="preserve"> In particular, Russia argues that the "supplier</w:t>
      </w:r>
      <w:r w:rsidRPr="006B2F21">
        <w:rPr>
          <w:szCs w:val="18"/>
        </w:rPr>
        <w:noBreakHyphen/>
        <w:t>specific" assessment of comparability suggested by Ukraine is an excessively literal reading of Article 5.1.1. In Russia's view, the negotiating history of Article 5.1.1 strongly suggests that it is the situations in particular countries that should be compared and not those of particular suppliers.</w:t>
      </w:r>
      <w:r w:rsidRPr="006B2F21">
        <w:rPr>
          <w:rStyle w:val="FootnoteReference"/>
          <w:szCs w:val="18"/>
        </w:rPr>
        <w:footnoteReference w:id="326"/>
      </w:r>
      <w:r w:rsidRPr="006B2F21">
        <w:rPr>
          <w:szCs w:val="18"/>
        </w:rPr>
        <w:t xml:space="preserve"> Russia considers that, having stated that "whether a situation is comparable must be assessed on a case</w:t>
      </w:r>
      <w:r w:rsidRPr="006B2F21">
        <w:rPr>
          <w:szCs w:val="18"/>
        </w:rPr>
        <w:noBreakHyphen/>
        <w:t>by</w:t>
      </w:r>
      <w:r w:rsidRPr="006B2F21">
        <w:rPr>
          <w:szCs w:val="18"/>
        </w:rPr>
        <w:noBreakHyphen/>
        <w:t>case basis"</w:t>
      </w:r>
      <w:r w:rsidRPr="006B2F21">
        <w:rPr>
          <w:szCs w:val="18"/>
          <w:vertAlign w:val="superscript"/>
        </w:rPr>
        <w:footnoteReference w:id="327"/>
      </w:r>
      <w:r w:rsidRPr="006B2F21">
        <w:rPr>
          <w:szCs w:val="18"/>
        </w:rPr>
        <w:t xml:space="preserve"> and having scrutinized the evidence on the record in its totality, the Panel arrived at the correct conclusion that "in this instance related to risks to life and health of FBO inspectors … the situation in Ukraine was not comparable to [that in] other countries."</w:t>
      </w:r>
      <w:r w:rsidRPr="006B2F21">
        <w:rPr>
          <w:szCs w:val="18"/>
          <w:vertAlign w:val="superscript"/>
        </w:rPr>
        <w:footnoteReference w:id="328"/>
      </w:r>
      <w:r w:rsidRPr="006B2F21">
        <w:rPr>
          <w:szCs w:val="18"/>
        </w:rPr>
        <w:t xml:space="preserve"> Regarding the allegation that the Panel erred in drawing an analogy of legitimate objective under Article 2.2 of the TBT Agreement, Russia points out that Ukraine did not refer to particular paragraphs of the Panel Report where the Panel based its decision on the similarity between Articles 2.2 and 5.1.1.</w:t>
      </w:r>
      <w:r w:rsidRPr="006B2F21">
        <w:rPr>
          <w:rStyle w:val="FootnoteReference"/>
          <w:szCs w:val="18"/>
        </w:rPr>
        <w:footnoteReference w:id="329"/>
      </w:r>
      <w:r w:rsidRPr="006B2F21">
        <w:rPr>
          <w:szCs w:val="18"/>
        </w:rPr>
        <w:t xml:space="preserve"> In addition, according to Russia, such an analogy is not inferable implicitly from the Panel's reasoning, insofar as the link between those two provisions in the analysis is too remote to consider that the Panel applied the legitimate objective under Article 2.2 to Article 5.1.1 by analogy.</w:t>
      </w:r>
      <w:r w:rsidRPr="006B2F21">
        <w:rPr>
          <w:rStyle w:val="FootnoteReference"/>
          <w:szCs w:val="18"/>
        </w:rPr>
        <w:footnoteReference w:id="330"/>
      </w:r>
    </w:p>
    <w:p w14:paraId="42A118AA" w14:textId="77777777" w:rsidR="003D01DD" w:rsidRPr="006B2F21" w:rsidRDefault="003D01DD" w:rsidP="006B2F21">
      <w:pPr>
        <w:pStyle w:val="Heading3"/>
        <w:numPr>
          <w:ilvl w:val="2"/>
          <w:numId w:val="1"/>
        </w:numPr>
        <w:rPr>
          <w:szCs w:val="18"/>
        </w:rPr>
      </w:pPr>
      <w:bookmarkStart w:id="150" w:name="_Toc26805633"/>
      <w:bookmarkStart w:id="151" w:name="_Toc31381007"/>
      <w:r w:rsidRPr="006B2F21">
        <w:rPr>
          <w:szCs w:val="18"/>
        </w:rPr>
        <w:t>The Panel's interpretation of Article 5.1.1 of the TBT Agreement</w:t>
      </w:r>
      <w:bookmarkEnd w:id="150"/>
      <w:bookmarkEnd w:id="151"/>
    </w:p>
    <w:p w14:paraId="393C09CD" w14:textId="77777777" w:rsidR="003D01DD" w:rsidRPr="006B2F21" w:rsidRDefault="003D01DD" w:rsidP="006B2F21">
      <w:pPr>
        <w:pStyle w:val="BodyText"/>
        <w:numPr>
          <w:ilvl w:val="6"/>
          <w:numId w:val="1"/>
        </w:numPr>
        <w:rPr>
          <w:szCs w:val="18"/>
        </w:rPr>
      </w:pPr>
      <w:r w:rsidRPr="006B2F21">
        <w:rPr>
          <w:szCs w:val="18"/>
        </w:rPr>
        <w:t>Article 5.1 of the TBT Agreement provides, in relevant part:</w:t>
      </w:r>
    </w:p>
    <w:p w14:paraId="4F50C15B" w14:textId="77777777" w:rsidR="003D01DD" w:rsidRPr="006B2F21" w:rsidRDefault="003D01DD" w:rsidP="006B2F21">
      <w:pPr>
        <w:pStyle w:val="Quotation"/>
        <w:jc w:val="center"/>
        <w:rPr>
          <w:i/>
        </w:rPr>
      </w:pPr>
      <w:r w:rsidRPr="006B2F21">
        <w:rPr>
          <w:i/>
        </w:rPr>
        <w:t>Article 5</w:t>
      </w:r>
    </w:p>
    <w:p w14:paraId="6816AFA0" w14:textId="77777777" w:rsidR="003D01DD" w:rsidRPr="006B2F21" w:rsidRDefault="003D01DD" w:rsidP="006B2F21">
      <w:pPr>
        <w:pStyle w:val="Quotation"/>
        <w:jc w:val="center"/>
        <w:rPr>
          <w:i/>
        </w:rPr>
      </w:pPr>
      <w:r w:rsidRPr="006B2F21">
        <w:rPr>
          <w:i/>
        </w:rPr>
        <w:t>Procedures for Assessment of Conformity by Central Government Bodies</w:t>
      </w:r>
    </w:p>
    <w:p w14:paraId="495C78B9" w14:textId="77777777" w:rsidR="003D01DD" w:rsidRPr="006B2F21" w:rsidRDefault="003D01DD" w:rsidP="006B2F21">
      <w:pPr>
        <w:pStyle w:val="Quotation"/>
      </w:pPr>
      <w:r w:rsidRPr="006B2F21">
        <w:t>5.1 Members shall ensure that, in cases where a positive assurance of conformity with technical regulations or standards is required, their central government bodies apply the following provisions to products originating in the territories of other Members:</w:t>
      </w:r>
    </w:p>
    <w:p w14:paraId="7B9024C0" w14:textId="77777777" w:rsidR="003D01DD" w:rsidRPr="006B2F21" w:rsidRDefault="003D01DD" w:rsidP="006B2F21">
      <w:pPr>
        <w:pStyle w:val="Quotation"/>
        <w:ind w:left="1134"/>
      </w:pPr>
      <w:r w:rsidRPr="006B2F21">
        <w:t>5.1.1 conformity assessment procedures are prepared, adopted and applied so as to grant access for suppliers of like products originating in the territories of other Members under conditions no less favourable than those accorded to suppliers of like products of national origin or originating in any other country, in a comparable situation; access entails suppliers' right to an assessment of conformity under the rules of the procedure, including, when foreseen by this procedure, the possibility to have conformity assessment activities undertaken at the site of facilities and to receive the mark of the system[.]</w:t>
      </w:r>
    </w:p>
    <w:p w14:paraId="63DEC7E5" w14:textId="050AD576" w:rsidR="003D01DD" w:rsidRPr="006B2F21" w:rsidRDefault="003D01DD" w:rsidP="006B2F21">
      <w:pPr>
        <w:pStyle w:val="BodyText"/>
        <w:numPr>
          <w:ilvl w:val="6"/>
          <w:numId w:val="1"/>
        </w:numPr>
        <w:rPr>
          <w:szCs w:val="18"/>
        </w:rPr>
      </w:pPr>
      <w:r w:rsidRPr="006B2F21">
        <w:rPr>
          <w:szCs w:val="18"/>
        </w:rPr>
        <w:lastRenderedPageBreak/>
        <w:t xml:space="preserve">The title of Article 5 of the TBT Agreement indicates that the provision relates to procedures for the assessment of conformity. Obligations therein apply with respect to a Member's "central government bodies" where the Member requires "a positive assurance of conformity" with technical regulations or standards. Conformity assessment procedures are defined in Annex 1.3 </w:t>
      </w:r>
      <w:r w:rsidR="0061714D" w:rsidRPr="006B2F21">
        <w:rPr>
          <w:szCs w:val="18"/>
        </w:rPr>
        <w:t xml:space="preserve">to </w:t>
      </w:r>
      <w:r w:rsidRPr="006B2F21">
        <w:rPr>
          <w:szCs w:val="18"/>
        </w:rPr>
        <w:t>the TBT Agreement as "[a]ny procedure used, directly or indirectly, to determine that relevant requirements in technical regulations or standards are fulfilled". Pursuant to the explanatory note</w:t>
      </w:r>
      <w:r w:rsidRPr="006B2F21">
        <w:rPr>
          <w:i/>
          <w:szCs w:val="18"/>
        </w:rPr>
        <w:t xml:space="preserve"> </w:t>
      </w:r>
      <w:r w:rsidRPr="006B2F21">
        <w:rPr>
          <w:szCs w:val="18"/>
        </w:rPr>
        <w:t>to Annex 1.3, conformity assessment procedures "include, </w:t>
      </w:r>
      <w:r w:rsidRPr="006B2F21">
        <w:rPr>
          <w:i/>
          <w:szCs w:val="18"/>
        </w:rPr>
        <w:t>inter alia</w:t>
      </w:r>
      <w:r w:rsidRPr="006B2F21">
        <w:rPr>
          <w:szCs w:val="18"/>
        </w:rPr>
        <w:t xml:space="preserve">, procedures for sampling, testing and inspection; evaluation, verification and assurance of conformity; registration, accreditation and approval as well as their combinations". </w:t>
      </w:r>
    </w:p>
    <w:p w14:paraId="74A776A1" w14:textId="77777777" w:rsidR="003D01DD" w:rsidRPr="006B2F21" w:rsidRDefault="003D01DD" w:rsidP="006B2F21">
      <w:pPr>
        <w:pStyle w:val="BodyText"/>
        <w:numPr>
          <w:ilvl w:val="6"/>
          <w:numId w:val="1"/>
        </w:numPr>
        <w:rPr>
          <w:szCs w:val="18"/>
        </w:rPr>
      </w:pPr>
      <w:bookmarkStart w:id="152" w:name="_Hlk21614448"/>
      <w:r w:rsidRPr="006B2F21">
        <w:rPr>
          <w:szCs w:val="18"/>
        </w:rPr>
        <w:t>Article 5.1.1 of the TBT Agreement consists of two clauses. Its first clause establishes a national treatment obligation and a most</w:t>
      </w:r>
      <w:r w:rsidRPr="006B2F21">
        <w:rPr>
          <w:szCs w:val="18"/>
        </w:rPr>
        <w:noBreakHyphen/>
        <w:t>favoured nation treatment obligation regarding the conditions of access to an assessment of conformity to suppliers of like products. In particular, the first clause of Article 5.1.1 specifies that conformity assessment procedures are to be prepared, adopted, and applied so as to grant access for suppliers of like products originating in the territories of other Members under conditions no less favourable than those accorded to suppliers of like products of national origin or originating in any other country, in a comparable situation. Article 5.1.1 covers the preparation, adoption, and application of conformity assessment procedures. In turn, the second clause defines "access" for purposes of the obligations in Article 5.1.1 as entailing "suppliers' right to an assessment of conformity under the rules of the procedure, including, when foreseen by this procedure, the possibility to have conformity assessment activities undertaken at the site of facilities and to receive the mark of the system".</w:t>
      </w:r>
    </w:p>
    <w:p w14:paraId="577EE18B" w14:textId="77777777" w:rsidR="003D01DD" w:rsidRPr="006B2F21" w:rsidRDefault="003D01DD" w:rsidP="006B2F21">
      <w:pPr>
        <w:pStyle w:val="BodyText"/>
        <w:numPr>
          <w:ilvl w:val="6"/>
          <w:numId w:val="1"/>
        </w:numPr>
        <w:rPr>
          <w:szCs w:val="18"/>
        </w:rPr>
      </w:pPr>
      <w:r w:rsidRPr="006B2F21">
        <w:rPr>
          <w:szCs w:val="18"/>
        </w:rPr>
        <w:t>In contrast to other non</w:t>
      </w:r>
      <w:r w:rsidRPr="006B2F21">
        <w:rPr>
          <w:szCs w:val="18"/>
        </w:rPr>
        <w:noBreakHyphen/>
        <w:t xml:space="preserve">discrimination obligations, such as Article III:4 of the GATT 1994 and Article 2.1 of the TBT Agreement, the obligations under Article 5.1.1 of the TBT Agreement attach to the </w:t>
      </w:r>
      <w:r w:rsidRPr="006B2F21">
        <w:rPr>
          <w:i/>
          <w:szCs w:val="18"/>
        </w:rPr>
        <w:t>suppliers</w:t>
      </w:r>
      <w:r w:rsidRPr="006B2F21">
        <w:rPr>
          <w:szCs w:val="18"/>
        </w:rPr>
        <w:t xml:space="preserve"> of products as opposed to the product itself. At the same time, Article 5.1 stipulates that all provisions contained in Article 5 shall apply "to products" originating in the territories of other Members. Thus, while it is the </w:t>
      </w:r>
      <w:r w:rsidRPr="006B2F21">
        <w:rPr>
          <w:i/>
          <w:szCs w:val="18"/>
        </w:rPr>
        <w:t>suppliers</w:t>
      </w:r>
      <w:r w:rsidRPr="006B2F21">
        <w:rPr>
          <w:szCs w:val="18"/>
        </w:rPr>
        <w:t xml:space="preserve"> that should be granted access to conformity assessment under Article 5.1.1, it is the </w:t>
      </w:r>
      <w:r w:rsidRPr="006B2F21">
        <w:rPr>
          <w:i/>
          <w:szCs w:val="18"/>
        </w:rPr>
        <w:t>products</w:t>
      </w:r>
      <w:r w:rsidRPr="006B2F21">
        <w:rPr>
          <w:szCs w:val="18"/>
        </w:rPr>
        <w:t xml:space="preserve"> that receive "a positive assurance of conformity with technical regulations or standards". Moreover, the fact that the adjective "like" attaches to the noun "products" and not to "suppliers" makes clear that the "likeness" requirement in Article 5.1.1 relates to the products. Indeed, the "likeness" of the products at issue is central in defining the scope of the non</w:t>
      </w:r>
      <w:r w:rsidRPr="006B2F21">
        <w:rPr>
          <w:szCs w:val="18"/>
        </w:rPr>
        <w:noBreakHyphen/>
        <w:t>discrimination obligations under Article 5.1.1, such that there is no obligation to grant access to conformity assessment under no less favourable conditions, if the products being supplied are not "like". In other words, the products at issue must be in a competitive relationship in the marketplace. Accordingly, the determination of likeness under Article 5.1.1 involves "a determination about the nature and extent of a competitive relationship between and among the products at issue".</w:t>
      </w:r>
      <w:r w:rsidRPr="006B2F21">
        <w:rPr>
          <w:rStyle w:val="FootnoteReference"/>
          <w:szCs w:val="18"/>
        </w:rPr>
        <w:footnoteReference w:id="331"/>
      </w:r>
    </w:p>
    <w:p w14:paraId="399F706E" w14:textId="77777777" w:rsidR="003D01DD" w:rsidRPr="006B2F21" w:rsidRDefault="003D01DD" w:rsidP="006B2F21">
      <w:pPr>
        <w:pStyle w:val="BodyText"/>
        <w:numPr>
          <w:ilvl w:val="6"/>
          <w:numId w:val="1"/>
        </w:numPr>
        <w:rPr>
          <w:szCs w:val="18"/>
        </w:rPr>
      </w:pPr>
      <w:r w:rsidRPr="006B2F21">
        <w:rPr>
          <w:szCs w:val="18"/>
        </w:rPr>
        <w:t>As the second clause of Article 5.1.1 of the TBT Agreement makes clear, the focus of the non</w:t>
      </w:r>
      <w:r w:rsidRPr="006B2F21">
        <w:rPr>
          <w:szCs w:val="18"/>
        </w:rPr>
        <w:noBreakHyphen/>
        <w:t xml:space="preserve">discrimination obligations under Article 5.1.1 is on the </w:t>
      </w:r>
      <w:r w:rsidRPr="006B2F21">
        <w:rPr>
          <w:i/>
          <w:szCs w:val="18"/>
        </w:rPr>
        <w:t>conditions for access</w:t>
      </w:r>
      <w:r w:rsidRPr="006B2F21">
        <w:rPr>
          <w:szCs w:val="18"/>
        </w:rPr>
        <w:t xml:space="preserve"> to a conformity assessment granted to suppliers, i.e. on the factors or circumstances under which the opportunity to benefit from conformity assessment is accorded to those suppliers. Article 5.1.1 prohibits the granting of access to conformity assessment under less favourable conditions for suppliers of like products originating in the territories of other Members, as compared to suppliers of like products of national origin or originating in any other country.</w:t>
      </w:r>
      <w:r w:rsidRPr="006B2F21">
        <w:rPr>
          <w:rStyle w:val="FootnoteReference"/>
          <w:szCs w:val="18"/>
        </w:rPr>
        <w:footnoteReference w:id="332"/>
      </w:r>
      <w:r w:rsidRPr="006B2F21">
        <w:rPr>
          <w:szCs w:val="18"/>
        </w:rPr>
        <w:t xml:space="preserve"> It thus requires an assessment of whether the conditions for access to conformity assessment granted by the regulating Member to suppliers of domestic or third</w:t>
      </w:r>
      <w:r w:rsidRPr="006B2F21">
        <w:rPr>
          <w:szCs w:val="18"/>
        </w:rPr>
        <w:noBreakHyphen/>
        <w:t>country products modify the conditions of competition to the detriment of suppliers of like imported products.</w:t>
      </w:r>
      <w:r w:rsidRPr="006B2F21">
        <w:rPr>
          <w:rStyle w:val="FootnoteReference"/>
          <w:szCs w:val="18"/>
        </w:rPr>
        <w:footnoteReference w:id="333"/>
      </w:r>
    </w:p>
    <w:p w14:paraId="34A90B1F" w14:textId="4C0B9A25" w:rsidR="003D01DD" w:rsidRPr="006B2F21" w:rsidRDefault="003D01DD" w:rsidP="006B2F21">
      <w:pPr>
        <w:pStyle w:val="BodyText"/>
        <w:numPr>
          <w:ilvl w:val="6"/>
          <w:numId w:val="1"/>
        </w:numPr>
        <w:rPr>
          <w:szCs w:val="18"/>
        </w:rPr>
      </w:pPr>
      <w:bookmarkStart w:id="153" w:name="_Hlk12864885"/>
      <w:bookmarkEnd w:id="152"/>
      <w:r w:rsidRPr="006B2F21">
        <w:rPr>
          <w:szCs w:val="18"/>
        </w:rPr>
        <w:t>In addition, the national treatment and most</w:t>
      </w:r>
      <w:r w:rsidRPr="006B2F21">
        <w:rPr>
          <w:szCs w:val="18"/>
        </w:rPr>
        <w:noBreakHyphen/>
        <w:t>favoured nation treatment obligations in Article 5.1.1 are qualified by the phrase "in a comparable situation". The word "comparable" is defined as "[a]ble to be compared, capable of comparison".</w:t>
      </w:r>
      <w:r w:rsidRPr="006B2F21">
        <w:rPr>
          <w:rStyle w:val="FootnoteReference"/>
          <w:szCs w:val="18"/>
        </w:rPr>
        <w:footnoteReference w:id="334"/>
      </w:r>
      <w:r w:rsidRPr="006B2F21">
        <w:rPr>
          <w:szCs w:val="18"/>
        </w:rPr>
        <w:t xml:space="preserve"> </w:t>
      </w:r>
      <w:r w:rsidR="00EF1B4C" w:rsidRPr="006B2F21">
        <w:rPr>
          <w:szCs w:val="18"/>
        </w:rPr>
        <w:t>T</w:t>
      </w:r>
      <w:r w:rsidRPr="006B2F21">
        <w:rPr>
          <w:szCs w:val="18"/>
        </w:rPr>
        <w:t xml:space="preserve">wo things can be considered to be comparable "when there are sufficient similarities between the things that are compared as to make </w:t>
      </w:r>
      <w:r w:rsidRPr="006B2F21">
        <w:rPr>
          <w:szCs w:val="18"/>
        </w:rPr>
        <w:lastRenderedPageBreak/>
        <w:t>that comparison worthy or meaningful".</w:t>
      </w:r>
      <w:r w:rsidRPr="006B2F21">
        <w:rPr>
          <w:rStyle w:val="FootnoteReference"/>
          <w:szCs w:val="18"/>
        </w:rPr>
        <w:footnoteReference w:id="335"/>
      </w:r>
      <w:r w:rsidRPr="006B2F21">
        <w:rPr>
          <w:szCs w:val="18"/>
        </w:rPr>
        <w:t xml:space="preserve"> Turning to the word "situation", we recall that the obligations under Article 5.1.1 of the TBT Agreement concern the conditions for granting access to conformity assessment for suppliers of like products. Thus, even though the word "situation" could potentially encompass a large number of factors on the basis of which a comparison could be made, the factors relevant for purposes of establishing the existence of a "comparable situation" under Article 5.1.1 would be those with a bearing on the conditions for granting access to conformity assessment in a particular case.</w:t>
      </w:r>
      <w:r w:rsidRPr="006B2F21">
        <w:rPr>
          <w:rStyle w:val="FootnoteReference"/>
          <w:szCs w:val="18"/>
        </w:rPr>
        <w:footnoteReference w:id="336"/>
      </w:r>
      <w:r w:rsidRPr="006B2F21">
        <w:rPr>
          <w:szCs w:val="18"/>
        </w:rPr>
        <w:t xml:space="preserve"> Moreover, the second clause of Article 5.1.1 describes access as "suppliers' right to an assessment of conformity </w:t>
      </w:r>
      <w:r w:rsidRPr="006B2F21">
        <w:rPr>
          <w:i/>
          <w:szCs w:val="18"/>
        </w:rPr>
        <w:t>under the rules of the procedure</w:t>
      </w:r>
      <w:r w:rsidRPr="006B2F21">
        <w:rPr>
          <w:szCs w:val="18"/>
        </w:rPr>
        <w:t>".</w:t>
      </w:r>
      <w:r w:rsidRPr="006B2F21">
        <w:rPr>
          <w:rStyle w:val="FootnoteReference"/>
          <w:szCs w:val="18"/>
        </w:rPr>
        <w:footnoteReference w:id="337"/>
      </w:r>
      <w:r w:rsidRPr="006B2F21">
        <w:rPr>
          <w:szCs w:val="18"/>
        </w:rPr>
        <w:t xml:space="preserve"> Since this procedure sets out the conditions for access to conformity assessment in a particular case, its rules will also be relevant for defining the universe of situations to be compared. </w:t>
      </w:r>
    </w:p>
    <w:p w14:paraId="541C71F6" w14:textId="742552EF" w:rsidR="003D01DD" w:rsidRPr="006B2F21" w:rsidRDefault="003D01DD" w:rsidP="006B2F21">
      <w:pPr>
        <w:pStyle w:val="BodyText"/>
        <w:numPr>
          <w:ilvl w:val="6"/>
          <w:numId w:val="1"/>
        </w:numPr>
        <w:rPr>
          <w:szCs w:val="18"/>
        </w:rPr>
      </w:pPr>
      <w:r w:rsidRPr="006B2F21">
        <w:rPr>
          <w:szCs w:val="18"/>
        </w:rPr>
        <w:t>Being placed at the end of the first clause of Article 5.1.1 of the TBT Agreement and separated by a comma from the rest of the clause, the words "in a comparable situation" relate to the entire phrase "so as to grant access for suppliers … under conditions no less favourable", and not only to the phrase "in any other country" or the "suppliers of like products". Thus, "in a comparable situation" is not limited to qualifying only the suppliers or countries from which the like products originate, rather it qualifies the entire requirement to grant access to suppliers of like products under no less favourable conditions. This indicates that whether a situation is "comparable" for purposes of Article 5.1.1 should be assessed in relation to the measure at issue granting access to conformity assessment to suppliers of like products and in light of the particular circumstances of each case. In addition, we consider that the function of conformity assessment procedures, which is to determine that relevant requirements in technical regulations or standards are fulfilled, as indicated in Annex 1.3 to the TBT Agreement, provides some guidance for the determination of a "comparable situation".</w:t>
      </w:r>
      <w:r w:rsidRPr="006B2F21">
        <w:rPr>
          <w:rStyle w:val="FootnoteReference"/>
          <w:szCs w:val="18"/>
        </w:rPr>
        <w:footnoteReference w:id="338"/>
      </w:r>
      <w:r w:rsidRPr="006B2F21">
        <w:rPr>
          <w:szCs w:val="18"/>
        </w:rPr>
        <w:t xml:space="preserve"> In light of this function, factors that impact the ability of Members to make a determination that relevant requirements in technical regulations or standards are fulfilled may be relevant in the inquiry of "a comparable situation". </w:t>
      </w:r>
    </w:p>
    <w:p w14:paraId="624CD211" w14:textId="235A3EC0" w:rsidR="003D01DD" w:rsidRPr="006B2F21" w:rsidRDefault="003D01DD" w:rsidP="006B2F21">
      <w:pPr>
        <w:pStyle w:val="BodyText"/>
        <w:numPr>
          <w:ilvl w:val="6"/>
          <w:numId w:val="1"/>
        </w:numPr>
        <w:rPr>
          <w:szCs w:val="18"/>
        </w:rPr>
      </w:pPr>
      <w:bookmarkStart w:id="154" w:name="_Hlk21618956"/>
      <w:bookmarkStart w:id="155" w:name="_Hlk20410535"/>
      <w:r w:rsidRPr="006B2F21">
        <w:rPr>
          <w:szCs w:val="18"/>
        </w:rPr>
        <w:t xml:space="preserve">We further note that the obligations under Article 5.1.1 concern "access for </w:t>
      </w:r>
      <w:r w:rsidRPr="006B2F21">
        <w:rPr>
          <w:i/>
          <w:szCs w:val="18"/>
        </w:rPr>
        <w:t>suppliers</w:t>
      </w:r>
      <w:r w:rsidRPr="006B2F21">
        <w:rPr>
          <w:szCs w:val="18"/>
        </w:rPr>
        <w:t xml:space="preserve"> of like products"</w:t>
      </w:r>
      <w:r w:rsidRPr="006B2F21">
        <w:rPr>
          <w:rStyle w:val="FootnoteReference"/>
          <w:szCs w:val="18"/>
        </w:rPr>
        <w:footnoteReference w:id="339"/>
      </w:r>
      <w:r w:rsidRPr="006B2F21">
        <w:rPr>
          <w:szCs w:val="18"/>
        </w:rPr>
        <w:t xml:space="preserve"> to conformity assessment. Moreover, the second clause of Article 5.1.1 defines "access" as "</w:t>
      </w:r>
      <w:r w:rsidRPr="006B2F21">
        <w:rPr>
          <w:i/>
          <w:szCs w:val="18"/>
        </w:rPr>
        <w:t>suppliers'</w:t>
      </w:r>
      <w:r w:rsidRPr="006B2F21">
        <w:rPr>
          <w:szCs w:val="18"/>
        </w:rPr>
        <w:t xml:space="preserve"> right to an assessment of conformity".</w:t>
      </w:r>
      <w:r w:rsidRPr="006B2F21">
        <w:rPr>
          <w:rStyle w:val="FootnoteReference"/>
          <w:szCs w:val="18"/>
        </w:rPr>
        <w:footnoteReference w:id="340"/>
      </w:r>
      <w:r w:rsidRPr="006B2F21">
        <w:rPr>
          <w:szCs w:val="18"/>
        </w:rPr>
        <w:t xml:space="preserve"> It is therefore the suppliers of like products that are entitled to an assessment of conformity under the rules of the procedure and under conditions no less favourable. The second clause of Article 5.1.1 further specifies that this includes, when foreseen by the conformity assessment procedure at issue, "the possibility to have conformity assessment activities undertaken at the site of facilities and to receive the mark of the system". This language in the second clause of Article 5.1.1 reaffirms the provision's focus on the suppliers and the modalities of their right of access to conformity assessment. The focus on the situation of suppliers in Article 5.1.1 is different from provisions containing similar language, for instance the reference to "countries where the same conditions prevail" in the </w:t>
      </w:r>
      <w:r w:rsidRPr="006B2F21">
        <w:rPr>
          <w:i/>
          <w:szCs w:val="18"/>
        </w:rPr>
        <w:t>chapeau</w:t>
      </w:r>
      <w:r w:rsidRPr="006B2F21">
        <w:rPr>
          <w:szCs w:val="18"/>
        </w:rPr>
        <w:t xml:space="preserve"> of Article XX of the GATT 1994, and "Members where identical or similar conditions prevail" in Article 2.3 of the Agreement on the Application of Sanitary and Phytosanitary Measures (SPS Agreement), both of which qualify requirements that measures do not constitute a means of arbitrary or unjustifiable discrimination. Whereas the </w:t>
      </w:r>
      <w:r w:rsidRPr="006B2F21">
        <w:rPr>
          <w:i/>
          <w:szCs w:val="18"/>
        </w:rPr>
        <w:t>chapeau</w:t>
      </w:r>
      <w:r w:rsidRPr="006B2F21">
        <w:rPr>
          <w:szCs w:val="18"/>
        </w:rPr>
        <w:t xml:space="preserve"> of Article XX of the GATT 1994 relates to "countries" and Article 2.3 of the SPS Agreement to "Members", Article 5.1.1 of the TBT Agreement specifically </w:t>
      </w:r>
      <w:r w:rsidRPr="006B2F21">
        <w:rPr>
          <w:szCs w:val="18"/>
        </w:rPr>
        <w:lastRenderedPageBreak/>
        <w:t>refers to "suppliers".</w:t>
      </w:r>
      <w:r w:rsidRPr="006B2F21">
        <w:rPr>
          <w:rStyle w:val="FootnoteReference"/>
          <w:szCs w:val="18"/>
        </w:rPr>
        <w:footnoteReference w:id="341"/>
      </w:r>
      <w:r w:rsidRPr="006B2F21">
        <w:rPr>
          <w:szCs w:val="18"/>
        </w:rPr>
        <w:t xml:space="preserve"> The text of Article 5.1.1 therefore makes clear that comparability of the situations has to be assessed by reference to the "suppliers", </w:t>
      </w:r>
      <w:r w:rsidR="00B80628" w:rsidRPr="006B2F21">
        <w:rPr>
          <w:szCs w:val="18"/>
        </w:rPr>
        <w:t xml:space="preserve">and thus takes </w:t>
      </w:r>
      <w:r w:rsidRPr="006B2F21">
        <w:rPr>
          <w:szCs w:val="18"/>
        </w:rPr>
        <w:t xml:space="preserve">account of the fact that conditions of access to conformity assessment may vary within a country. </w:t>
      </w:r>
    </w:p>
    <w:bookmarkEnd w:id="154"/>
    <w:p w14:paraId="3823BF00" w14:textId="03CB7A17" w:rsidR="003D01DD" w:rsidRPr="006B2F21" w:rsidRDefault="003D01DD" w:rsidP="006B2F21">
      <w:pPr>
        <w:pStyle w:val="BodyText"/>
        <w:numPr>
          <w:ilvl w:val="6"/>
          <w:numId w:val="1"/>
        </w:numPr>
        <w:rPr>
          <w:szCs w:val="18"/>
        </w:rPr>
      </w:pPr>
      <w:r w:rsidRPr="006B2F21">
        <w:rPr>
          <w:szCs w:val="18"/>
        </w:rPr>
        <w:t xml:space="preserve">We note Russia's view that the negotiating history of Article 5.1.1 of the TBT Agreement suggests that it is the situations </w:t>
      </w:r>
      <w:r w:rsidRPr="006B2F21">
        <w:rPr>
          <w:i/>
          <w:szCs w:val="18"/>
        </w:rPr>
        <w:t>in particular countries</w:t>
      </w:r>
      <w:r w:rsidRPr="006B2F21">
        <w:rPr>
          <w:szCs w:val="18"/>
        </w:rPr>
        <w:t xml:space="preserve"> that should be compared and </w:t>
      </w:r>
      <w:r w:rsidRPr="006B2F21">
        <w:rPr>
          <w:i/>
          <w:szCs w:val="18"/>
        </w:rPr>
        <w:t>not the suppliers</w:t>
      </w:r>
      <w:r w:rsidRPr="006B2F21">
        <w:rPr>
          <w:szCs w:val="18"/>
        </w:rPr>
        <w:t>.</w:t>
      </w:r>
      <w:r w:rsidRPr="006B2F21">
        <w:rPr>
          <w:rStyle w:val="FootnoteReference"/>
          <w:szCs w:val="18"/>
        </w:rPr>
        <w:footnoteReference w:id="342"/>
      </w:r>
      <w:r w:rsidRPr="006B2F21">
        <w:rPr>
          <w:szCs w:val="18"/>
        </w:rPr>
        <w:t xml:space="preserve"> Specifically, Russia points out that the initial drafts of Article 5.1.1 did not contain the qualifying phrase "in a comparable situation", which was introduced later </w:t>
      </w:r>
      <w:r w:rsidR="00515F92" w:rsidRPr="006B2F21">
        <w:rPr>
          <w:szCs w:val="18"/>
        </w:rPr>
        <w:t xml:space="preserve">in </w:t>
      </w:r>
      <w:r w:rsidRPr="006B2F21">
        <w:rPr>
          <w:szCs w:val="18"/>
        </w:rPr>
        <w:t>the negotiations and specifically after the words "in any other country".</w:t>
      </w:r>
      <w:r w:rsidRPr="006B2F21">
        <w:rPr>
          <w:rStyle w:val="FootnoteReference"/>
          <w:szCs w:val="18"/>
        </w:rPr>
        <w:footnoteReference w:id="343"/>
      </w:r>
      <w:r w:rsidRPr="006B2F21">
        <w:rPr>
          <w:szCs w:val="18"/>
        </w:rPr>
        <w:t xml:space="preserve"> This, according to Russia, "reveals the intention of the drafter</w:t>
      </w:r>
      <w:r w:rsidR="002A0707" w:rsidRPr="006B2F21">
        <w:rPr>
          <w:szCs w:val="18"/>
        </w:rPr>
        <w:t>[s]</w:t>
      </w:r>
      <w:r w:rsidRPr="006B2F21">
        <w:rPr>
          <w:szCs w:val="18"/>
        </w:rPr>
        <w:t xml:space="preserve"> to qualify and narrow down the scope of application of the no less favourable treatment provisions" of Article 5.1.1</w:t>
      </w:r>
      <w:r w:rsidRPr="006B2F21">
        <w:rPr>
          <w:rStyle w:val="FootnoteReference"/>
          <w:szCs w:val="18"/>
        </w:rPr>
        <w:footnoteReference w:id="344"/>
      </w:r>
      <w:r w:rsidRPr="006B2F21">
        <w:rPr>
          <w:szCs w:val="18"/>
        </w:rPr>
        <w:t>, and implies that "it is the situations in particular countries that should be compared and not the suppliers."</w:t>
      </w:r>
      <w:r w:rsidRPr="006B2F21">
        <w:rPr>
          <w:rStyle w:val="FootnoteReference"/>
          <w:szCs w:val="18"/>
        </w:rPr>
        <w:footnoteReference w:id="345"/>
      </w:r>
      <w:r w:rsidRPr="006B2F21">
        <w:rPr>
          <w:szCs w:val="18"/>
        </w:rPr>
        <w:t xml:space="preserve"> We agree with Russia that the phrase "in a comparable situation" in Article 5.1.1 qualifies the scope of the obligations in that provision to accord no less favourable conditions of access to conformity assessment. However, the introduction of this phrase as a qualification of the obligations under Article 5.1.1 does not </w:t>
      </w:r>
      <w:r w:rsidR="001E0D85" w:rsidRPr="006B2F21">
        <w:rPr>
          <w:szCs w:val="18"/>
        </w:rPr>
        <w:t xml:space="preserve">suggest an </w:t>
      </w:r>
      <w:r w:rsidRPr="006B2F21">
        <w:rPr>
          <w:szCs w:val="18"/>
        </w:rPr>
        <w:t>analysis of comparability on a country</w:t>
      </w:r>
      <w:r w:rsidRPr="006B2F21">
        <w:rPr>
          <w:szCs w:val="18"/>
        </w:rPr>
        <w:noBreakHyphen/>
        <w:t>wide or supplier</w:t>
      </w:r>
      <w:r w:rsidRPr="006B2F21">
        <w:rPr>
          <w:szCs w:val="18"/>
        </w:rPr>
        <w:noBreakHyphen/>
        <w:t>specific basis. As observed above, we understand the phrase "in a comparable situation", inserted after the comma in the first clause of Article 5.1.1, to limit the scope of the non</w:t>
      </w:r>
      <w:r w:rsidRPr="006B2F21">
        <w:rPr>
          <w:szCs w:val="18"/>
        </w:rPr>
        <w:noBreakHyphen/>
        <w:t xml:space="preserve">discrimination obligations by requiring an assessment of factors relating to the </w:t>
      </w:r>
      <w:r w:rsidRPr="006B2F21">
        <w:rPr>
          <w:i/>
          <w:szCs w:val="18"/>
        </w:rPr>
        <w:t>suppliers</w:t>
      </w:r>
      <w:r w:rsidRPr="006B2F21">
        <w:rPr>
          <w:szCs w:val="18"/>
        </w:rPr>
        <w:t xml:space="preserve"> of like products, for purposes of determining whether access has been granted under conditions no less favourable. Therefore, while factors relating to an entire country may be relevant in determining the existence of a "comparable situation", the text of Article 5.1.1 makes clear that such country</w:t>
      </w:r>
      <w:r w:rsidRPr="006B2F21">
        <w:rPr>
          <w:szCs w:val="18"/>
        </w:rPr>
        <w:noBreakHyphen/>
        <w:t>wide factors have to affect the specific suppliers at issue. In our view, had the intention of the drafters been to mandate an assessment of a "comparable situation" by reference only to the situation in a country, to the exclusion of the situation of suppliers, they would not have inserted the comma in the text of the first clause of Article 5.1.1. Therefore, while the "comparable situation" analysis may rely on country</w:t>
      </w:r>
      <w:r w:rsidRPr="006B2F21">
        <w:rPr>
          <w:szCs w:val="18"/>
        </w:rPr>
        <w:noBreakHyphen/>
        <w:t xml:space="preserve">wide factors, such factors would ultimately have to apply to the suppliers at issue, in order to be relevant to the question whether "access for </w:t>
      </w:r>
      <w:r w:rsidRPr="006B2F21">
        <w:rPr>
          <w:i/>
          <w:szCs w:val="18"/>
        </w:rPr>
        <w:t>suppliers</w:t>
      </w:r>
      <w:r w:rsidRPr="006B2F21">
        <w:rPr>
          <w:szCs w:val="18"/>
        </w:rPr>
        <w:t xml:space="preserve"> of like products"</w:t>
      </w:r>
      <w:r w:rsidRPr="006B2F21">
        <w:rPr>
          <w:rStyle w:val="FootnoteReference"/>
          <w:szCs w:val="18"/>
        </w:rPr>
        <w:footnoteReference w:id="346"/>
      </w:r>
      <w:r w:rsidRPr="006B2F21">
        <w:rPr>
          <w:szCs w:val="18"/>
        </w:rPr>
        <w:t xml:space="preserve"> has been granted under conditions less favourable.</w:t>
      </w:r>
    </w:p>
    <w:bookmarkEnd w:id="155"/>
    <w:p w14:paraId="4E634142" w14:textId="77777777" w:rsidR="003D01DD" w:rsidRPr="006B2F21" w:rsidRDefault="003D01DD" w:rsidP="006B2F21">
      <w:pPr>
        <w:pStyle w:val="BodyText"/>
        <w:numPr>
          <w:ilvl w:val="6"/>
          <w:numId w:val="1"/>
        </w:numPr>
        <w:rPr>
          <w:szCs w:val="18"/>
        </w:rPr>
      </w:pPr>
      <w:r w:rsidRPr="006B2F21">
        <w:rPr>
          <w:szCs w:val="18"/>
        </w:rPr>
        <w:t>In light of the above, the assessment of whether access is granted under conditions no less favourable "in a comparable situation" within the meaning of Article 5.1.1 of the TBT Agreement should focus on factors with a bearing on the conditions for granting access to conformity assessment in that specific case and the ability of the regulating Member to ensure compliance with the requirements in the underlying technical regulation or standard. In a particular case, such an assessment may involve the analysis of various factors, including the rules of the conformity assessment procedure; whether its preparation, adoption, or application is challenged; the nature of the products at issue; and the situation in a particular country or supplier. Nevertheless, the relevant factors for determining the existence of a "comparable situation" should ultimately relate to the Member's ability to make a positive assurance of conformity with respect to the specific suppliers of like products at issue, such that if no comparable situation existed for these suppliers, the obligation to grant non</w:t>
      </w:r>
      <w:r w:rsidRPr="006B2F21">
        <w:rPr>
          <w:szCs w:val="18"/>
        </w:rPr>
        <w:noBreakHyphen/>
        <w:t>discriminatory access to conformity assessment would not apply to them. In all instances, this analysis has to be made on a case</w:t>
      </w:r>
      <w:r w:rsidRPr="006B2F21">
        <w:rPr>
          <w:szCs w:val="18"/>
        </w:rPr>
        <w:noBreakHyphen/>
        <w:t>by</w:t>
      </w:r>
      <w:r w:rsidRPr="006B2F21">
        <w:rPr>
          <w:szCs w:val="18"/>
        </w:rPr>
        <w:noBreakHyphen/>
        <w:t xml:space="preserve">case basis in light of the measure at issue and the particular circumstances of the case. </w:t>
      </w:r>
    </w:p>
    <w:bookmarkEnd w:id="146"/>
    <w:p w14:paraId="50CB6E25" w14:textId="77777777" w:rsidR="003D01DD" w:rsidRPr="006B2F21" w:rsidRDefault="003D01DD" w:rsidP="006B2F21">
      <w:pPr>
        <w:pStyle w:val="BodyText"/>
        <w:numPr>
          <w:ilvl w:val="6"/>
          <w:numId w:val="1"/>
        </w:numPr>
        <w:rPr>
          <w:szCs w:val="18"/>
        </w:rPr>
      </w:pPr>
      <w:r w:rsidRPr="006B2F21">
        <w:rPr>
          <w:szCs w:val="18"/>
        </w:rPr>
        <w:t>We now turn to review the Panel's analysis under Article 5.1.1 of the TBT Agreement. With respect to the Panel's interpretation, Ukraine argues that the Panel failed to elaborate on what exactly has to be compared for purposes of interpreting the phrase "in a comparable situation" in Article 5.1.1. Specifically, Ukraine considers that the Panel provided a very limited interpretation of the phrase and did not clarify whether an assessment of the situation of a country as a whole or that of the relevant suppliers is required.</w:t>
      </w:r>
      <w:r w:rsidRPr="006B2F21">
        <w:rPr>
          <w:rStyle w:val="FootnoteReference"/>
          <w:szCs w:val="18"/>
        </w:rPr>
        <w:footnoteReference w:id="347"/>
      </w:r>
      <w:r w:rsidRPr="006B2F21">
        <w:rPr>
          <w:szCs w:val="18"/>
        </w:rPr>
        <w:t xml:space="preserve"> </w:t>
      </w:r>
    </w:p>
    <w:p w14:paraId="274D743C" w14:textId="30178552" w:rsidR="003D01DD" w:rsidRPr="006B2F21" w:rsidRDefault="003D01DD" w:rsidP="006B2F21">
      <w:pPr>
        <w:pStyle w:val="BodyText"/>
        <w:numPr>
          <w:ilvl w:val="6"/>
          <w:numId w:val="1"/>
        </w:numPr>
        <w:rPr>
          <w:szCs w:val="18"/>
        </w:rPr>
      </w:pPr>
      <w:r w:rsidRPr="006B2F21">
        <w:rPr>
          <w:szCs w:val="18"/>
        </w:rPr>
        <w:lastRenderedPageBreak/>
        <w:t>The Panel began its analysis by noting that Article 5.1.1 of the TBT Agreement establishes obligations to provide national treatment and most</w:t>
      </w:r>
      <w:r w:rsidRPr="006B2F21">
        <w:rPr>
          <w:szCs w:val="18"/>
        </w:rPr>
        <w:noBreakHyphen/>
        <w:t>favoured nation treatment with regard to access for suppliers from other Members to covered conformity assessment procedures of importing Members.</w:t>
      </w:r>
      <w:r w:rsidRPr="006B2F21">
        <w:rPr>
          <w:rStyle w:val="FootnoteReference"/>
          <w:szCs w:val="18"/>
        </w:rPr>
        <w:footnoteReference w:id="348"/>
      </w:r>
      <w:r w:rsidRPr="006B2F21">
        <w:rPr>
          <w:szCs w:val="18"/>
        </w:rPr>
        <w:t xml:space="preserve"> Regarding the "like products" analysis, the Panel observed that the text of Article 5.1.1 defines the product scope of the non</w:t>
      </w:r>
      <w:r w:rsidRPr="006B2F21">
        <w:rPr>
          <w:szCs w:val="18"/>
        </w:rPr>
        <w:noBreakHyphen/>
        <w:t>discrimination obligations and considered that the same criteria that are applied for determining whether products are "like" in the context of Article 2.1 of the TBT Agreement are applicable in the context of Article 5.1.1.</w:t>
      </w:r>
      <w:r w:rsidRPr="006B2F21">
        <w:rPr>
          <w:rStyle w:val="FootnoteReference"/>
          <w:szCs w:val="18"/>
        </w:rPr>
        <w:footnoteReference w:id="349"/>
      </w:r>
      <w:r w:rsidRPr="006B2F21">
        <w:rPr>
          <w:szCs w:val="18"/>
        </w:rPr>
        <w:t xml:space="preserve"> With regard to whether the importing Member grants access for suppliers under conditions less favourable, the Panel noted that differential access conditions would be relevant under Article 5.1.1 if they modified the conditions of competition, or competitive opportunities, among relevant suppliers of like products to the detriment of suppliers of the complaining Member.</w:t>
      </w:r>
      <w:r w:rsidRPr="006B2F21">
        <w:rPr>
          <w:rStyle w:val="FootnoteReference"/>
          <w:szCs w:val="18"/>
        </w:rPr>
        <w:footnoteReference w:id="350"/>
      </w:r>
      <w:r w:rsidRPr="006B2F21">
        <w:rPr>
          <w:szCs w:val="18"/>
        </w:rPr>
        <w:t xml:space="preserve"> The Panel recalled that Ukraine challenged only the application of a conformity assessment procedure to particular Ukrainian suppliers, and not the procedure as such.</w:t>
      </w:r>
      <w:r w:rsidRPr="006B2F21">
        <w:rPr>
          <w:rStyle w:val="FootnoteReference"/>
          <w:szCs w:val="18"/>
        </w:rPr>
        <w:footnoteReference w:id="351"/>
      </w:r>
      <w:r w:rsidRPr="006B2F21">
        <w:rPr>
          <w:szCs w:val="18"/>
        </w:rPr>
        <w:t xml:space="preserve"> Thus, according to the Panel, less favourable access conditions would exist "where the importing Member denies or limits the right or possibility of a supplier of another Member to have conformity assessment activities undertaken under the rules of the applicable conformity assessment procedure, either in respect of the entire conformity assessment procedure or any of its relevant parts, but does not deny or limit the right or possibility of access of another supplier of a like product from the importing Member or any other country"</w:t>
      </w:r>
      <w:r w:rsidR="00ED1CFA" w:rsidRPr="006B2F21">
        <w:rPr>
          <w:szCs w:val="18"/>
        </w:rPr>
        <w:t>.</w:t>
      </w:r>
      <w:r w:rsidRPr="006B2F21">
        <w:rPr>
          <w:rStyle w:val="FootnoteReference"/>
          <w:szCs w:val="18"/>
        </w:rPr>
        <w:footnoteReference w:id="352"/>
      </w:r>
      <w:r w:rsidRPr="006B2F21">
        <w:rPr>
          <w:szCs w:val="18"/>
        </w:rPr>
        <w:t xml:space="preserve"> </w:t>
      </w:r>
    </w:p>
    <w:p w14:paraId="6170DFC3" w14:textId="77777777" w:rsidR="003D01DD" w:rsidRPr="006B2F21" w:rsidRDefault="003D01DD" w:rsidP="006B2F21">
      <w:pPr>
        <w:pStyle w:val="BodyText"/>
        <w:numPr>
          <w:ilvl w:val="6"/>
          <w:numId w:val="1"/>
        </w:numPr>
        <w:rPr>
          <w:szCs w:val="18"/>
        </w:rPr>
      </w:pPr>
      <w:r w:rsidRPr="006B2F21">
        <w:rPr>
          <w:szCs w:val="18"/>
        </w:rPr>
        <w:t>Finally, the Panel noted that the phrase "in a comparable situation" qualifies the preceding part of the first clause of Article 5.1.1, and therefore "warrants a comparison of differential conditions of access with a view to determining whether the less favourable conditions of access are being granted despite the situation being comparable".</w:t>
      </w:r>
      <w:r w:rsidRPr="006B2F21">
        <w:rPr>
          <w:rStyle w:val="FootnoteReference"/>
          <w:szCs w:val="18"/>
        </w:rPr>
        <w:footnoteReference w:id="353"/>
      </w:r>
      <w:r w:rsidRPr="006B2F21">
        <w:rPr>
          <w:szCs w:val="18"/>
        </w:rPr>
        <w:t xml:space="preserve"> With respect to the relevant factors </w:t>
      </w:r>
      <w:bookmarkStart w:id="156" w:name="_Ref509327052"/>
      <w:r w:rsidRPr="006B2F21">
        <w:rPr>
          <w:szCs w:val="18"/>
        </w:rPr>
        <w:t>that render a situation comparable or not, the Panel observed the second clause of Article 5.1.1 makes clear that the relevant context of the phrase is that of assessing conformity under the rules of the procedure and conducting conformity assessment activities. The Panel also considered the context of Articles 5.1.2 and 5.2.7 of and Annex 1.3 to the TBT Agreement. Accordingly, for the Panel, "aspects of a situation that have a bearing on, for instance, the ability of the importing Member to undertake such activities under the rules of the procedure with adequate confidence would, in principle, seem to be relevant." In the Panel's view, "the relevant aspects of a situation would include aspects specific to the suppliers who are claimed to have been granted access under less favourable conditions or to the location of the suppliers' facilities." The Panel concluded that, "[i]n all events, whether a situation is comparable must be assessed on a case</w:t>
      </w:r>
      <w:r w:rsidRPr="006B2F21">
        <w:rPr>
          <w:szCs w:val="18"/>
        </w:rPr>
        <w:noBreakHyphen/>
        <w:t>by</w:t>
      </w:r>
      <w:r w:rsidRPr="006B2F21">
        <w:rPr>
          <w:szCs w:val="18"/>
        </w:rPr>
        <w:noBreakHyphen/>
        <w:t>case basis and in the light of the relevant rules of the conformity assessment procedure and other evidence on record.</w:t>
      </w:r>
      <w:bookmarkEnd w:id="156"/>
      <w:r w:rsidRPr="006B2F21">
        <w:rPr>
          <w:szCs w:val="18"/>
        </w:rPr>
        <w:t>"</w:t>
      </w:r>
      <w:r w:rsidRPr="006B2F21">
        <w:rPr>
          <w:rStyle w:val="FootnoteReference"/>
          <w:szCs w:val="18"/>
        </w:rPr>
        <w:footnoteReference w:id="354"/>
      </w:r>
    </w:p>
    <w:p w14:paraId="42451DFF" w14:textId="5AEB4503" w:rsidR="003D01DD" w:rsidRPr="006B2F21" w:rsidRDefault="003D01DD" w:rsidP="006B2F21">
      <w:pPr>
        <w:pStyle w:val="BodyText"/>
        <w:numPr>
          <w:ilvl w:val="6"/>
          <w:numId w:val="1"/>
        </w:numPr>
        <w:rPr>
          <w:szCs w:val="18"/>
        </w:rPr>
      </w:pPr>
      <w:r w:rsidRPr="006B2F21">
        <w:rPr>
          <w:szCs w:val="18"/>
        </w:rPr>
        <w:t>We begin by noting that the Panel's understanding of "like products" and "access</w:t>
      </w:r>
      <w:r w:rsidR="00C663DA" w:rsidRPr="006B2F21">
        <w:rPr>
          <w:szCs w:val="18"/>
        </w:rPr>
        <w:t> </w:t>
      </w:r>
      <w:r w:rsidRPr="006B2F21">
        <w:rPr>
          <w:szCs w:val="18"/>
        </w:rPr>
        <w:t>…</w:t>
      </w:r>
      <w:r w:rsidR="00C663DA" w:rsidRPr="006B2F21">
        <w:rPr>
          <w:szCs w:val="18"/>
        </w:rPr>
        <w:t> </w:t>
      </w:r>
      <w:r w:rsidRPr="006B2F21">
        <w:rPr>
          <w:szCs w:val="18"/>
        </w:rPr>
        <w:t xml:space="preserve">under conditions no less favourable" is consonant with our interpretation above. Specifically, as observed, even though the obligation under Article 5.1.1 attaches to the </w:t>
      </w:r>
      <w:r w:rsidRPr="006B2F21">
        <w:rPr>
          <w:i/>
          <w:szCs w:val="18"/>
        </w:rPr>
        <w:t>suppliers</w:t>
      </w:r>
      <w:r w:rsidRPr="006B2F21">
        <w:rPr>
          <w:szCs w:val="18"/>
        </w:rPr>
        <w:t xml:space="preserve"> of products as opposed to the product itself, the "likeness" of the products at issue is central in defining the scope of the non</w:t>
      </w:r>
      <w:r w:rsidRPr="006B2F21">
        <w:rPr>
          <w:szCs w:val="18"/>
        </w:rPr>
        <w:noBreakHyphen/>
        <w:t xml:space="preserve">discrimination obligations under Article 5.1.1. Accordingly, the determination of likeness under Article 5.1.1, similarly to that under Article III:4 of the GATT 1994 and Article 2.1 of the TBT Agreement, involves a determination </w:t>
      </w:r>
      <w:r w:rsidR="000B789D" w:rsidRPr="006B2F21">
        <w:rPr>
          <w:szCs w:val="18"/>
        </w:rPr>
        <w:t xml:space="preserve">of </w:t>
      </w:r>
      <w:r w:rsidRPr="006B2F21">
        <w:rPr>
          <w:szCs w:val="18"/>
        </w:rPr>
        <w:t xml:space="preserve">the nature and extent of a competitive relationship between and among the products at issue. We also noted that Article 5.1.1 requires an assessment of whether the </w:t>
      </w:r>
      <w:r w:rsidRPr="006B2F21">
        <w:rPr>
          <w:i/>
          <w:szCs w:val="18"/>
        </w:rPr>
        <w:t>conditions for access</w:t>
      </w:r>
      <w:r w:rsidRPr="006B2F21">
        <w:rPr>
          <w:szCs w:val="18"/>
        </w:rPr>
        <w:t xml:space="preserve"> to conformity assessment granted by the regulating Member to suppliers of domestic or third</w:t>
      </w:r>
      <w:r w:rsidRPr="006B2F21">
        <w:rPr>
          <w:szCs w:val="18"/>
        </w:rPr>
        <w:noBreakHyphen/>
        <w:t>country products modify the conditions of competition to the detriment of suppliers of like imported products.</w:t>
      </w:r>
      <w:r w:rsidRPr="006B2F21">
        <w:rPr>
          <w:rStyle w:val="FootnoteReference"/>
          <w:szCs w:val="18"/>
        </w:rPr>
        <w:footnoteReference w:id="355"/>
      </w:r>
      <w:r w:rsidRPr="006B2F21">
        <w:rPr>
          <w:szCs w:val="18"/>
        </w:rPr>
        <w:t xml:space="preserve"> </w:t>
      </w:r>
    </w:p>
    <w:p w14:paraId="709C9786" w14:textId="422D1541" w:rsidR="003D01DD" w:rsidRPr="006B2F21" w:rsidRDefault="003D01DD" w:rsidP="006B2F21">
      <w:pPr>
        <w:pStyle w:val="BodyText"/>
        <w:numPr>
          <w:ilvl w:val="6"/>
          <w:numId w:val="1"/>
        </w:numPr>
        <w:rPr>
          <w:szCs w:val="18"/>
        </w:rPr>
      </w:pPr>
      <w:r w:rsidRPr="006B2F21">
        <w:rPr>
          <w:szCs w:val="18"/>
        </w:rPr>
        <w:t>The Panel's finding that the phrase "in a comparable situation" contains a qualification of the obligation to grant access to conformity assessment procedures to suppliers under conditions no less favourable</w:t>
      </w:r>
      <w:r w:rsidRPr="006B2F21">
        <w:rPr>
          <w:rStyle w:val="FootnoteReference"/>
          <w:szCs w:val="18"/>
        </w:rPr>
        <w:footnoteReference w:id="356"/>
      </w:r>
      <w:r w:rsidRPr="006B2F21">
        <w:rPr>
          <w:szCs w:val="18"/>
        </w:rPr>
        <w:t xml:space="preserve"> is also in line with our interpretation of Article 5.1.1 of the TBT Agreement. The Panel correctly recognized that, in determining whether a situation is comparable, such that no less favourable access conditions must be granted, "it is necessary to identify relevant factors that render </w:t>
      </w:r>
      <w:r w:rsidRPr="006B2F21">
        <w:rPr>
          <w:szCs w:val="18"/>
        </w:rPr>
        <w:lastRenderedPageBreak/>
        <w:t>a situation comparable or not</w:t>
      </w:r>
      <w:r w:rsidR="00AC0D0F" w:rsidRPr="006B2F21">
        <w:rPr>
          <w:szCs w:val="18"/>
        </w:rPr>
        <w:t>.</w:t>
      </w:r>
      <w:r w:rsidRPr="006B2F21">
        <w:rPr>
          <w:szCs w:val="18"/>
        </w:rPr>
        <w:t>"</w:t>
      </w:r>
      <w:r w:rsidRPr="006B2F21">
        <w:rPr>
          <w:rStyle w:val="FootnoteReference"/>
          <w:szCs w:val="18"/>
        </w:rPr>
        <w:footnoteReference w:id="357"/>
      </w:r>
      <w:r w:rsidRPr="006B2F21">
        <w:rPr>
          <w:szCs w:val="18"/>
        </w:rPr>
        <w:t xml:space="preserve"> As the Panel observed, the relevant context for such an assessment is that of assessing conformity under the rules of the procedure and conducting conformity assessment activities.</w:t>
      </w:r>
      <w:r w:rsidRPr="006B2F21">
        <w:rPr>
          <w:rStyle w:val="FootnoteReference"/>
          <w:szCs w:val="18"/>
        </w:rPr>
        <w:footnoteReference w:id="358"/>
      </w:r>
      <w:r w:rsidRPr="006B2F21">
        <w:rPr>
          <w:szCs w:val="18"/>
        </w:rPr>
        <w:t xml:space="preserve"> </w:t>
      </w:r>
      <w:r w:rsidR="000B789D" w:rsidRPr="006B2F21">
        <w:rPr>
          <w:szCs w:val="18"/>
        </w:rPr>
        <w:t xml:space="preserve">Above we </w:t>
      </w:r>
      <w:r w:rsidR="00C663DA" w:rsidRPr="006B2F21">
        <w:rPr>
          <w:szCs w:val="18"/>
        </w:rPr>
        <w:t xml:space="preserve">similarly </w:t>
      </w:r>
      <w:r w:rsidR="000B789D" w:rsidRPr="006B2F21">
        <w:rPr>
          <w:szCs w:val="18"/>
        </w:rPr>
        <w:t xml:space="preserve">found </w:t>
      </w:r>
      <w:r w:rsidRPr="006B2F21">
        <w:rPr>
          <w:szCs w:val="18"/>
        </w:rPr>
        <w:t xml:space="preserve">that, even though the word "situation" could potentially encompass a large number of factors on the basis of which a comparison could be made, the factors relevant for purposes of establishing the existence of a "comparable situation" would be those with a bearing on the conditions for granting access to conformity assessment in a particular case. The Panel further noted that relevant factors would include the ability of the importing Member to undertake conformity assessment activities under the rules of the procedure with adequate confidence. Indeed, in light of the function of conformity assessment procedures to ensure that the underlying technical regulation or standard is complied with, factors that may impact the ability of the importing Member </w:t>
      </w:r>
      <w:bookmarkStart w:id="157" w:name="_Hlk20407876"/>
      <w:r w:rsidRPr="006B2F21">
        <w:rPr>
          <w:szCs w:val="18"/>
        </w:rPr>
        <w:t>to make such a determination</w:t>
      </w:r>
      <w:bookmarkEnd w:id="157"/>
      <w:r w:rsidRPr="006B2F21">
        <w:rPr>
          <w:szCs w:val="18"/>
        </w:rPr>
        <w:t xml:space="preserve"> would be relevant in the inquiry of "a comparable situation". We also agree with the Panel that the relevant aspects of a situation would include "aspects specific to the suppliers who are claimed to have been granted access under less favourable conditions or to the location of the suppliers' facilities".</w:t>
      </w:r>
      <w:r w:rsidRPr="006B2F21">
        <w:rPr>
          <w:rStyle w:val="FootnoteReference"/>
          <w:szCs w:val="18"/>
        </w:rPr>
        <w:footnoteReference w:id="359"/>
      </w:r>
      <w:r w:rsidRPr="006B2F21">
        <w:rPr>
          <w:szCs w:val="18"/>
        </w:rPr>
        <w:t xml:space="preserve"> In our analysis above, we similarly concluded that under Article 5.1.1 it is the suppliers of like products that are entitled to an assessment of conformity under the rules of the procedure and under conditions no less favourable. </w:t>
      </w:r>
    </w:p>
    <w:p w14:paraId="426DF25B" w14:textId="0848CD5A" w:rsidR="003D01DD" w:rsidRPr="006B2F21" w:rsidRDefault="003D01DD" w:rsidP="006B2F21">
      <w:pPr>
        <w:pStyle w:val="BodyText"/>
        <w:numPr>
          <w:ilvl w:val="6"/>
          <w:numId w:val="1"/>
        </w:numPr>
        <w:rPr>
          <w:szCs w:val="18"/>
        </w:rPr>
      </w:pPr>
      <w:r w:rsidRPr="006B2F21">
        <w:rPr>
          <w:szCs w:val="18"/>
        </w:rPr>
        <w:t xml:space="preserve"> Ukraine </w:t>
      </w:r>
      <w:r w:rsidR="004057E3" w:rsidRPr="006B2F21">
        <w:rPr>
          <w:szCs w:val="18"/>
        </w:rPr>
        <w:t xml:space="preserve">argues </w:t>
      </w:r>
      <w:r w:rsidRPr="006B2F21">
        <w:rPr>
          <w:szCs w:val="18"/>
        </w:rPr>
        <w:t>that "if the situation of suppliers in one country presents common elements and is not 'totally' different from the situation of suppliers in another country, they are to be regarded as 'comparable' under Article 5.1.1."</w:t>
      </w:r>
      <w:r w:rsidRPr="006B2F21">
        <w:rPr>
          <w:rStyle w:val="FootnoteReference"/>
          <w:szCs w:val="18"/>
        </w:rPr>
        <w:footnoteReference w:id="360"/>
      </w:r>
      <w:r w:rsidRPr="006B2F21">
        <w:rPr>
          <w:szCs w:val="18"/>
        </w:rPr>
        <w:t xml:space="preserve"> In this regard, Ukraine relies on the Appellate Body's statement made in the context of Article 5.5 of the SPS Agreement.</w:t>
      </w:r>
      <w:r w:rsidRPr="006B2F21">
        <w:rPr>
          <w:rStyle w:val="FootnoteReference"/>
          <w:szCs w:val="18"/>
        </w:rPr>
        <w:footnoteReference w:id="361"/>
      </w:r>
      <w:r w:rsidRPr="006B2F21">
        <w:rPr>
          <w:szCs w:val="18"/>
        </w:rPr>
        <w:t xml:space="preserve"> In our view, in stating that "[i]f the situations proposed to be examined are </w:t>
      </w:r>
      <w:r w:rsidRPr="006B2F21">
        <w:rPr>
          <w:i/>
          <w:iCs/>
          <w:szCs w:val="18"/>
        </w:rPr>
        <w:t xml:space="preserve">totally </w:t>
      </w:r>
      <w:r w:rsidRPr="006B2F21">
        <w:rPr>
          <w:szCs w:val="18"/>
        </w:rPr>
        <w:t>different from one another, they would not be rationally comparable"</w:t>
      </w:r>
      <w:r w:rsidRPr="006B2F21">
        <w:rPr>
          <w:rStyle w:val="FootnoteReference"/>
          <w:szCs w:val="18"/>
        </w:rPr>
        <w:footnoteReference w:id="362"/>
      </w:r>
      <w:r w:rsidRPr="006B2F21">
        <w:rPr>
          <w:szCs w:val="18"/>
        </w:rPr>
        <w:t>, the Appellate Body was not addressing what constitutes a "comparable" situation, but rather explaining when it would not be possible to begin examining whether two different situations are comparable. It does not follow from this statement that situations that are not totally different are necessarily comparable. Moreover, the term "comparable situation" in Article 5.1.1 of the TBT Agreement is not the same as the term "different situations" in Article 5.5 of the SPS Agreement.</w:t>
      </w:r>
      <w:r w:rsidRPr="006B2F21">
        <w:rPr>
          <w:rStyle w:val="FootnoteReference"/>
          <w:szCs w:val="18"/>
        </w:rPr>
        <w:footnoteReference w:id="363"/>
      </w:r>
      <w:r w:rsidRPr="006B2F21">
        <w:rPr>
          <w:szCs w:val="18"/>
        </w:rPr>
        <w:t xml:space="preserve"> </w:t>
      </w:r>
    </w:p>
    <w:p w14:paraId="0EF75E82" w14:textId="77777777" w:rsidR="003D01DD" w:rsidRPr="006B2F21" w:rsidRDefault="003D01DD" w:rsidP="006B2F21">
      <w:pPr>
        <w:pStyle w:val="BodyText"/>
        <w:numPr>
          <w:ilvl w:val="6"/>
          <w:numId w:val="1"/>
        </w:numPr>
        <w:rPr>
          <w:szCs w:val="18"/>
        </w:rPr>
      </w:pPr>
      <w:r w:rsidRPr="006B2F21">
        <w:rPr>
          <w:szCs w:val="18"/>
        </w:rPr>
        <w:t>In light of the above, it appears that, in its interpretation of Article 5.1.1 of the TBT Agreement, the Panel outlined a number of factors that may be relevant in determining the existence of a "comparable situation", and in particular recognized the relevance of factors specific to the suppliers at issue. Furthermore, the Panel correctly concluded that whether a situation is comparable must be assessed on a case</w:t>
      </w:r>
      <w:r w:rsidRPr="006B2F21">
        <w:rPr>
          <w:szCs w:val="18"/>
        </w:rPr>
        <w:noBreakHyphen/>
        <w:t>by</w:t>
      </w:r>
      <w:r w:rsidRPr="006B2F21">
        <w:rPr>
          <w:szCs w:val="18"/>
        </w:rPr>
        <w:noBreakHyphen/>
        <w:t>case basis and in light of the relevant rules of the conformity assessment procedure and other evidence on the record.</w:t>
      </w:r>
      <w:r w:rsidRPr="006B2F21">
        <w:rPr>
          <w:rStyle w:val="FootnoteReference"/>
          <w:szCs w:val="18"/>
        </w:rPr>
        <w:footnoteReference w:id="364"/>
      </w:r>
      <w:r w:rsidRPr="006B2F21">
        <w:rPr>
          <w:szCs w:val="18"/>
        </w:rPr>
        <w:t xml:space="preserve"> In our view, the Panel thus adequately set out the interpretative framework of Article 5.1.1, and we do not see that, in its interpretation of Article 5.1.1, the Panel "completely followed the lead" of the respondent's arguments</w:t>
      </w:r>
      <w:r w:rsidRPr="006B2F21">
        <w:rPr>
          <w:rStyle w:val="FootnoteReference"/>
          <w:szCs w:val="18"/>
        </w:rPr>
        <w:footnoteReference w:id="365"/>
      </w:r>
      <w:r w:rsidRPr="006B2F21">
        <w:rPr>
          <w:szCs w:val="18"/>
        </w:rPr>
        <w:t xml:space="preserve"> or "made [an] incomplete conclusion concerning 'in a comparable situation'".</w:t>
      </w:r>
      <w:r w:rsidRPr="006B2F21">
        <w:rPr>
          <w:rStyle w:val="FootnoteReference"/>
          <w:szCs w:val="18"/>
        </w:rPr>
        <w:footnoteReference w:id="366"/>
      </w:r>
      <w:r w:rsidRPr="006B2F21">
        <w:rPr>
          <w:szCs w:val="18"/>
        </w:rPr>
        <w:t xml:space="preserve"> </w:t>
      </w:r>
    </w:p>
    <w:p w14:paraId="42F165B6" w14:textId="77777777" w:rsidR="003D01DD" w:rsidRPr="006B2F21" w:rsidRDefault="003D01DD" w:rsidP="006B2F21">
      <w:pPr>
        <w:pStyle w:val="BodyText"/>
        <w:numPr>
          <w:ilvl w:val="6"/>
          <w:numId w:val="1"/>
        </w:numPr>
        <w:rPr>
          <w:szCs w:val="18"/>
        </w:rPr>
      </w:pPr>
      <w:r w:rsidRPr="006B2F21">
        <w:rPr>
          <w:szCs w:val="18"/>
        </w:rPr>
        <w:t>In sum, we do not consider that the Panel erred in its interpretation of the phrase "in a comparable situation" in Article 5.1.1 of the TBT Agreement by failing to elaborate on what has to be compared in establishing the existence of a comparable situation.</w:t>
      </w:r>
    </w:p>
    <w:p w14:paraId="41D7D1B5" w14:textId="77777777" w:rsidR="003D01DD" w:rsidRPr="006B2F21" w:rsidRDefault="003D01DD" w:rsidP="006B2F21">
      <w:pPr>
        <w:pStyle w:val="Heading3"/>
        <w:numPr>
          <w:ilvl w:val="2"/>
          <w:numId w:val="1"/>
        </w:numPr>
        <w:rPr>
          <w:szCs w:val="18"/>
        </w:rPr>
      </w:pPr>
      <w:bookmarkStart w:id="158" w:name="_Toc26805634"/>
      <w:bookmarkStart w:id="159" w:name="_Toc31381008"/>
      <w:r w:rsidRPr="006B2F21">
        <w:rPr>
          <w:szCs w:val="18"/>
        </w:rPr>
        <w:lastRenderedPageBreak/>
        <w:t>The Panel's application of Article 5.1.1 of the TBT Agreement</w:t>
      </w:r>
      <w:bookmarkEnd w:id="158"/>
      <w:bookmarkEnd w:id="159"/>
    </w:p>
    <w:p w14:paraId="0F94D763" w14:textId="4471F92A" w:rsidR="003D01DD" w:rsidRPr="006B2F21" w:rsidRDefault="003D01DD" w:rsidP="006B2F21">
      <w:pPr>
        <w:pStyle w:val="BodyText"/>
        <w:numPr>
          <w:ilvl w:val="6"/>
          <w:numId w:val="1"/>
        </w:numPr>
        <w:rPr>
          <w:szCs w:val="18"/>
        </w:rPr>
      </w:pPr>
      <w:r w:rsidRPr="006B2F21">
        <w:rPr>
          <w:szCs w:val="18"/>
        </w:rPr>
        <w:t>Ukraine argues that in its analysis the Panel relied on general considerations regarding the political or internal security situation in Ukraine that had no bearing on the situation of the relevant suppliers whose certificates were suspended or rejected.</w:t>
      </w:r>
      <w:r w:rsidRPr="006B2F21">
        <w:rPr>
          <w:rStyle w:val="FootnoteReference"/>
          <w:szCs w:val="18"/>
        </w:rPr>
        <w:footnoteReference w:id="367"/>
      </w:r>
      <w:r w:rsidRPr="006B2F21">
        <w:rPr>
          <w:szCs w:val="18"/>
        </w:rPr>
        <w:t xml:space="preserve"> Ukraine specifically takes issue with the focus of the Panel assessment on the risk to life or health of Russian </w:t>
      </w:r>
      <w:r w:rsidRPr="006B2F21">
        <w:rPr>
          <w:i/>
          <w:szCs w:val="18"/>
        </w:rPr>
        <w:t>inspectors</w:t>
      </w:r>
      <w:r w:rsidRPr="006B2F21">
        <w:rPr>
          <w:szCs w:val="18"/>
        </w:rPr>
        <w:t xml:space="preserve">, rather than on aspects specific to the </w:t>
      </w:r>
      <w:r w:rsidRPr="006B2F21">
        <w:rPr>
          <w:i/>
          <w:szCs w:val="18"/>
        </w:rPr>
        <w:t>suppliers</w:t>
      </w:r>
      <w:r w:rsidRPr="006B2F21">
        <w:rPr>
          <w:szCs w:val="18"/>
        </w:rPr>
        <w:t xml:space="preserve"> at issue or the location of the suppliers' facilities.</w:t>
      </w:r>
      <w:r w:rsidRPr="006B2F21">
        <w:rPr>
          <w:rStyle w:val="FootnoteReference"/>
          <w:szCs w:val="18"/>
        </w:rPr>
        <w:footnoteReference w:id="368"/>
      </w:r>
      <w:r w:rsidRPr="006B2F21">
        <w:rPr>
          <w:szCs w:val="18"/>
        </w:rPr>
        <w:t xml:space="preserve"> In Ukraine's view, the Panel should have compared the situations of the specific suppliers whose certificates were suspended or applications rejected by the FBO with the situations of suppliers of like products originating in Russia and other countries, as opposed to accepting the relevance of general considerations regarding the security situation in Ukraine that had no bearing on the situation of the relevant suppliers.</w:t>
      </w:r>
      <w:r w:rsidRPr="006B2F21">
        <w:rPr>
          <w:rStyle w:val="FootnoteReference"/>
          <w:szCs w:val="18"/>
        </w:rPr>
        <w:footnoteReference w:id="369"/>
      </w:r>
      <w:r w:rsidRPr="006B2F21">
        <w:rPr>
          <w:szCs w:val="18"/>
        </w:rPr>
        <w:t xml:space="preserve"> Furthermore, Ukraine takes issue with an analogy the Panel made between the function of conformity assessment procedures under Article 5.1.1 of the TBT Agreement, on the one hand, and the legitimate objective of protecting human life and health under Article 2.2 of that agreement, on the other. According to Ukraine, the phrase "a comparable situation" may not be understood as a basis for an importing Member to act for the protection of the interests recognized in the sixth recital of the preamble of the TBT Agreement </w:t>
      </w:r>
      <w:r w:rsidR="00C663DA" w:rsidRPr="006B2F21">
        <w:rPr>
          <w:szCs w:val="18"/>
        </w:rPr>
        <w:t xml:space="preserve">unless </w:t>
      </w:r>
      <w:r w:rsidRPr="006B2F21">
        <w:rPr>
          <w:szCs w:val="18"/>
        </w:rPr>
        <w:t xml:space="preserve">the protection of those interests </w:t>
      </w:r>
      <w:r w:rsidR="00C663DA" w:rsidRPr="006B2F21">
        <w:rPr>
          <w:szCs w:val="18"/>
        </w:rPr>
        <w:t xml:space="preserve">is </w:t>
      </w:r>
      <w:r w:rsidRPr="006B2F21">
        <w:rPr>
          <w:szCs w:val="18"/>
        </w:rPr>
        <w:t>directly linked to the situation of the suppliers subject to the measures at issue.</w:t>
      </w:r>
      <w:r w:rsidRPr="006B2F21">
        <w:rPr>
          <w:rStyle w:val="FootnoteReference"/>
          <w:szCs w:val="18"/>
        </w:rPr>
        <w:footnoteReference w:id="370"/>
      </w:r>
      <w:r w:rsidRPr="006B2F21">
        <w:rPr>
          <w:szCs w:val="18"/>
        </w:rPr>
        <w:t xml:space="preserve"> </w:t>
      </w:r>
    </w:p>
    <w:p w14:paraId="5C17A124" w14:textId="4AF97E83" w:rsidR="003D01DD" w:rsidRPr="006B2F21" w:rsidRDefault="003D01DD" w:rsidP="006B2F21">
      <w:pPr>
        <w:pStyle w:val="BodyText"/>
        <w:numPr>
          <w:ilvl w:val="6"/>
          <w:numId w:val="1"/>
        </w:numPr>
        <w:rPr>
          <w:szCs w:val="18"/>
        </w:rPr>
      </w:pPr>
      <w:r w:rsidRPr="006B2F21">
        <w:rPr>
          <w:szCs w:val="18"/>
        </w:rPr>
        <w:t>The Panel examine</w:t>
      </w:r>
      <w:r w:rsidR="00814873" w:rsidRPr="006B2F21">
        <w:rPr>
          <w:szCs w:val="18"/>
        </w:rPr>
        <w:t>d</w:t>
      </w:r>
      <w:r w:rsidRPr="006B2F21">
        <w:rPr>
          <w:szCs w:val="18"/>
        </w:rPr>
        <w:t xml:space="preserve"> the reasons provided by Russia in support of its view that the situation of suppliers of Ukrainian railway products was not comparable to that of suppliers of Russian railway products and of suppliers of railway products from other countries.</w:t>
      </w:r>
      <w:r w:rsidRPr="006B2F21">
        <w:rPr>
          <w:rStyle w:val="FootnoteReference"/>
          <w:szCs w:val="18"/>
        </w:rPr>
        <w:footnoteReference w:id="371"/>
      </w:r>
      <w:r w:rsidRPr="006B2F21">
        <w:rPr>
          <w:szCs w:val="18"/>
        </w:rPr>
        <w:t xml:space="preserve"> In particular, the Panel reviewed the arguments and evidence submitted by the parties in support of their assertions regarding the existence of uncertainty with respect to the safety and security of FBO employees travelling to Ukraine to conduct inspections, namely: (i) incidents in several places in Ukraine and anti</w:t>
      </w:r>
      <w:r w:rsidRPr="006B2F21">
        <w:rPr>
          <w:szCs w:val="18"/>
        </w:rPr>
        <w:noBreakHyphen/>
        <w:t>Russian sentiment; (ii) Russian citizens visiting Ukraine between 2013 and 2016; (iii) report of the Office of the United Nations High Commissioner for Human Rights (OHCHR Report); (iv) visits to Ukraine by inspectors from other countries between 2014 and 2017; (v) Russia's Ministry of Foreign Affairs travel advice on Ukraine; (vi) declaration from FBO employees refusing to visit Ukraine; and (vii)</w:t>
      </w:r>
      <w:r w:rsidR="00393AB7" w:rsidRPr="006B2F21">
        <w:rPr>
          <w:szCs w:val="18"/>
        </w:rPr>
        <w:t> </w:t>
      </w:r>
      <w:r w:rsidRPr="006B2F21">
        <w:rPr>
          <w:szCs w:val="18"/>
        </w:rPr>
        <w:t>communications from Ukrainian producers to the FBO offering enhanced security conditions.</w:t>
      </w:r>
      <w:r w:rsidRPr="006B2F21">
        <w:rPr>
          <w:rStyle w:val="FootnoteReference"/>
          <w:szCs w:val="18"/>
        </w:rPr>
        <w:footnoteReference w:id="372"/>
      </w:r>
      <w:r w:rsidRPr="006B2F21">
        <w:rPr>
          <w:szCs w:val="18"/>
        </w:rPr>
        <w:t xml:space="preserve"> Following its review of individual pieces of evidence, the Panel </w:t>
      </w:r>
      <w:r w:rsidR="00814873" w:rsidRPr="006B2F21">
        <w:rPr>
          <w:szCs w:val="18"/>
        </w:rPr>
        <w:t xml:space="preserve">undertook an </w:t>
      </w:r>
      <w:r w:rsidRPr="006B2F21">
        <w:rPr>
          <w:szCs w:val="18"/>
        </w:rPr>
        <w:t>overall assessment of the evidence, and ultimately found that "in this instance related to risks to life and health of FBO inspectors, over the time</w:t>
      </w:r>
      <w:r w:rsidRPr="006B2F21">
        <w:rPr>
          <w:szCs w:val="18"/>
        </w:rPr>
        <w:noBreakHyphen/>
        <w:t>frame examined above, the situation in Ukraine was not comparable to other countries."</w:t>
      </w:r>
      <w:r w:rsidRPr="006B2F21">
        <w:rPr>
          <w:rStyle w:val="FootnoteReference"/>
          <w:szCs w:val="18"/>
        </w:rPr>
        <w:footnoteReference w:id="373"/>
      </w:r>
    </w:p>
    <w:p w14:paraId="118DDA6B" w14:textId="77777777" w:rsidR="003D01DD" w:rsidRPr="006B2F21" w:rsidRDefault="003D01DD" w:rsidP="006B2F21">
      <w:pPr>
        <w:pStyle w:val="BodyText"/>
        <w:numPr>
          <w:ilvl w:val="6"/>
          <w:numId w:val="1"/>
        </w:numPr>
        <w:rPr>
          <w:szCs w:val="18"/>
        </w:rPr>
      </w:pPr>
      <w:r w:rsidRPr="006B2F21">
        <w:rPr>
          <w:szCs w:val="18"/>
        </w:rPr>
        <w:t xml:space="preserve">Above, we found that the question under Article 5.1.1 of the TBT Agreement is whether "access for </w:t>
      </w:r>
      <w:r w:rsidRPr="006B2F21">
        <w:rPr>
          <w:i/>
          <w:szCs w:val="18"/>
        </w:rPr>
        <w:t>suppliers</w:t>
      </w:r>
      <w:r w:rsidRPr="006B2F21">
        <w:rPr>
          <w:szCs w:val="18"/>
        </w:rPr>
        <w:t xml:space="preserve"> of like products" has been granted under conditions less favourable and that "access" is defined as "</w:t>
      </w:r>
      <w:r w:rsidRPr="006B2F21">
        <w:rPr>
          <w:i/>
          <w:szCs w:val="18"/>
        </w:rPr>
        <w:t>suppliers'</w:t>
      </w:r>
      <w:r w:rsidRPr="006B2F21">
        <w:rPr>
          <w:szCs w:val="18"/>
        </w:rPr>
        <w:t xml:space="preserve"> right to an assessment of conformity".</w:t>
      </w:r>
      <w:r w:rsidRPr="006B2F21">
        <w:rPr>
          <w:rStyle w:val="FootnoteReference"/>
          <w:szCs w:val="18"/>
        </w:rPr>
        <w:footnoteReference w:id="374"/>
      </w:r>
      <w:r w:rsidRPr="006B2F21">
        <w:rPr>
          <w:szCs w:val="18"/>
        </w:rPr>
        <w:t xml:space="preserve"> Since it is the suppliers of like products that are entitled to access to an assessment of conformity under no less favourable conditions and even though factors that more generally apply to an entire country may be relevant to the inquiry of whether a "comparable situation" exists, such factors should ultimately pertain to or affect the specific suppliers of like products to which the conditions for access to conformity assessment granted by the importing Member relate. With these considerations in mind, we turn to the Panel's application of Article 5.1.1 to the facts of the present case.</w:t>
      </w:r>
    </w:p>
    <w:p w14:paraId="0A00E369" w14:textId="26BD7CB0" w:rsidR="003D01DD" w:rsidRPr="006B2F21" w:rsidRDefault="003D01DD" w:rsidP="006B2F21">
      <w:pPr>
        <w:pStyle w:val="BodyText"/>
        <w:numPr>
          <w:ilvl w:val="6"/>
          <w:numId w:val="1"/>
        </w:numPr>
        <w:rPr>
          <w:szCs w:val="18"/>
        </w:rPr>
      </w:pPr>
      <w:r w:rsidRPr="006B2F21">
        <w:rPr>
          <w:szCs w:val="18"/>
        </w:rPr>
        <w:t>We observe that</w:t>
      </w:r>
      <w:r w:rsidR="00CF491E" w:rsidRPr="006B2F21">
        <w:rPr>
          <w:szCs w:val="18"/>
        </w:rPr>
        <w:t>,</w:t>
      </w:r>
      <w:r w:rsidRPr="006B2F21">
        <w:rPr>
          <w:szCs w:val="18"/>
        </w:rPr>
        <w:t xml:space="preserve"> while in its interpretation of Article 5.1.1 the Panel clearly stated that the relevant aspects of a situation would include aspects specific to the suppliers who are claimed to have been granted access under less favourable conditions or to the location of the suppliers' </w:t>
      </w:r>
      <w:r w:rsidRPr="006B2F21">
        <w:rPr>
          <w:szCs w:val="18"/>
        </w:rPr>
        <w:lastRenderedPageBreak/>
        <w:t>facilities</w:t>
      </w:r>
      <w:r w:rsidRPr="006B2F21">
        <w:rPr>
          <w:rStyle w:val="FootnoteReference"/>
          <w:szCs w:val="18"/>
        </w:rPr>
        <w:footnoteReference w:id="375"/>
      </w:r>
      <w:r w:rsidRPr="006B2F21">
        <w:rPr>
          <w:szCs w:val="18"/>
        </w:rPr>
        <w:t>, in its assessment of the evidence on the record the Panel made only limited references to relevant factors relating to the specific suppliers at issue, such as the location of the suppliers' facilities. Importantly, while the Panel focused its analysis on the security situation in Ukraine in general, it did not assess the evidence on the record with a view to determining how the security situation related to the specific suppliers at issue. In fact, only in examining the set of press articles reflecting incidents in several places in Ukraine and anti</w:t>
      </w:r>
      <w:r w:rsidRPr="006B2F21">
        <w:rPr>
          <w:szCs w:val="18"/>
        </w:rPr>
        <w:noBreakHyphen/>
        <w:t>Russian sentiment did the Panel refer to the regions of the relevant suppliers.</w:t>
      </w:r>
      <w:r w:rsidRPr="006B2F21">
        <w:rPr>
          <w:rStyle w:val="FootnoteReference"/>
          <w:szCs w:val="18"/>
        </w:rPr>
        <w:footnoteReference w:id="376"/>
      </w:r>
      <w:r w:rsidRPr="006B2F21">
        <w:rPr>
          <w:szCs w:val="18"/>
        </w:rPr>
        <w:t xml:space="preserve"> However, even in that context, and in drawing conclusions from the evidence in the press articles, the Panel did not clearly distinguish between incidents in the regions where the relevant suppliers were located and incidents in other regions.</w:t>
      </w:r>
      <w:r w:rsidRPr="006B2F21">
        <w:rPr>
          <w:rStyle w:val="FootnoteReference"/>
          <w:szCs w:val="18"/>
        </w:rPr>
        <w:footnoteReference w:id="377"/>
      </w:r>
      <w:r w:rsidRPr="006B2F21">
        <w:rPr>
          <w:szCs w:val="18"/>
        </w:rPr>
        <w:t xml:space="preserve"> The rest of the Panel's analysis was based on the existence of security concerns and anti</w:t>
      </w:r>
      <w:r w:rsidRPr="006B2F21">
        <w:rPr>
          <w:szCs w:val="18"/>
        </w:rPr>
        <w:noBreakHyphen/>
        <w:t>Russian sentiment in Ukraine in general and not in the specific regions where the relevant suppliers were located.</w:t>
      </w:r>
      <w:r w:rsidRPr="006B2F21">
        <w:rPr>
          <w:rStyle w:val="FootnoteReference"/>
          <w:szCs w:val="18"/>
        </w:rPr>
        <w:footnoteReference w:id="378"/>
      </w:r>
      <w:r w:rsidRPr="006B2F21">
        <w:rPr>
          <w:szCs w:val="18"/>
        </w:rPr>
        <w:t xml:space="preserve"> Thus, in applying Article 5.1.1 to the facts of the case and in examining factors relevant for establishing the existence of a "comparable situation" in the particular circumstances at issue, the Panel did not in fact focus, as it stated in its interpretation, on "aspects specific to the suppliers who are claimed to have been granted access under less favourable conditions or to the location of the suppliers' facilities" and relied instead on information on the record concerning the general security situation in Ukraine.</w:t>
      </w:r>
      <w:r w:rsidRPr="006B2F21">
        <w:rPr>
          <w:rStyle w:val="FootnoteReference"/>
          <w:szCs w:val="18"/>
        </w:rPr>
        <w:footnoteReference w:id="379"/>
      </w:r>
      <w:r w:rsidRPr="006B2F21">
        <w:rPr>
          <w:szCs w:val="18"/>
        </w:rPr>
        <w:t xml:space="preserve"> </w:t>
      </w:r>
    </w:p>
    <w:p w14:paraId="5F20F0E2" w14:textId="5439D14F" w:rsidR="003D01DD" w:rsidRPr="006B2F21" w:rsidRDefault="003D01DD" w:rsidP="006B2F21">
      <w:pPr>
        <w:pStyle w:val="BodyText"/>
        <w:numPr>
          <w:ilvl w:val="6"/>
          <w:numId w:val="1"/>
        </w:numPr>
        <w:rPr>
          <w:szCs w:val="18"/>
        </w:rPr>
      </w:pPr>
      <w:r w:rsidRPr="006B2F21">
        <w:rPr>
          <w:szCs w:val="18"/>
        </w:rPr>
        <w:t xml:space="preserve">As </w:t>
      </w:r>
      <w:r w:rsidR="00814873" w:rsidRPr="006B2F21">
        <w:rPr>
          <w:szCs w:val="18"/>
        </w:rPr>
        <w:t>we see it</w:t>
      </w:r>
      <w:r w:rsidRPr="006B2F21">
        <w:rPr>
          <w:szCs w:val="18"/>
        </w:rPr>
        <w:t xml:space="preserve">, evidence concerning an entire country may provide a basis for concluding that a conformity assessment procedure cannot be conducted in any part of the country, e.g. when its entire territory is affected by a natural disaster or an armed conflict </w:t>
      </w:r>
      <w:r w:rsidR="00B07CDC" w:rsidRPr="006B2F21">
        <w:rPr>
          <w:szCs w:val="18"/>
        </w:rPr>
        <w:t xml:space="preserve">that </w:t>
      </w:r>
      <w:r w:rsidRPr="006B2F21">
        <w:rPr>
          <w:szCs w:val="18"/>
        </w:rPr>
        <w:t xml:space="preserve">has an impact on the situation of specific suppliers. Evidence of risk for the security of governmental employees, as opposed to actual incidents relating to the security of those employees, may also be probative in this regard. However, as noted above, the language in Article 5.1.1 makes clear that comparability of the situations has to be assessed by reference to the "suppliers", thus taking account of the fact that conditions of access to conformity assessment may vary within a country. Therefore, the existence of a "comparable situation" must be established on the basis of evidence pertaining to the specific suppliers of like products to which the conditions for access to conformity assessment granted by the importing Member relate. In the present case, we do not see that, in making this assessment, the Panel </w:t>
      </w:r>
      <w:r w:rsidR="00814873" w:rsidRPr="006B2F21">
        <w:rPr>
          <w:szCs w:val="18"/>
        </w:rPr>
        <w:t xml:space="preserve">sufficiently considered </w:t>
      </w:r>
      <w:r w:rsidRPr="006B2F21">
        <w:rPr>
          <w:szCs w:val="18"/>
        </w:rPr>
        <w:t>the situation of the specific suppliers at issue or the regions where the relevant suppliers were located or provided an explanation as to how the evidence on the record concerning the existence of security concerns and anti</w:t>
      </w:r>
      <w:r w:rsidRPr="006B2F21">
        <w:rPr>
          <w:szCs w:val="18"/>
        </w:rPr>
        <w:noBreakHyphen/>
        <w:t xml:space="preserve">Russian sentiment in Ukraine in general related to these regions and suppliers. </w:t>
      </w:r>
    </w:p>
    <w:p w14:paraId="0DC601B8" w14:textId="77777777" w:rsidR="003D01DD" w:rsidRPr="006B2F21" w:rsidRDefault="003D01DD" w:rsidP="006B2F21">
      <w:pPr>
        <w:pStyle w:val="BodyText"/>
        <w:numPr>
          <w:ilvl w:val="6"/>
          <w:numId w:val="1"/>
        </w:numPr>
        <w:rPr>
          <w:szCs w:val="18"/>
        </w:rPr>
      </w:pPr>
      <w:r w:rsidRPr="006B2F21">
        <w:rPr>
          <w:szCs w:val="18"/>
        </w:rPr>
        <w:t>Furthermore, in its overall assessment of the evidence, the Panel referred to the importance of protecting human life and health and noted that "responsive and responsible governments can and may take such vital interests of their citizens into account when determining whether their government officials can carry out inspections abroad."</w:t>
      </w:r>
      <w:r w:rsidRPr="006B2F21">
        <w:rPr>
          <w:rStyle w:val="FootnoteReference"/>
          <w:szCs w:val="18"/>
        </w:rPr>
        <w:footnoteReference w:id="380"/>
      </w:r>
      <w:r w:rsidRPr="006B2F21">
        <w:rPr>
          <w:szCs w:val="18"/>
        </w:rPr>
        <w:t xml:space="preserve"> Notably, the Panel observed that:</w:t>
      </w:r>
    </w:p>
    <w:p w14:paraId="003CADBD" w14:textId="77777777" w:rsidR="003D01DD" w:rsidRPr="006B2F21" w:rsidRDefault="003D01DD" w:rsidP="006B2F21">
      <w:pPr>
        <w:pStyle w:val="Quotation"/>
      </w:pPr>
      <w:r w:rsidRPr="006B2F21">
        <w:t xml:space="preserve">[I]n the specific circumstances of a dispute such as ours, the importing Member in applying Article 5.1.1 may confront the need to weigh and balance the interests of suppliers of products originating in the territories of other Members in an assessment of conformity against its interest in </w:t>
      </w:r>
      <w:r w:rsidRPr="006B2F21">
        <w:rPr>
          <w:i/>
        </w:rPr>
        <w:t>safeguarding the life or health of its employees</w:t>
      </w:r>
      <w:r w:rsidRPr="006B2F21">
        <w:t xml:space="preserve"> when undertaking conformity assessment activities, such as inspections, abroad. As noted, the protection of human life and health is a </w:t>
      </w:r>
      <w:r w:rsidRPr="006B2F21">
        <w:rPr>
          <w:i/>
        </w:rPr>
        <w:t>vital interest</w:t>
      </w:r>
      <w:r w:rsidRPr="006B2F21">
        <w:t xml:space="preserve">. However, there must be a rational relationship between the need to protect the life and health of inspectors travelling abroad and the situation prevailing in the country where inspections are to be carried out. In our view, the importing Member in principle benefits from a </w:t>
      </w:r>
      <w:r w:rsidRPr="006B2F21">
        <w:rPr>
          <w:i/>
        </w:rPr>
        <w:t>margin of discretion</w:t>
      </w:r>
      <w:r w:rsidRPr="006B2F21">
        <w:t xml:space="preserve"> in carrying out such a weighing and balancing of interests, as appropriate to the circumstances, which include the importance of the interests at stake.</w:t>
      </w:r>
      <w:r w:rsidRPr="006B2F21">
        <w:rPr>
          <w:rStyle w:val="FootnoteReference"/>
        </w:rPr>
        <w:footnoteReference w:id="381"/>
      </w:r>
    </w:p>
    <w:p w14:paraId="32E1E07C" w14:textId="5EBD33DA" w:rsidR="003D01DD" w:rsidRPr="006B2F21" w:rsidRDefault="003D01DD" w:rsidP="006B2F21">
      <w:pPr>
        <w:pStyle w:val="BodyText"/>
        <w:numPr>
          <w:ilvl w:val="6"/>
          <w:numId w:val="1"/>
        </w:numPr>
        <w:rPr>
          <w:szCs w:val="18"/>
        </w:rPr>
      </w:pPr>
      <w:r w:rsidRPr="006B2F21">
        <w:rPr>
          <w:szCs w:val="18"/>
        </w:rPr>
        <w:t>We note that the Panel recognized the necessity of "a rational relationship between the need to protect the life and health of inspectors travelling abroad and the situation prevailing in the country where inspections are to be carried out".</w:t>
      </w:r>
      <w:r w:rsidRPr="006B2F21">
        <w:rPr>
          <w:rStyle w:val="FootnoteReference"/>
          <w:szCs w:val="18"/>
        </w:rPr>
        <w:footnoteReference w:id="382"/>
      </w:r>
      <w:r w:rsidRPr="006B2F21">
        <w:rPr>
          <w:szCs w:val="18"/>
        </w:rPr>
        <w:t xml:space="preserve"> As we understand it, the Panel therefore did not </w:t>
      </w:r>
      <w:r w:rsidRPr="006B2F21">
        <w:rPr>
          <w:szCs w:val="18"/>
        </w:rPr>
        <w:lastRenderedPageBreak/>
        <w:t xml:space="preserve">rely on the protection of human life and health as a legitimate objective relevant under Article 5.1.1 in general, but rather considered this objective to be a relevant factor to determine the existence of a "comparable situation" in the circumstances of the present case, to the extent that it had a bearing on this situation. As noted above, under Article 5.1.1, the relevant factors for purposes of establishing the existence of a "comparable situation" are those relating to the conditions for granting "access" to conformity assessment for specific suppliers of like products, i.e. suppliers' right to an assessment of conformity under the rules of the procedure. Furthermore, factors that impact the ability of Members to make a determination that relevant requirements in technical regulations or standards are fulfilled, thereby ensuring compliance with these requirements, would be of relevance in the inquiry. In the present dispute, Ukraine challenged </w:t>
      </w:r>
      <w:r w:rsidR="001F6E53" w:rsidRPr="006B2F21">
        <w:rPr>
          <w:szCs w:val="18"/>
        </w:rPr>
        <w:t xml:space="preserve">only </w:t>
      </w:r>
      <w:r w:rsidRPr="006B2F21">
        <w:rPr>
          <w:szCs w:val="18"/>
        </w:rPr>
        <w:t>the application of Russia's conformity assessment procedure. Under these procedures annual on</w:t>
      </w:r>
      <w:r w:rsidRPr="006B2F21">
        <w:rPr>
          <w:szCs w:val="18"/>
        </w:rPr>
        <w:noBreakHyphen/>
        <w:t>site inspections were to be conducted, in order to ensure the continued compliance of imported railway products with the relevant Russian technical regulations. In these circumstances, the ability of Russian inspectors to make a determination that the requirements in the technical regulation are fulfilled by way of conducting an on</w:t>
      </w:r>
      <w:r w:rsidRPr="006B2F21">
        <w:rPr>
          <w:szCs w:val="18"/>
        </w:rPr>
        <w:noBreakHyphen/>
        <w:t>site inspection, and thus to ensure access for suppliers of Ukrainian railway products to this part of Russia's conformity assessment procedure, could be affected by the security situation in Ukraine.</w:t>
      </w:r>
    </w:p>
    <w:p w14:paraId="1E6DD110" w14:textId="35D47C9B" w:rsidR="003D01DD" w:rsidRPr="006B2F21" w:rsidRDefault="003D01DD" w:rsidP="006B2F21">
      <w:pPr>
        <w:pStyle w:val="BodyText"/>
        <w:numPr>
          <w:ilvl w:val="6"/>
          <w:numId w:val="1"/>
        </w:numPr>
        <w:rPr>
          <w:szCs w:val="18"/>
        </w:rPr>
      </w:pPr>
      <w:r w:rsidRPr="006B2F21">
        <w:rPr>
          <w:szCs w:val="18"/>
        </w:rPr>
        <w:t xml:space="preserve">At the same time, we have concerns with the Panel's approach to assessing the existence of a "comparable situation" in the circumstances of this case. The question before the Panel was whether a comparable situation existed in the present dispute. The </w:t>
      </w:r>
      <w:r w:rsidR="00C274D3" w:rsidRPr="006B2F21">
        <w:rPr>
          <w:szCs w:val="18"/>
        </w:rPr>
        <w:t xml:space="preserve">existence </w:t>
      </w:r>
      <w:r w:rsidRPr="006B2F21">
        <w:rPr>
          <w:szCs w:val="18"/>
        </w:rPr>
        <w:t xml:space="preserve">of </w:t>
      </w:r>
      <w:r w:rsidR="00C274D3" w:rsidRPr="006B2F21">
        <w:rPr>
          <w:szCs w:val="18"/>
        </w:rPr>
        <w:t xml:space="preserve">a </w:t>
      </w:r>
      <w:r w:rsidRPr="006B2F21">
        <w:rPr>
          <w:szCs w:val="18"/>
        </w:rPr>
        <w:t xml:space="preserve">"comparable situation" may depend on a number of factors specific to the measure at issue and the circumstances of the case. Notably, such factors should have a bearing on </w:t>
      </w:r>
      <w:r w:rsidRPr="006B2F21">
        <w:rPr>
          <w:i/>
          <w:szCs w:val="18"/>
        </w:rPr>
        <w:t>the conditions for granting access</w:t>
      </w:r>
      <w:r w:rsidRPr="006B2F21">
        <w:rPr>
          <w:szCs w:val="18"/>
        </w:rPr>
        <w:t xml:space="preserve"> to conformity assessment in a particular case and should pertain to or affect </w:t>
      </w:r>
      <w:r w:rsidRPr="006B2F21">
        <w:rPr>
          <w:i/>
          <w:szCs w:val="18"/>
        </w:rPr>
        <w:t>the specific suppliers</w:t>
      </w:r>
      <w:r w:rsidRPr="006B2F21">
        <w:rPr>
          <w:szCs w:val="18"/>
        </w:rPr>
        <w:t xml:space="preserve"> of like products to which these conditions relate. It follows that the interest of safeguarding the life and health of governmental employees can only constitute a pertinent consideration for purposes of establishing the existence of a "comparable situation" to the extent that </w:t>
      </w:r>
      <w:r w:rsidR="003D3DF7" w:rsidRPr="006B2F21">
        <w:rPr>
          <w:szCs w:val="18"/>
        </w:rPr>
        <w:t xml:space="preserve">it </w:t>
      </w:r>
      <w:r w:rsidR="009A6806" w:rsidRPr="006B2F21">
        <w:rPr>
          <w:szCs w:val="18"/>
        </w:rPr>
        <w:t xml:space="preserve">also </w:t>
      </w:r>
      <w:r w:rsidR="003D3DF7" w:rsidRPr="006B2F21">
        <w:rPr>
          <w:szCs w:val="18"/>
        </w:rPr>
        <w:t xml:space="preserve">relates to </w:t>
      </w:r>
      <w:r w:rsidRPr="006B2F21">
        <w:rPr>
          <w:szCs w:val="18"/>
        </w:rPr>
        <w:t xml:space="preserve">the situation applicable to the suppliers at issue. </w:t>
      </w:r>
      <w:bookmarkStart w:id="160" w:name="_Hlk21622158"/>
    </w:p>
    <w:p w14:paraId="75FA16C5" w14:textId="7D9CB375" w:rsidR="003D01DD" w:rsidRPr="006B2F21" w:rsidRDefault="00C274D3" w:rsidP="006B2F21">
      <w:pPr>
        <w:pStyle w:val="BodyText"/>
        <w:numPr>
          <w:ilvl w:val="6"/>
          <w:numId w:val="1"/>
        </w:numPr>
        <w:rPr>
          <w:szCs w:val="18"/>
        </w:rPr>
      </w:pPr>
      <w:r w:rsidRPr="006B2F21">
        <w:rPr>
          <w:szCs w:val="18"/>
        </w:rPr>
        <w:t>Moreover</w:t>
      </w:r>
      <w:r w:rsidR="003D01DD" w:rsidRPr="006B2F21">
        <w:rPr>
          <w:szCs w:val="18"/>
        </w:rPr>
        <w:t xml:space="preserve">, we disagree with the Panel's conclusion that there was a need to "weigh and balance" the market access interests of suppliers of products originating in the territories of other Members against the interest </w:t>
      </w:r>
      <w:r w:rsidRPr="006B2F21">
        <w:rPr>
          <w:szCs w:val="18"/>
        </w:rPr>
        <w:t xml:space="preserve">of </w:t>
      </w:r>
      <w:r w:rsidR="003D01DD" w:rsidRPr="006B2F21">
        <w:rPr>
          <w:szCs w:val="18"/>
        </w:rPr>
        <w:t>safeguarding the life and health of governmental employees.</w:t>
      </w:r>
      <w:r w:rsidR="003D01DD" w:rsidRPr="006B2F21">
        <w:rPr>
          <w:rStyle w:val="FootnoteReference"/>
          <w:szCs w:val="18"/>
        </w:rPr>
        <w:footnoteReference w:id="383"/>
      </w:r>
      <w:r w:rsidR="003D01DD" w:rsidRPr="006B2F21">
        <w:rPr>
          <w:szCs w:val="18"/>
        </w:rPr>
        <w:t xml:space="preserve"> The Panel also took into account the restrictiveness of the measure by noting that "the FBO in this dispute opted for suspensions rather than the stricter withdrawals or cancellation of the relevant certificates of conformity."</w:t>
      </w:r>
      <w:r w:rsidR="003D01DD" w:rsidRPr="006B2F21">
        <w:rPr>
          <w:rStyle w:val="FootnoteReference"/>
          <w:szCs w:val="18"/>
        </w:rPr>
        <w:footnoteReference w:id="384"/>
      </w:r>
      <w:r w:rsidR="003D01DD" w:rsidRPr="006B2F21">
        <w:rPr>
          <w:szCs w:val="18"/>
        </w:rPr>
        <w:t xml:space="preserve"> While such a balancing test may be appropriate in assessing whether a measure is more trade</w:t>
      </w:r>
      <w:r w:rsidR="003D01DD" w:rsidRPr="006B2F21">
        <w:rPr>
          <w:szCs w:val="18"/>
        </w:rPr>
        <w:noBreakHyphen/>
        <w:t>restrictive than necessary under Article 2.2 of the TBT Agreement, this is not the question under Article 5.1.1. Nor do we see a basis for the Panel's statement that the importing Member benefits from a "margin of discretion" in carrying out such a weighing and balancing of interests of suppliers and employees.</w:t>
      </w:r>
      <w:r w:rsidR="003D01DD" w:rsidRPr="006B2F21">
        <w:rPr>
          <w:rStyle w:val="FootnoteReference"/>
          <w:szCs w:val="18"/>
        </w:rPr>
        <w:footnoteReference w:id="385"/>
      </w:r>
      <w:r w:rsidR="003D01DD" w:rsidRPr="006B2F21">
        <w:rPr>
          <w:szCs w:val="18"/>
        </w:rPr>
        <w:t xml:space="preserve"> We do agree that a threat to the life and health of governmental employees in performing part of the conformity assessment procedure can be a relevant factor in comparing the situations for purposes of Article 5.1.1 in a particular case. We further accept that the impossibility for governmental employees to carry out a part of a conformity assessment procedure, such as on</w:t>
      </w:r>
      <w:r w:rsidR="003D01DD" w:rsidRPr="006B2F21">
        <w:rPr>
          <w:szCs w:val="18"/>
        </w:rPr>
        <w:noBreakHyphen/>
        <w:t xml:space="preserve">site inspections abroad, due to a </w:t>
      </w:r>
      <w:r w:rsidR="003D01DD" w:rsidRPr="006B2F21">
        <w:rPr>
          <w:i/>
          <w:szCs w:val="18"/>
        </w:rPr>
        <w:t>risk</w:t>
      </w:r>
      <w:r w:rsidR="003D01DD" w:rsidRPr="006B2F21">
        <w:rPr>
          <w:szCs w:val="18"/>
        </w:rPr>
        <w:t xml:space="preserve"> for the security of those employees may not require evidence of </w:t>
      </w:r>
      <w:r w:rsidR="003D01DD" w:rsidRPr="006B2F21">
        <w:rPr>
          <w:i/>
          <w:szCs w:val="18"/>
        </w:rPr>
        <w:t xml:space="preserve">actual </w:t>
      </w:r>
      <w:r w:rsidR="00944E73" w:rsidRPr="006B2F21">
        <w:rPr>
          <w:i/>
          <w:szCs w:val="18"/>
        </w:rPr>
        <w:t>incidents</w:t>
      </w:r>
      <w:r w:rsidR="003D01DD" w:rsidRPr="006B2F21">
        <w:rPr>
          <w:szCs w:val="18"/>
        </w:rPr>
        <w:t xml:space="preserve">. Nevertheless, the existence of a "comparable situation" should be established objectively and based on evidence pertaining to the suppliers at issue. Therefore, </w:t>
      </w:r>
      <w:bookmarkStart w:id="161" w:name="_Hlk21623669"/>
      <w:r w:rsidR="003D01DD" w:rsidRPr="006B2F21">
        <w:rPr>
          <w:szCs w:val="18"/>
        </w:rPr>
        <w:t xml:space="preserve">the question before the Panel was whether, in light of all evidence on the record, the security situation in Ukraine as it applied to the relevant suppliers of Ukrainian railway products affected the conditions of granting access to conformity assessment to those suppliers, such that the situations relating to those suppliers and to suppliers in other countries could no longer be considered comparable. </w:t>
      </w:r>
      <w:bookmarkEnd w:id="161"/>
    </w:p>
    <w:p w14:paraId="16487A1B" w14:textId="5B961961" w:rsidR="003D01DD" w:rsidRPr="006B2F21" w:rsidRDefault="003D01DD" w:rsidP="006B2F21">
      <w:pPr>
        <w:pStyle w:val="BodyText"/>
        <w:numPr>
          <w:ilvl w:val="6"/>
          <w:numId w:val="1"/>
        </w:numPr>
        <w:rPr>
          <w:szCs w:val="18"/>
        </w:rPr>
      </w:pPr>
      <w:r w:rsidRPr="006B2F21">
        <w:rPr>
          <w:szCs w:val="18"/>
        </w:rPr>
        <w:t>By focusing in its analysis on whether the FBO acted "outside its margin of discretion by balancing the interests of Ukrainian suppliers and FBO employees"</w:t>
      </w:r>
      <w:r w:rsidRPr="006B2F21">
        <w:rPr>
          <w:rStyle w:val="FootnoteReference"/>
          <w:szCs w:val="18"/>
        </w:rPr>
        <w:footnoteReference w:id="386"/>
      </w:r>
      <w:r w:rsidRPr="006B2F21">
        <w:rPr>
          <w:szCs w:val="18"/>
        </w:rPr>
        <w:t xml:space="preserve">, the Panel failed to consider how the interest of safeguarding the life and health of FBO employees related to the suppliers of Ukrainian railway products at issue, and thus failed to address the question whether the security situation in Ukraine, as it related to the suppliers at issue, was comparable to the security situation in other countries and suppliers. For instance, while the Panel recognized that "[i]t is not clear that </w:t>
      </w:r>
      <w:r w:rsidRPr="006B2F21">
        <w:rPr>
          <w:szCs w:val="18"/>
        </w:rPr>
        <w:lastRenderedPageBreak/>
        <w:t>FBO employees were necessarily likely to go to places where protests or demonstrations were held or where civil unrest erupted", the Panel also considered that "the situation during the relevant time</w:t>
      </w:r>
      <w:r w:rsidRPr="006B2F21">
        <w:rPr>
          <w:szCs w:val="18"/>
        </w:rPr>
        <w:noBreakHyphen/>
        <w:t>period was marked by instability and unpredictability."</w:t>
      </w:r>
      <w:r w:rsidRPr="006B2F21">
        <w:rPr>
          <w:rStyle w:val="FootnoteReference"/>
          <w:szCs w:val="18"/>
        </w:rPr>
        <w:footnoteReference w:id="387"/>
      </w:r>
      <w:r w:rsidRPr="006B2F21">
        <w:rPr>
          <w:szCs w:val="18"/>
        </w:rPr>
        <w:t xml:space="preserve"> Notably, the Panel held that "[f]rom </w:t>
      </w:r>
      <w:r w:rsidRPr="006B2F21">
        <w:rPr>
          <w:i/>
          <w:szCs w:val="18"/>
        </w:rPr>
        <w:t>the FBO's vantage point</w:t>
      </w:r>
      <w:r w:rsidRPr="006B2F21">
        <w:rPr>
          <w:szCs w:val="18"/>
        </w:rPr>
        <w:t xml:space="preserve">, it was therefore </w:t>
      </w:r>
      <w:r w:rsidRPr="006B2F21">
        <w:rPr>
          <w:i/>
          <w:szCs w:val="18"/>
        </w:rPr>
        <w:t>not readily apparent</w:t>
      </w:r>
      <w:r w:rsidRPr="006B2F21">
        <w:rPr>
          <w:szCs w:val="18"/>
        </w:rPr>
        <w:t xml:space="preserve"> whether a given area of the country was sufficiently safe, or would remain so, to proceed with an inspection visit."</w:t>
      </w:r>
      <w:r w:rsidRPr="006B2F21">
        <w:rPr>
          <w:rStyle w:val="FootnoteReference"/>
          <w:szCs w:val="18"/>
        </w:rPr>
        <w:footnoteReference w:id="388"/>
      </w:r>
      <w:r w:rsidRPr="006B2F21">
        <w:rPr>
          <w:szCs w:val="18"/>
        </w:rPr>
        <w:t xml:space="preserve"> Thus, in assessing the existence of a "comparable situation", the Panel apparently "balanced" the evidence on the record concerning the objective existence of security concerns and anti</w:t>
      </w:r>
      <w:r w:rsidRPr="006B2F21">
        <w:rPr>
          <w:szCs w:val="18"/>
        </w:rPr>
        <w:noBreakHyphen/>
        <w:t xml:space="preserve">Russian sentiment generally in Ukraine, on the one hand, and the perception of the importing Member as to the existence of such concerns and sentiment, on the other. As noted, however, such weighing and balancing has no basis in the language of Article 5.1.1 of the TBT Agreement. </w:t>
      </w:r>
    </w:p>
    <w:p w14:paraId="75811F11" w14:textId="1DE7F854" w:rsidR="003D01DD" w:rsidRPr="006B2F21" w:rsidRDefault="003D01DD" w:rsidP="006B2F21">
      <w:pPr>
        <w:pStyle w:val="BodyText"/>
        <w:numPr>
          <w:ilvl w:val="6"/>
          <w:numId w:val="1"/>
        </w:numPr>
        <w:rPr>
          <w:szCs w:val="18"/>
        </w:rPr>
      </w:pPr>
      <w:r w:rsidRPr="006B2F21">
        <w:rPr>
          <w:szCs w:val="18"/>
        </w:rPr>
        <w:t>In the same vein, in stating that it seemed "reasonable that FBO employees, and the FBO's management, could reach the same conclusion" as the Russian citizens deciding not to travel to Ukraine</w:t>
      </w:r>
      <w:r w:rsidRPr="006B2F21">
        <w:rPr>
          <w:rStyle w:val="FootnoteReference"/>
          <w:szCs w:val="18"/>
        </w:rPr>
        <w:footnoteReference w:id="389"/>
      </w:r>
      <w:r w:rsidRPr="006B2F21">
        <w:rPr>
          <w:szCs w:val="18"/>
        </w:rPr>
        <w:t>, and that the FBO's decision to consider the possible risk of sending government officials to Ukraine did not appear "unreasonable in the specific circumstances and time</w:t>
      </w:r>
      <w:r w:rsidRPr="006B2F21">
        <w:rPr>
          <w:szCs w:val="18"/>
        </w:rPr>
        <w:noBreakHyphen/>
        <w:t>frame"</w:t>
      </w:r>
      <w:r w:rsidRPr="006B2F21">
        <w:rPr>
          <w:rStyle w:val="FootnoteReference"/>
          <w:szCs w:val="18"/>
        </w:rPr>
        <w:footnoteReference w:id="390"/>
      </w:r>
      <w:r w:rsidRPr="006B2F21">
        <w:rPr>
          <w:szCs w:val="18"/>
        </w:rPr>
        <w:t>, the Panel examined the existence of a comparable situation not through the perspective of the suppliers of Ukrainian railway products concerned but through that of the Russian government. This is also how we understand the Panel's ultimate conclusion that "during the relevant time</w:t>
      </w:r>
      <w:r w:rsidRPr="006B2F21">
        <w:rPr>
          <w:szCs w:val="18"/>
        </w:rPr>
        <w:noBreakHyphen/>
        <w:t>period, the FBO did not act outside its margin of discretion by balancing the interests of Ukrainian suppliers and FBO employees and then erring on the side of ensuring the safety of the latter and determining that the conditions for carrying out inspection control in Ukraine were not satisfied."</w:t>
      </w:r>
      <w:r w:rsidRPr="006B2F21">
        <w:rPr>
          <w:rStyle w:val="FootnoteReference"/>
          <w:szCs w:val="18"/>
        </w:rPr>
        <w:footnoteReference w:id="391"/>
      </w:r>
      <w:r w:rsidRPr="006B2F21">
        <w:rPr>
          <w:szCs w:val="18"/>
        </w:rPr>
        <w:t xml:space="preserve"> By giving prominence to the FBO's discretion, rather than examining whether and how the evidence on the record was relevant to the specific suppliers' situation, the Panel failed in applying Article 5.1.1 to the facts of the case, and</w:t>
      </w:r>
      <w:r w:rsidR="00CF491E" w:rsidRPr="006B2F21">
        <w:rPr>
          <w:szCs w:val="18"/>
        </w:rPr>
        <w:t>,</w:t>
      </w:r>
      <w:r w:rsidRPr="006B2F21">
        <w:rPr>
          <w:szCs w:val="18"/>
        </w:rPr>
        <w:t xml:space="preserve"> specifically, it failed to examine the existence of a "comparable situation" on the basis of objective evidence that sufficiently pertained to the specific suppliers at issue, namely</w:t>
      </w:r>
      <w:r w:rsidR="00CF491E" w:rsidRPr="006B2F21">
        <w:rPr>
          <w:szCs w:val="18"/>
        </w:rPr>
        <w:t>,</w:t>
      </w:r>
      <w:r w:rsidRPr="006B2F21">
        <w:rPr>
          <w:szCs w:val="18"/>
        </w:rPr>
        <w:t xml:space="preserve"> the suppliers to which the conditions for access to conformity assessment granted by the importing Member relate. Rather, the Panel relied on general "uncertainty" about the security situation of Russian citizens in Ukraine to make the far</w:t>
      </w:r>
      <w:r w:rsidRPr="006B2F21">
        <w:rPr>
          <w:szCs w:val="18"/>
        </w:rPr>
        <w:noBreakHyphen/>
        <w:t xml:space="preserve">reaching conclusion that </w:t>
      </w:r>
      <w:r w:rsidR="00C9199A" w:rsidRPr="006B2F21">
        <w:rPr>
          <w:szCs w:val="18"/>
        </w:rPr>
        <w:t xml:space="preserve">Ukraine's </w:t>
      </w:r>
      <w:r w:rsidRPr="006B2F21">
        <w:rPr>
          <w:szCs w:val="18"/>
        </w:rPr>
        <w:t>entire territory was unsafe for purposes of conducting on</w:t>
      </w:r>
      <w:r w:rsidRPr="006B2F21">
        <w:rPr>
          <w:szCs w:val="18"/>
        </w:rPr>
        <w:noBreakHyphen/>
        <w:t>site inspections regarding all suppliers at issue and over the entire relevant time period of April 2014 to December 2016.</w:t>
      </w:r>
    </w:p>
    <w:p w14:paraId="7591D764" w14:textId="619CA406" w:rsidR="003D01DD" w:rsidRPr="006B2F21" w:rsidRDefault="003D01DD" w:rsidP="006B2F21">
      <w:pPr>
        <w:pStyle w:val="BodyText"/>
        <w:numPr>
          <w:ilvl w:val="6"/>
          <w:numId w:val="1"/>
        </w:numPr>
        <w:rPr>
          <w:szCs w:val="18"/>
        </w:rPr>
      </w:pPr>
      <w:r w:rsidRPr="006B2F21">
        <w:rPr>
          <w:szCs w:val="18"/>
        </w:rPr>
        <w:t xml:space="preserve">Finally, we observe that the Panel's error in applying the correct legal framework for examining the existence of a "comparable situation" is also reflected in the Panel's reliance on evidence </w:t>
      </w:r>
      <w:r w:rsidR="00C9199A" w:rsidRPr="006B2F21">
        <w:rPr>
          <w:szCs w:val="18"/>
        </w:rPr>
        <w:t xml:space="preserve">that </w:t>
      </w:r>
      <w:r w:rsidRPr="006B2F21">
        <w:rPr>
          <w:szCs w:val="18"/>
        </w:rPr>
        <w:t xml:space="preserve">was either of </w:t>
      </w:r>
      <w:r w:rsidR="00C9199A" w:rsidRPr="006B2F21">
        <w:rPr>
          <w:szCs w:val="18"/>
        </w:rPr>
        <w:t xml:space="preserve">a </w:t>
      </w:r>
      <w:r w:rsidRPr="006B2F21">
        <w:rPr>
          <w:szCs w:val="18"/>
        </w:rPr>
        <w:t>general nature and did not relate to the existence of security concerns and anti</w:t>
      </w:r>
      <w:r w:rsidRPr="006B2F21">
        <w:rPr>
          <w:szCs w:val="18"/>
        </w:rPr>
        <w:noBreakHyphen/>
        <w:t>Russian sentiment in the specific regions where the relevant suppliers were located (such as statistics concerning the number of Russian citizens visiting Ukraine between 2013 and 2016</w:t>
      </w:r>
      <w:r w:rsidRPr="006B2F21">
        <w:rPr>
          <w:rStyle w:val="FootnoteReference"/>
          <w:szCs w:val="18"/>
        </w:rPr>
        <w:footnoteReference w:id="392"/>
      </w:r>
      <w:r w:rsidRPr="006B2F21">
        <w:rPr>
          <w:szCs w:val="18"/>
        </w:rPr>
        <w:t>), or reflected the situation in regions other than those of the suppliers (such as Russia's Ministry of Foreign Affairs travel advice on Ukraine</w:t>
      </w:r>
      <w:r w:rsidRPr="006B2F21">
        <w:rPr>
          <w:rStyle w:val="FootnoteReference"/>
          <w:szCs w:val="18"/>
        </w:rPr>
        <w:footnoteReference w:id="393"/>
      </w:r>
      <w:r w:rsidRPr="006B2F21">
        <w:rPr>
          <w:szCs w:val="18"/>
        </w:rPr>
        <w:t>). Moreover, some of the evidence relied on by the Panel (e.g. the OHCHR Report</w:t>
      </w:r>
      <w:r w:rsidRPr="006B2F21">
        <w:rPr>
          <w:rStyle w:val="FootnoteReference"/>
          <w:szCs w:val="18"/>
        </w:rPr>
        <w:footnoteReference w:id="394"/>
      </w:r>
      <w:r w:rsidRPr="006B2F21">
        <w:rPr>
          <w:szCs w:val="18"/>
        </w:rPr>
        <w:t xml:space="preserve">) explicitly referred to the armed conflict as confined to the Donbass and Crimea regions of Ukraine, i.e. regions different from the ones where the relevant suppliers were located. The Panel nevertheless considered this evidence to be relevant for its analysis of comparable situation, without </w:t>
      </w:r>
      <w:r w:rsidR="00C274D3" w:rsidRPr="006B2F21">
        <w:rPr>
          <w:szCs w:val="18"/>
        </w:rPr>
        <w:t xml:space="preserve">explaining </w:t>
      </w:r>
      <w:r w:rsidRPr="006B2F21">
        <w:rPr>
          <w:szCs w:val="18"/>
        </w:rPr>
        <w:t xml:space="preserve">how it </w:t>
      </w:r>
      <w:r w:rsidR="00C274D3" w:rsidRPr="006B2F21">
        <w:rPr>
          <w:szCs w:val="18"/>
        </w:rPr>
        <w:t xml:space="preserve">related </w:t>
      </w:r>
      <w:r w:rsidRPr="006B2F21">
        <w:rPr>
          <w:szCs w:val="18"/>
        </w:rPr>
        <w:t>to the regions where the suppliers at issue were located. Rather, the Panel specifically observed that officials from Belarus, the European Union, India, Kazakhstan, and Pakistan travelled to Ukraine "despite the above</w:t>
      </w:r>
      <w:r w:rsidRPr="006B2F21">
        <w:rPr>
          <w:szCs w:val="18"/>
        </w:rPr>
        <w:noBreakHyphen/>
        <w:t>noted evidence of unrest, rallies and protests in various parts of Ukraine, and despite the armed conflict in eastern Ukraine".</w:t>
      </w:r>
      <w:r w:rsidRPr="006B2F21">
        <w:rPr>
          <w:rStyle w:val="FootnoteReference"/>
          <w:szCs w:val="18"/>
        </w:rPr>
        <w:footnoteReference w:id="395"/>
      </w:r>
      <w:r w:rsidRPr="006B2F21">
        <w:rPr>
          <w:szCs w:val="18"/>
        </w:rPr>
        <w:t xml:space="preserve"> The Panel thus recognized that the security situation in Ukraine posed danger for the life and health of only Russian governmental employees, to the extent that evidence on the record demonstrated the existence of anti</w:t>
      </w:r>
      <w:r w:rsidRPr="006B2F21">
        <w:rPr>
          <w:szCs w:val="18"/>
        </w:rPr>
        <w:noBreakHyphen/>
        <w:t>Russian sentiment. In these circumstances, it was of particular importance for the Panel to analyse the comparability of situations with respect to the specific suppliers of Ukrainian railway products at issue, in order to be in a position to answer the question whether the security situation in certain regions of Ukraine, coupled with the existence of anti</w:t>
      </w:r>
      <w:r w:rsidRPr="006B2F21">
        <w:rPr>
          <w:szCs w:val="18"/>
        </w:rPr>
        <w:noBreakHyphen/>
        <w:t xml:space="preserve">Russian sentiment in those same regions and over the period between 2014 and 2016, resulted in the absence of a "comparable </w:t>
      </w:r>
      <w:r w:rsidRPr="006B2F21">
        <w:rPr>
          <w:szCs w:val="18"/>
        </w:rPr>
        <w:lastRenderedPageBreak/>
        <w:t>situation" with respect to suppliers located in those regions and for purposes of conducting on</w:t>
      </w:r>
      <w:r w:rsidRPr="006B2F21">
        <w:rPr>
          <w:szCs w:val="18"/>
        </w:rPr>
        <w:noBreakHyphen/>
        <w:t>site inspections by Russian FBO employees over the relevant period.</w:t>
      </w:r>
      <w:r w:rsidRPr="006B2F21">
        <w:rPr>
          <w:rStyle w:val="FootnoteReference"/>
          <w:szCs w:val="18"/>
        </w:rPr>
        <w:footnoteReference w:id="396"/>
      </w:r>
      <w:r w:rsidRPr="006B2F21">
        <w:rPr>
          <w:szCs w:val="18"/>
        </w:rPr>
        <w:t xml:space="preserve"> </w:t>
      </w:r>
      <w:bookmarkEnd w:id="160"/>
    </w:p>
    <w:p w14:paraId="77012038" w14:textId="77777777" w:rsidR="003D01DD" w:rsidRPr="006B2F21" w:rsidRDefault="003D01DD" w:rsidP="006B2F21">
      <w:pPr>
        <w:pStyle w:val="BodyText"/>
        <w:numPr>
          <w:ilvl w:val="6"/>
          <w:numId w:val="1"/>
        </w:numPr>
        <w:rPr>
          <w:szCs w:val="18"/>
        </w:rPr>
      </w:pPr>
      <w:r w:rsidRPr="006B2F21">
        <w:rPr>
          <w:szCs w:val="18"/>
        </w:rPr>
        <w:t>In light of the above, the Panel erred in its application of Article 5.1.1 of the TBT Agreement to the facts of the present case in finding that, between April 2014 and December 2016, Ukrainian suppliers of railway products were denied no less favourable access in a situation that was not comparable to the situation in which Russia granted access to suppliers of Russian railway products and suppliers of railway products from other countries.</w:t>
      </w:r>
    </w:p>
    <w:p w14:paraId="013DFF28" w14:textId="77777777" w:rsidR="003D01DD" w:rsidRPr="006B2F21" w:rsidRDefault="003D01DD" w:rsidP="006B2F21">
      <w:pPr>
        <w:pStyle w:val="Heading3"/>
        <w:numPr>
          <w:ilvl w:val="2"/>
          <w:numId w:val="1"/>
        </w:numPr>
        <w:rPr>
          <w:szCs w:val="18"/>
        </w:rPr>
      </w:pPr>
      <w:bookmarkStart w:id="162" w:name="_Toc26805635"/>
      <w:bookmarkStart w:id="163" w:name="_Toc31381009"/>
      <w:r w:rsidRPr="006B2F21">
        <w:rPr>
          <w:szCs w:val="18"/>
        </w:rPr>
        <w:t>Completion of the legal analysis</w:t>
      </w:r>
      <w:bookmarkEnd w:id="162"/>
      <w:bookmarkEnd w:id="163"/>
    </w:p>
    <w:p w14:paraId="427249EB" w14:textId="04BFBDDD" w:rsidR="003D01DD" w:rsidRPr="006B2F21" w:rsidRDefault="00C274D3" w:rsidP="006B2F21">
      <w:pPr>
        <w:pStyle w:val="BodyText"/>
        <w:numPr>
          <w:ilvl w:val="6"/>
          <w:numId w:val="1"/>
        </w:numPr>
        <w:rPr>
          <w:szCs w:val="18"/>
        </w:rPr>
      </w:pPr>
      <w:r w:rsidRPr="006B2F21">
        <w:rPr>
          <w:szCs w:val="18"/>
        </w:rPr>
        <w:t>T</w:t>
      </w:r>
      <w:r w:rsidR="003D01DD" w:rsidRPr="006B2F21">
        <w:rPr>
          <w:szCs w:val="18"/>
        </w:rPr>
        <w:t xml:space="preserve">he Appellate Body </w:t>
      </w:r>
      <w:r w:rsidRPr="006B2F21">
        <w:rPr>
          <w:szCs w:val="18"/>
        </w:rPr>
        <w:t xml:space="preserve">has </w:t>
      </w:r>
      <w:r w:rsidR="003D01DD" w:rsidRPr="006B2F21">
        <w:rPr>
          <w:szCs w:val="18"/>
        </w:rPr>
        <w:t>complete</w:t>
      </w:r>
      <w:r w:rsidRPr="006B2F21">
        <w:rPr>
          <w:szCs w:val="18"/>
        </w:rPr>
        <w:t>d</w:t>
      </w:r>
      <w:r w:rsidR="003D01DD" w:rsidRPr="006B2F21">
        <w:rPr>
          <w:szCs w:val="18"/>
        </w:rPr>
        <w:t xml:space="preserve"> the legal analysis with a view to facilitating the prompt settlement and effective resolution of dispute</w:t>
      </w:r>
      <w:r w:rsidRPr="006B2F21">
        <w:rPr>
          <w:szCs w:val="18"/>
        </w:rPr>
        <w:t>s</w:t>
      </w:r>
      <w:r w:rsidR="003D01DD" w:rsidRPr="006B2F21">
        <w:rPr>
          <w:szCs w:val="18"/>
        </w:rPr>
        <w:t xml:space="preserve"> where the factual findings by the panel</w:t>
      </w:r>
      <w:r w:rsidR="003D01DD" w:rsidRPr="006B2F21">
        <w:rPr>
          <w:rStyle w:val="FootnoteReference"/>
          <w:szCs w:val="18"/>
        </w:rPr>
        <w:footnoteReference w:id="397"/>
      </w:r>
      <w:r w:rsidR="003D01DD" w:rsidRPr="006B2F21">
        <w:rPr>
          <w:szCs w:val="18"/>
        </w:rPr>
        <w:t xml:space="preserve"> and/or undisputed facts on the panel record</w:t>
      </w:r>
      <w:r w:rsidR="003D01DD" w:rsidRPr="006B2F21">
        <w:rPr>
          <w:rStyle w:val="FootnoteReference"/>
          <w:szCs w:val="18"/>
        </w:rPr>
        <w:footnoteReference w:id="398"/>
      </w:r>
      <w:r w:rsidR="003D01DD" w:rsidRPr="006B2F21">
        <w:rPr>
          <w:szCs w:val="18"/>
        </w:rPr>
        <w:t xml:space="preserve"> provide</w:t>
      </w:r>
      <w:r w:rsidRPr="006B2F21">
        <w:rPr>
          <w:szCs w:val="18"/>
        </w:rPr>
        <w:t>d</w:t>
      </w:r>
      <w:r w:rsidR="003D01DD" w:rsidRPr="006B2F21">
        <w:rPr>
          <w:szCs w:val="18"/>
        </w:rPr>
        <w:t xml:space="preserve"> a sufficient factual foundation for doing so.</w:t>
      </w:r>
      <w:r w:rsidR="003D01DD" w:rsidRPr="006B2F21">
        <w:rPr>
          <w:rStyle w:val="FootnoteReference"/>
          <w:szCs w:val="18"/>
        </w:rPr>
        <w:footnoteReference w:id="399"/>
      </w:r>
      <w:r w:rsidR="003D01DD" w:rsidRPr="006B2F21">
        <w:rPr>
          <w:szCs w:val="18"/>
        </w:rPr>
        <w:t xml:space="preserve"> </w:t>
      </w:r>
    </w:p>
    <w:p w14:paraId="358A928A" w14:textId="25394F6B" w:rsidR="003D01DD" w:rsidRPr="006B2F21" w:rsidRDefault="003D01DD" w:rsidP="006B2F21">
      <w:pPr>
        <w:pStyle w:val="BodyText"/>
        <w:numPr>
          <w:ilvl w:val="6"/>
          <w:numId w:val="1"/>
        </w:numPr>
        <w:rPr>
          <w:szCs w:val="18"/>
        </w:rPr>
      </w:pPr>
      <w:r w:rsidRPr="006B2F21">
        <w:rPr>
          <w:szCs w:val="18"/>
        </w:rPr>
        <w:t>In the present case, Ukraine has not requested us to complete the legal analysis. Furthermore, as noted above, the focus of the Panel's assessment was on evidence concerning the existence of security concerns and anti</w:t>
      </w:r>
      <w:r w:rsidRPr="006B2F21">
        <w:rPr>
          <w:szCs w:val="18"/>
        </w:rPr>
        <w:noBreakHyphen/>
        <w:t xml:space="preserve">Russian sentiment in Ukraine in general, rather than on how this evidence related to the regions where the relevant suppliers were located. Therefore, the Panel did not conduct an assessment as to how the evidence on the record, taken individually or together, relates to the security situation in Ukraine as it applied to relevant suppliers of Ukrainian railway products. </w:t>
      </w:r>
      <w:r w:rsidR="00096865" w:rsidRPr="006B2F21">
        <w:rPr>
          <w:szCs w:val="18"/>
        </w:rPr>
        <w:t xml:space="preserve">Consequently, </w:t>
      </w:r>
      <w:r w:rsidRPr="006B2F21">
        <w:rPr>
          <w:szCs w:val="18"/>
        </w:rPr>
        <w:t>there are no specific factual findings relating to these suppliers, which would be required for a completion of the legal analysis</w:t>
      </w:r>
      <w:r w:rsidR="00096865" w:rsidRPr="006B2F21">
        <w:rPr>
          <w:szCs w:val="18"/>
        </w:rPr>
        <w:t xml:space="preserve"> and thus</w:t>
      </w:r>
      <w:r w:rsidRPr="006B2F21">
        <w:rPr>
          <w:szCs w:val="18"/>
        </w:rPr>
        <w:t xml:space="preserve"> we cannot rely on the factual findings made by the Panel, in order to complete the legal analysis. Specifically, we are not in a position to </w:t>
      </w:r>
      <w:r w:rsidR="00096865" w:rsidRPr="006B2F21">
        <w:rPr>
          <w:szCs w:val="18"/>
        </w:rPr>
        <w:t xml:space="preserve">assess </w:t>
      </w:r>
      <w:r w:rsidRPr="006B2F21">
        <w:rPr>
          <w:szCs w:val="18"/>
        </w:rPr>
        <w:t>whether the security situation in Ukraine affected the conditions of granting access to conformity assessment for the specific suppliers at issue over the relevant period, such that it was no longer comparable to the situation applicable to other countries and suppliers of like products. Additionally, it appears that the relevance and weight to be given to certain pieces of evidence is contested between the participants. In these circumstances, we do not consider that we have before us sufficient factual findings by the Panel or undisputed facts on the Panel record on which we can rely in completing the legal analysis.</w:t>
      </w:r>
    </w:p>
    <w:p w14:paraId="20249918" w14:textId="77777777" w:rsidR="003D01DD" w:rsidRPr="006B2F21" w:rsidRDefault="003D01DD" w:rsidP="006B2F21">
      <w:pPr>
        <w:pStyle w:val="Heading3"/>
        <w:numPr>
          <w:ilvl w:val="2"/>
          <w:numId w:val="1"/>
        </w:numPr>
        <w:rPr>
          <w:szCs w:val="18"/>
        </w:rPr>
      </w:pPr>
      <w:bookmarkStart w:id="164" w:name="_Toc26805636"/>
      <w:bookmarkStart w:id="165" w:name="_Toc31381010"/>
      <w:r w:rsidRPr="006B2F21">
        <w:rPr>
          <w:szCs w:val="18"/>
        </w:rPr>
        <w:t xml:space="preserve">Whether the Panel failed </w:t>
      </w:r>
      <w:bookmarkStart w:id="166" w:name="_Hlk14256643"/>
      <w:r w:rsidRPr="006B2F21">
        <w:rPr>
          <w:szCs w:val="18"/>
        </w:rPr>
        <w:t>to make an objective assessment of the matter under Article 11 of the DSU</w:t>
      </w:r>
      <w:bookmarkEnd w:id="164"/>
      <w:bookmarkEnd w:id="165"/>
      <w:bookmarkEnd w:id="166"/>
    </w:p>
    <w:p w14:paraId="3711E2D8" w14:textId="77777777" w:rsidR="003D01DD" w:rsidRPr="006B2F21" w:rsidRDefault="003D01DD" w:rsidP="006B2F21">
      <w:pPr>
        <w:pStyle w:val="BodyText"/>
        <w:numPr>
          <w:ilvl w:val="6"/>
          <w:numId w:val="1"/>
        </w:numPr>
        <w:rPr>
          <w:szCs w:val="18"/>
        </w:rPr>
      </w:pPr>
      <w:r w:rsidRPr="006B2F21">
        <w:rPr>
          <w:szCs w:val="18"/>
        </w:rPr>
        <w:t xml:space="preserve">Having found that the Panel erred in its application of Article 5.1.1 of the TBT Agreement to the facts of the present case in finding that the situation in Ukraine was not comparable to other countries, there is no need to further examine Ukraine's claim that the Panel failed to make an objective assessment of the matter under Article 11 of the DSU with respect to the same finding. </w:t>
      </w:r>
    </w:p>
    <w:p w14:paraId="443849FE" w14:textId="77777777" w:rsidR="003D01DD" w:rsidRPr="006B2F21" w:rsidRDefault="003D01DD" w:rsidP="006B2F21">
      <w:pPr>
        <w:pStyle w:val="Heading3"/>
        <w:numPr>
          <w:ilvl w:val="2"/>
          <w:numId w:val="1"/>
        </w:numPr>
        <w:rPr>
          <w:szCs w:val="18"/>
        </w:rPr>
      </w:pPr>
      <w:bookmarkStart w:id="167" w:name="_Toc26805637"/>
      <w:bookmarkStart w:id="168" w:name="_Toc31381011"/>
      <w:r w:rsidRPr="006B2F21">
        <w:rPr>
          <w:szCs w:val="18"/>
        </w:rPr>
        <w:t>Conclusion</w:t>
      </w:r>
      <w:bookmarkEnd w:id="167"/>
      <w:bookmarkEnd w:id="168"/>
      <w:r w:rsidRPr="006B2F21">
        <w:rPr>
          <w:szCs w:val="18"/>
        </w:rPr>
        <w:t xml:space="preserve"> </w:t>
      </w:r>
    </w:p>
    <w:bookmarkEnd w:id="153"/>
    <w:p w14:paraId="480A570B" w14:textId="77777777" w:rsidR="00511A92" w:rsidRPr="006B2F21" w:rsidRDefault="00511A92" w:rsidP="006B2F21">
      <w:pPr>
        <w:pStyle w:val="BodyText"/>
        <w:numPr>
          <w:ilvl w:val="6"/>
          <w:numId w:val="13"/>
        </w:numPr>
        <w:rPr>
          <w:szCs w:val="18"/>
        </w:rPr>
      </w:pPr>
      <w:r w:rsidRPr="006B2F21">
        <w:rPr>
          <w:szCs w:val="18"/>
        </w:rPr>
        <w:t xml:space="preserve">Under Article 5.1.1 of the TBT Agreement, the assessment of whether access is granted under conditions no less favourable "in a comparable situation" should focus on factors having a </w:t>
      </w:r>
      <w:r w:rsidRPr="006B2F21">
        <w:rPr>
          <w:szCs w:val="18"/>
        </w:rPr>
        <w:lastRenderedPageBreak/>
        <w:t>bearing on the conditions for granting access to conformity assessment to suppliers of like products and the ability of the regulating Member to ensure compliance with the requirements in the underlying technical regulation or standard. Thus, factors relevant to the inquiry of whether a "comparable situation" exists have to affect the specific suppliers to which the conditions for access to conformity assessment granted by the importing Member relate.</w:t>
      </w:r>
    </w:p>
    <w:p w14:paraId="1F2AECB7" w14:textId="53B11C89" w:rsidR="00511A92" w:rsidRPr="006B2F21" w:rsidRDefault="00511A92" w:rsidP="006B2F21">
      <w:pPr>
        <w:pStyle w:val="BodyText"/>
        <w:numPr>
          <w:ilvl w:val="6"/>
          <w:numId w:val="13"/>
        </w:numPr>
        <w:rPr>
          <w:szCs w:val="18"/>
        </w:rPr>
      </w:pPr>
      <w:r w:rsidRPr="006B2F21">
        <w:rPr>
          <w:szCs w:val="18"/>
        </w:rPr>
        <w:t xml:space="preserve">We consider that the Panel did not err in its interpretation of the phrase "in a comparable situation" in Article 5.1.1 of the TBT Agreement. However, in examining factors relevant for establishing the existence of a "comparable situation" in the particular circumstances of this case, the Panel relied too much on information concerning the security situation in Ukraine generally, and did not focus sufficiently on aspects specific to the suppliers who are claimed to have been granted access under less favourable conditions or to the location of the suppliers' facilities. We therefore </w:t>
      </w:r>
      <w:r w:rsidRPr="006B2F21">
        <w:rPr>
          <w:szCs w:val="18"/>
          <w:u w:val="single"/>
        </w:rPr>
        <w:t>find</w:t>
      </w:r>
      <w:r w:rsidRPr="006B2F21">
        <w:rPr>
          <w:szCs w:val="18"/>
        </w:rPr>
        <w:t xml:space="preserve"> that the Panel erred in its application of Article 5.1.1 of the TBT Agreement to the facts of the present case in finding that, between April 2014 and December 2016, Ukrainian suppliers of railway products were denied no less favourable access in a situation that was not comparable to the situation in which Russia granted access to suppliers of Russian railway products and suppliers of railway products from other countries. For the same reasons, we </w:t>
      </w:r>
      <w:r w:rsidRPr="006B2F21">
        <w:rPr>
          <w:szCs w:val="18"/>
          <w:u w:val="single"/>
        </w:rPr>
        <w:t>find</w:t>
      </w:r>
      <w:r w:rsidRPr="006B2F21">
        <w:rPr>
          <w:szCs w:val="18"/>
        </w:rPr>
        <w:t xml:space="preserve"> that the Panel erred in its application of Article 5.1.1 of the TBT Agreement to the facts of the present case in finding that less favourable access conditions were granted to Ukrainian suppliers of railway products in a situation that was not comparable </w:t>
      </w:r>
      <w:r w:rsidR="00CF491E" w:rsidRPr="006B2F21">
        <w:rPr>
          <w:szCs w:val="18"/>
        </w:rPr>
        <w:t>also in the context of</w:t>
      </w:r>
      <w:r w:rsidRPr="006B2F21">
        <w:rPr>
          <w:szCs w:val="18"/>
        </w:rPr>
        <w:t xml:space="preserve"> the two decisions through which the FBO rejected applications submitted by Ukrainian suppliers under CU</w:t>
      </w:r>
      <w:r w:rsidR="00C5280D">
        <w:rPr>
          <w:szCs w:val="18"/>
        </w:rPr>
        <w:t xml:space="preserve"> </w:t>
      </w:r>
      <w:r w:rsidRPr="006B2F21">
        <w:rPr>
          <w:szCs w:val="18"/>
        </w:rPr>
        <w:t>Technical Regulation</w:t>
      </w:r>
      <w:r w:rsidR="00C5280D">
        <w:rPr>
          <w:szCs w:val="18"/>
        </w:rPr>
        <w:t xml:space="preserve"> </w:t>
      </w:r>
      <w:r w:rsidRPr="006B2F21">
        <w:rPr>
          <w:szCs w:val="18"/>
        </w:rPr>
        <w:t>001/2011 (i.e.</w:t>
      </w:r>
      <w:r w:rsidR="00287D7C">
        <w:rPr>
          <w:szCs w:val="18"/>
        </w:rPr>
        <w:t> </w:t>
      </w:r>
      <w:r w:rsidRPr="006B2F21">
        <w:rPr>
          <w:szCs w:val="18"/>
        </w:rPr>
        <w:t>decisions 1 and 2).</w:t>
      </w:r>
    </w:p>
    <w:p w14:paraId="4CC7E1A6" w14:textId="2C0944F7" w:rsidR="00511A92" w:rsidRPr="006B2F21" w:rsidRDefault="00511A92" w:rsidP="006B2F21">
      <w:pPr>
        <w:pStyle w:val="BodyText"/>
        <w:numPr>
          <w:ilvl w:val="6"/>
          <w:numId w:val="13"/>
        </w:numPr>
        <w:rPr>
          <w:szCs w:val="18"/>
        </w:rPr>
      </w:pPr>
      <w:r w:rsidRPr="006B2F21">
        <w:rPr>
          <w:szCs w:val="18"/>
        </w:rPr>
        <w:t xml:space="preserve">Consequently, we </w:t>
      </w:r>
      <w:r w:rsidRPr="006B2F21">
        <w:rPr>
          <w:szCs w:val="18"/>
          <w:u w:val="single"/>
        </w:rPr>
        <w:t>reverse</w:t>
      </w:r>
      <w:r w:rsidRPr="006B2F21">
        <w:rPr>
          <w:szCs w:val="18"/>
        </w:rPr>
        <w:t xml:space="preserve"> the Panel's finding, in paragraphs 7.394 and 8.1.b.i of the Panel Report, that Ukraine failed to establish, </w:t>
      </w:r>
      <w:r w:rsidR="00BD6E12" w:rsidRPr="006B2F21">
        <w:rPr>
          <w:szCs w:val="18"/>
        </w:rPr>
        <w:t xml:space="preserve">with </w:t>
      </w:r>
      <w:r w:rsidRPr="006B2F21">
        <w:rPr>
          <w:szCs w:val="18"/>
        </w:rPr>
        <w:t xml:space="preserve">respect </w:t>
      </w:r>
      <w:r w:rsidR="00BD6E12" w:rsidRPr="006B2F21">
        <w:rPr>
          <w:szCs w:val="18"/>
        </w:rPr>
        <w:t xml:space="preserve">to </w:t>
      </w:r>
      <w:r w:rsidRPr="006B2F21">
        <w:rPr>
          <w:szCs w:val="18"/>
        </w:rPr>
        <w:t xml:space="preserve">each of the 14 challenged instructions suspending certificates, that Russia acted inconsistently with its obligations under Article 5.1.1 of the TBT Agreement. </w:t>
      </w:r>
    </w:p>
    <w:p w14:paraId="6D0CCD3F" w14:textId="79A9D6C2" w:rsidR="00511A92" w:rsidRPr="006B2F21" w:rsidRDefault="00511A92" w:rsidP="006B2F21">
      <w:pPr>
        <w:pStyle w:val="BodyText"/>
        <w:numPr>
          <w:ilvl w:val="6"/>
          <w:numId w:val="13"/>
        </w:numPr>
        <w:rPr>
          <w:szCs w:val="18"/>
        </w:rPr>
      </w:pPr>
      <w:r w:rsidRPr="006B2F21">
        <w:rPr>
          <w:szCs w:val="18"/>
        </w:rPr>
        <w:t xml:space="preserve">We also </w:t>
      </w:r>
      <w:r w:rsidRPr="006B2F21">
        <w:rPr>
          <w:szCs w:val="18"/>
          <w:u w:val="single"/>
        </w:rPr>
        <w:t>reverse</w:t>
      </w:r>
      <w:r w:rsidRPr="006B2F21">
        <w:rPr>
          <w:szCs w:val="18"/>
        </w:rPr>
        <w:t xml:space="preserve"> the Panel's finding, in paragraphs 7.638 and 8.1.c.i of the Panel Report, that Ukraine failed to establish, </w:t>
      </w:r>
      <w:r w:rsidR="00BD6E12" w:rsidRPr="006B2F21">
        <w:rPr>
          <w:szCs w:val="18"/>
        </w:rPr>
        <w:t xml:space="preserve">with </w:t>
      </w:r>
      <w:r w:rsidRPr="006B2F21">
        <w:rPr>
          <w:szCs w:val="18"/>
        </w:rPr>
        <w:t xml:space="preserve">respect </w:t>
      </w:r>
      <w:r w:rsidR="00BD6E12" w:rsidRPr="006B2F21">
        <w:rPr>
          <w:szCs w:val="18"/>
        </w:rPr>
        <w:t xml:space="preserve">to </w:t>
      </w:r>
      <w:r w:rsidRPr="006B2F21">
        <w:rPr>
          <w:szCs w:val="18"/>
        </w:rPr>
        <w:t>the two decisions through which the FBO "returned without consideration" applications for certificates submitted by Ukrainian producers under CU</w:t>
      </w:r>
      <w:r w:rsidR="00287D7C">
        <w:rPr>
          <w:szCs w:val="18"/>
        </w:rPr>
        <w:t> </w:t>
      </w:r>
      <w:r w:rsidRPr="006B2F21">
        <w:rPr>
          <w:szCs w:val="18"/>
        </w:rPr>
        <w:t>Technical Regulation 001/2011, i.e. decisions 1 and 2, that Russia acted inconsistently with its obligations under Article 5.1.1 of the TBT Agreement.</w:t>
      </w:r>
    </w:p>
    <w:p w14:paraId="10A4FB05" w14:textId="77777777" w:rsidR="00C1190C" w:rsidRPr="006B2F21" w:rsidRDefault="00C1190C" w:rsidP="006B2F21">
      <w:pPr>
        <w:pStyle w:val="Heading2"/>
        <w:numPr>
          <w:ilvl w:val="1"/>
          <w:numId w:val="1"/>
        </w:numPr>
        <w:rPr>
          <w:szCs w:val="18"/>
        </w:rPr>
      </w:pPr>
      <w:bookmarkStart w:id="169" w:name="_Toc30690752"/>
      <w:bookmarkStart w:id="170" w:name="_Toc31011540"/>
      <w:bookmarkStart w:id="171" w:name="_Toc31011597"/>
      <w:bookmarkStart w:id="172" w:name="_Toc31018115"/>
      <w:bookmarkStart w:id="173" w:name="_Toc31029530"/>
      <w:bookmarkStart w:id="174" w:name="_Toc31030154"/>
      <w:bookmarkStart w:id="175" w:name="_Toc31030427"/>
      <w:bookmarkStart w:id="176" w:name="_Toc30690753"/>
      <w:bookmarkStart w:id="177" w:name="_Toc31011541"/>
      <w:bookmarkStart w:id="178" w:name="_Toc31011598"/>
      <w:bookmarkStart w:id="179" w:name="_Toc31018116"/>
      <w:bookmarkStart w:id="180" w:name="_Toc31029531"/>
      <w:bookmarkStart w:id="181" w:name="_Toc31030155"/>
      <w:bookmarkStart w:id="182" w:name="_Toc31030428"/>
      <w:bookmarkStart w:id="183" w:name="_Toc30690754"/>
      <w:bookmarkStart w:id="184" w:name="_Toc31011542"/>
      <w:bookmarkStart w:id="185" w:name="_Toc31011599"/>
      <w:bookmarkStart w:id="186" w:name="_Toc31018117"/>
      <w:bookmarkStart w:id="187" w:name="_Toc31029532"/>
      <w:bookmarkStart w:id="188" w:name="_Toc31030156"/>
      <w:bookmarkStart w:id="189" w:name="_Toc31030429"/>
      <w:bookmarkStart w:id="190" w:name="_Toc31381012"/>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6B2F21">
        <w:rPr>
          <w:szCs w:val="18"/>
        </w:rPr>
        <w:t>Ukraine's claim under Article 5.1.2 of the TBT Agreement</w:t>
      </w:r>
      <w:bookmarkEnd w:id="190"/>
      <w:r w:rsidRPr="006B2F21">
        <w:rPr>
          <w:szCs w:val="18"/>
        </w:rPr>
        <w:t xml:space="preserve"> </w:t>
      </w:r>
    </w:p>
    <w:p w14:paraId="243EA285" w14:textId="14E1F0CF" w:rsidR="00C1190C" w:rsidRPr="006B2F21" w:rsidRDefault="00C1190C" w:rsidP="006B2F21">
      <w:pPr>
        <w:pStyle w:val="BodyText"/>
        <w:numPr>
          <w:ilvl w:val="6"/>
          <w:numId w:val="1"/>
        </w:numPr>
        <w:rPr>
          <w:szCs w:val="18"/>
        </w:rPr>
      </w:pPr>
      <w:r w:rsidRPr="006B2F21">
        <w:rPr>
          <w:szCs w:val="18"/>
        </w:rPr>
        <w:t>We now turn to Ukraine's claim that the Panel erred in making an objective assessment of the matter before it pursuant to Article 11 of the DSU in finding that Ukraine had failed to establish that the proposed less trade</w:t>
      </w:r>
      <w:r w:rsidRPr="006B2F21">
        <w:rPr>
          <w:szCs w:val="18"/>
        </w:rPr>
        <w:noBreakHyphen/>
        <w:t>restrictive alternatives were reasonably available, and that Russia acted inconsistently with its obligations under Article 5.1.2 of the TBT Agreement</w:t>
      </w:r>
      <w:r w:rsidRPr="006B2F21">
        <w:rPr>
          <w:rFonts w:eastAsia="Verdana" w:cs="Verdana"/>
          <w:szCs w:val="18"/>
        </w:rPr>
        <w:t xml:space="preserve">. </w:t>
      </w:r>
      <w:r w:rsidRPr="006B2F21">
        <w:rPr>
          <w:szCs w:val="18"/>
        </w:rPr>
        <w:t>Ukraine requests us to reverse the conclusions in paragraphs 8.1.b.ii and 8.1.c.iii of the Panel Report and find that the Panel failed to make an objective assessment of the matter before it under Article 11 of the DSU in finding that Ukraine had failed to establish, with respect to each of the 14 instructions, that Russia had acted inconsistently with its obligations under Article 5.1.2 of the TBT Agreement</w:t>
      </w:r>
      <w:r w:rsidRPr="006B2F21">
        <w:rPr>
          <w:rFonts w:eastAsia="Verdana" w:cs="Verdana"/>
          <w:szCs w:val="18"/>
        </w:rPr>
        <w:t>.</w:t>
      </w:r>
      <w:r w:rsidRPr="006B2F21">
        <w:rPr>
          <w:rStyle w:val="FootnoteReference"/>
          <w:rFonts w:eastAsia="Verdana" w:cs="Verdana"/>
          <w:szCs w:val="18"/>
        </w:rPr>
        <w:footnoteReference w:id="400"/>
      </w:r>
      <w:r w:rsidRPr="006B2F21">
        <w:rPr>
          <w:szCs w:val="18"/>
        </w:rPr>
        <w:t xml:space="preserve"> In Ukraine's view, the Panel's assessment of the facts in this respect "lack[s] objectivity, adequate reasoning and explanations, </w:t>
      </w:r>
      <w:r w:rsidR="004B08A6" w:rsidRPr="006B2F21">
        <w:rPr>
          <w:szCs w:val="18"/>
        </w:rPr>
        <w:t xml:space="preserve">and </w:t>
      </w:r>
      <w:r w:rsidRPr="006B2F21">
        <w:rPr>
          <w:szCs w:val="18"/>
        </w:rPr>
        <w:t>[is] not impartial", and the Panel accepted Russia's "unsubstantiated assertions".</w:t>
      </w:r>
      <w:r w:rsidRPr="006B2F21">
        <w:rPr>
          <w:rStyle w:val="FootnoteReference"/>
          <w:szCs w:val="18"/>
        </w:rPr>
        <w:footnoteReference w:id="401"/>
      </w:r>
      <w:r w:rsidRPr="006B2F21">
        <w:rPr>
          <w:szCs w:val="18"/>
        </w:rPr>
        <w:t xml:space="preserve"> </w:t>
      </w:r>
    </w:p>
    <w:p w14:paraId="11ED9409" w14:textId="77777777" w:rsidR="00C1190C" w:rsidRPr="006B2F21" w:rsidRDefault="00C1190C" w:rsidP="006B2F21">
      <w:pPr>
        <w:pStyle w:val="Heading3"/>
        <w:numPr>
          <w:ilvl w:val="2"/>
          <w:numId w:val="16"/>
        </w:numPr>
        <w:rPr>
          <w:szCs w:val="18"/>
        </w:rPr>
      </w:pPr>
      <w:bookmarkStart w:id="191" w:name="_Toc26805639"/>
      <w:bookmarkStart w:id="192" w:name="_Toc31381013"/>
      <w:r w:rsidRPr="006B2F21">
        <w:rPr>
          <w:szCs w:val="18"/>
        </w:rPr>
        <w:t>The Panel's findings</w:t>
      </w:r>
      <w:bookmarkEnd w:id="191"/>
      <w:bookmarkEnd w:id="192"/>
    </w:p>
    <w:p w14:paraId="6254D294" w14:textId="77777777" w:rsidR="00C1190C" w:rsidRPr="006B2F21" w:rsidRDefault="00C1190C" w:rsidP="006B2F21">
      <w:pPr>
        <w:pStyle w:val="BodyText"/>
        <w:numPr>
          <w:ilvl w:val="6"/>
          <w:numId w:val="1"/>
        </w:numPr>
        <w:rPr>
          <w:szCs w:val="18"/>
        </w:rPr>
      </w:pPr>
      <w:r w:rsidRPr="006B2F21">
        <w:rPr>
          <w:szCs w:val="18"/>
        </w:rPr>
        <w:t>The Panel began by setting out its interpretation of Article 5.1.2 of the TBT Agreement. The Panel observed that Article 5.1.2 stipulates, in its first sentence, a general obligation not to prepare, adopt, or apply conformity assessment procedures with a view to or with the effect of creating unnecessary obstacles to international trade. In turn, an example of a situation where an inconsistency with that general obligation would arise is set out in the second sentence of Article 5.1.2.</w:t>
      </w:r>
      <w:r w:rsidRPr="006B2F21">
        <w:rPr>
          <w:rStyle w:val="FootnoteReference"/>
          <w:szCs w:val="18"/>
        </w:rPr>
        <w:footnoteReference w:id="402"/>
      </w:r>
      <w:r w:rsidRPr="006B2F21">
        <w:rPr>
          <w:szCs w:val="18"/>
        </w:rPr>
        <w:t xml:space="preserve"> With respect to the first sentence, the Panel concluded that the reference in Article 5.1.2 to "unnecessary obstacles to international trade" refers to the notion of "necessity"</w:t>
      </w:r>
      <w:r w:rsidRPr="006B2F21">
        <w:rPr>
          <w:rStyle w:val="FootnoteReference"/>
          <w:szCs w:val="18"/>
        </w:rPr>
        <w:footnoteReference w:id="403"/>
      </w:r>
      <w:r w:rsidRPr="006B2F21">
        <w:rPr>
          <w:szCs w:val="18"/>
        </w:rPr>
        <w:t xml:space="preserve"> </w:t>
      </w:r>
      <w:r w:rsidRPr="006B2F21">
        <w:rPr>
          <w:szCs w:val="18"/>
        </w:rPr>
        <w:lastRenderedPageBreak/>
        <w:t>and in that respect bears certain similarity with Article 2.2 of the TBT Agreement. At the same time, Article 5.1.2 and Article 2.2 of the TBT Agreement differ with respect to the relationship between the first and the second sentences of these two provisions. Specifically, in the Panel's view, unlike Article 2.2, the second sentence of Article 5.1.2 does not qualify the terms of the first sentence. The Panel thus concluded that a finding of inconsistency with the first sentence of Article 5.1.2 may rest entirely on findings made with respect to the second sentence of Article 5.1.2.</w:t>
      </w:r>
      <w:r w:rsidRPr="006B2F21">
        <w:rPr>
          <w:rStyle w:val="FootnoteReference"/>
          <w:szCs w:val="18"/>
        </w:rPr>
        <w:footnoteReference w:id="404"/>
      </w:r>
    </w:p>
    <w:p w14:paraId="6B1F6DE3" w14:textId="3EF8B07E" w:rsidR="00C1190C" w:rsidRPr="006B2F21" w:rsidRDefault="00C1190C" w:rsidP="006B2F21">
      <w:pPr>
        <w:pStyle w:val="BodyText"/>
        <w:numPr>
          <w:ilvl w:val="6"/>
          <w:numId w:val="1"/>
        </w:numPr>
        <w:rPr>
          <w:szCs w:val="18"/>
        </w:rPr>
      </w:pPr>
      <w:r w:rsidRPr="006B2F21">
        <w:rPr>
          <w:szCs w:val="18"/>
        </w:rPr>
        <w:t>With respect to the second sentence of Article 5.1.2, the Panel examined the similarities and differences between that provision and the second sentence of Article 2.2 of the TBT Agreement. The Panel considered that both provisions concern the notion of "necessity", and thus found it useful to consider the Appellate Body</w:t>
      </w:r>
      <w:r w:rsidR="00CF491E" w:rsidRPr="006B2F21">
        <w:rPr>
          <w:szCs w:val="18"/>
        </w:rPr>
        <w:t>'s</w:t>
      </w:r>
      <w:r w:rsidRPr="006B2F21">
        <w:rPr>
          <w:szCs w:val="18"/>
        </w:rPr>
        <w:t xml:space="preserve"> findings relating to the second sentence of Article 2.2.</w:t>
      </w:r>
      <w:r w:rsidRPr="006B2F21">
        <w:rPr>
          <w:rStyle w:val="FootnoteReference"/>
          <w:szCs w:val="18"/>
        </w:rPr>
        <w:footnoteReference w:id="405"/>
      </w:r>
      <w:r w:rsidRPr="006B2F21">
        <w:rPr>
          <w:szCs w:val="18"/>
        </w:rPr>
        <w:t xml:space="preserve"> The Panel further noted that, while the second sentence of Article 2.2 uses the phrase "necessary to fulfil a legitimate objective", the second sentence of Article 5.1.2 uses the phrase "necessary to give the importing Member adequate confidence that the products conform with the applicable technical regulations or standards". In the Panel's view, this textual difference </w:t>
      </w:r>
      <w:r w:rsidR="005B6124" w:rsidRPr="006B2F21">
        <w:rPr>
          <w:szCs w:val="18"/>
        </w:rPr>
        <w:t xml:space="preserve">indicates </w:t>
      </w:r>
      <w:r w:rsidRPr="006B2F21">
        <w:rPr>
          <w:szCs w:val="18"/>
        </w:rPr>
        <w:t>that the second sentence of Article 5.1.2 is limited to the objective of giving the importing Member adequate confidence of conformity.</w:t>
      </w:r>
      <w:r w:rsidRPr="006B2F21">
        <w:rPr>
          <w:rStyle w:val="FootnoteReference"/>
          <w:szCs w:val="18"/>
        </w:rPr>
        <w:footnoteReference w:id="406"/>
      </w:r>
      <w:r w:rsidRPr="006B2F21">
        <w:rPr>
          <w:szCs w:val="18"/>
        </w:rPr>
        <w:t xml:space="preserve"> </w:t>
      </w:r>
    </w:p>
    <w:p w14:paraId="2FC79833" w14:textId="77777777" w:rsidR="00C1190C" w:rsidRPr="006B2F21" w:rsidRDefault="00C1190C" w:rsidP="006B2F21">
      <w:pPr>
        <w:pStyle w:val="BodyText"/>
        <w:numPr>
          <w:ilvl w:val="6"/>
          <w:numId w:val="1"/>
        </w:numPr>
        <w:rPr>
          <w:szCs w:val="18"/>
        </w:rPr>
      </w:pPr>
      <w:r w:rsidRPr="006B2F21">
        <w:rPr>
          <w:szCs w:val="18"/>
        </w:rPr>
        <w:t xml:space="preserve">Furthermore, the Panel noted that the second sentence of Article 2.2 refers to the concept of "trade restrictiveness", while Article 5.1.2 refers to the concepts of </w:t>
      </w:r>
      <w:r w:rsidRPr="006B2F21">
        <w:rPr>
          <w:i/>
          <w:szCs w:val="18"/>
        </w:rPr>
        <w:t>strictness</w:t>
      </w:r>
      <w:r w:rsidRPr="006B2F21">
        <w:rPr>
          <w:szCs w:val="18"/>
        </w:rPr>
        <w:t xml:space="preserve"> or </w:t>
      </w:r>
      <w:r w:rsidRPr="006B2F21">
        <w:rPr>
          <w:i/>
          <w:szCs w:val="18"/>
        </w:rPr>
        <w:t>strict application</w:t>
      </w:r>
      <w:r w:rsidRPr="006B2F21">
        <w:rPr>
          <w:szCs w:val="18"/>
        </w:rPr>
        <w:t>.</w:t>
      </w:r>
      <w:r w:rsidRPr="006B2F21">
        <w:rPr>
          <w:rStyle w:val="FootnoteReference"/>
          <w:szCs w:val="18"/>
        </w:rPr>
        <w:footnoteReference w:id="407"/>
      </w:r>
      <w:r w:rsidRPr="006B2F21">
        <w:rPr>
          <w:szCs w:val="18"/>
        </w:rPr>
        <w:t xml:space="preserve"> As the Panel saw it, a conformity assessment procedure that is more trade</w:t>
      </w:r>
      <w:r w:rsidRPr="006B2F21">
        <w:rPr>
          <w:szCs w:val="18"/>
        </w:rPr>
        <w:noBreakHyphen/>
        <w:t>restrictive (or is applied in a more trade</w:t>
      </w:r>
      <w:r w:rsidRPr="006B2F21">
        <w:rPr>
          <w:szCs w:val="18"/>
        </w:rPr>
        <w:noBreakHyphen/>
        <w:t xml:space="preserve">restrictive manner) than necessary, would constitute a conformity assessment procedure that is more strict (or applied more strictly) than necessary. However, the Panel reasoned, there may be other ways (not involving the restriction of trade </w:t>
      </w:r>
      <w:r w:rsidRPr="006B2F21">
        <w:rPr>
          <w:i/>
          <w:szCs w:val="18"/>
        </w:rPr>
        <w:t>per se</w:t>
      </w:r>
      <w:r w:rsidRPr="006B2F21">
        <w:rPr>
          <w:szCs w:val="18"/>
        </w:rPr>
        <w:t>) in which a conformity assessment procedure could be more strict, or could be applied more strictly, than necessary and could thus fail to comply with the second sentence of Article 5.1.2.</w:t>
      </w:r>
      <w:r w:rsidRPr="006B2F21">
        <w:rPr>
          <w:rStyle w:val="FootnoteReference"/>
          <w:szCs w:val="18"/>
        </w:rPr>
        <w:footnoteReference w:id="408"/>
      </w:r>
    </w:p>
    <w:p w14:paraId="1726A463" w14:textId="77777777" w:rsidR="00C1190C" w:rsidRPr="006B2F21" w:rsidRDefault="00C1190C" w:rsidP="006B2F21">
      <w:pPr>
        <w:pStyle w:val="BodyText"/>
        <w:numPr>
          <w:ilvl w:val="6"/>
          <w:numId w:val="1"/>
        </w:numPr>
        <w:rPr>
          <w:szCs w:val="18"/>
        </w:rPr>
      </w:pPr>
      <w:r w:rsidRPr="006B2F21">
        <w:rPr>
          <w:szCs w:val="18"/>
        </w:rPr>
        <w:t>The Panel explained that, based on these considerations, it would undertake a holistic weighing and balancing of the following factors to determine whether Russia applies its conformity assessment procedure consistently with the second sentence of Article 5.1.2: (i) the contribution of Russia's application of its conformity assessment procedure to the objective of giving Russia adequate confidence that Ukrainian railway products conform with the relevant technical regulations; (ii) the strictness of the manner in which Russia applies its conformity assessment procedure; and (iii) the "nature and gravity" of the risks that non</w:t>
      </w:r>
      <w:r w:rsidRPr="006B2F21">
        <w:rPr>
          <w:szCs w:val="18"/>
        </w:rPr>
        <w:noBreakHyphen/>
        <w:t>conformity would create. The Panel stated that, moreover, it would compare the manner of applying the procedure chosen by Russia against the alternative manners of applying Russia's conformity assessment procedure suggested by Ukraine, except if the manner of applying the procedure chosen by Russia does not contribute to giving Russia adequate confidence of conformity.</w:t>
      </w:r>
      <w:r w:rsidRPr="006B2F21">
        <w:rPr>
          <w:rStyle w:val="FootnoteReference"/>
          <w:szCs w:val="18"/>
        </w:rPr>
        <w:footnoteReference w:id="409"/>
      </w:r>
      <w:r w:rsidRPr="006B2F21">
        <w:rPr>
          <w:szCs w:val="18"/>
        </w:rPr>
        <w:t xml:space="preserve"> </w:t>
      </w:r>
    </w:p>
    <w:p w14:paraId="407D24DC" w14:textId="77777777" w:rsidR="00C1190C" w:rsidRPr="006B2F21" w:rsidRDefault="00C1190C" w:rsidP="006B2F21">
      <w:pPr>
        <w:pStyle w:val="BodyText"/>
        <w:numPr>
          <w:ilvl w:val="6"/>
          <w:numId w:val="1"/>
        </w:numPr>
        <w:rPr>
          <w:szCs w:val="18"/>
        </w:rPr>
      </w:pPr>
      <w:r w:rsidRPr="006B2F21">
        <w:rPr>
          <w:szCs w:val="18"/>
        </w:rPr>
        <w:t>With respect to the burden of proof, the Panel considered how the Appellate Body and a previous panel had allocated the burden of proof under Article 2.2.</w:t>
      </w:r>
      <w:r w:rsidRPr="006B2F21">
        <w:rPr>
          <w:rStyle w:val="FootnoteReference"/>
          <w:szCs w:val="18"/>
        </w:rPr>
        <w:footnoteReference w:id="410"/>
      </w:r>
      <w:r w:rsidRPr="006B2F21">
        <w:rPr>
          <w:szCs w:val="18"/>
        </w:rPr>
        <w:t xml:space="preserve"> Specifically, in the Panel's view, identification of a less strict manner of application alone is not a sufficient basis for a panel to find that the importing Member's manner of applying its conformity assessment procedure is more strict than necessary to give that Member adequate confidence of conformity.</w:t>
      </w:r>
      <w:r w:rsidRPr="006B2F21">
        <w:rPr>
          <w:rStyle w:val="FootnoteReference"/>
          <w:szCs w:val="18"/>
        </w:rPr>
        <w:footnoteReference w:id="411"/>
      </w:r>
      <w:r w:rsidRPr="006B2F21">
        <w:rPr>
          <w:szCs w:val="18"/>
        </w:rPr>
        <w:t xml:space="preserve"> The Panel therefore considered that a complaining party raising an alternative manner of applying a conformity assessment procedure needs to make a </w:t>
      </w:r>
      <w:r w:rsidRPr="006B2F21">
        <w:rPr>
          <w:i/>
          <w:szCs w:val="18"/>
        </w:rPr>
        <w:t xml:space="preserve">prima facie </w:t>
      </w:r>
      <w:r w:rsidRPr="006B2F21">
        <w:rPr>
          <w:szCs w:val="18"/>
        </w:rPr>
        <w:t>case that such an alternative manner of application: (i) is less strict; (ii) makes an equivalent contribution to the objective of providing the importing Member adequate confidence of conformity; and (iii) is reasonably available to the importing Member.</w:t>
      </w:r>
      <w:r w:rsidRPr="006B2F21">
        <w:rPr>
          <w:rStyle w:val="FootnoteReference"/>
          <w:szCs w:val="18"/>
        </w:rPr>
        <w:footnoteReference w:id="412"/>
      </w:r>
    </w:p>
    <w:p w14:paraId="1BFBDCEC" w14:textId="6597A7B7" w:rsidR="00C1190C" w:rsidRPr="006B2F21" w:rsidRDefault="00C1190C" w:rsidP="006B2F21">
      <w:pPr>
        <w:pStyle w:val="BodyText"/>
        <w:numPr>
          <w:ilvl w:val="6"/>
          <w:numId w:val="1"/>
        </w:numPr>
        <w:rPr>
          <w:szCs w:val="18"/>
        </w:rPr>
      </w:pPr>
      <w:r w:rsidRPr="006B2F21">
        <w:rPr>
          <w:szCs w:val="18"/>
        </w:rPr>
        <w:t xml:space="preserve">The Panel considered that the suspension of certificates, as Russia's chosen manner of applying its conformity assessment procedure, contributes substantially to the objective of giving Russia adequate confidence of continued conformity of the Ukrainian railway products covered by </w:t>
      </w:r>
      <w:r w:rsidRPr="006B2F21">
        <w:rPr>
          <w:szCs w:val="18"/>
        </w:rPr>
        <w:lastRenderedPageBreak/>
        <w:t>the 14 suspended certificates.</w:t>
      </w:r>
      <w:r w:rsidRPr="006B2F21">
        <w:rPr>
          <w:rStyle w:val="FootnoteReference"/>
          <w:szCs w:val="18"/>
        </w:rPr>
        <w:footnoteReference w:id="413"/>
      </w:r>
      <w:r w:rsidRPr="006B2F21">
        <w:rPr>
          <w:szCs w:val="18"/>
        </w:rPr>
        <w:t xml:space="preserve"> Furthermore, the Panel found the suspension of certificates substantially restricts trade, and can be considered as a strict manner of application, albeit withdrawal of certificates would be an even stricter manner.</w:t>
      </w:r>
      <w:r w:rsidRPr="006B2F21">
        <w:rPr>
          <w:rStyle w:val="FootnoteReference"/>
          <w:szCs w:val="18"/>
        </w:rPr>
        <w:footnoteReference w:id="414"/>
      </w:r>
      <w:r w:rsidRPr="006B2F21">
        <w:rPr>
          <w:szCs w:val="18"/>
        </w:rPr>
        <w:t xml:space="preserve"> Finally, in the Panel's view, non</w:t>
      </w:r>
      <w:r w:rsidRPr="006B2F21">
        <w:rPr>
          <w:szCs w:val="18"/>
        </w:rPr>
        <w:noBreakHyphen/>
        <w:t>conforming railway products may lead to accidents such as train derailments, which</w:t>
      </w:r>
      <w:r w:rsidR="00CF491E" w:rsidRPr="006B2F21">
        <w:rPr>
          <w:szCs w:val="18"/>
        </w:rPr>
        <w:t>,</w:t>
      </w:r>
      <w:r w:rsidRPr="006B2F21">
        <w:rPr>
          <w:szCs w:val="18"/>
        </w:rPr>
        <w:t xml:space="preserve"> in turn, may cause great harm to human, animal, and plant life or health. The Panel considered that, in view of the products concerned (certain railway rolling stock, railroad switches, other railroad equipment, and parts thereof covered by the suspended certificates), the consequences of a failure of any such products, due to non</w:t>
      </w:r>
      <w:r w:rsidRPr="006B2F21">
        <w:rPr>
          <w:szCs w:val="18"/>
        </w:rPr>
        <w:noBreakHyphen/>
        <w:t>conformity with the underlying technical regulations, could reasonably be expected to create substantial risks to human, animal, and plant life or health, as well as to the environment.</w:t>
      </w:r>
      <w:r w:rsidRPr="006B2F21">
        <w:rPr>
          <w:rStyle w:val="FootnoteReference"/>
          <w:szCs w:val="18"/>
        </w:rPr>
        <w:footnoteReference w:id="415"/>
      </w:r>
      <w:r w:rsidRPr="006B2F21">
        <w:rPr>
          <w:szCs w:val="18"/>
        </w:rPr>
        <w:t xml:space="preserve"> </w:t>
      </w:r>
    </w:p>
    <w:p w14:paraId="28570AC6" w14:textId="1EC7BC9C" w:rsidR="00C1190C" w:rsidRPr="006B2F21" w:rsidRDefault="00C1190C" w:rsidP="006B2F21">
      <w:pPr>
        <w:pStyle w:val="BodyText"/>
        <w:numPr>
          <w:ilvl w:val="6"/>
          <w:numId w:val="1"/>
        </w:numPr>
        <w:rPr>
          <w:szCs w:val="18"/>
        </w:rPr>
      </w:pPr>
      <w:r w:rsidRPr="006B2F21">
        <w:rPr>
          <w:szCs w:val="18"/>
        </w:rPr>
        <w:t>With respect to the first alternative identified by Ukraine, for Russian authorities to communicate with Ukrainian producers, the Panel considered that the alternative had an uncertain outcome and could theoretically lead to a situation that would allow the conformity assessment procedure to continue, just as it could lead to a situation where it would not continue and certificates would be suspended.</w:t>
      </w:r>
      <w:r w:rsidRPr="006B2F21">
        <w:rPr>
          <w:rStyle w:val="FootnoteReference"/>
          <w:szCs w:val="18"/>
        </w:rPr>
        <w:footnoteReference w:id="416"/>
      </w:r>
      <w:r w:rsidRPr="006B2F21">
        <w:rPr>
          <w:szCs w:val="18"/>
        </w:rPr>
        <w:t xml:space="preserve"> Furthermore, the Panel noted that the Ukrainian producers' letters to the FBO</w:t>
      </w:r>
      <w:r w:rsidR="00A36E06" w:rsidRPr="006B2F21">
        <w:rPr>
          <w:szCs w:val="18"/>
        </w:rPr>
        <w:t>,</w:t>
      </w:r>
      <w:r w:rsidRPr="006B2F21">
        <w:rPr>
          <w:szCs w:val="18"/>
        </w:rPr>
        <w:t xml:space="preserve"> offering private security arrangements with a view to allowing inspections to proceed</w:t>
      </w:r>
      <w:r w:rsidR="00A36E06" w:rsidRPr="006B2F21">
        <w:rPr>
          <w:szCs w:val="18"/>
        </w:rPr>
        <w:t>,</w:t>
      </w:r>
      <w:r w:rsidRPr="006B2F21">
        <w:rPr>
          <w:szCs w:val="18"/>
        </w:rPr>
        <w:t xml:space="preserve"> did not remove the FBO's concerns about sending inspectors to conduct inspections in Ukraine and the certificates remained suspended.</w:t>
      </w:r>
      <w:r w:rsidRPr="006B2F21">
        <w:rPr>
          <w:rStyle w:val="FootnoteReference"/>
          <w:szCs w:val="18"/>
        </w:rPr>
        <w:footnoteReference w:id="417"/>
      </w:r>
      <w:r w:rsidRPr="006B2F21">
        <w:rPr>
          <w:szCs w:val="18"/>
        </w:rPr>
        <w:t xml:space="preserve"> Finally, the Panel observed that Ukraine did not elaborate on why it was not reasonable for the FBO to consider that the arrangements for conducting inspection control in Ukraine that had been proposed by Ukrainian producers were not satisfactory or sufficient, and whether, under Russia's domestic law, the FBO could delay suspending certificates of products whose continued conformity could not be verified.</w:t>
      </w:r>
      <w:r w:rsidRPr="006B2F21">
        <w:rPr>
          <w:rStyle w:val="FootnoteReference"/>
          <w:szCs w:val="18"/>
        </w:rPr>
        <w:footnoteReference w:id="418"/>
      </w:r>
      <w:r w:rsidRPr="006B2F21">
        <w:rPr>
          <w:szCs w:val="18"/>
        </w:rPr>
        <w:t xml:space="preserve"> Accordingly, the Panel found that Ukraine had not established that communicating with the relevant five Ukrainian producers is a less strict manner of applying Russia's conformity assessment procedure that </w:t>
      </w:r>
      <w:r w:rsidR="00730F43" w:rsidRPr="006B2F21">
        <w:rPr>
          <w:szCs w:val="18"/>
        </w:rPr>
        <w:t xml:space="preserve">would have been </w:t>
      </w:r>
      <w:r w:rsidRPr="006B2F21">
        <w:rPr>
          <w:szCs w:val="18"/>
        </w:rPr>
        <w:t>reasonably available to Russia.</w:t>
      </w:r>
      <w:r w:rsidRPr="006B2F21">
        <w:rPr>
          <w:rStyle w:val="FootnoteReference"/>
          <w:szCs w:val="18"/>
        </w:rPr>
        <w:footnoteReference w:id="419"/>
      </w:r>
    </w:p>
    <w:p w14:paraId="2E451AE2" w14:textId="6F9B8011" w:rsidR="00C1190C" w:rsidRPr="006B2F21" w:rsidRDefault="00C1190C" w:rsidP="006B2F21">
      <w:pPr>
        <w:pStyle w:val="BodyText"/>
        <w:numPr>
          <w:ilvl w:val="6"/>
          <w:numId w:val="1"/>
        </w:numPr>
        <w:rPr>
          <w:szCs w:val="18"/>
        </w:rPr>
      </w:pPr>
      <w:r w:rsidRPr="006B2F21">
        <w:rPr>
          <w:szCs w:val="18"/>
        </w:rPr>
        <w:t>With respect to the second alternative identified by Ukraine, entrusting inspections in Ukraine to the competent authorities of Kazakhstan or Belarus, the Panel noted that it was not self</w:t>
      </w:r>
      <w:r w:rsidRPr="006B2F21">
        <w:rPr>
          <w:szCs w:val="18"/>
        </w:rPr>
        <w:noBreakHyphen/>
        <w:t>evident that the FBO has the power to entrust foreign government authorities to carry out tasks entrusted to it. Moreover, the Panel observed that Ukraine had not provided any evidence of prior instances of the FBO entrusting certification bodies in other countries with the conduct of inspections abroad, and thus considered that Ukraine had not met its burden to establish that this alternative is available to Russia.</w:t>
      </w:r>
      <w:r w:rsidRPr="006B2F21">
        <w:rPr>
          <w:rStyle w:val="FootnoteReference"/>
          <w:szCs w:val="18"/>
        </w:rPr>
        <w:footnoteReference w:id="420"/>
      </w:r>
      <w:r w:rsidRPr="006B2F21">
        <w:rPr>
          <w:szCs w:val="18"/>
        </w:rPr>
        <w:t xml:space="preserve"> Accordingly, the Panel found that Ukraine had failed to establish that entrusting the competent authorities of Belarus and Kazakhstan with the conduct of inspections in Ukraine is a less strict manner of applying Russia's conformity assessment procedure that </w:t>
      </w:r>
      <w:r w:rsidR="00730F43" w:rsidRPr="006B2F21">
        <w:rPr>
          <w:szCs w:val="18"/>
        </w:rPr>
        <w:t xml:space="preserve">would have been </w:t>
      </w:r>
      <w:r w:rsidRPr="006B2F21">
        <w:rPr>
          <w:szCs w:val="18"/>
        </w:rPr>
        <w:t>reasonably available to Russia.</w:t>
      </w:r>
      <w:r w:rsidRPr="006B2F21">
        <w:rPr>
          <w:rStyle w:val="FootnoteReference"/>
          <w:szCs w:val="18"/>
        </w:rPr>
        <w:footnoteReference w:id="421"/>
      </w:r>
    </w:p>
    <w:p w14:paraId="2C25187C" w14:textId="6BA342B8" w:rsidR="00C1190C" w:rsidRPr="006B2F21" w:rsidRDefault="00C1190C" w:rsidP="006B2F21">
      <w:pPr>
        <w:pStyle w:val="BodyText"/>
        <w:numPr>
          <w:ilvl w:val="6"/>
          <w:numId w:val="1"/>
        </w:numPr>
        <w:rPr>
          <w:szCs w:val="18"/>
        </w:rPr>
      </w:pPr>
      <w:r w:rsidRPr="006B2F21">
        <w:rPr>
          <w:szCs w:val="18"/>
        </w:rPr>
        <w:t>With respect to the third alternative identified by Ukraine, accrediting non</w:t>
      </w:r>
      <w:r w:rsidRPr="006B2F21">
        <w:rPr>
          <w:szCs w:val="18"/>
        </w:rPr>
        <w:noBreakHyphen/>
        <w:t xml:space="preserve">Russian experts or organizations to conduct inspections in Ukraine, the Panel understood that Ukraine referred to the possibility of appointing experts, provided for in Article 10 of </w:t>
      </w:r>
      <w:r w:rsidRPr="006B2F21">
        <w:rPr>
          <w:rFonts w:eastAsia="Verdana" w:cs="Verdana"/>
          <w:szCs w:val="18"/>
        </w:rPr>
        <w:t>Certification System for Federal Railway Transport (</w:t>
      </w:r>
      <w:r w:rsidRPr="006B2F21">
        <w:rPr>
          <w:szCs w:val="18"/>
        </w:rPr>
        <w:t>CS FRT 01</w:t>
      </w:r>
      <w:r w:rsidRPr="006B2F21">
        <w:rPr>
          <w:szCs w:val="18"/>
        </w:rPr>
        <w:noBreakHyphen/>
        <w:t>96).</w:t>
      </w:r>
      <w:r w:rsidRPr="006B2F21">
        <w:rPr>
          <w:rStyle w:val="FootnoteReference"/>
          <w:szCs w:val="18"/>
        </w:rPr>
        <w:footnoteReference w:id="422"/>
      </w:r>
      <w:r w:rsidRPr="006B2F21">
        <w:rPr>
          <w:szCs w:val="18"/>
        </w:rPr>
        <w:t xml:space="preserve"> However, for the Panel, it was not clear that this provision provides for the possibility of accrediting non</w:t>
      </w:r>
      <w:r w:rsidRPr="006B2F21">
        <w:rPr>
          <w:szCs w:val="18"/>
        </w:rPr>
        <w:noBreakHyphen/>
        <w:t>Russian experts to conduct on</w:t>
      </w:r>
      <w:r w:rsidRPr="006B2F21">
        <w:rPr>
          <w:szCs w:val="18"/>
        </w:rPr>
        <w:noBreakHyphen/>
        <w:t>site inspections. While Article 10 did not specify the nationality that accredited experts must have, Ukraine had not provided any evidence to indicate that non</w:t>
      </w:r>
      <w:r w:rsidRPr="006B2F21">
        <w:rPr>
          <w:szCs w:val="18"/>
        </w:rPr>
        <w:noBreakHyphen/>
        <w:t xml:space="preserve">Russian experts </w:t>
      </w:r>
      <w:r w:rsidR="00EA61B0" w:rsidRPr="006B2F21">
        <w:rPr>
          <w:szCs w:val="18"/>
        </w:rPr>
        <w:t xml:space="preserve">had </w:t>
      </w:r>
      <w:r w:rsidRPr="006B2F21">
        <w:rPr>
          <w:szCs w:val="18"/>
        </w:rPr>
        <w:t xml:space="preserve">been accredited. The Panel further noted that the system in place is one where experts seek accreditation and does not contemplate that the </w:t>
      </w:r>
      <w:r w:rsidRPr="006B2F21">
        <w:rPr>
          <w:szCs w:val="18"/>
        </w:rPr>
        <w:lastRenderedPageBreak/>
        <w:t>Ministry approaches experts and issues them accreditation certificates and licences.</w:t>
      </w:r>
      <w:r w:rsidRPr="006B2F21">
        <w:rPr>
          <w:rStyle w:val="FootnoteReference"/>
          <w:szCs w:val="18"/>
        </w:rPr>
        <w:footnoteReference w:id="423"/>
      </w:r>
      <w:r w:rsidRPr="006B2F21">
        <w:rPr>
          <w:szCs w:val="18"/>
        </w:rPr>
        <w:t xml:space="preserve"> There was also no evidence on the record to indicate that, at the time that the 14 instructions suspending certificates were issued, there were non</w:t>
      </w:r>
      <w:r w:rsidRPr="006B2F21">
        <w:rPr>
          <w:szCs w:val="18"/>
        </w:rPr>
        <w:noBreakHyphen/>
        <w:t>Russian experts qualified to conduct inspection control in Ukraine with valid Russian accreditation certificates. Finally, the Panel observed that there was also no evidence of prior instances of the FBO using accredited experts to conduct inspections abroad.</w:t>
      </w:r>
      <w:r w:rsidRPr="006B2F21">
        <w:rPr>
          <w:rStyle w:val="FootnoteReference"/>
          <w:szCs w:val="18"/>
        </w:rPr>
        <w:footnoteReference w:id="424"/>
      </w:r>
      <w:r w:rsidRPr="006B2F21">
        <w:rPr>
          <w:szCs w:val="18"/>
        </w:rPr>
        <w:t xml:space="preserve"> Accordingly, the Panel found that Ukraine had failed to establish that accrediting non</w:t>
      </w:r>
      <w:r w:rsidRPr="006B2F21">
        <w:rPr>
          <w:szCs w:val="18"/>
        </w:rPr>
        <w:noBreakHyphen/>
        <w:t xml:space="preserve">Russian experts or organizations is a less strict manner of applying Russia's conformity assessment procedure that </w:t>
      </w:r>
      <w:r w:rsidR="005B6124" w:rsidRPr="006B2F21">
        <w:rPr>
          <w:szCs w:val="18"/>
        </w:rPr>
        <w:t xml:space="preserve">would have been </w:t>
      </w:r>
      <w:r w:rsidRPr="006B2F21">
        <w:rPr>
          <w:szCs w:val="18"/>
        </w:rPr>
        <w:t>reasonably available to Russia.</w:t>
      </w:r>
      <w:r w:rsidRPr="006B2F21">
        <w:rPr>
          <w:rStyle w:val="FootnoteReference"/>
          <w:szCs w:val="18"/>
        </w:rPr>
        <w:footnoteReference w:id="425"/>
      </w:r>
    </w:p>
    <w:p w14:paraId="2629125C" w14:textId="0609FE70" w:rsidR="00C1190C" w:rsidRPr="006B2F21" w:rsidRDefault="00C1190C" w:rsidP="006B2F21">
      <w:pPr>
        <w:pStyle w:val="BodyText"/>
        <w:numPr>
          <w:ilvl w:val="6"/>
          <w:numId w:val="1"/>
        </w:numPr>
        <w:rPr>
          <w:szCs w:val="18"/>
        </w:rPr>
      </w:pPr>
      <w:r w:rsidRPr="006B2F21">
        <w:rPr>
          <w:szCs w:val="18"/>
        </w:rPr>
        <w:t>With respect to the fourth alternative identified by Ukraine, conducting off</w:t>
      </w:r>
      <w:r w:rsidRPr="006B2F21">
        <w:rPr>
          <w:szCs w:val="18"/>
        </w:rPr>
        <w:noBreakHyphen/>
        <w:t xml:space="preserve">site inspections, the Panel observed that the main point of contention between the parties was whether, under Article 7.4.1 of the Organization Standard СTO </w:t>
      </w:r>
      <w:r w:rsidR="00A8592A" w:rsidRPr="006B2F21">
        <w:rPr>
          <w:rFonts w:eastAsia="Verdana" w:cs="Verdana"/>
          <w:szCs w:val="18"/>
        </w:rPr>
        <w:t>PC</w:t>
      </w:r>
      <w:r w:rsidR="00A8592A" w:rsidRPr="006B2F21">
        <w:rPr>
          <w:rFonts w:eastAsia="Verdana" w:cs="Verdana"/>
          <w:szCs w:val="18"/>
        </w:rPr>
        <w:noBreakHyphen/>
        <w:t>FZT 08</w:t>
      </w:r>
      <w:r w:rsidR="00A8592A" w:rsidRPr="006B2F21">
        <w:rPr>
          <w:rFonts w:eastAsia="Verdana" w:cs="Verdana"/>
          <w:szCs w:val="18"/>
        </w:rPr>
        <w:noBreakHyphen/>
        <w:t>2013 "</w:t>
      </w:r>
      <w:r w:rsidRPr="006B2F21">
        <w:rPr>
          <w:szCs w:val="18"/>
        </w:rPr>
        <w:t>Procedure of organization and implementation of inspection control of certified products</w:t>
      </w:r>
      <w:r w:rsidR="00A8592A" w:rsidRPr="006B2F21">
        <w:rPr>
          <w:szCs w:val="18"/>
        </w:rPr>
        <w:t>"</w:t>
      </w:r>
      <w:r w:rsidRPr="006B2F21">
        <w:rPr>
          <w:szCs w:val="18"/>
        </w:rPr>
        <w:t xml:space="preserve"> (</w:t>
      </w:r>
      <w:r w:rsidRPr="006B2F21">
        <w:rPr>
          <w:rFonts w:eastAsia="Verdana" w:cs="Verdana"/>
          <w:szCs w:val="18"/>
        </w:rPr>
        <w:t>PC</w:t>
      </w:r>
      <w:r w:rsidRPr="006B2F21">
        <w:rPr>
          <w:rFonts w:eastAsia="Verdana" w:cs="Verdana"/>
          <w:szCs w:val="18"/>
        </w:rPr>
        <w:noBreakHyphen/>
        <w:t>FZT 08</w:t>
      </w:r>
      <w:r w:rsidRPr="006B2F21">
        <w:rPr>
          <w:rFonts w:eastAsia="Verdana" w:cs="Verdana"/>
          <w:szCs w:val="18"/>
        </w:rPr>
        <w:noBreakHyphen/>
        <w:t>2013)</w:t>
      </w:r>
      <w:r w:rsidR="00A8592A" w:rsidRPr="006B2F21">
        <w:rPr>
          <w:rFonts w:eastAsia="Verdana" w:cs="Verdana"/>
          <w:szCs w:val="18"/>
        </w:rPr>
        <w:t xml:space="preserve"> (Panel Exhibit RUS</w:t>
      </w:r>
      <w:r w:rsidR="00A8592A" w:rsidRPr="006B2F21">
        <w:rPr>
          <w:rFonts w:eastAsia="Verdana" w:cs="Verdana"/>
          <w:szCs w:val="18"/>
        </w:rPr>
        <w:noBreakHyphen/>
        <w:t>23)</w:t>
      </w:r>
      <w:r w:rsidRPr="006B2F21">
        <w:rPr>
          <w:szCs w:val="18"/>
        </w:rPr>
        <w:t>, which stipulates conditions for the conduct of off</w:t>
      </w:r>
      <w:r w:rsidRPr="006B2F21">
        <w:rPr>
          <w:szCs w:val="18"/>
        </w:rPr>
        <w:noBreakHyphen/>
        <w:t>site inspection, the FBO was precluded from conducting off</w:t>
      </w:r>
      <w:r w:rsidRPr="006B2F21">
        <w:rPr>
          <w:szCs w:val="18"/>
        </w:rPr>
        <w:noBreakHyphen/>
        <w:t>site inspections for the railway products affected by the 14 suspensions.</w:t>
      </w:r>
      <w:r w:rsidRPr="006B2F21">
        <w:rPr>
          <w:rStyle w:val="FootnoteReference"/>
          <w:szCs w:val="18"/>
        </w:rPr>
        <w:footnoteReference w:id="426"/>
      </w:r>
      <w:r w:rsidRPr="006B2F21">
        <w:rPr>
          <w:szCs w:val="18"/>
        </w:rPr>
        <w:t xml:space="preserve"> The parties referred to only two of the conditions in Article 7.4.1, namely</w:t>
      </w:r>
      <w:r w:rsidR="00CF491E" w:rsidRPr="006B2F21">
        <w:rPr>
          <w:szCs w:val="18"/>
        </w:rPr>
        <w:t>,</w:t>
      </w:r>
      <w:r w:rsidRPr="006B2F21">
        <w:rPr>
          <w:szCs w:val="18"/>
        </w:rPr>
        <w:t xml:space="preserve"> that there be: (i) absence of facts of non</w:t>
      </w:r>
      <w:r w:rsidRPr="006B2F21">
        <w:rPr>
          <w:szCs w:val="18"/>
        </w:rPr>
        <w:noBreakHyphen/>
        <w:t>conformity during the previous inspection control; and (ii) absence of consumer complaints as to the quality of certified products.</w:t>
      </w:r>
      <w:r w:rsidRPr="006B2F21">
        <w:rPr>
          <w:rStyle w:val="FootnoteReference"/>
          <w:szCs w:val="18"/>
        </w:rPr>
        <w:footnoteReference w:id="427"/>
      </w:r>
      <w:r w:rsidRPr="006B2F21">
        <w:rPr>
          <w:szCs w:val="18"/>
        </w:rPr>
        <w:t xml:space="preserve"> With respect to the first of those two conditions, the Panel understood it to mean that an off</w:t>
      </w:r>
      <w:r w:rsidRPr="006B2F21">
        <w:rPr>
          <w:szCs w:val="18"/>
        </w:rPr>
        <w:noBreakHyphen/>
        <w:t xml:space="preserve">site inspection is excluded </w:t>
      </w:r>
      <w:r w:rsidRPr="006B2F21">
        <w:rPr>
          <w:i/>
          <w:szCs w:val="18"/>
        </w:rPr>
        <w:t>only for products with respect to which a non</w:t>
      </w:r>
      <w:r w:rsidRPr="006B2F21">
        <w:rPr>
          <w:i/>
          <w:szCs w:val="18"/>
        </w:rPr>
        <w:noBreakHyphen/>
        <w:t>conformity</w:t>
      </w:r>
      <w:r w:rsidRPr="006B2F21">
        <w:rPr>
          <w:szCs w:val="18"/>
        </w:rPr>
        <w:t xml:space="preserve"> concerning these products or their related production processes had been identified in </w:t>
      </w:r>
      <w:r w:rsidRPr="006B2F21">
        <w:rPr>
          <w:i/>
          <w:szCs w:val="18"/>
        </w:rPr>
        <w:t>the most recent inspection control</w:t>
      </w:r>
      <w:r w:rsidRPr="006B2F21">
        <w:rPr>
          <w:szCs w:val="18"/>
        </w:rPr>
        <w:t xml:space="preserve"> covering these products.</w:t>
      </w:r>
      <w:r w:rsidRPr="006B2F21">
        <w:rPr>
          <w:rStyle w:val="FootnoteReference"/>
          <w:szCs w:val="18"/>
        </w:rPr>
        <w:footnoteReference w:id="428"/>
      </w:r>
    </w:p>
    <w:p w14:paraId="10B20793" w14:textId="7A158156" w:rsidR="00C1190C" w:rsidRPr="006B2F21" w:rsidRDefault="00C1190C" w:rsidP="006B2F21">
      <w:pPr>
        <w:pStyle w:val="BodyText"/>
        <w:numPr>
          <w:ilvl w:val="6"/>
          <w:numId w:val="1"/>
        </w:numPr>
        <w:rPr>
          <w:szCs w:val="18"/>
        </w:rPr>
      </w:pPr>
      <w:r w:rsidRPr="006B2F21">
        <w:rPr>
          <w:szCs w:val="18"/>
        </w:rPr>
        <w:t>Turning to the availability of off</w:t>
      </w:r>
      <w:r w:rsidRPr="006B2F21">
        <w:rPr>
          <w:szCs w:val="18"/>
        </w:rPr>
        <w:noBreakHyphen/>
        <w:t>site inspections with respect to railway products covered by the 14 suspended certificates, the Panel considered that, in the circumstances of the case, it was for Ukraine to submit evidence of absence of non</w:t>
      </w:r>
      <w:r w:rsidRPr="006B2F21">
        <w:rPr>
          <w:szCs w:val="18"/>
        </w:rPr>
        <w:noBreakHyphen/>
        <w:t xml:space="preserve">conformities and consumer complaints. In the Panel's view, Article 7.4.1 was contained in a legal instrument either available publicly or upon request, the producers received an "inspection act" that indicates the results of the inspection, and </w:t>
      </w:r>
      <w:r w:rsidRPr="006B2F21">
        <w:rPr>
          <w:color w:val="000000"/>
          <w:szCs w:val="18"/>
        </w:rPr>
        <w:t xml:space="preserve">the FBO would provide information about consumer complaints to the affected producers. </w:t>
      </w:r>
      <w:r w:rsidRPr="006B2F21">
        <w:rPr>
          <w:szCs w:val="18"/>
        </w:rPr>
        <w:t>Alternatively, the Panel noted that Ukraine could demonstrate that it undertook reasonable efforts to obtain information from Russia regarding any non</w:t>
      </w:r>
      <w:r w:rsidRPr="006B2F21">
        <w:rPr>
          <w:szCs w:val="18"/>
        </w:rPr>
        <w:noBreakHyphen/>
        <w:t xml:space="preserve">conformities during the previous inspection control or </w:t>
      </w:r>
      <w:r w:rsidR="00B71973" w:rsidRPr="006B2F21">
        <w:rPr>
          <w:szCs w:val="18"/>
        </w:rPr>
        <w:t xml:space="preserve">any </w:t>
      </w:r>
      <w:r w:rsidRPr="006B2F21">
        <w:rPr>
          <w:szCs w:val="18"/>
        </w:rPr>
        <w:t>consumer complaints, with an explanation as to why the information could not be obtained. However, Ukraine had not done so for most of the railway products covered by the suspended certificates.</w:t>
      </w:r>
      <w:r w:rsidRPr="006B2F21">
        <w:rPr>
          <w:rStyle w:val="FootnoteReference"/>
          <w:szCs w:val="18"/>
        </w:rPr>
        <w:footnoteReference w:id="429"/>
      </w:r>
      <w:r w:rsidRPr="006B2F21">
        <w:rPr>
          <w:szCs w:val="18"/>
        </w:rPr>
        <w:t xml:space="preserve"> The Panel then examined the relevant certificates of each Ukrainian producer that the FBO suspended through each of the instructions at issue.</w:t>
      </w:r>
      <w:r w:rsidRPr="006B2F21">
        <w:rPr>
          <w:rStyle w:val="FootnoteReference"/>
          <w:szCs w:val="18"/>
        </w:rPr>
        <w:footnoteReference w:id="430"/>
      </w:r>
      <w:r w:rsidRPr="006B2F21">
        <w:rPr>
          <w:szCs w:val="18"/>
        </w:rPr>
        <w:t xml:space="preserve"> In sum, the Panel concluded that Ukraine had not established, with respect to any of the suspended certificates covered by the challenged 14 instructions, that off</w:t>
      </w:r>
      <w:r w:rsidRPr="006B2F21">
        <w:rPr>
          <w:szCs w:val="18"/>
        </w:rPr>
        <w:noBreakHyphen/>
        <w:t>site inspection was available under Article 7.4.1.</w:t>
      </w:r>
      <w:r w:rsidRPr="006B2F21">
        <w:rPr>
          <w:rStyle w:val="FootnoteReference"/>
          <w:szCs w:val="18"/>
        </w:rPr>
        <w:footnoteReference w:id="431"/>
      </w:r>
    </w:p>
    <w:p w14:paraId="18D95611" w14:textId="77777777" w:rsidR="00C1190C" w:rsidRPr="006B2F21" w:rsidRDefault="00C1190C" w:rsidP="006B2F21">
      <w:pPr>
        <w:pStyle w:val="BodyText"/>
        <w:numPr>
          <w:ilvl w:val="6"/>
          <w:numId w:val="1"/>
        </w:numPr>
        <w:rPr>
          <w:szCs w:val="18"/>
        </w:rPr>
      </w:pPr>
      <w:r w:rsidRPr="006B2F21">
        <w:rPr>
          <w:szCs w:val="18"/>
        </w:rPr>
        <w:t>Based on the above, the Panel found that Ukraine had failed to establish, with respect to each of the 14 instructions at issue, that Russia had acted inconsistently with its obligations under Article 5.1.2 of the TBT Agreement.</w:t>
      </w:r>
      <w:r w:rsidRPr="006B2F21">
        <w:rPr>
          <w:rStyle w:val="FootnoteReference"/>
          <w:szCs w:val="18"/>
        </w:rPr>
        <w:footnoteReference w:id="432"/>
      </w:r>
    </w:p>
    <w:p w14:paraId="64C77E79" w14:textId="77777777" w:rsidR="00C1190C" w:rsidRPr="006B2F21" w:rsidRDefault="00C1190C" w:rsidP="006B2F21">
      <w:pPr>
        <w:pStyle w:val="Heading3"/>
        <w:numPr>
          <w:ilvl w:val="2"/>
          <w:numId w:val="1"/>
        </w:numPr>
        <w:rPr>
          <w:szCs w:val="18"/>
        </w:rPr>
      </w:pPr>
      <w:bookmarkStart w:id="193" w:name="_Toc26805640"/>
      <w:bookmarkStart w:id="194" w:name="_Toc31381014"/>
      <w:r w:rsidRPr="006B2F21">
        <w:rPr>
          <w:szCs w:val="18"/>
        </w:rPr>
        <w:t>Claims and arguments on appeal</w:t>
      </w:r>
      <w:bookmarkEnd w:id="193"/>
      <w:bookmarkEnd w:id="194"/>
    </w:p>
    <w:p w14:paraId="544BDFEB" w14:textId="44CF3667" w:rsidR="00C1190C" w:rsidRPr="006B2F21" w:rsidRDefault="00C1190C" w:rsidP="006B2F21">
      <w:pPr>
        <w:pStyle w:val="BodyText"/>
        <w:numPr>
          <w:ilvl w:val="6"/>
          <w:numId w:val="1"/>
        </w:numPr>
        <w:rPr>
          <w:szCs w:val="18"/>
        </w:rPr>
      </w:pPr>
      <w:r w:rsidRPr="006B2F21">
        <w:rPr>
          <w:szCs w:val="18"/>
        </w:rPr>
        <w:t>On appeal, Ukraine requests us to reverse the conclusions in paragraphs 8.1.b.ii and 8.1.c.iii of the Panel Report that Ukraine had failed to establish, with respect to each of the 14 instructions, that Russia had acted inconsistently with its obligations under Article 5.1.2 of the TBT Agreement</w:t>
      </w:r>
      <w:r w:rsidRPr="006B2F21">
        <w:rPr>
          <w:rFonts w:eastAsia="Verdana" w:cs="Verdana"/>
          <w:szCs w:val="18"/>
        </w:rPr>
        <w:t>.</w:t>
      </w:r>
      <w:r w:rsidRPr="006B2F21">
        <w:rPr>
          <w:rStyle w:val="FootnoteReference"/>
          <w:rFonts w:eastAsia="Verdana" w:cs="Verdana"/>
          <w:szCs w:val="18"/>
        </w:rPr>
        <w:footnoteReference w:id="433"/>
      </w:r>
      <w:r w:rsidRPr="006B2F21">
        <w:rPr>
          <w:szCs w:val="18"/>
        </w:rPr>
        <w:t xml:space="preserve"> </w:t>
      </w:r>
      <w:r w:rsidRPr="006B2F21">
        <w:rPr>
          <w:szCs w:val="18"/>
        </w:rPr>
        <w:lastRenderedPageBreak/>
        <w:t>In Ukraine's view, the Panel's assessment of facts in this respect "lack[s] objectivity, adequate reasoning and explanations</w:t>
      </w:r>
      <w:r w:rsidR="000F1664" w:rsidRPr="006B2F21">
        <w:rPr>
          <w:szCs w:val="18"/>
        </w:rPr>
        <w:t>,</w:t>
      </w:r>
      <w:r w:rsidRPr="006B2F21">
        <w:rPr>
          <w:szCs w:val="18"/>
        </w:rPr>
        <w:t xml:space="preserve"> and [is] not impartial", and the Panel accepted Russia's "unsubstantiated assertions".</w:t>
      </w:r>
      <w:r w:rsidRPr="006B2F21">
        <w:rPr>
          <w:rStyle w:val="FootnoteReference"/>
          <w:szCs w:val="18"/>
        </w:rPr>
        <w:footnoteReference w:id="434"/>
      </w:r>
      <w:r w:rsidRPr="006B2F21">
        <w:rPr>
          <w:szCs w:val="18"/>
        </w:rPr>
        <w:t xml:space="preserve"> </w:t>
      </w:r>
    </w:p>
    <w:p w14:paraId="7DDA0CCA" w14:textId="3B416C4B" w:rsidR="00C1190C" w:rsidRPr="006B2F21" w:rsidRDefault="00C1190C" w:rsidP="006B2F21">
      <w:pPr>
        <w:pStyle w:val="BodyText"/>
        <w:numPr>
          <w:ilvl w:val="6"/>
          <w:numId w:val="1"/>
        </w:numPr>
        <w:rPr>
          <w:szCs w:val="18"/>
        </w:rPr>
      </w:pPr>
      <w:r w:rsidRPr="006B2F21">
        <w:rPr>
          <w:szCs w:val="18"/>
        </w:rPr>
        <w:t xml:space="preserve">In particular, regarding the first alternative of "additional communications with the relevant Ukrainian producers", Ukraine recalls that the burden of proof rests on the party, whether complaining or defending, </w:t>
      </w:r>
      <w:r w:rsidR="00C15E1B" w:rsidRPr="006B2F21">
        <w:rPr>
          <w:szCs w:val="18"/>
        </w:rPr>
        <w:t xml:space="preserve">that </w:t>
      </w:r>
      <w:r w:rsidRPr="006B2F21">
        <w:rPr>
          <w:szCs w:val="18"/>
        </w:rPr>
        <w:t>asserts the affirmative of a particular claim or defence. In this respect, Ukraine takes issue with the Panel's allocation of burden of proof and asserts that the Panel ignored the fact that the respondent bears the burden to rebut the complainant's case as to the reasonable availability of a particular alternative.</w:t>
      </w:r>
      <w:r w:rsidRPr="006B2F21">
        <w:rPr>
          <w:rStyle w:val="FootnoteReference"/>
          <w:szCs w:val="18"/>
        </w:rPr>
        <w:footnoteReference w:id="435"/>
      </w:r>
      <w:r w:rsidRPr="006B2F21">
        <w:rPr>
          <w:szCs w:val="18"/>
        </w:rPr>
        <w:t xml:space="preserve"> In Ukraine's view, the Panel "made the case" for Russia</w:t>
      </w:r>
      <w:r w:rsidRPr="006B2F21">
        <w:rPr>
          <w:rStyle w:val="FootnoteReference"/>
          <w:szCs w:val="18"/>
        </w:rPr>
        <w:footnoteReference w:id="436"/>
      </w:r>
      <w:r w:rsidRPr="006B2F21">
        <w:rPr>
          <w:szCs w:val="18"/>
        </w:rPr>
        <w:t xml:space="preserve"> and failed to comply with its duty under Article 11 of the DSU by "making findings despite the absence of adequate rebuttal of the respondent".</w:t>
      </w:r>
      <w:r w:rsidRPr="006B2F21">
        <w:rPr>
          <w:rStyle w:val="FootnoteReference"/>
          <w:szCs w:val="18"/>
        </w:rPr>
        <w:footnoteReference w:id="437"/>
      </w:r>
      <w:r w:rsidRPr="006B2F21">
        <w:rPr>
          <w:szCs w:val="18"/>
        </w:rPr>
        <w:t xml:space="preserve"> </w:t>
      </w:r>
      <w:bookmarkStart w:id="195" w:name="_Hlk30573956"/>
      <w:r w:rsidRPr="006B2F21">
        <w:rPr>
          <w:szCs w:val="18"/>
        </w:rPr>
        <w:t>In addition, according to Ukraine, the Panel allocated a very high burden of proof to Ukraine and expected Ukraine to prove the negative, e.g. by finding that Ukraine failed to elaborate on why it was not reasonable for the FBO to consider that the arrangements for conducting inspection control in Ukraine, which had been proposed by Ukrainian producers, were not satisfactory or sufficient.</w:t>
      </w:r>
      <w:r w:rsidRPr="006B2F21">
        <w:rPr>
          <w:rStyle w:val="FootnoteReference"/>
          <w:szCs w:val="18"/>
        </w:rPr>
        <w:footnoteReference w:id="438"/>
      </w:r>
    </w:p>
    <w:bookmarkEnd w:id="195"/>
    <w:p w14:paraId="31299A18" w14:textId="77777777" w:rsidR="00C1190C" w:rsidRPr="006B2F21" w:rsidRDefault="00C1190C" w:rsidP="006B2F21">
      <w:pPr>
        <w:pStyle w:val="BodyText"/>
        <w:numPr>
          <w:ilvl w:val="6"/>
          <w:numId w:val="1"/>
        </w:numPr>
        <w:rPr>
          <w:szCs w:val="18"/>
        </w:rPr>
      </w:pPr>
      <w:r w:rsidRPr="006B2F21">
        <w:rPr>
          <w:szCs w:val="18"/>
        </w:rPr>
        <w:t>With respect to the second alternative of "entrusting inspections in Ukraine to the competent authorities of Kazakhstan or Belarus", Ukraine asserts that the possibility of this alternative does not seem to be excluded, given the unified legal system, in particular the legal framework for technical regulations and conformity assessment procedures, that Belarus, Kazakhstan, and Russia have under the Treaty on the Establishment of the Common Customs Territory and the Formation of a Customs Union.</w:t>
      </w:r>
      <w:r w:rsidRPr="006B2F21">
        <w:rPr>
          <w:rStyle w:val="FootnoteReference"/>
          <w:szCs w:val="18"/>
        </w:rPr>
        <w:footnoteReference w:id="439"/>
      </w:r>
      <w:r w:rsidRPr="006B2F21">
        <w:rPr>
          <w:szCs w:val="18"/>
        </w:rPr>
        <w:t xml:space="preserve"> Furthermore, Ukraine submits that, in finding that Ukraine has failed to provide evidence of prior instances of the FBO entrusting certification bodies in other countries with inspections abroad, the Panel placed on Ukraine an excessive burden of proof.</w:t>
      </w:r>
      <w:r w:rsidRPr="006B2F21">
        <w:rPr>
          <w:rStyle w:val="FootnoteReference"/>
          <w:szCs w:val="18"/>
        </w:rPr>
        <w:footnoteReference w:id="440"/>
      </w:r>
      <w:r w:rsidRPr="006B2F21">
        <w:rPr>
          <w:szCs w:val="18"/>
        </w:rPr>
        <w:t xml:space="preserve"> In Ukraine's view, the Panel erred in making findings despite the lack of a rebuttal by Russia with respect to the second alternative measure proposed by Ukraine.</w:t>
      </w:r>
      <w:r w:rsidRPr="006B2F21">
        <w:rPr>
          <w:rStyle w:val="FootnoteReference"/>
          <w:szCs w:val="18"/>
        </w:rPr>
        <w:footnoteReference w:id="441"/>
      </w:r>
      <w:r w:rsidRPr="006B2F21">
        <w:rPr>
          <w:szCs w:val="18"/>
        </w:rPr>
        <w:t xml:space="preserve"> </w:t>
      </w:r>
    </w:p>
    <w:p w14:paraId="2409562C" w14:textId="0DDC271B" w:rsidR="00C1190C" w:rsidRPr="006B2F21" w:rsidRDefault="00C1190C" w:rsidP="006B2F21">
      <w:pPr>
        <w:pStyle w:val="BodyText"/>
        <w:numPr>
          <w:ilvl w:val="6"/>
          <w:numId w:val="1"/>
        </w:numPr>
        <w:rPr>
          <w:szCs w:val="18"/>
        </w:rPr>
      </w:pPr>
      <w:r w:rsidRPr="006B2F21">
        <w:rPr>
          <w:szCs w:val="18"/>
        </w:rPr>
        <w:t>With respect to the third alternative of "accrediting non</w:t>
      </w:r>
      <w:r w:rsidRPr="006B2F21">
        <w:rPr>
          <w:szCs w:val="18"/>
        </w:rPr>
        <w:noBreakHyphen/>
        <w:t xml:space="preserve">Russian experts or organizations to conduct inspections in Ukraine", Ukraine recalls the Panel's finding that </w:t>
      </w:r>
      <w:r w:rsidRPr="006B2F21">
        <w:rPr>
          <w:rFonts w:eastAsia="Verdana" w:cs="Verdana"/>
          <w:szCs w:val="18"/>
        </w:rPr>
        <w:t>it is not clear whether Article 10 of CS FRT 01</w:t>
      </w:r>
      <w:r w:rsidRPr="006B2F21">
        <w:rPr>
          <w:rFonts w:eastAsia="Verdana" w:cs="Verdana"/>
          <w:szCs w:val="18"/>
        </w:rPr>
        <w:noBreakHyphen/>
        <w:t>96 provides for the possibility of accrediting non</w:t>
      </w:r>
      <w:r w:rsidRPr="006B2F21">
        <w:rPr>
          <w:rFonts w:eastAsia="Verdana" w:cs="Verdana"/>
          <w:szCs w:val="18"/>
        </w:rPr>
        <w:noBreakHyphen/>
        <w:t>Russian experts to conduct on</w:t>
      </w:r>
      <w:r w:rsidRPr="006B2F21">
        <w:rPr>
          <w:rFonts w:eastAsia="Verdana" w:cs="Verdana"/>
          <w:szCs w:val="18"/>
        </w:rPr>
        <w:noBreakHyphen/>
        <w:t>site inspections. Ukraine contends that because Article 10 does not specify that accredited experts must have a certain nationality, the Panel erred in requiring Ukraine to provide evidence that non</w:t>
      </w:r>
      <w:r w:rsidRPr="006B2F21">
        <w:rPr>
          <w:rFonts w:eastAsia="Verdana" w:cs="Verdana"/>
          <w:szCs w:val="18"/>
        </w:rPr>
        <w:noBreakHyphen/>
        <w:t>Russian experts have been accredited</w:t>
      </w:r>
      <w:r w:rsidR="00A47D94" w:rsidRPr="006B2F21">
        <w:rPr>
          <w:rFonts w:eastAsia="Verdana" w:cs="Verdana"/>
          <w:szCs w:val="18"/>
        </w:rPr>
        <w:t xml:space="preserve"> in the past</w:t>
      </w:r>
      <w:r w:rsidRPr="006B2F21">
        <w:rPr>
          <w:rFonts w:eastAsia="Verdana" w:cs="Verdana"/>
          <w:szCs w:val="18"/>
        </w:rPr>
        <w:t>.</w:t>
      </w:r>
      <w:r w:rsidRPr="006B2F21">
        <w:rPr>
          <w:rStyle w:val="FootnoteReference"/>
          <w:rFonts w:eastAsia="Verdana" w:cs="Verdana"/>
          <w:szCs w:val="18"/>
        </w:rPr>
        <w:footnoteReference w:id="442"/>
      </w:r>
      <w:r w:rsidRPr="006B2F21">
        <w:rPr>
          <w:rFonts w:eastAsia="Verdana" w:cs="Verdana"/>
          <w:szCs w:val="18"/>
        </w:rPr>
        <w:t xml:space="preserve"> In addition, Ukraine alleges that the Panel erred in discharging Russia from its burden of proof by concluding that there was no evidence to indicate that there were non</w:t>
      </w:r>
      <w:r w:rsidRPr="006B2F21">
        <w:rPr>
          <w:rFonts w:eastAsia="Verdana" w:cs="Verdana"/>
          <w:szCs w:val="18"/>
        </w:rPr>
        <w:noBreakHyphen/>
        <w:t>Russian experts qualified to conduct such inspections.</w:t>
      </w:r>
      <w:r w:rsidRPr="006B2F21">
        <w:rPr>
          <w:rStyle w:val="FootnoteReference"/>
          <w:rFonts w:eastAsia="Verdana" w:cs="Verdana"/>
          <w:szCs w:val="18"/>
        </w:rPr>
        <w:footnoteReference w:id="443"/>
      </w:r>
      <w:r w:rsidRPr="006B2F21">
        <w:rPr>
          <w:rFonts w:eastAsia="Verdana" w:cs="Verdana"/>
          <w:szCs w:val="18"/>
        </w:rPr>
        <w:t xml:space="preserve"> </w:t>
      </w:r>
    </w:p>
    <w:p w14:paraId="153BAC74" w14:textId="52FD799F" w:rsidR="00C1190C" w:rsidRPr="006B2F21" w:rsidRDefault="00C1190C" w:rsidP="006B2F21">
      <w:pPr>
        <w:pStyle w:val="BodyText"/>
        <w:numPr>
          <w:ilvl w:val="6"/>
          <w:numId w:val="1"/>
        </w:numPr>
        <w:rPr>
          <w:szCs w:val="18"/>
        </w:rPr>
      </w:pPr>
      <w:r w:rsidRPr="006B2F21">
        <w:rPr>
          <w:szCs w:val="18"/>
        </w:rPr>
        <w:t>With respect to the fourth alternative of "conducting off</w:t>
      </w:r>
      <w:r w:rsidRPr="006B2F21">
        <w:rPr>
          <w:szCs w:val="18"/>
        </w:rPr>
        <w:noBreakHyphen/>
        <w:t xml:space="preserve">site inspections", Ukraine alleges that the Panel erred in finding that it was for Ukraine to submit evidence </w:t>
      </w:r>
      <w:r w:rsidRPr="006B2F21">
        <w:rPr>
          <w:rFonts w:eastAsia="Verdana" w:cs="Verdana"/>
          <w:szCs w:val="18"/>
        </w:rPr>
        <w:t>that the two conditions for off</w:t>
      </w:r>
      <w:r w:rsidRPr="006B2F21">
        <w:rPr>
          <w:rFonts w:eastAsia="Verdana" w:cs="Verdana"/>
          <w:szCs w:val="18"/>
        </w:rPr>
        <w:noBreakHyphen/>
        <w:t xml:space="preserve">site inspections under </w:t>
      </w:r>
      <w:r w:rsidRPr="006B2F21">
        <w:rPr>
          <w:szCs w:val="18"/>
        </w:rPr>
        <w:t>Article 7.4.1 of PC</w:t>
      </w:r>
      <w:r w:rsidRPr="006B2F21">
        <w:rPr>
          <w:szCs w:val="18"/>
        </w:rPr>
        <w:noBreakHyphen/>
        <w:t>FZT 08</w:t>
      </w:r>
      <w:r w:rsidRPr="006B2F21">
        <w:rPr>
          <w:szCs w:val="18"/>
        </w:rPr>
        <w:noBreakHyphen/>
        <w:t xml:space="preserve">2013 </w:t>
      </w:r>
      <w:r w:rsidRPr="006B2F21">
        <w:rPr>
          <w:rFonts w:eastAsia="Verdana" w:cs="Verdana"/>
          <w:szCs w:val="18"/>
        </w:rPr>
        <w:t>were met, namely</w:t>
      </w:r>
      <w:r w:rsidR="00D30219">
        <w:rPr>
          <w:rFonts w:eastAsia="Verdana" w:cs="Verdana"/>
          <w:szCs w:val="18"/>
        </w:rPr>
        <w:t>,</w:t>
      </w:r>
      <w:r w:rsidRPr="006B2F21">
        <w:rPr>
          <w:rFonts w:eastAsia="Verdana" w:cs="Verdana"/>
          <w:szCs w:val="18"/>
        </w:rPr>
        <w:t xml:space="preserve"> evidence of </w:t>
      </w:r>
      <w:r w:rsidRPr="006B2F21">
        <w:rPr>
          <w:szCs w:val="18"/>
        </w:rPr>
        <w:t>the absence of non</w:t>
      </w:r>
      <w:r w:rsidRPr="006B2F21">
        <w:rPr>
          <w:szCs w:val="18"/>
        </w:rPr>
        <w:noBreakHyphen/>
        <w:t>conformities and of consumer complaints concerning the railway products covered by the suspended certificates.</w:t>
      </w:r>
      <w:r w:rsidRPr="006B2F21">
        <w:rPr>
          <w:rStyle w:val="FootnoteReference"/>
          <w:rFonts w:eastAsia="Verdana" w:cs="Verdana"/>
          <w:szCs w:val="18"/>
        </w:rPr>
        <w:footnoteReference w:id="444"/>
      </w:r>
      <w:r w:rsidRPr="006B2F21">
        <w:rPr>
          <w:rFonts w:eastAsia="Verdana" w:cs="Verdana"/>
          <w:szCs w:val="18"/>
        </w:rPr>
        <w:t xml:space="preserve"> In addition, Ukraine points out that the Panel's understanding that "PC</w:t>
      </w:r>
      <w:r w:rsidRPr="006B2F21">
        <w:rPr>
          <w:rFonts w:eastAsia="Verdana" w:cs="Verdana"/>
          <w:szCs w:val="18"/>
        </w:rPr>
        <w:noBreakHyphen/>
        <w:t>FZT 08</w:t>
      </w:r>
      <w:r w:rsidRPr="006B2F21">
        <w:rPr>
          <w:rFonts w:eastAsia="Verdana" w:cs="Verdana"/>
          <w:szCs w:val="18"/>
        </w:rPr>
        <w:noBreakHyphen/>
        <w:t>2013</w:t>
      </w:r>
      <w:r w:rsidRPr="006B2F21">
        <w:rPr>
          <w:szCs w:val="18"/>
        </w:rPr>
        <w:t xml:space="preserve"> was available, whether publicly or upon request</w:t>
      </w:r>
      <w:r w:rsidRPr="006B2F21">
        <w:rPr>
          <w:rFonts w:eastAsia="Verdana" w:cs="Verdana"/>
          <w:szCs w:val="18"/>
        </w:rPr>
        <w:t>", contradicted its previous finding that the legal instrument was "not published officially".</w:t>
      </w:r>
      <w:r w:rsidRPr="006B2F21">
        <w:rPr>
          <w:rStyle w:val="FootnoteReference"/>
          <w:rFonts w:eastAsia="Verdana" w:cs="Verdana"/>
          <w:szCs w:val="18"/>
        </w:rPr>
        <w:footnoteReference w:id="445"/>
      </w:r>
      <w:r w:rsidRPr="006B2F21">
        <w:rPr>
          <w:rFonts w:eastAsia="Verdana" w:cs="Verdana"/>
          <w:szCs w:val="18"/>
        </w:rPr>
        <w:t xml:space="preserve"> Ukraine also refers to the lack of explanation by Russian authorities to Ukrainian producers as to the reasons for refusing off</w:t>
      </w:r>
      <w:r w:rsidRPr="006B2F21">
        <w:rPr>
          <w:rFonts w:eastAsia="Verdana" w:cs="Verdana"/>
          <w:szCs w:val="18"/>
        </w:rPr>
        <w:noBreakHyphen/>
        <w:t>site inspections.</w:t>
      </w:r>
      <w:r w:rsidRPr="006B2F21">
        <w:rPr>
          <w:rStyle w:val="FootnoteReference"/>
          <w:rFonts w:eastAsia="Verdana" w:cs="Verdana"/>
          <w:szCs w:val="18"/>
        </w:rPr>
        <w:footnoteReference w:id="446"/>
      </w:r>
      <w:r w:rsidRPr="006B2F21">
        <w:rPr>
          <w:rFonts w:eastAsia="Verdana" w:cs="Verdana"/>
          <w:szCs w:val="18"/>
        </w:rPr>
        <w:t xml:space="preserve"> </w:t>
      </w:r>
    </w:p>
    <w:p w14:paraId="2D53A925" w14:textId="53C9E09C" w:rsidR="00C1190C" w:rsidRPr="006B2F21" w:rsidRDefault="00C1190C" w:rsidP="006B2F21">
      <w:pPr>
        <w:pStyle w:val="BodyText"/>
        <w:numPr>
          <w:ilvl w:val="6"/>
          <w:numId w:val="1"/>
        </w:numPr>
        <w:rPr>
          <w:szCs w:val="18"/>
        </w:rPr>
      </w:pPr>
      <w:r w:rsidRPr="006B2F21">
        <w:rPr>
          <w:szCs w:val="18"/>
        </w:rPr>
        <w:lastRenderedPageBreak/>
        <w:t>For its part, Russia requests us to uphold the Panel's findings in paragraphs 8.1.b.ii and</w:t>
      </w:r>
      <w:r w:rsidR="00287D7C">
        <w:rPr>
          <w:szCs w:val="18"/>
        </w:rPr>
        <w:t> </w:t>
      </w:r>
      <w:r w:rsidRPr="006B2F21">
        <w:rPr>
          <w:szCs w:val="18"/>
        </w:rPr>
        <w:t>8.1.c.iii of the Panel Report.</w:t>
      </w:r>
      <w:r w:rsidRPr="006B2F21">
        <w:rPr>
          <w:rStyle w:val="FootnoteReference"/>
          <w:szCs w:val="18"/>
        </w:rPr>
        <w:footnoteReference w:id="447"/>
      </w:r>
      <w:r w:rsidRPr="006B2F21">
        <w:rPr>
          <w:szCs w:val="18"/>
        </w:rPr>
        <w:t xml:space="preserve"> As a preliminary </w:t>
      </w:r>
      <w:r w:rsidR="00730F43" w:rsidRPr="006B2F21">
        <w:rPr>
          <w:szCs w:val="18"/>
        </w:rPr>
        <w:t>point</w:t>
      </w:r>
      <w:r w:rsidRPr="006B2F21">
        <w:rPr>
          <w:szCs w:val="18"/>
        </w:rPr>
        <w:t>, Russia submits that Ukraine did not meaningfully address the Panel's findings set out in paragraph 8.1.c.iii of its Report, insofar as Ukraine simply alleged that its assertions with respect to rejections of certificates are similar to those it raises concerning suspension of certificates.</w:t>
      </w:r>
      <w:r w:rsidRPr="006B2F21">
        <w:rPr>
          <w:rStyle w:val="FootnoteReference"/>
          <w:szCs w:val="18"/>
        </w:rPr>
        <w:footnoteReference w:id="448"/>
      </w:r>
      <w:r w:rsidRPr="006B2F21">
        <w:rPr>
          <w:szCs w:val="18"/>
        </w:rPr>
        <w:t xml:space="preserve"> In Russia's view, a mere assertion is insufficient to establish a violation of Article 11 of the DSU. </w:t>
      </w:r>
    </w:p>
    <w:p w14:paraId="7D8CC375" w14:textId="301B752B" w:rsidR="00C1190C" w:rsidRPr="006B2F21" w:rsidRDefault="00C1190C" w:rsidP="006B2F21">
      <w:pPr>
        <w:pStyle w:val="BodyText"/>
        <w:numPr>
          <w:ilvl w:val="6"/>
          <w:numId w:val="1"/>
        </w:numPr>
        <w:rPr>
          <w:szCs w:val="18"/>
        </w:rPr>
      </w:pPr>
      <w:r w:rsidRPr="006B2F21">
        <w:rPr>
          <w:szCs w:val="18"/>
        </w:rPr>
        <w:t>With respect to the first alternative of "additional communications with the relevant Ukrainian producers", Russia argues that the Panel correctly rejected the alternative proposed by Ukraine.</w:t>
      </w:r>
      <w:r w:rsidRPr="006B2F21">
        <w:rPr>
          <w:rStyle w:val="FootnoteReference"/>
          <w:szCs w:val="18"/>
        </w:rPr>
        <w:footnoteReference w:id="449"/>
      </w:r>
      <w:r w:rsidRPr="006B2F21">
        <w:rPr>
          <w:szCs w:val="18"/>
        </w:rPr>
        <w:t xml:space="preserve"> In Russia's view, Ukraine attempts to substitute the obligation of the complainant to "establish the </w:t>
      </w:r>
      <w:r w:rsidRPr="006B2F21">
        <w:rPr>
          <w:i/>
          <w:szCs w:val="18"/>
        </w:rPr>
        <w:t>prima facie</w:t>
      </w:r>
      <w:r w:rsidRPr="006B2F21">
        <w:rPr>
          <w:szCs w:val="18"/>
        </w:rPr>
        <w:t xml:space="preserve"> case" with the obligation of a party to "prove the fact it relies on" and shift its burden of proof to Russia.</w:t>
      </w:r>
      <w:r w:rsidRPr="006B2F21">
        <w:rPr>
          <w:rStyle w:val="FootnoteReference"/>
          <w:szCs w:val="18"/>
        </w:rPr>
        <w:footnoteReference w:id="450"/>
      </w:r>
      <w:r w:rsidRPr="006B2F21">
        <w:rPr>
          <w:szCs w:val="18"/>
        </w:rPr>
        <w:t xml:space="preserve"> Russia submits that under Article 5.1.2, the obligation to determine the reasonable availability of a less trade</w:t>
      </w:r>
      <w:r w:rsidRPr="006B2F21">
        <w:rPr>
          <w:szCs w:val="18"/>
        </w:rPr>
        <w:noBreakHyphen/>
        <w:t xml:space="preserve">restrictive measure is part of establishing the </w:t>
      </w:r>
      <w:r w:rsidRPr="006B2F21">
        <w:rPr>
          <w:i/>
          <w:szCs w:val="18"/>
        </w:rPr>
        <w:t>prima facie</w:t>
      </w:r>
      <w:r w:rsidRPr="006B2F21">
        <w:rPr>
          <w:szCs w:val="18"/>
        </w:rPr>
        <w:t xml:space="preserve"> case and does not qualify as an exception. Therefore, in order to establish a </w:t>
      </w:r>
      <w:r w:rsidRPr="006B2F21">
        <w:rPr>
          <w:i/>
          <w:szCs w:val="18"/>
        </w:rPr>
        <w:t>prima facie</w:t>
      </w:r>
      <w:r w:rsidRPr="006B2F21">
        <w:rPr>
          <w:szCs w:val="18"/>
        </w:rPr>
        <w:t xml:space="preserve"> case, Ukraine bears the burden to prove all elements of Article 5.1.2. Russia further asserts that Ukraine acknowledged its burden of proof as a complainant but did not provide sufficient arguments regarding the reasonable availability of the alternative, thus failing to establish a </w:t>
      </w:r>
      <w:r w:rsidRPr="006B2F21">
        <w:rPr>
          <w:i/>
          <w:szCs w:val="18"/>
        </w:rPr>
        <w:t>prima facie</w:t>
      </w:r>
      <w:r w:rsidRPr="006B2F21">
        <w:rPr>
          <w:szCs w:val="18"/>
        </w:rPr>
        <w:t xml:space="preserve"> case.</w:t>
      </w:r>
      <w:r w:rsidRPr="006B2F21">
        <w:rPr>
          <w:rStyle w:val="FootnoteReference"/>
          <w:szCs w:val="18"/>
        </w:rPr>
        <w:footnoteReference w:id="451"/>
      </w:r>
      <w:r w:rsidRPr="006B2F21">
        <w:rPr>
          <w:szCs w:val="18"/>
        </w:rPr>
        <w:t xml:space="preserve"> Alternatively, Russia asserts that if the Appellate Body were to find that Ukraine had in fact established a </w:t>
      </w:r>
      <w:r w:rsidRPr="006B2F21">
        <w:rPr>
          <w:i/>
          <w:szCs w:val="18"/>
        </w:rPr>
        <w:t>prima facie</w:t>
      </w:r>
      <w:r w:rsidRPr="006B2F21">
        <w:rPr>
          <w:szCs w:val="18"/>
        </w:rPr>
        <w:t xml:space="preserve"> case, Russia had succeeded in rebutting that </w:t>
      </w:r>
      <w:r w:rsidRPr="006B2F21">
        <w:rPr>
          <w:i/>
          <w:szCs w:val="18"/>
        </w:rPr>
        <w:t>prima facie</w:t>
      </w:r>
      <w:r w:rsidRPr="006B2F21">
        <w:rPr>
          <w:szCs w:val="18"/>
        </w:rPr>
        <w:t xml:space="preserve"> case before the Panel.</w:t>
      </w:r>
      <w:r w:rsidRPr="006B2F21">
        <w:rPr>
          <w:rStyle w:val="FootnoteReference"/>
          <w:szCs w:val="18"/>
        </w:rPr>
        <w:footnoteReference w:id="452"/>
      </w:r>
    </w:p>
    <w:p w14:paraId="1C336999" w14:textId="02BA9F29" w:rsidR="00C1190C" w:rsidRPr="006B2F21" w:rsidRDefault="00C1190C" w:rsidP="006B2F21">
      <w:pPr>
        <w:pStyle w:val="BodyText"/>
        <w:numPr>
          <w:ilvl w:val="6"/>
          <w:numId w:val="1"/>
        </w:numPr>
        <w:rPr>
          <w:szCs w:val="18"/>
        </w:rPr>
      </w:pPr>
      <w:r w:rsidRPr="006B2F21">
        <w:rPr>
          <w:szCs w:val="18"/>
        </w:rPr>
        <w:t>With respect to the second alternative of "entrusting inspections in Ukraine to the competent authorities of Kazakhstan or Belarus", Russia submits that Ukraine's argument that the Panel ignored the lack of rebuttal from Russia is without merit.</w:t>
      </w:r>
      <w:r w:rsidRPr="006B2F21">
        <w:rPr>
          <w:rStyle w:val="FootnoteReference"/>
          <w:szCs w:val="18"/>
        </w:rPr>
        <w:footnoteReference w:id="453"/>
      </w:r>
      <w:r w:rsidRPr="006B2F21">
        <w:rPr>
          <w:szCs w:val="18"/>
        </w:rPr>
        <w:t xml:space="preserve"> Russia points out that Ukraine did not provide any reference to CU documents, other legal instruments, or facts showing availability of such an alternative in the course of the Panel proceedings. Russia therefore considers this suggested alternative to be a mere theoretical assumption. Russia points out that the theoretical "possibility" to entrust foreign government authorities to carry out inspections and a "reasonably available alternative" under Article 5.1.2 are two completely different concepts.</w:t>
      </w:r>
      <w:r w:rsidRPr="006B2F21">
        <w:rPr>
          <w:rStyle w:val="FootnoteReference"/>
          <w:szCs w:val="18"/>
        </w:rPr>
        <w:footnoteReference w:id="454"/>
      </w:r>
      <w:r w:rsidRPr="006B2F21">
        <w:rPr>
          <w:szCs w:val="18"/>
        </w:rPr>
        <w:t xml:space="preserve"> According to Russia, Ukraine tries to combine two factually different scenarios, namely</w:t>
      </w:r>
      <w:r w:rsidR="00287D7C">
        <w:rPr>
          <w:szCs w:val="18"/>
        </w:rPr>
        <w:t>,</w:t>
      </w:r>
      <w:r w:rsidRPr="006B2F21">
        <w:rPr>
          <w:szCs w:val="18"/>
        </w:rPr>
        <w:t xml:space="preserve"> Russia's trust in the results of assessments conducted by other CU member officials and the possibility for Russia to require such member officials to conduct assessment</w:t>
      </w:r>
      <w:r w:rsidR="009806DC" w:rsidRPr="006B2F21">
        <w:rPr>
          <w:szCs w:val="18"/>
        </w:rPr>
        <w:t>s</w:t>
      </w:r>
      <w:r w:rsidRPr="006B2F21">
        <w:rPr>
          <w:szCs w:val="18"/>
        </w:rPr>
        <w:t xml:space="preserve"> on its behalf.</w:t>
      </w:r>
    </w:p>
    <w:p w14:paraId="7B66E36D" w14:textId="3F16A470" w:rsidR="00C1190C" w:rsidRPr="006B2F21" w:rsidRDefault="00C1190C" w:rsidP="006B2F21">
      <w:pPr>
        <w:pStyle w:val="BodyText"/>
        <w:numPr>
          <w:ilvl w:val="6"/>
          <w:numId w:val="1"/>
        </w:numPr>
        <w:rPr>
          <w:szCs w:val="18"/>
        </w:rPr>
      </w:pPr>
      <w:r w:rsidRPr="006B2F21">
        <w:rPr>
          <w:szCs w:val="18"/>
        </w:rPr>
        <w:t>With respect to the third alternative of "accrediting non</w:t>
      </w:r>
      <w:r w:rsidRPr="006B2F21">
        <w:rPr>
          <w:szCs w:val="18"/>
        </w:rPr>
        <w:noBreakHyphen/>
        <w:t>Russian experts or organizations to conduct inspections in Ukraine", Russia submits that the Panel objectively assessed Ukraine's argument, and correctly examined the scope and meaning of Article 10 of CS FRT 01</w:t>
      </w:r>
      <w:r w:rsidRPr="006B2F21">
        <w:rPr>
          <w:szCs w:val="18"/>
        </w:rPr>
        <w:noBreakHyphen/>
        <w:t>96.</w:t>
      </w:r>
      <w:r w:rsidRPr="006B2F21">
        <w:rPr>
          <w:rStyle w:val="FootnoteReference"/>
          <w:szCs w:val="18"/>
        </w:rPr>
        <w:footnoteReference w:id="455"/>
      </w:r>
      <w:r w:rsidRPr="006B2F21">
        <w:rPr>
          <w:szCs w:val="18"/>
        </w:rPr>
        <w:t xml:space="preserve"> Russia reiterates that Ukraine bears the burden to demonstrate the availability of the alternative but failed to provide evidence in support of its position. In addition, Russia submits that the Panel's conclusion with respect to this alternative measure rests on three separate factual findings, and thus the Panel's conclusion would stand even if the principle asserted by Ukraine were found to apply.</w:t>
      </w:r>
      <w:r w:rsidRPr="006B2F21">
        <w:rPr>
          <w:rStyle w:val="FootnoteReference"/>
          <w:szCs w:val="18"/>
        </w:rPr>
        <w:footnoteReference w:id="456"/>
      </w:r>
    </w:p>
    <w:p w14:paraId="352FCC6D" w14:textId="77777777" w:rsidR="00C1190C" w:rsidRPr="006B2F21" w:rsidRDefault="00C1190C" w:rsidP="006B2F21">
      <w:pPr>
        <w:pStyle w:val="BodyText"/>
        <w:numPr>
          <w:ilvl w:val="6"/>
          <w:numId w:val="1"/>
        </w:numPr>
        <w:rPr>
          <w:szCs w:val="18"/>
        </w:rPr>
      </w:pPr>
      <w:r w:rsidRPr="006B2F21">
        <w:rPr>
          <w:szCs w:val="18"/>
        </w:rPr>
        <w:t>With respect to the fourth alternative of "conducting off</w:t>
      </w:r>
      <w:r w:rsidRPr="006B2F21">
        <w:rPr>
          <w:szCs w:val="18"/>
        </w:rPr>
        <w:noBreakHyphen/>
        <w:t>site inspections", Russia submits that, contrary to Ukraine's assertion, the evidence provided by Russia during the Panel proceedings is relevant.</w:t>
      </w:r>
      <w:r w:rsidRPr="006B2F21">
        <w:rPr>
          <w:rStyle w:val="FootnoteReference"/>
          <w:szCs w:val="18"/>
        </w:rPr>
        <w:footnoteReference w:id="457"/>
      </w:r>
      <w:r w:rsidRPr="006B2F21">
        <w:rPr>
          <w:szCs w:val="18"/>
        </w:rPr>
        <w:t xml:space="preserve"> With respect to the publishing of </w:t>
      </w:r>
      <w:r w:rsidRPr="006B2F21">
        <w:rPr>
          <w:rFonts w:eastAsia="Verdana" w:cs="Verdana"/>
          <w:szCs w:val="18"/>
        </w:rPr>
        <w:t>PC</w:t>
      </w:r>
      <w:r w:rsidRPr="006B2F21">
        <w:rPr>
          <w:rFonts w:eastAsia="Verdana" w:cs="Verdana"/>
          <w:szCs w:val="18"/>
        </w:rPr>
        <w:noBreakHyphen/>
        <w:t>FZT 08</w:t>
      </w:r>
      <w:r w:rsidRPr="006B2F21">
        <w:rPr>
          <w:rFonts w:eastAsia="Verdana" w:cs="Verdana"/>
          <w:szCs w:val="18"/>
        </w:rPr>
        <w:noBreakHyphen/>
        <w:t xml:space="preserve">2013, Russia highlights </w:t>
      </w:r>
      <w:r w:rsidRPr="006B2F21">
        <w:rPr>
          <w:szCs w:val="18"/>
        </w:rPr>
        <w:t>the Panel's conclusion that "access and even publication by third parties is possible and that the standard is not a confidential internal document", and recalls that Ukraine did not object to the public availability of the document during the Panel's proceedings.</w:t>
      </w:r>
      <w:r w:rsidRPr="006B2F21">
        <w:rPr>
          <w:rStyle w:val="FootnoteReference"/>
          <w:szCs w:val="18"/>
        </w:rPr>
        <w:footnoteReference w:id="458"/>
      </w:r>
      <w:r w:rsidRPr="006B2F21">
        <w:rPr>
          <w:szCs w:val="18"/>
        </w:rPr>
        <w:t xml:space="preserve"> In response to Ukraine's argument that Russian authorities did not explain to Ukrainian producers the reasons for refusing to conduct off</w:t>
      </w:r>
      <w:r w:rsidRPr="006B2F21">
        <w:rPr>
          <w:szCs w:val="18"/>
        </w:rPr>
        <w:noBreakHyphen/>
        <w:t xml:space="preserve">site </w:t>
      </w:r>
      <w:r w:rsidRPr="006B2F21">
        <w:rPr>
          <w:szCs w:val="18"/>
        </w:rPr>
        <w:lastRenderedPageBreak/>
        <w:t>inspections, Russia asserts that while that may be relevant in relation to Article 5.2.2 of the TBT Agreement, which is not appealed here, it is not a pertinent consideration under Article 5.1.2.</w:t>
      </w:r>
      <w:r w:rsidRPr="006B2F21">
        <w:rPr>
          <w:rStyle w:val="FootnoteReference"/>
          <w:szCs w:val="18"/>
        </w:rPr>
        <w:footnoteReference w:id="459"/>
      </w:r>
      <w:r w:rsidRPr="006B2F21">
        <w:rPr>
          <w:szCs w:val="18"/>
        </w:rPr>
        <w:t xml:space="preserve"> </w:t>
      </w:r>
    </w:p>
    <w:p w14:paraId="05C246F2" w14:textId="4AEBADFF" w:rsidR="00C1190C" w:rsidRPr="006B2F21" w:rsidRDefault="00C1190C" w:rsidP="006B2F21">
      <w:pPr>
        <w:pStyle w:val="Heading3"/>
        <w:numPr>
          <w:ilvl w:val="2"/>
          <w:numId w:val="1"/>
        </w:numPr>
        <w:rPr>
          <w:szCs w:val="18"/>
        </w:rPr>
      </w:pPr>
      <w:bookmarkStart w:id="198" w:name="_Toc26805641"/>
      <w:bookmarkStart w:id="199" w:name="_Toc31381015"/>
      <w:r w:rsidRPr="006B2F21">
        <w:rPr>
          <w:szCs w:val="18"/>
        </w:rPr>
        <w:t>Whether the Panel failed to make an objective assessment of the matter under Article 11 of the DSU</w:t>
      </w:r>
      <w:bookmarkEnd w:id="198"/>
      <w:r w:rsidR="00520CA1" w:rsidRPr="006B2F21">
        <w:rPr>
          <w:szCs w:val="18"/>
        </w:rPr>
        <w:t xml:space="preserve"> with respect to the fourth alternative measure</w:t>
      </w:r>
      <w:bookmarkEnd w:id="199"/>
    </w:p>
    <w:p w14:paraId="0928611F" w14:textId="612F9A82" w:rsidR="00C1190C" w:rsidRPr="006B2F21" w:rsidRDefault="00C1190C" w:rsidP="006B2F21">
      <w:pPr>
        <w:pStyle w:val="BodyText"/>
        <w:numPr>
          <w:ilvl w:val="6"/>
          <w:numId w:val="1"/>
        </w:numPr>
        <w:rPr>
          <w:szCs w:val="18"/>
        </w:rPr>
      </w:pPr>
      <w:r w:rsidRPr="006B2F21">
        <w:rPr>
          <w:szCs w:val="18"/>
        </w:rPr>
        <w:t>Ukraine takes issue with the Panel's allocation of the burden of proof under Article 5.1.2 of the TBT Agreement, and in particular with the Panel's finding that Ukraine failed to establish that each proposed less trade</w:t>
      </w:r>
      <w:r w:rsidRPr="006B2F21">
        <w:rPr>
          <w:szCs w:val="18"/>
        </w:rPr>
        <w:noBreakHyphen/>
        <w:t>restrictive alternative is reasonably available to Russia.</w:t>
      </w:r>
      <w:r w:rsidRPr="006B2F21">
        <w:rPr>
          <w:rStyle w:val="FootnoteReference"/>
          <w:szCs w:val="18"/>
        </w:rPr>
        <w:footnoteReference w:id="460"/>
      </w:r>
      <w:r w:rsidRPr="006B2F21">
        <w:rPr>
          <w:szCs w:val="18"/>
        </w:rPr>
        <w:t xml:space="preserve"> We therefore begin our analysis by examining the proper allocation of the burden of proof under Article 5.1.2 in light of the assessment to be conducted under this provision, namely</w:t>
      </w:r>
      <w:r w:rsidR="00D30219">
        <w:rPr>
          <w:szCs w:val="18"/>
        </w:rPr>
        <w:t>,</w:t>
      </w:r>
      <w:r w:rsidRPr="006B2F21">
        <w:rPr>
          <w:szCs w:val="18"/>
        </w:rPr>
        <w:t xml:space="preserve"> determining whether conformity assessment procedures are more strict or applied more strictly than necessary to give the importing Member adequate confidence of conformity. We then turn to assess whether, in the circumstances of the present case, the Panel failed to make an objective assessment under Article 11 of the DSU in its allocation of the burden of proof when examining the alternative measures proposed by Ukraine. </w:t>
      </w:r>
    </w:p>
    <w:p w14:paraId="6D22A65E" w14:textId="77777777" w:rsidR="00C1190C" w:rsidRPr="006B2F21" w:rsidRDefault="00C1190C" w:rsidP="006B2F21">
      <w:pPr>
        <w:pStyle w:val="BodyText"/>
        <w:numPr>
          <w:ilvl w:val="6"/>
          <w:numId w:val="1"/>
        </w:numPr>
        <w:rPr>
          <w:szCs w:val="18"/>
        </w:rPr>
      </w:pPr>
      <w:r w:rsidRPr="006B2F21">
        <w:rPr>
          <w:szCs w:val="18"/>
        </w:rPr>
        <w:t>The text of Article 5.1 of the TBT Agreement provides, in relevant part:</w:t>
      </w:r>
    </w:p>
    <w:p w14:paraId="6555689F" w14:textId="77777777" w:rsidR="00C1190C" w:rsidRPr="006B2F21" w:rsidRDefault="00C1190C" w:rsidP="006B2F21">
      <w:pPr>
        <w:pStyle w:val="Quotation"/>
        <w:jc w:val="center"/>
        <w:rPr>
          <w:i/>
        </w:rPr>
      </w:pPr>
      <w:r w:rsidRPr="006B2F21">
        <w:rPr>
          <w:i/>
        </w:rPr>
        <w:t>Article 5</w:t>
      </w:r>
    </w:p>
    <w:p w14:paraId="189B7B00" w14:textId="77777777" w:rsidR="00C1190C" w:rsidRPr="006B2F21" w:rsidRDefault="00C1190C" w:rsidP="006B2F21">
      <w:pPr>
        <w:pStyle w:val="Quotation"/>
        <w:jc w:val="center"/>
        <w:rPr>
          <w:i/>
        </w:rPr>
      </w:pPr>
      <w:r w:rsidRPr="006B2F21">
        <w:rPr>
          <w:i/>
        </w:rPr>
        <w:t>Procedures for Assessment of Conformity by Central Government Bodies</w:t>
      </w:r>
    </w:p>
    <w:p w14:paraId="1FCA5D4F" w14:textId="77777777" w:rsidR="00C1190C" w:rsidRPr="006B2F21" w:rsidRDefault="00C1190C" w:rsidP="006B2F21">
      <w:pPr>
        <w:pStyle w:val="Quotation"/>
      </w:pPr>
      <w:r w:rsidRPr="006B2F21">
        <w:t>5.1 Members shall ensure that, in cases where a positive assurance of conformity with technical regulations or standards is required, their central government bodies apply the following provisions to products originating in the territories of other Members:</w:t>
      </w:r>
    </w:p>
    <w:p w14:paraId="316A5CEB" w14:textId="77777777" w:rsidR="00C1190C" w:rsidRPr="006B2F21" w:rsidRDefault="00C1190C" w:rsidP="006B2F21">
      <w:pPr>
        <w:pStyle w:val="Quotation"/>
      </w:pPr>
      <w:r w:rsidRPr="006B2F21">
        <w:t xml:space="preserve">… </w:t>
      </w:r>
    </w:p>
    <w:p w14:paraId="587B6635" w14:textId="77777777" w:rsidR="00C1190C" w:rsidRPr="006B2F21" w:rsidRDefault="00C1190C" w:rsidP="006B2F21">
      <w:pPr>
        <w:pStyle w:val="Quotation"/>
      </w:pPr>
      <w:r w:rsidRPr="006B2F21">
        <w:t>5.1.2 conformity assessment procedures are not prepared, adopted or applied with a view to or with the effect of creating unnecessary obstacles to international trade. This means, </w:t>
      </w:r>
      <w:r w:rsidRPr="006B2F21">
        <w:rPr>
          <w:i/>
        </w:rPr>
        <w:t>inter alia</w:t>
      </w:r>
      <w:r w:rsidRPr="006B2F21">
        <w:t>, that conformity assessment procedures shall not be more strict or be applied more strictly than is necessary to give the importing Member adequate confidence that products conform with the applicable technical regulations or standards, taking account of the risks non</w:t>
      </w:r>
      <w:r w:rsidRPr="006B2F21">
        <w:noBreakHyphen/>
        <w:t>conformity would create.</w:t>
      </w:r>
    </w:p>
    <w:p w14:paraId="110CD9FF" w14:textId="77777777" w:rsidR="00C1190C" w:rsidRPr="006B2F21" w:rsidRDefault="00C1190C" w:rsidP="006B2F21">
      <w:pPr>
        <w:pStyle w:val="BodyText"/>
        <w:numPr>
          <w:ilvl w:val="6"/>
          <w:numId w:val="1"/>
        </w:numPr>
        <w:rPr>
          <w:szCs w:val="18"/>
        </w:rPr>
      </w:pPr>
      <w:r w:rsidRPr="006B2F21">
        <w:rPr>
          <w:szCs w:val="18"/>
        </w:rPr>
        <w:t>The first sentence of Article 5.1.2 requires WTO Members to ensure that conformity assessment procedures are not prepared, adopted, or applied with a view to, or with the effect of, creating unnecessary obstacles to international trade. Pursuant to the second sentence, "[t]his means, </w:t>
      </w:r>
      <w:r w:rsidRPr="006B2F21">
        <w:rPr>
          <w:i/>
          <w:szCs w:val="18"/>
        </w:rPr>
        <w:t>inter alia</w:t>
      </w:r>
      <w:r w:rsidRPr="006B2F21">
        <w:rPr>
          <w:szCs w:val="18"/>
        </w:rPr>
        <w:t>, that conformity assessment procedures shall not be more strict or be applied more strictly than is necessary to give the importing Member adequate confidence that products conform with the applicable technical regulations or standards, taking account of the risks non</w:t>
      </w:r>
      <w:r w:rsidRPr="006B2F21">
        <w:rPr>
          <w:szCs w:val="18"/>
        </w:rPr>
        <w:noBreakHyphen/>
        <w:t>conformity would create". While the first sentence requires that the conformity assessment procedures not create "</w:t>
      </w:r>
      <w:r w:rsidRPr="006B2F21">
        <w:rPr>
          <w:i/>
          <w:szCs w:val="18"/>
        </w:rPr>
        <w:t>unnecessary</w:t>
      </w:r>
      <w:r w:rsidRPr="006B2F21">
        <w:rPr>
          <w:szCs w:val="18"/>
        </w:rPr>
        <w:t xml:space="preserve"> obstacles to international trade", the second sentence specifies that conformity assessment procedures "shall not be more strict or be applied more strictly than is </w:t>
      </w:r>
      <w:r w:rsidRPr="006B2F21">
        <w:rPr>
          <w:i/>
          <w:szCs w:val="18"/>
        </w:rPr>
        <w:t>necessary</w:t>
      </w:r>
      <w:r w:rsidRPr="006B2F21">
        <w:rPr>
          <w:szCs w:val="18"/>
        </w:rPr>
        <w:t xml:space="preserve">". </w:t>
      </w:r>
    </w:p>
    <w:p w14:paraId="3513BDD7" w14:textId="77777777" w:rsidR="00C1190C" w:rsidRPr="006B2F21" w:rsidRDefault="00C1190C" w:rsidP="006B2F21">
      <w:pPr>
        <w:pStyle w:val="BodyText"/>
        <w:numPr>
          <w:ilvl w:val="6"/>
          <w:numId w:val="1"/>
        </w:numPr>
        <w:rPr>
          <w:szCs w:val="18"/>
        </w:rPr>
      </w:pPr>
      <w:r w:rsidRPr="006B2F21">
        <w:rPr>
          <w:szCs w:val="18"/>
        </w:rPr>
        <w:t>Both sentences of Article 5.1.2 thus refer to the notion of "necessity". The Appellate Body has previously noted that the word "necessary" refers to a range of degrees of necessity, depending on the connection in which it is used.</w:t>
      </w:r>
      <w:r w:rsidRPr="006B2F21">
        <w:rPr>
          <w:rStyle w:val="FootnoteReference"/>
          <w:szCs w:val="18"/>
        </w:rPr>
        <w:footnoteReference w:id="461"/>
      </w:r>
      <w:r w:rsidRPr="006B2F21">
        <w:rPr>
          <w:szCs w:val="18"/>
        </w:rPr>
        <w:t xml:space="preserve"> In this vein, we consider that "necessity" in the first and second sentences of Article 5.1.2 has to be determined in the specific context of this provision. What constitutes an "unnecessary obstacle to international trade" is further informed by the second sentence of Article 5.1.2. The qualification "[t]his means" at the beginning of the second sentence, followed by the conjunction "</w:t>
      </w:r>
      <w:r w:rsidRPr="006B2F21">
        <w:rPr>
          <w:i/>
          <w:szCs w:val="18"/>
        </w:rPr>
        <w:t>inter alia</w:t>
      </w:r>
      <w:r w:rsidRPr="006B2F21">
        <w:rPr>
          <w:szCs w:val="18"/>
        </w:rPr>
        <w:t xml:space="preserve">", indicates that the second sentence describes a situation in which a conformity assessment procedure is prepared, adopted, or applied with a view to, or with the effect of, creating unnecessary obstacles to international trade. Since the second sentence </w:t>
      </w:r>
      <w:r w:rsidRPr="006B2F21">
        <w:rPr>
          <w:szCs w:val="18"/>
        </w:rPr>
        <w:lastRenderedPageBreak/>
        <w:t xml:space="preserve">specifies the meaning of the term "unnecessary" in the first sentence, it provides useful context for understanding how the notion of "necessity" in Article 5.1.2 as a whole should be interpreted. </w:t>
      </w:r>
    </w:p>
    <w:p w14:paraId="5166AF68" w14:textId="62AF36D3" w:rsidR="00C1190C" w:rsidRPr="006B2F21" w:rsidRDefault="00C1190C" w:rsidP="006B2F21">
      <w:pPr>
        <w:pStyle w:val="BodyText"/>
        <w:numPr>
          <w:ilvl w:val="6"/>
          <w:numId w:val="1"/>
        </w:numPr>
        <w:rPr>
          <w:szCs w:val="18"/>
        </w:rPr>
      </w:pPr>
      <w:r w:rsidRPr="006B2F21">
        <w:rPr>
          <w:szCs w:val="18"/>
        </w:rPr>
        <w:t>Under the second sentence, whether a procedure is "more strict" or is "applied more strictly than is necessary" has to be assessed in relation to whether it gives the importing Member "adequate confidence" that products conform with the applicable technical regulations or standards. In our view, this phrase points to the function of conformity assessment procedures, which is to ensure compliance with the requirements of a technical regulation or standard. Moreover, "the risks non</w:t>
      </w:r>
      <w:r w:rsidRPr="006B2F21">
        <w:rPr>
          <w:szCs w:val="18"/>
        </w:rPr>
        <w:noBreakHyphen/>
        <w:t>conformity would create" shall be taken account of. What gives the importing Member "adequate confidence" that certain products comply with a technical regulation or standard may vary depending on the measure at issue and the circumstances of the case. Whether the conformity assessment procedure is more strict or applied more strictly than necessary under the second sentence of Article 5.1.2 has to be assessed against its contribution to this function of giving adequate confidence that products comply with the underlying technical regulation or standard. Furthermore, the risks that non</w:t>
      </w:r>
      <w:r w:rsidRPr="006B2F21">
        <w:rPr>
          <w:szCs w:val="18"/>
        </w:rPr>
        <w:noBreakHyphen/>
        <w:t>conformity with a particular technical regulation or standard would create also depend on the objective pursued by the particular technical regulation or standard. In that sense, the objective of the technical regulation or standard may have relevance in the analysis of trade</w:t>
      </w:r>
      <w:r w:rsidR="00BF6C89" w:rsidRPr="006B2F21">
        <w:rPr>
          <w:szCs w:val="18"/>
        </w:rPr>
        <w:t xml:space="preserve"> </w:t>
      </w:r>
      <w:r w:rsidRPr="006B2F21">
        <w:rPr>
          <w:szCs w:val="18"/>
        </w:rPr>
        <w:t xml:space="preserve">restrictiveness of the conformity assessment procedure. </w:t>
      </w:r>
    </w:p>
    <w:p w14:paraId="6B63FB80" w14:textId="4A3539F4" w:rsidR="00C1190C" w:rsidRPr="006B2F21" w:rsidRDefault="00C1190C" w:rsidP="006B2F21">
      <w:pPr>
        <w:pStyle w:val="BodyText"/>
        <w:numPr>
          <w:ilvl w:val="6"/>
          <w:numId w:val="1"/>
        </w:numPr>
        <w:rPr>
          <w:szCs w:val="18"/>
        </w:rPr>
      </w:pPr>
      <w:bookmarkStart w:id="200" w:name="_Hlk23407943"/>
      <w:r w:rsidRPr="006B2F21">
        <w:rPr>
          <w:szCs w:val="18"/>
        </w:rPr>
        <w:t>In the panel proceedings, both parties and the Panel considered that Article 2.2 provides relevant context for the interpretation of Article 5.1.2.</w:t>
      </w:r>
      <w:r w:rsidRPr="006B2F21">
        <w:rPr>
          <w:rStyle w:val="FootnoteReference"/>
          <w:szCs w:val="18"/>
        </w:rPr>
        <w:footnoteReference w:id="462"/>
      </w:r>
      <w:r w:rsidRPr="006B2F21">
        <w:rPr>
          <w:szCs w:val="18"/>
        </w:rPr>
        <w:t xml:space="preserve"> We note similarities in the language of Articles 2.2 and 5.1.2 of the TBT Agreement.</w:t>
      </w:r>
      <w:r w:rsidRPr="006B2F21">
        <w:rPr>
          <w:rStyle w:val="FootnoteReference"/>
          <w:szCs w:val="18"/>
        </w:rPr>
        <w:footnoteReference w:id="463"/>
      </w:r>
      <w:r w:rsidRPr="006B2F21">
        <w:rPr>
          <w:szCs w:val="18"/>
        </w:rPr>
        <w:t xml:space="preserve"> Specifically, the first sentences of Articles 2.2 and</w:t>
      </w:r>
      <w:r w:rsidR="00287D7C">
        <w:rPr>
          <w:szCs w:val="18"/>
        </w:rPr>
        <w:t> </w:t>
      </w:r>
      <w:r w:rsidRPr="006B2F21">
        <w:rPr>
          <w:szCs w:val="18"/>
        </w:rPr>
        <w:t>5.1.2 contain an obligation for WTO Members not to "prepare[], adopt[] or appl[y]" technical regulations or conformity assessment procedures respectively "with a view to or with the effect of creating unnecessary obstacles to international trade". At the same time, there are relevant differences in the texts of these provisions. For instance, while the second sentence of Article 2.2 refers to "trade</w:t>
      </w:r>
      <w:r w:rsidRPr="006B2F21">
        <w:rPr>
          <w:szCs w:val="18"/>
        </w:rPr>
        <w:noBreakHyphen/>
        <w:t xml:space="preserve">restrictive", the second sentence of Article 5.1.2 refers to "more strict" or "applied more strictly". Moreover, the function of conformity assessment procedures expressed in the second sentence of Article 5.1.2 is </w:t>
      </w:r>
      <w:r w:rsidR="002F647A" w:rsidRPr="006B2F21">
        <w:rPr>
          <w:szCs w:val="18"/>
        </w:rPr>
        <w:t xml:space="preserve">to give </w:t>
      </w:r>
      <w:r w:rsidRPr="006B2F21">
        <w:rPr>
          <w:szCs w:val="18"/>
        </w:rPr>
        <w:t>"adequate confidence" that products conform with the applicable technical regulation or standard. By contrast, the third sentence of Article 2.2 refers to a list of indicative legitimate objectives that technical regulations could fulfil. As we see it, both Articles 2.2 and 5.1.2 set out obligations for WTO Members not to create unnecessary obstacles to international trade with regard to technical regulations and conformity assessment procedures, respectively, and identify certain factors to be considered in a necessity analysis. In particular, the factors relevant to the analysis under Article 2.2 include the legitimate objective of the technical regulation, its trade restrictiveness, and the risks non</w:t>
      </w:r>
      <w:r w:rsidRPr="006B2F21">
        <w:rPr>
          <w:szCs w:val="18"/>
        </w:rPr>
        <w:noBreakHyphen/>
        <w:t>fulfilment of the objective would create. Under Article 5.1.2, relevant factors include the function of the conformity assessment procedure, its strictness, and the risks non</w:t>
      </w:r>
      <w:r w:rsidRPr="006B2F21">
        <w:rPr>
          <w:szCs w:val="18"/>
        </w:rPr>
        <w:noBreakHyphen/>
        <w:t>conformity with the underlying technical regulation or standard would create.</w:t>
      </w:r>
      <w:r w:rsidRPr="006B2F21">
        <w:rPr>
          <w:rStyle w:val="FootnoteReference"/>
          <w:szCs w:val="18"/>
        </w:rPr>
        <w:footnoteReference w:id="464"/>
      </w:r>
      <w:r w:rsidRPr="006B2F21">
        <w:rPr>
          <w:szCs w:val="18"/>
        </w:rPr>
        <w:t xml:space="preserve"> </w:t>
      </w:r>
    </w:p>
    <w:p w14:paraId="75B44BB7" w14:textId="377AAF6F" w:rsidR="00C1190C" w:rsidRPr="006B2F21" w:rsidRDefault="00C1190C" w:rsidP="006B2F21">
      <w:pPr>
        <w:pStyle w:val="BodyText"/>
        <w:numPr>
          <w:ilvl w:val="6"/>
          <w:numId w:val="1"/>
        </w:numPr>
        <w:rPr>
          <w:szCs w:val="18"/>
        </w:rPr>
      </w:pPr>
      <w:r w:rsidRPr="006B2F21">
        <w:rPr>
          <w:szCs w:val="18"/>
        </w:rPr>
        <w:t>Based on these considerations, the existence of an "unnecessary obstacle[] to international trade" under the first and second sentences of Article 5.1.2 of the TBT Agreement, read together, may be established on the basis of an analysis of the following factors: (i) whether the conformity assessment procedure provides adequate confidence of conformity with the underlying technical regulation or standard; (ii) the strictness of the conformity assessment procedure or of the way in which it is applied; and (iii) the nature of the risks and the gravity of the consequences that would arise from non</w:t>
      </w:r>
      <w:r w:rsidRPr="006B2F21">
        <w:rPr>
          <w:szCs w:val="18"/>
        </w:rPr>
        <w:noBreakHyphen/>
        <w:t xml:space="preserve">conformity with the technical regulation or standard. While the function of conformity assessment procedures is to ensure compliance with the underlying technical regulation or standard, </w:t>
      </w:r>
      <w:r w:rsidRPr="006B2F21">
        <w:rPr>
          <w:szCs w:val="18"/>
        </w:rPr>
        <w:lastRenderedPageBreak/>
        <w:t>the legitimate objective of this regulation or standard would also be relevant in determining the nature of the risks and the gravity of the consequences that would arise from non</w:t>
      </w:r>
      <w:r w:rsidRPr="006B2F21">
        <w:rPr>
          <w:szCs w:val="18"/>
        </w:rPr>
        <w:noBreakHyphen/>
        <w:t>conformity. Similarly to Article 2.2, the use of the comparative "more … than" in the second sentence of Article 5.1.2 suggests that the existence of an "unnecessary obstacle[] to international trade" in the first sentence may be ascertained on the basis of a comparative analysis of the above factors.</w:t>
      </w:r>
      <w:r w:rsidRPr="006B2F21">
        <w:rPr>
          <w:rStyle w:val="FootnoteReference"/>
          <w:szCs w:val="18"/>
        </w:rPr>
        <w:footnoteReference w:id="465"/>
      </w:r>
      <w:r w:rsidRPr="006B2F21">
        <w:rPr>
          <w:szCs w:val="18"/>
        </w:rPr>
        <w:t xml:space="preserve"> Thus, in order to establish that a conformity assessment procedure is more strict than necessary, it may be compared to possible alternative procedures. In this respect, panels should examine whether such alternative measures are reasonably available, are less strict or applied less strictly, and provide an equivalent contribution to giving the importing Member adequate confidence that products conform with the applicable technical regulations or standards. This analysis ultimately involves a holistic weighing and balancing of all relevant factors with respect to the challenged conformity assessment procedure and in comparison with proposed alternative measures.</w:t>
      </w:r>
      <w:r w:rsidRPr="006B2F21">
        <w:rPr>
          <w:rStyle w:val="FootnoteReference"/>
          <w:szCs w:val="18"/>
        </w:rPr>
        <w:footnoteReference w:id="466"/>
      </w:r>
    </w:p>
    <w:p w14:paraId="20C9B32E" w14:textId="77777777" w:rsidR="00C1190C" w:rsidRPr="006B2F21" w:rsidRDefault="00C1190C" w:rsidP="006B2F21">
      <w:pPr>
        <w:pStyle w:val="BodyText"/>
        <w:numPr>
          <w:ilvl w:val="6"/>
          <w:numId w:val="1"/>
        </w:numPr>
        <w:rPr>
          <w:szCs w:val="18"/>
        </w:rPr>
      </w:pPr>
      <w:bookmarkStart w:id="201" w:name="_Hlk21697537"/>
      <w:bookmarkEnd w:id="200"/>
      <w:r w:rsidRPr="006B2F21">
        <w:rPr>
          <w:szCs w:val="18"/>
        </w:rPr>
        <w:t>With respect to the burden of proof in establishing the existence of an "unnecessary obstacle[] to international trade" under Article 5.1.2, we note that the Appellate Body has held that as a general matter the burden of proof rests upon the party, whether complaining or defending, that asserts the affirmative of a particular claim or defence. If that party adduces evidence sufficient to raise a presumption that what is claimed is true, the burden then shifts to the other party, which will fail unless it adduces sufficient evidence to rebut the presumption.</w:t>
      </w:r>
      <w:r w:rsidRPr="006B2F21">
        <w:rPr>
          <w:rStyle w:val="FootnoteReference"/>
          <w:szCs w:val="18"/>
        </w:rPr>
        <w:footnoteReference w:id="467"/>
      </w:r>
      <w:r w:rsidRPr="006B2F21">
        <w:rPr>
          <w:szCs w:val="18"/>
        </w:rPr>
        <w:t xml:space="preserve"> In addition, precisely how much and precisely what kind of evidence will be required to establish such a presumption will necessarily vary from measure to measure, provision to provision, and case to case.</w:t>
      </w:r>
      <w:r w:rsidRPr="006B2F21">
        <w:rPr>
          <w:rStyle w:val="FootnoteReference"/>
          <w:szCs w:val="18"/>
        </w:rPr>
        <w:footnoteReference w:id="468"/>
      </w:r>
    </w:p>
    <w:p w14:paraId="74EB9D63" w14:textId="671DC9D2" w:rsidR="00C1190C" w:rsidRPr="006B2F21" w:rsidRDefault="00C1190C" w:rsidP="006B2F21">
      <w:pPr>
        <w:pStyle w:val="BodyText"/>
        <w:numPr>
          <w:ilvl w:val="6"/>
          <w:numId w:val="1"/>
        </w:numPr>
        <w:rPr>
          <w:szCs w:val="18"/>
        </w:rPr>
      </w:pPr>
      <w:bookmarkStart w:id="202" w:name="_Hlk22042890"/>
      <w:r w:rsidRPr="006B2F21">
        <w:rPr>
          <w:szCs w:val="18"/>
        </w:rPr>
        <w:t>The Appellate Body has said that, thus, the burden of proof with respect to a particular WTO</w:t>
      </w:r>
      <w:r w:rsidR="00287D7C">
        <w:rPr>
          <w:szCs w:val="18"/>
        </w:rPr>
        <w:t> </w:t>
      </w:r>
      <w:r w:rsidRPr="006B2F21">
        <w:rPr>
          <w:szCs w:val="18"/>
        </w:rPr>
        <w:t>provision "cannot be understood in isolation from the overarching logic of that provision, and the function which it is designed to serve".</w:t>
      </w:r>
      <w:r w:rsidRPr="006B2F21">
        <w:rPr>
          <w:rStyle w:val="FootnoteReference"/>
          <w:szCs w:val="18"/>
        </w:rPr>
        <w:footnoteReference w:id="469"/>
      </w:r>
      <w:r w:rsidRPr="006B2F21">
        <w:rPr>
          <w:szCs w:val="18"/>
        </w:rPr>
        <w:t xml:space="preserve"> In this regard, similarly to Article 2.2, the burden to make a </w:t>
      </w:r>
      <w:r w:rsidRPr="006B2F21">
        <w:rPr>
          <w:i/>
          <w:szCs w:val="18"/>
        </w:rPr>
        <w:t>prima facie</w:t>
      </w:r>
      <w:r w:rsidRPr="006B2F21">
        <w:rPr>
          <w:szCs w:val="18"/>
        </w:rPr>
        <w:t xml:space="preserve"> case under Article 5.1.2 is on the complainant. By contrast in exceptions employing the concept of necessity, such as Article XX of the GATT 1994 and Article XIV of the General Agreement on Trade in Services (GATS), the burden of proof with respect to the "necessity" of the measure is on the respondent.</w:t>
      </w:r>
      <w:r w:rsidRPr="006B2F21">
        <w:rPr>
          <w:rStyle w:val="FootnoteReference"/>
          <w:szCs w:val="18"/>
        </w:rPr>
        <w:footnoteReference w:id="470"/>
      </w:r>
      <w:r w:rsidRPr="006B2F21">
        <w:rPr>
          <w:szCs w:val="18"/>
        </w:rPr>
        <w:t xml:space="preserve"> In order to show that a conformity assessment procedure or its application is inconsistent with Article 5.1.2, the complainant must establish that the challenged measure creates an unnecessary obstacle to international trade on the basis of the first or second sentences of that provision. Under the second sentence, the complainant must present evidence and arguments sufficient to establish that the challenged conformity assessment procedure is more strict or applied more strictly than necessary to give the importing Member adequate confidence that products conform with the applicable technical regulations or standards, taking account of the risks non</w:t>
      </w:r>
      <w:r w:rsidRPr="006B2F21">
        <w:rPr>
          <w:szCs w:val="18"/>
        </w:rPr>
        <w:noBreakHyphen/>
        <w:t xml:space="preserve">conformity would create. In making its </w:t>
      </w:r>
      <w:r w:rsidRPr="006B2F21">
        <w:rPr>
          <w:i/>
          <w:szCs w:val="18"/>
        </w:rPr>
        <w:t>prima facie</w:t>
      </w:r>
      <w:r w:rsidRPr="006B2F21">
        <w:rPr>
          <w:szCs w:val="18"/>
        </w:rPr>
        <w:t xml:space="preserve"> case, a complainant may also seek to identify a possible alternative measure that is less strict or applied less strictly, makes an equivalent contribution to the objective of ensuring adequate confidence, and is reasonably available.</w:t>
      </w:r>
      <w:r w:rsidRPr="006B2F21">
        <w:rPr>
          <w:rStyle w:val="FootnoteReference"/>
          <w:szCs w:val="18"/>
        </w:rPr>
        <w:footnoteReference w:id="471"/>
      </w:r>
      <w:r w:rsidRPr="006B2F21">
        <w:rPr>
          <w:szCs w:val="18"/>
        </w:rPr>
        <w:t xml:space="preserve"> It is then for the respondent to rebut the complainant's </w:t>
      </w:r>
      <w:r w:rsidRPr="006B2F21">
        <w:rPr>
          <w:i/>
          <w:szCs w:val="18"/>
        </w:rPr>
        <w:t>prima facie</w:t>
      </w:r>
      <w:r w:rsidRPr="006B2F21">
        <w:rPr>
          <w:szCs w:val="18"/>
        </w:rPr>
        <w:t xml:space="preserve"> case, by presenting evidence and arguments showing that the challenged conformity assessment procedure is not more strict or applied more strictly than necessary by demonstrating, for example, that the alternative measure identified by the complainant is not, in fact, reasonably available, is not less strict or applied less strictly, or does not make an equivalent contribution to the objective of ensuring adequate confidence. </w:t>
      </w:r>
    </w:p>
    <w:p w14:paraId="0E01C937" w14:textId="77777777" w:rsidR="00C1190C" w:rsidRPr="006B2F21" w:rsidRDefault="00C1190C" w:rsidP="006B2F21">
      <w:pPr>
        <w:pStyle w:val="BodyText"/>
        <w:numPr>
          <w:ilvl w:val="6"/>
          <w:numId w:val="1"/>
        </w:numPr>
        <w:rPr>
          <w:szCs w:val="18"/>
        </w:rPr>
      </w:pPr>
      <w:r w:rsidRPr="006B2F21">
        <w:rPr>
          <w:szCs w:val="18"/>
        </w:rPr>
        <w:t>We further recall that the burden of proof with respect to a particular WTO provision "cannot be understood in isolation from the overarching logic of that provision, and the function which it is designed to serve".</w:t>
      </w:r>
      <w:r w:rsidRPr="006B2F21">
        <w:rPr>
          <w:rStyle w:val="FootnoteReference"/>
          <w:szCs w:val="18"/>
        </w:rPr>
        <w:footnoteReference w:id="472"/>
      </w:r>
      <w:r w:rsidRPr="006B2F21">
        <w:rPr>
          <w:szCs w:val="18"/>
        </w:rPr>
        <w:t xml:space="preserve"> In this regard, the Appellate Body has observed that </w:t>
      </w:r>
      <w:bookmarkStart w:id="203" w:name="_Hlk21362173"/>
      <w:r w:rsidRPr="006B2F21">
        <w:rPr>
          <w:szCs w:val="18"/>
        </w:rPr>
        <w:t>while Article XX of the GATT 1994 provides for exceptions, Article 2.2 of the TBT Agreement contains positive obligations, and this difference must be taken into account in the allocation of the burden of proof imposed on respondents and complainants under the respective provisions.</w:t>
      </w:r>
      <w:bookmarkEnd w:id="203"/>
      <w:r w:rsidRPr="006B2F21">
        <w:rPr>
          <w:rStyle w:val="FootnoteReference"/>
          <w:szCs w:val="18"/>
        </w:rPr>
        <w:footnoteReference w:id="473"/>
      </w:r>
      <w:r w:rsidRPr="006B2F21">
        <w:rPr>
          <w:szCs w:val="18"/>
        </w:rPr>
        <w:t xml:space="preserve"> Since under Article 5.1.2 of the TBT Agreement the burden is on the complainant to establish the elements of a breach of a positive obligation, we consider that the allocation of the burden of proof for complainants and respondents </w:t>
      </w:r>
      <w:r w:rsidRPr="006B2F21">
        <w:rPr>
          <w:szCs w:val="18"/>
        </w:rPr>
        <w:lastRenderedPageBreak/>
        <w:t xml:space="preserve">under this provision should be guided by similar considerations to the one under Article 2.2 of the TBT Agreement. Specifically, as noted, while under Article XX of the GATT 1994 a respondent must establish that the alternative measure identified by the complainant is ultimately </w:t>
      </w:r>
      <w:r w:rsidRPr="006B2F21">
        <w:rPr>
          <w:i/>
          <w:szCs w:val="18"/>
        </w:rPr>
        <w:t>not</w:t>
      </w:r>
      <w:r w:rsidRPr="006B2F21">
        <w:rPr>
          <w:szCs w:val="18"/>
        </w:rPr>
        <w:t xml:space="preserve"> reasonably available to the respondent, under Article 2.2 of the TBT Agreement a complainant must make a </w:t>
      </w:r>
      <w:r w:rsidRPr="006B2F21">
        <w:rPr>
          <w:i/>
          <w:szCs w:val="18"/>
        </w:rPr>
        <w:t>prima facie</w:t>
      </w:r>
      <w:r w:rsidRPr="006B2F21">
        <w:rPr>
          <w:szCs w:val="18"/>
        </w:rPr>
        <w:t xml:space="preserve"> case that its proposed alternative measure </w:t>
      </w:r>
      <w:r w:rsidRPr="006B2F21">
        <w:rPr>
          <w:i/>
          <w:szCs w:val="18"/>
        </w:rPr>
        <w:t>is</w:t>
      </w:r>
      <w:r w:rsidRPr="006B2F21">
        <w:rPr>
          <w:szCs w:val="18"/>
        </w:rPr>
        <w:t xml:space="preserve"> reasonably available.</w:t>
      </w:r>
      <w:r w:rsidRPr="006B2F21">
        <w:rPr>
          <w:szCs w:val="18"/>
          <w:lang w:eastAsia="en-US"/>
        </w:rPr>
        <w:t xml:space="preserve"> In any event, the fact that </w:t>
      </w:r>
      <w:r w:rsidRPr="006B2F21">
        <w:rPr>
          <w:szCs w:val="18"/>
        </w:rPr>
        <w:t>alternative measures serve as "conceptual tool[s]" in the assessment of the trade restrictiveness of a measure also informs the nature and amount of evidence required.</w:t>
      </w:r>
      <w:r w:rsidRPr="006B2F21">
        <w:rPr>
          <w:rStyle w:val="FootnoteReference"/>
          <w:szCs w:val="18"/>
        </w:rPr>
        <w:footnoteReference w:id="474"/>
      </w:r>
      <w:r w:rsidRPr="006B2F21">
        <w:rPr>
          <w:szCs w:val="18"/>
        </w:rPr>
        <w:t xml:space="preserve"> In particular, such alternative measures are of a hypothetical nature for purposes of a necessity analysis, because they do not (yet) exist, or at least not in the particular form proposed by the complainant. Thus, complainants cannot be expected to provide complete and exhaustive descriptions of the alternative measures they propose.</w:t>
      </w:r>
      <w:r w:rsidRPr="006B2F21">
        <w:rPr>
          <w:rStyle w:val="FootnoteReference"/>
          <w:szCs w:val="18"/>
        </w:rPr>
        <w:footnoteReference w:id="475"/>
      </w:r>
      <w:r w:rsidRPr="006B2F21">
        <w:rPr>
          <w:szCs w:val="18"/>
        </w:rPr>
        <w:t xml:space="preserve"> Taking into account that the specific details of implementation may depend on the capacity and particular circumstances of the implementing Member in question, it would appear incongruous to expect a complainant to provide detailed information on how a proposed alternative would be implemented by the respondent in practice, and precise and comprehensive estimates of the cost that such implementation would entail.</w:t>
      </w:r>
      <w:r w:rsidRPr="006B2F21">
        <w:rPr>
          <w:rStyle w:val="FootnoteReference"/>
          <w:szCs w:val="18"/>
        </w:rPr>
        <w:footnoteReference w:id="476"/>
      </w:r>
      <w:r w:rsidRPr="006B2F21">
        <w:rPr>
          <w:szCs w:val="18"/>
        </w:rPr>
        <w:t xml:space="preserve"> Therefore, </w:t>
      </w:r>
      <w:bookmarkStart w:id="204" w:name="_Hlk14710906"/>
      <w:r w:rsidRPr="006B2F21">
        <w:rPr>
          <w:szCs w:val="18"/>
        </w:rPr>
        <w:t xml:space="preserve">once a complainant has established </w:t>
      </w:r>
      <w:r w:rsidRPr="006B2F21">
        <w:rPr>
          <w:i/>
          <w:szCs w:val="18"/>
        </w:rPr>
        <w:t>prima facie</w:t>
      </w:r>
      <w:r w:rsidRPr="006B2F21">
        <w:rPr>
          <w:szCs w:val="18"/>
        </w:rPr>
        <w:t xml:space="preserve"> that a proposed alternative is reasonably available, it would then be for the respondent to adduce specific evidence </w:t>
      </w:r>
      <w:bookmarkEnd w:id="204"/>
      <w:r w:rsidRPr="006B2F21">
        <w:rPr>
          <w:szCs w:val="18"/>
        </w:rPr>
        <w:t xml:space="preserve">as to why the implementation of this alternative would be actually impracticable, for instance because it is associated with prohibitive costs or substantial technical difficulties. </w:t>
      </w:r>
    </w:p>
    <w:bookmarkEnd w:id="201"/>
    <w:bookmarkEnd w:id="202"/>
    <w:p w14:paraId="75910C55" w14:textId="77777777" w:rsidR="00C1190C" w:rsidRPr="006B2F21" w:rsidRDefault="00C1190C" w:rsidP="006B2F21">
      <w:pPr>
        <w:pStyle w:val="BodyText"/>
        <w:numPr>
          <w:ilvl w:val="6"/>
          <w:numId w:val="1"/>
        </w:numPr>
        <w:rPr>
          <w:szCs w:val="18"/>
        </w:rPr>
      </w:pPr>
      <w:r w:rsidRPr="006B2F21">
        <w:rPr>
          <w:szCs w:val="18"/>
        </w:rPr>
        <w:t>With these considerations in mind, we turn to Ukraine's claim that the Panel failed to make an objective assessment of the matter before it pursuant to Article 11 of the DSU in finding that there were no less trade</w:t>
      </w:r>
      <w:r w:rsidRPr="006B2F21">
        <w:rPr>
          <w:szCs w:val="18"/>
        </w:rPr>
        <w:noBreakHyphen/>
        <w:t>restrictive alternatives available to Russia within the meaning of Article 5.1.2 of the TBT Agreement, and that Ukraine had failed to establish that Russia acted inconsistently with its obligations under that provision.</w:t>
      </w:r>
      <w:r w:rsidRPr="006B2F21">
        <w:rPr>
          <w:rStyle w:val="FootnoteReference"/>
          <w:szCs w:val="18"/>
        </w:rPr>
        <w:footnoteReference w:id="477"/>
      </w:r>
      <w:r w:rsidRPr="006B2F21">
        <w:rPr>
          <w:szCs w:val="18"/>
        </w:rPr>
        <w:t xml:space="preserve"> We recall that, before the Panel, Ukraine put forward four alternative measures: (i) additional communications with the relevant Ukrainian producers; (ii) entrusting on</w:t>
      </w:r>
      <w:r w:rsidRPr="006B2F21">
        <w:rPr>
          <w:szCs w:val="18"/>
        </w:rPr>
        <w:noBreakHyphen/>
        <w:t>site inspections in Ukraine to the competent authorities from Kazakhstan and Belarus; (iii) accrediting non</w:t>
      </w:r>
      <w:r w:rsidRPr="006B2F21">
        <w:rPr>
          <w:szCs w:val="18"/>
        </w:rPr>
        <w:noBreakHyphen/>
        <w:t>Russian inspectors, either experts or organizations, to conduct inspections in Ukraine; and (iv) off</w:t>
      </w:r>
      <w:r w:rsidRPr="006B2F21">
        <w:rPr>
          <w:szCs w:val="18"/>
        </w:rPr>
        <w:noBreakHyphen/>
        <w:t>site inspections.</w:t>
      </w:r>
      <w:r w:rsidRPr="006B2F21">
        <w:rPr>
          <w:rStyle w:val="FootnoteReference"/>
          <w:szCs w:val="18"/>
        </w:rPr>
        <w:footnoteReference w:id="478"/>
      </w:r>
      <w:r w:rsidRPr="006B2F21">
        <w:rPr>
          <w:szCs w:val="18"/>
        </w:rPr>
        <w:t xml:space="preserve"> We begin our analysis with Ukraine's claim, which takes issue with the Panel's allocation of the burden of proof under the alternative consisting in the possibility for the FBO to conduct off</w:t>
      </w:r>
      <w:r w:rsidRPr="006B2F21">
        <w:rPr>
          <w:szCs w:val="18"/>
        </w:rPr>
        <w:noBreakHyphen/>
        <w:t xml:space="preserve">site inspections. </w:t>
      </w:r>
    </w:p>
    <w:p w14:paraId="58931269" w14:textId="7A474D95" w:rsidR="00C1190C" w:rsidRPr="006B2F21" w:rsidRDefault="00C1190C" w:rsidP="006B2F21">
      <w:pPr>
        <w:pStyle w:val="BodyText"/>
        <w:numPr>
          <w:ilvl w:val="6"/>
          <w:numId w:val="1"/>
        </w:numPr>
        <w:rPr>
          <w:szCs w:val="18"/>
        </w:rPr>
      </w:pPr>
      <w:r w:rsidRPr="006B2F21">
        <w:rPr>
          <w:szCs w:val="18"/>
        </w:rPr>
        <w:t>Before the Panel, Ukraine argued that the conducting of off</w:t>
      </w:r>
      <w:r w:rsidRPr="006B2F21">
        <w:rPr>
          <w:szCs w:val="18"/>
        </w:rPr>
        <w:noBreakHyphen/>
        <w:t>site inspections by the FBO in Ukraine, a possibility that already existed in Russia's legislation, would be a less trade</w:t>
      </w:r>
      <w:r w:rsidRPr="006B2F21">
        <w:rPr>
          <w:szCs w:val="18"/>
        </w:rPr>
        <w:noBreakHyphen/>
        <w:t>restrictive alternative measure. On appeal, Ukraine submits that the Panel erred in finding that it was for Ukraine to submit evidence of compliance with the statutory requirements for conducting such off</w:t>
      </w:r>
      <w:r w:rsidRPr="006B2F21">
        <w:rPr>
          <w:szCs w:val="18"/>
        </w:rPr>
        <w:noBreakHyphen/>
        <w:t>site inspections as an alternative to on</w:t>
      </w:r>
      <w:r w:rsidRPr="006B2F21">
        <w:rPr>
          <w:szCs w:val="18"/>
        </w:rPr>
        <w:noBreakHyphen/>
        <w:t>site inspections, namely</w:t>
      </w:r>
      <w:r w:rsidR="00D30219">
        <w:rPr>
          <w:szCs w:val="18"/>
        </w:rPr>
        <w:t>,</w:t>
      </w:r>
      <w:r w:rsidRPr="006B2F21">
        <w:rPr>
          <w:szCs w:val="18"/>
        </w:rPr>
        <w:t xml:space="preserve"> absence of non</w:t>
      </w:r>
      <w:r w:rsidRPr="006B2F21">
        <w:rPr>
          <w:szCs w:val="18"/>
        </w:rPr>
        <w:noBreakHyphen/>
        <w:t>conformities and consumer complaints for the railway products covered by the suspended certificates at issue in this case.</w:t>
      </w:r>
      <w:r w:rsidRPr="006B2F21">
        <w:rPr>
          <w:rStyle w:val="FootnoteReference"/>
          <w:szCs w:val="18"/>
        </w:rPr>
        <w:footnoteReference w:id="479"/>
      </w:r>
      <w:r w:rsidRPr="006B2F21">
        <w:rPr>
          <w:szCs w:val="18"/>
        </w:rPr>
        <w:t xml:space="preserve"> In Ukraine's view, the Panel placed an excessive burden of proof on Ukraine and failed to make an objective assessment under Article 11 of the DSU.</w:t>
      </w:r>
      <w:r w:rsidRPr="006B2F21">
        <w:rPr>
          <w:rStyle w:val="FootnoteReference"/>
          <w:szCs w:val="18"/>
        </w:rPr>
        <w:footnoteReference w:id="480"/>
      </w:r>
      <w:r w:rsidRPr="006B2F21">
        <w:rPr>
          <w:szCs w:val="18"/>
        </w:rPr>
        <w:t xml:space="preserve"> Ukraine also argues that the Russian authorities did not explain to the Ukrainian producers the reasons for their refusal to conduct the off</w:t>
      </w:r>
      <w:r w:rsidRPr="006B2F21">
        <w:rPr>
          <w:szCs w:val="18"/>
        </w:rPr>
        <w:noBreakHyphen/>
        <w:t>site inspections, and the inspection control acts during previous inspections were vague.</w:t>
      </w:r>
      <w:r w:rsidRPr="006B2F21">
        <w:rPr>
          <w:rStyle w:val="FootnoteReference"/>
          <w:szCs w:val="18"/>
        </w:rPr>
        <w:footnoteReference w:id="481"/>
      </w:r>
      <w:r w:rsidRPr="006B2F21">
        <w:rPr>
          <w:szCs w:val="18"/>
        </w:rPr>
        <w:t xml:space="preserve"> </w:t>
      </w:r>
    </w:p>
    <w:p w14:paraId="1D3637F7" w14:textId="377D21E5" w:rsidR="00C1190C" w:rsidRPr="006B2F21" w:rsidRDefault="00C1190C" w:rsidP="006B2F21">
      <w:pPr>
        <w:pStyle w:val="BodyText"/>
        <w:numPr>
          <w:ilvl w:val="6"/>
          <w:numId w:val="1"/>
        </w:numPr>
        <w:rPr>
          <w:szCs w:val="18"/>
        </w:rPr>
      </w:pPr>
      <w:r w:rsidRPr="006B2F21">
        <w:rPr>
          <w:szCs w:val="18"/>
        </w:rPr>
        <w:t>We recall that, before the Panel, Ukraine argued that Russia could have made use of off</w:t>
      </w:r>
      <w:r w:rsidRPr="006B2F21">
        <w:rPr>
          <w:szCs w:val="18"/>
        </w:rPr>
        <w:noBreakHyphen/>
        <w:t xml:space="preserve">site inspections instead of suspending certificates due to the impossibility </w:t>
      </w:r>
      <w:r w:rsidR="005018A1" w:rsidRPr="006B2F21">
        <w:rPr>
          <w:szCs w:val="18"/>
        </w:rPr>
        <w:t xml:space="preserve">of conducting </w:t>
      </w:r>
      <w:r w:rsidRPr="006B2F21">
        <w:rPr>
          <w:szCs w:val="18"/>
        </w:rPr>
        <w:t>on</w:t>
      </w:r>
      <w:r w:rsidRPr="006B2F21">
        <w:rPr>
          <w:szCs w:val="18"/>
        </w:rPr>
        <w:noBreakHyphen/>
        <w:t>site inspection control. In Ukraine's view, this alternative measure was reasonably available to Russia because off</w:t>
      </w:r>
      <w:r w:rsidRPr="006B2F21">
        <w:rPr>
          <w:szCs w:val="18"/>
        </w:rPr>
        <w:noBreakHyphen/>
        <w:t>site inspections were explicitly provided for in Article 5.3 of CS FRT 12</w:t>
      </w:r>
      <w:r w:rsidRPr="006B2F21">
        <w:rPr>
          <w:szCs w:val="18"/>
        </w:rPr>
        <w:noBreakHyphen/>
        <w:t>2003.</w:t>
      </w:r>
      <w:r w:rsidRPr="006B2F21">
        <w:rPr>
          <w:rStyle w:val="FootnoteReference"/>
          <w:szCs w:val="18"/>
        </w:rPr>
        <w:footnoteReference w:id="482"/>
      </w:r>
      <w:r w:rsidRPr="006B2F21">
        <w:rPr>
          <w:szCs w:val="18"/>
        </w:rPr>
        <w:t xml:space="preserve"> For its part, Russia submitted that off</w:t>
      </w:r>
      <w:r w:rsidRPr="006B2F21">
        <w:rPr>
          <w:szCs w:val="18"/>
        </w:rPr>
        <w:noBreakHyphen/>
        <w:t>site inspections could be conducted only if the conditions set out in Article 7.4.1 of PC</w:t>
      </w:r>
      <w:r w:rsidRPr="006B2F21">
        <w:rPr>
          <w:szCs w:val="18"/>
        </w:rPr>
        <w:noBreakHyphen/>
        <w:t>FZT 08</w:t>
      </w:r>
      <w:r w:rsidRPr="006B2F21">
        <w:rPr>
          <w:szCs w:val="18"/>
        </w:rPr>
        <w:noBreakHyphen/>
        <w:t>2013 were satisfied.</w:t>
      </w:r>
      <w:r w:rsidRPr="006B2F21">
        <w:rPr>
          <w:rStyle w:val="FootnoteReference"/>
          <w:szCs w:val="18"/>
        </w:rPr>
        <w:footnoteReference w:id="483"/>
      </w:r>
      <w:r w:rsidRPr="006B2F21">
        <w:rPr>
          <w:szCs w:val="18"/>
        </w:rPr>
        <w:t xml:space="preserve"> In particular, the disagreement between the parties was whether two of the conditions in Article 7.4.1 of PC</w:t>
      </w:r>
      <w:r w:rsidRPr="006B2F21">
        <w:rPr>
          <w:szCs w:val="18"/>
        </w:rPr>
        <w:noBreakHyphen/>
        <w:t>FZT 08</w:t>
      </w:r>
      <w:r w:rsidRPr="006B2F21">
        <w:rPr>
          <w:szCs w:val="18"/>
        </w:rPr>
        <w:noBreakHyphen/>
        <w:t xml:space="preserve">2013, absence of facts of </w:t>
      </w:r>
      <w:r w:rsidRPr="006B2F21">
        <w:rPr>
          <w:szCs w:val="18"/>
        </w:rPr>
        <w:lastRenderedPageBreak/>
        <w:t>non</w:t>
      </w:r>
      <w:r w:rsidRPr="006B2F21">
        <w:rPr>
          <w:szCs w:val="18"/>
        </w:rPr>
        <w:noBreakHyphen/>
        <w:t>conformity during the previous inspection control and absence of consumer complaints as to the quality of certified products, were fulfilled with respect to the railway products affected by the 14</w:t>
      </w:r>
      <w:r w:rsidR="00EB7D21" w:rsidRPr="006B2F21">
        <w:rPr>
          <w:szCs w:val="18"/>
        </w:rPr>
        <w:t> </w:t>
      </w:r>
      <w:r w:rsidRPr="006B2F21">
        <w:rPr>
          <w:szCs w:val="18"/>
        </w:rPr>
        <w:t>suspensions at issue.</w:t>
      </w:r>
      <w:r w:rsidRPr="006B2F21">
        <w:rPr>
          <w:rStyle w:val="FootnoteReference"/>
          <w:szCs w:val="18"/>
        </w:rPr>
        <w:footnoteReference w:id="484"/>
      </w:r>
      <w:r w:rsidRPr="006B2F21">
        <w:rPr>
          <w:szCs w:val="18"/>
        </w:rPr>
        <w:t xml:space="preserve"> As the Panel explained, while "Ukraine advanced arguments in relation to the availability of off</w:t>
      </w:r>
      <w:r w:rsidRPr="006B2F21">
        <w:rPr>
          <w:szCs w:val="18"/>
        </w:rPr>
        <w:noBreakHyphen/>
        <w:t>site inspections, first under Article 5.3 of CS FRT 12</w:t>
      </w:r>
      <w:r w:rsidRPr="006B2F21">
        <w:rPr>
          <w:szCs w:val="18"/>
        </w:rPr>
        <w:noBreakHyphen/>
        <w:t>2003, and later, once Russia had referred to Article 7.4.1 of PC</w:t>
      </w:r>
      <w:r w:rsidRPr="006B2F21">
        <w:rPr>
          <w:szCs w:val="18"/>
        </w:rPr>
        <w:noBreakHyphen/>
        <w:t>FZT 08</w:t>
      </w:r>
      <w:r w:rsidRPr="006B2F21">
        <w:rPr>
          <w:szCs w:val="18"/>
        </w:rPr>
        <w:noBreakHyphen/>
        <w:t>2013, under Article 7.4.1"</w:t>
      </w:r>
      <w:r w:rsidRPr="006B2F21">
        <w:rPr>
          <w:rStyle w:val="FootnoteReference"/>
          <w:szCs w:val="18"/>
        </w:rPr>
        <w:footnoteReference w:id="485"/>
      </w:r>
      <w:r w:rsidRPr="006B2F21">
        <w:rPr>
          <w:szCs w:val="18"/>
        </w:rPr>
        <w:t>, Russia provided evidence "to rebut Ukraine's assertions as to the availability of off</w:t>
      </w:r>
      <w:r w:rsidRPr="006B2F21">
        <w:rPr>
          <w:szCs w:val="18"/>
        </w:rPr>
        <w:noBreakHyphen/>
        <w:t>site inspections".</w:t>
      </w:r>
      <w:r w:rsidRPr="006B2F21">
        <w:rPr>
          <w:rStyle w:val="FootnoteReference"/>
          <w:szCs w:val="18"/>
        </w:rPr>
        <w:footnoteReference w:id="486"/>
      </w:r>
      <w:r w:rsidRPr="006B2F21">
        <w:rPr>
          <w:szCs w:val="18"/>
        </w:rPr>
        <w:t xml:space="preserve"> </w:t>
      </w:r>
    </w:p>
    <w:p w14:paraId="440DAED6" w14:textId="77777777" w:rsidR="00C1190C" w:rsidRPr="006B2F21" w:rsidRDefault="00C1190C" w:rsidP="006B2F21">
      <w:pPr>
        <w:pStyle w:val="BodyText"/>
        <w:numPr>
          <w:ilvl w:val="6"/>
          <w:numId w:val="1"/>
        </w:numPr>
        <w:rPr>
          <w:szCs w:val="18"/>
        </w:rPr>
      </w:pPr>
      <w:r w:rsidRPr="006B2F21">
        <w:rPr>
          <w:szCs w:val="18"/>
        </w:rPr>
        <w:t>The Panel considered that it was for Ukraine to submit evidence of absence of non</w:t>
      </w:r>
      <w:r w:rsidRPr="006B2F21">
        <w:rPr>
          <w:szCs w:val="18"/>
        </w:rPr>
        <w:noBreakHyphen/>
        <w:t xml:space="preserve">conformities and consumer complaints with respect to the products covered by the 14 suspensions at issue. </w:t>
      </w:r>
      <w:bookmarkStart w:id="211" w:name="_Hlk16670405"/>
      <w:r w:rsidRPr="006B2F21">
        <w:rPr>
          <w:szCs w:val="18"/>
        </w:rPr>
        <w:t>In the Panel's view, Article 7.4.1 of PC</w:t>
      </w:r>
      <w:r w:rsidRPr="006B2F21">
        <w:rPr>
          <w:szCs w:val="18"/>
        </w:rPr>
        <w:noBreakHyphen/>
        <w:t>FZT 08</w:t>
      </w:r>
      <w:r w:rsidRPr="006B2F21">
        <w:rPr>
          <w:szCs w:val="18"/>
        </w:rPr>
        <w:noBreakHyphen/>
        <w:t xml:space="preserve">2013 was contained in a legal instrument either available publicly or upon request, the producers received from the FBO an "inspection act" that indicates the results of the inspection, and the FBO would provide information about consumer complaints to the affected producers. </w:t>
      </w:r>
      <w:bookmarkEnd w:id="211"/>
      <w:r w:rsidRPr="006B2F21">
        <w:rPr>
          <w:szCs w:val="18"/>
        </w:rPr>
        <w:t>The Panel further noted that, for most relevant railway products, Ukraine did not demonstrate that it undertook reasonable efforts to obtain information from Russia regarding any non</w:t>
      </w:r>
      <w:r w:rsidRPr="006B2F21">
        <w:rPr>
          <w:szCs w:val="18"/>
        </w:rPr>
        <w:noBreakHyphen/>
        <w:t>conformities, with an explanation as to why the information could not be obtained.</w:t>
      </w:r>
      <w:r w:rsidRPr="006B2F21">
        <w:rPr>
          <w:rStyle w:val="FootnoteReference"/>
          <w:szCs w:val="18"/>
        </w:rPr>
        <w:footnoteReference w:id="487"/>
      </w:r>
      <w:r w:rsidRPr="006B2F21">
        <w:rPr>
          <w:szCs w:val="18"/>
        </w:rPr>
        <w:t xml:space="preserve"> Having examined the relevant certificates of each Ukrainian producer that the FBO suspended through each of the instructions at issue</w:t>
      </w:r>
      <w:r w:rsidRPr="006B2F21">
        <w:rPr>
          <w:rStyle w:val="FootnoteReference"/>
          <w:szCs w:val="18"/>
        </w:rPr>
        <w:footnoteReference w:id="488"/>
      </w:r>
      <w:r w:rsidRPr="006B2F21">
        <w:rPr>
          <w:szCs w:val="18"/>
        </w:rPr>
        <w:t>, the Panel concluded that Ukraine had not established, with respect to any of the suspended certificates covered by the 14 challenged instructions, that off</w:t>
      </w:r>
      <w:r w:rsidRPr="006B2F21">
        <w:rPr>
          <w:szCs w:val="18"/>
        </w:rPr>
        <w:noBreakHyphen/>
        <w:t>site inspection was available under Article 7.4.1.</w:t>
      </w:r>
      <w:r w:rsidRPr="006B2F21">
        <w:rPr>
          <w:rStyle w:val="FootnoteReference"/>
          <w:szCs w:val="18"/>
        </w:rPr>
        <w:footnoteReference w:id="489"/>
      </w:r>
      <w:r w:rsidRPr="006B2F21">
        <w:rPr>
          <w:szCs w:val="18"/>
        </w:rPr>
        <w:t xml:space="preserve"> </w:t>
      </w:r>
    </w:p>
    <w:p w14:paraId="5BF912BE" w14:textId="1936C8DB" w:rsidR="00C1190C" w:rsidRPr="006B2F21" w:rsidRDefault="00C1190C" w:rsidP="006B2F21">
      <w:pPr>
        <w:pStyle w:val="BodyText"/>
        <w:numPr>
          <w:ilvl w:val="6"/>
          <w:numId w:val="1"/>
        </w:numPr>
        <w:rPr>
          <w:szCs w:val="18"/>
        </w:rPr>
      </w:pPr>
      <w:r w:rsidRPr="006B2F21">
        <w:rPr>
          <w:szCs w:val="18"/>
        </w:rPr>
        <w:t>We note that, for the Panel, in those instances where the evidence on the record did not unequivocally establish that both relevant conditions under Article 7.4.1 of PC</w:t>
      </w:r>
      <w:r w:rsidRPr="006B2F21">
        <w:rPr>
          <w:szCs w:val="18"/>
        </w:rPr>
        <w:noBreakHyphen/>
        <w:t>FZT 08</w:t>
      </w:r>
      <w:r w:rsidRPr="006B2F21">
        <w:rPr>
          <w:szCs w:val="18"/>
        </w:rPr>
        <w:noBreakHyphen/>
        <w:t>2013 were complied with, Ukraine had failed to demonstrate that off</w:t>
      </w:r>
      <w:r w:rsidRPr="006B2F21">
        <w:rPr>
          <w:szCs w:val="18"/>
        </w:rPr>
        <w:noBreakHyphen/>
        <w:t>site inspections were reasonably available for the railway products covered by the relevant instructions.</w:t>
      </w:r>
      <w:r w:rsidRPr="006B2F21">
        <w:rPr>
          <w:rStyle w:val="FootnoteReference"/>
          <w:szCs w:val="18"/>
        </w:rPr>
        <w:footnoteReference w:id="490"/>
      </w:r>
      <w:r w:rsidRPr="006B2F21">
        <w:rPr>
          <w:szCs w:val="18"/>
        </w:rPr>
        <w:t xml:space="preserve"> The question before us is whether the Panel failed to make an objective assessment of the matter by erroneously placing the burden of proof on Ukraine to adduce evidence as to whether the conditions under Article 7.4.1 were satisfied with respect to the railway products covered by the suspended certificates at issue, as part of Ukraine's </w:t>
      </w:r>
      <w:r w:rsidRPr="006B2F21">
        <w:rPr>
          <w:i/>
          <w:szCs w:val="18"/>
        </w:rPr>
        <w:t xml:space="preserve">prima facie </w:t>
      </w:r>
      <w:r w:rsidRPr="006B2F21">
        <w:rPr>
          <w:szCs w:val="18"/>
        </w:rPr>
        <w:t xml:space="preserve">case that the alternative was "reasonably available". </w:t>
      </w:r>
    </w:p>
    <w:p w14:paraId="7D50FC67" w14:textId="77777777" w:rsidR="00C1190C" w:rsidRPr="006B2F21" w:rsidRDefault="00C1190C" w:rsidP="006B2F21">
      <w:pPr>
        <w:pStyle w:val="BodyText"/>
        <w:numPr>
          <w:ilvl w:val="6"/>
          <w:numId w:val="1"/>
        </w:numPr>
        <w:rPr>
          <w:szCs w:val="18"/>
        </w:rPr>
      </w:pPr>
      <w:r w:rsidRPr="006B2F21">
        <w:rPr>
          <w:szCs w:val="18"/>
        </w:rPr>
        <w:t xml:space="preserve"> We recall that, in making its </w:t>
      </w:r>
      <w:r w:rsidRPr="006B2F21">
        <w:rPr>
          <w:i/>
          <w:szCs w:val="18"/>
        </w:rPr>
        <w:t>prima facie</w:t>
      </w:r>
      <w:r w:rsidRPr="006B2F21">
        <w:rPr>
          <w:szCs w:val="18"/>
        </w:rPr>
        <w:t xml:space="preserve"> case that a conformity assessment procedure is "prepared, adopted or applied with a view to or with the effect of creating unnecessary obstacles to international trade" under Article 5.1.2 of the TBT Agreement, a complainant may seek to identify a possible alternative measure. As noted above, it is therefore the complainant's burden to establish that such an alternative measure is less trade</w:t>
      </w:r>
      <w:r w:rsidRPr="006B2F21">
        <w:rPr>
          <w:szCs w:val="18"/>
        </w:rPr>
        <w:noBreakHyphen/>
        <w:t xml:space="preserve">restrictive, makes an equivalent contribution to the relevant objective, and is reasonably available. At the same time, considering that proposed alternative measures serve as "conceptual tools", and taking into account that the specific details of implementation of such measures may depend on the particular circumstances of the implementing Member in question, a complainant under Article 5.1.2 cannot be expected to provide detailed information on how a proposed alternative would be implemented by the respondent in practice. Instead, once a complainant has established </w:t>
      </w:r>
      <w:r w:rsidRPr="006B2F21">
        <w:rPr>
          <w:i/>
          <w:szCs w:val="18"/>
        </w:rPr>
        <w:t>prima facie</w:t>
      </w:r>
      <w:r w:rsidRPr="006B2F21">
        <w:rPr>
          <w:szCs w:val="18"/>
        </w:rPr>
        <w:t xml:space="preserve"> that a proposed alternative is reasonably available, it is for the respondent to adduce evidence and arguments, in order to rebut the </w:t>
      </w:r>
      <w:r w:rsidRPr="006B2F21">
        <w:rPr>
          <w:szCs w:val="18"/>
        </w:rPr>
        <w:lastRenderedPageBreak/>
        <w:t xml:space="preserve">complainant's </w:t>
      </w:r>
      <w:r w:rsidRPr="006B2F21">
        <w:rPr>
          <w:i/>
          <w:szCs w:val="18"/>
        </w:rPr>
        <w:t>prima facie</w:t>
      </w:r>
      <w:r w:rsidRPr="006B2F21">
        <w:rPr>
          <w:szCs w:val="18"/>
        </w:rPr>
        <w:t xml:space="preserve"> case, by demonstrating, for example, that the alternative measure is not reasonably available and that its implementation would be impracticable, </w:t>
      </w:r>
      <w:r w:rsidRPr="006B2F21">
        <w:rPr>
          <w:i/>
          <w:szCs w:val="18"/>
        </w:rPr>
        <w:t>inter alia</w:t>
      </w:r>
      <w:r w:rsidRPr="006B2F21">
        <w:rPr>
          <w:szCs w:val="18"/>
        </w:rPr>
        <w:t xml:space="preserve">, because implementation costs would be prohibitive or the alternative would entail substantial technical difficulties or undue burden for the Member in question. </w:t>
      </w:r>
    </w:p>
    <w:p w14:paraId="26F00583" w14:textId="77777777" w:rsidR="00C1190C" w:rsidRPr="006B2F21" w:rsidRDefault="00C1190C" w:rsidP="006B2F21">
      <w:pPr>
        <w:pStyle w:val="BodyText"/>
        <w:numPr>
          <w:ilvl w:val="6"/>
          <w:numId w:val="1"/>
        </w:numPr>
        <w:rPr>
          <w:szCs w:val="18"/>
        </w:rPr>
      </w:pPr>
      <w:r w:rsidRPr="006B2F21">
        <w:rPr>
          <w:szCs w:val="18"/>
        </w:rPr>
        <w:t>As noted above, in the present case, Ukraine initially argued that Russia could have made use of off</w:t>
      </w:r>
      <w:r w:rsidRPr="006B2F21">
        <w:rPr>
          <w:szCs w:val="18"/>
        </w:rPr>
        <w:noBreakHyphen/>
        <w:t>site inspections pursuant to Article 5.3 of CS FRT 12</w:t>
      </w:r>
      <w:r w:rsidRPr="006B2F21">
        <w:rPr>
          <w:szCs w:val="18"/>
        </w:rPr>
        <w:noBreakHyphen/>
        <w:t>2003.</w:t>
      </w:r>
      <w:r w:rsidRPr="006B2F21">
        <w:rPr>
          <w:rStyle w:val="FootnoteReference"/>
          <w:szCs w:val="18"/>
        </w:rPr>
        <w:footnoteReference w:id="491"/>
      </w:r>
      <w:r w:rsidRPr="006B2F21">
        <w:rPr>
          <w:szCs w:val="18"/>
        </w:rPr>
        <w:t xml:space="preserve"> Russia confirmed the availability of this measure under its legislation, albeit subject to the conditions set out in Article 7.4.1 of PC</w:t>
      </w:r>
      <w:r w:rsidRPr="006B2F21">
        <w:rPr>
          <w:szCs w:val="18"/>
        </w:rPr>
        <w:noBreakHyphen/>
        <w:t>FZT 08</w:t>
      </w:r>
      <w:r w:rsidRPr="006B2F21">
        <w:rPr>
          <w:szCs w:val="18"/>
        </w:rPr>
        <w:noBreakHyphen/>
        <w:t>2013.</w:t>
      </w:r>
      <w:r w:rsidRPr="006B2F21">
        <w:rPr>
          <w:rStyle w:val="FootnoteReference"/>
          <w:szCs w:val="18"/>
        </w:rPr>
        <w:footnoteReference w:id="492"/>
      </w:r>
      <w:r w:rsidRPr="006B2F21">
        <w:rPr>
          <w:szCs w:val="18"/>
        </w:rPr>
        <w:t xml:space="preserve"> In response to Russia invoking Article 7.4.1, Ukraine further contended that Russia failed to provide evidence that the FBO examined the conditions laid down in Article 7.4.1 as regards the certificates suspended through the 14 instructions challenged by Ukraine, before deciding that off</w:t>
      </w:r>
      <w:r w:rsidRPr="006B2F21">
        <w:rPr>
          <w:szCs w:val="18"/>
        </w:rPr>
        <w:noBreakHyphen/>
        <w:t>site inspections were not available.</w:t>
      </w:r>
      <w:r w:rsidRPr="006B2F21">
        <w:rPr>
          <w:rStyle w:val="FootnoteReference"/>
          <w:szCs w:val="18"/>
        </w:rPr>
        <w:footnoteReference w:id="493"/>
      </w:r>
      <w:r w:rsidRPr="006B2F21">
        <w:rPr>
          <w:szCs w:val="18"/>
        </w:rPr>
        <w:t xml:space="preserve"> We observe that Ukraine challenged only the application of Russia's conformity assessment procedure to the certificates at issue, rather than the procedure itself. It was therefore possible for Ukraine to identify an alternative measure that coincides with an instrument that already existed under Russia's legislative framework. </w:t>
      </w:r>
      <w:bookmarkStart w:id="212" w:name="_Hlk23413971"/>
      <w:r w:rsidRPr="006B2F21">
        <w:rPr>
          <w:szCs w:val="18"/>
        </w:rPr>
        <w:t xml:space="preserve">At the same time, alternative measures need not be already present in the legislation of the responding Member, even when a conformity assessment procedure is challenged as applied, and not as such. Indeed, the role of alternative measures is to assist in determining whether a conformity assessment measure taken by a Member is more strict or applied more strictly than is necessary to ensure conformity under Article 5.1.2, and not to positively establish that the conditions set out under national law for applying a different measure may have been present. We also note the Appellate Body's observation, in the context of Article 2.2 of the TBT Agreement, that the nature and degree of evidence required to establish a </w:t>
      </w:r>
      <w:r w:rsidRPr="006B2F21">
        <w:rPr>
          <w:i/>
          <w:szCs w:val="18"/>
        </w:rPr>
        <w:t>prima facie</w:t>
      </w:r>
      <w:r w:rsidRPr="006B2F21">
        <w:rPr>
          <w:szCs w:val="18"/>
        </w:rPr>
        <w:t xml:space="preserve"> case of "reasonable availability" of proposed alternative measures should be informed by the fact that "alternative measures are of a hypothetical nature" and "do not yet exist in the Member in question, or at least not in the particular form proposed by the complainant".</w:t>
      </w:r>
      <w:r w:rsidRPr="006B2F21">
        <w:rPr>
          <w:rStyle w:val="FootnoteReference"/>
          <w:szCs w:val="18"/>
        </w:rPr>
        <w:footnoteReference w:id="494"/>
      </w:r>
      <w:r w:rsidRPr="006B2F21">
        <w:rPr>
          <w:szCs w:val="18"/>
        </w:rPr>
        <w:t xml:space="preserve"> Above, we took the view that a similar burden of proof applies with regard to the assessment of alternative measures under Article 5.1.2 of the TBT Agreement. </w:t>
      </w:r>
    </w:p>
    <w:p w14:paraId="61104370" w14:textId="77777777" w:rsidR="00C1190C" w:rsidRPr="006B2F21" w:rsidRDefault="00C1190C" w:rsidP="006B2F21">
      <w:pPr>
        <w:pStyle w:val="BodyText"/>
        <w:numPr>
          <w:ilvl w:val="6"/>
          <w:numId w:val="1"/>
        </w:numPr>
        <w:rPr>
          <w:szCs w:val="18"/>
        </w:rPr>
      </w:pPr>
      <w:r w:rsidRPr="006B2F21">
        <w:rPr>
          <w:szCs w:val="18"/>
        </w:rPr>
        <w:t xml:space="preserve">The purpose of this relational analysis under Article 5.1.2 is therefore to compare the measure at issue and an alternative measure, or their respective applications, in terms of strictness and the degree of contribution to the achievement of the objective to give adequate confidence of conformity. </w:t>
      </w:r>
      <w:r w:rsidRPr="006B2F21" w:rsidDel="00026604">
        <w:rPr>
          <w:szCs w:val="18"/>
        </w:rPr>
        <w:t xml:space="preserve">Such comparison cannot be carried out with an alternative measure </w:t>
      </w:r>
      <w:r w:rsidRPr="006B2F21">
        <w:rPr>
          <w:szCs w:val="18"/>
        </w:rPr>
        <w:t>that</w:t>
      </w:r>
      <w:r w:rsidRPr="006B2F21" w:rsidDel="00026604">
        <w:rPr>
          <w:szCs w:val="18"/>
        </w:rPr>
        <w:t xml:space="preserve"> is merely theoretical in nature, because, for instance, the implementing Member is not capable of taking it, or because it imposes an undue burden on that Member.</w:t>
      </w:r>
      <w:r w:rsidRPr="006B2F21">
        <w:rPr>
          <w:szCs w:val="18"/>
        </w:rPr>
        <w:t xml:space="preserve"> At the same time, the comparison of the challenged measure with a hypothetical alternative measure remains at a conceptual level. Thus, the fact that a measure with the same or similar content as the proposed alternative already exists in the legislative framework of the respondent Member does not change the function of the alternative measure as a "conceptual tool" in the necessity analysis. Therefore, as part of making a </w:t>
      </w:r>
      <w:r w:rsidRPr="006B2F21">
        <w:rPr>
          <w:i/>
          <w:szCs w:val="18"/>
        </w:rPr>
        <w:t>prima facie</w:t>
      </w:r>
      <w:r w:rsidRPr="006B2F21">
        <w:rPr>
          <w:szCs w:val="18"/>
        </w:rPr>
        <w:t xml:space="preserve"> case, the complainant should provide sufficient indication that the proposed alternative would be reasonably available to the implementing Member, for instance by showing that the costs of the proposed alternatives would not be </w:t>
      </w:r>
      <w:r w:rsidRPr="006B2F21">
        <w:rPr>
          <w:i/>
          <w:szCs w:val="18"/>
        </w:rPr>
        <w:t>a priori</w:t>
      </w:r>
      <w:r w:rsidRPr="006B2F21">
        <w:rPr>
          <w:szCs w:val="18"/>
        </w:rPr>
        <w:t xml:space="preserve"> prohibitive, and that potential technical difficulties associated with their implementation would not be of such a substantial nature that they would render the proposed alternatives merely theoretical in nature.</w:t>
      </w:r>
      <w:r w:rsidRPr="006B2F21" w:rsidDel="00373111">
        <w:rPr>
          <w:szCs w:val="18"/>
        </w:rPr>
        <w:t xml:space="preserve"> </w:t>
      </w:r>
      <w:r w:rsidRPr="006B2F21">
        <w:rPr>
          <w:szCs w:val="18"/>
        </w:rPr>
        <w:t>The burden would then shift to the respondent to submit evidence substantiating that the proposed alternative measures were indeed merely theoretical in nature, or entailed an undue burden, for instance, because they involved prohibitively high costs or would entail substantial technical difficulties.</w:t>
      </w:r>
      <w:r w:rsidRPr="006B2F21">
        <w:rPr>
          <w:rStyle w:val="FootnoteReference"/>
          <w:szCs w:val="18"/>
        </w:rPr>
        <w:footnoteReference w:id="495"/>
      </w:r>
    </w:p>
    <w:p w14:paraId="47F7F927" w14:textId="77777777" w:rsidR="00C1190C" w:rsidRPr="006B2F21" w:rsidRDefault="00C1190C" w:rsidP="006B2F21">
      <w:pPr>
        <w:pStyle w:val="BodyText"/>
        <w:numPr>
          <w:ilvl w:val="6"/>
          <w:numId w:val="1"/>
        </w:numPr>
        <w:rPr>
          <w:szCs w:val="18"/>
        </w:rPr>
      </w:pPr>
      <w:r w:rsidRPr="006B2F21">
        <w:rPr>
          <w:szCs w:val="18"/>
        </w:rPr>
        <w:t xml:space="preserve">In the present case, even though the alternative proposed by Ukraine coincided with a measure that already existed in Russia's legislation, the alternative remained hypothetical in nature, insofar as it had not yet been used by Russia with respect to the suspensions at issue. The comparison between the measure actually taken by Russia and this alternative measure therefore had to be undertaken at a conceptual level for purposes of making a </w:t>
      </w:r>
      <w:r w:rsidRPr="006B2F21">
        <w:rPr>
          <w:i/>
          <w:szCs w:val="18"/>
        </w:rPr>
        <w:t>prima facie</w:t>
      </w:r>
      <w:r w:rsidRPr="006B2F21">
        <w:rPr>
          <w:szCs w:val="18"/>
        </w:rPr>
        <w:t xml:space="preserve"> case as to whether the alternative was reasonably available to Russia. </w:t>
      </w:r>
      <w:bookmarkEnd w:id="212"/>
      <w:r w:rsidRPr="006B2F21">
        <w:rPr>
          <w:szCs w:val="18"/>
        </w:rPr>
        <w:t>The Panel by contrast considered that "it was for Ukraine to submit evidence of absence of non</w:t>
      </w:r>
      <w:r w:rsidRPr="006B2F21">
        <w:rPr>
          <w:szCs w:val="18"/>
        </w:rPr>
        <w:noBreakHyphen/>
        <w:t xml:space="preserve">conformities and consumer complaints concerning the </w:t>
      </w:r>
      <w:r w:rsidRPr="006B2F21">
        <w:rPr>
          <w:szCs w:val="18"/>
        </w:rPr>
        <w:lastRenderedPageBreak/>
        <w:t>railway products covered by the suspended certificates."</w:t>
      </w:r>
      <w:r w:rsidRPr="006B2F21">
        <w:rPr>
          <w:rStyle w:val="FootnoteReference"/>
          <w:szCs w:val="18"/>
        </w:rPr>
        <w:footnoteReference w:id="496"/>
      </w:r>
      <w:r w:rsidRPr="006B2F21">
        <w:rPr>
          <w:szCs w:val="18"/>
        </w:rPr>
        <w:t xml:space="preserve"> It appears that, because the proposed alternative coincided with a measure foreseen in Russia's legislation, the Panel took the view that the burden was on Ukraine to adduce evidence that the conditions attached to the measure, as it existed under Russia's law, would have been met, if the measure were to have been applied to each of the suspensions at issue. However, as observed above, the nature and degree of evidence required to establish the reasonable availability of proposed alternative measures do not change simply because such measures coincide with an instrument foreseen in the legislation of the importing Member. Instead, the burden of proof continues to be informed by the "hypothetical nature" of the alternative measure. Thus, in making the choice to identify an alternative that coincides with an instrument in existence under Russia's legislative framework, Ukraine was not required to demonstrate, for purposes of showing that the alternative was </w:t>
      </w:r>
      <w:r w:rsidRPr="006B2F21">
        <w:rPr>
          <w:i/>
          <w:szCs w:val="18"/>
        </w:rPr>
        <w:t>prima facie</w:t>
      </w:r>
      <w:r w:rsidRPr="006B2F21">
        <w:rPr>
          <w:szCs w:val="18"/>
        </w:rPr>
        <w:t xml:space="preserve"> reasonably available, whether the measure described in Article 5.3 of CS FRT 12</w:t>
      </w:r>
      <w:r w:rsidRPr="006B2F21">
        <w:rPr>
          <w:szCs w:val="18"/>
        </w:rPr>
        <w:noBreakHyphen/>
        <w:t>2003 and Article 7.4.1 of PC</w:t>
      </w:r>
      <w:r w:rsidRPr="006B2F21">
        <w:rPr>
          <w:szCs w:val="18"/>
        </w:rPr>
        <w:noBreakHyphen/>
        <w:t>FZT 08</w:t>
      </w:r>
      <w:r w:rsidRPr="006B2F21">
        <w:rPr>
          <w:szCs w:val="18"/>
        </w:rPr>
        <w:noBreakHyphen/>
        <w:t>2013 could have applied in the specific instances related to the suspensions of certificates at issue. In our view, the Panel's analysis conflated two distinct concepts: the alternative measure proposed by Ukraine and the measure in existence under Article 5.3 of CS FRT 12</w:t>
      </w:r>
      <w:r w:rsidRPr="006B2F21">
        <w:rPr>
          <w:szCs w:val="18"/>
        </w:rPr>
        <w:noBreakHyphen/>
        <w:t>2003 and Article 7.4.1 of PC</w:t>
      </w:r>
      <w:r w:rsidRPr="006B2F21">
        <w:rPr>
          <w:szCs w:val="18"/>
        </w:rPr>
        <w:noBreakHyphen/>
        <w:t>FZT 08</w:t>
      </w:r>
      <w:r w:rsidRPr="006B2F21">
        <w:rPr>
          <w:szCs w:val="18"/>
        </w:rPr>
        <w:noBreakHyphen/>
        <w:t>2013.</w:t>
      </w:r>
    </w:p>
    <w:p w14:paraId="0F1E225D" w14:textId="77777777" w:rsidR="00C1190C" w:rsidRPr="006B2F21" w:rsidRDefault="00C1190C" w:rsidP="006B2F21">
      <w:pPr>
        <w:pStyle w:val="BodyText"/>
        <w:numPr>
          <w:ilvl w:val="6"/>
          <w:numId w:val="1"/>
        </w:numPr>
        <w:rPr>
          <w:szCs w:val="18"/>
        </w:rPr>
      </w:pPr>
      <w:r w:rsidRPr="006B2F21">
        <w:rPr>
          <w:szCs w:val="18"/>
        </w:rPr>
        <w:t>Specifically, the question before the Panel under Article 5.1.2 was whether a less strict manner of application of this procedure existed, other than the suspension of certificates, which would also make an equivalent contribution to the objective of providing Russia with adequate confidence that Ukrainian railway products conformed with Russia's technical regulations, and which would be reasonably available to Russia. In this regard, the Panel had to assess whether the possibility of conducting off</w:t>
      </w:r>
      <w:r w:rsidRPr="006B2F21">
        <w:rPr>
          <w:szCs w:val="18"/>
        </w:rPr>
        <w:noBreakHyphen/>
        <w:t>site inspections under requirements such as those in Article 7.4.1 of PC</w:t>
      </w:r>
      <w:r w:rsidRPr="006B2F21">
        <w:rPr>
          <w:szCs w:val="18"/>
        </w:rPr>
        <w:noBreakHyphen/>
        <w:t>FZT 08</w:t>
      </w:r>
      <w:r w:rsidRPr="006B2F21">
        <w:rPr>
          <w:szCs w:val="18"/>
        </w:rPr>
        <w:noBreakHyphen/>
        <w:t xml:space="preserve">2013 constitutes a reasonably available less strict manner of application. Accordingly, for purposes of establishing reasonable availability, the Panel had to assess whether the alternative, as described by Ukraine, was not merely theoretical in nature and </w:t>
      </w:r>
      <w:r w:rsidRPr="006B2F21">
        <w:rPr>
          <w:i/>
          <w:szCs w:val="18"/>
        </w:rPr>
        <w:t xml:space="preserve">a priori </w:t>
      </w:r>
      <w:r w:rsidRPr="006B2F21">
        <w:rPr>
          <w:szCs w:val="18"/>
        </w:rPr>
        <w:t xml:space="preserve">did not entail any undue burden for Russia. The Panel should have then turned to examine whether Russia had submitted evidence rebutting Ukraine's </w:t>
      </w:r>
      <w:r w:rsidRPr="006B2F21">
        <w:rPr>
          <w:i/>
          <w:szCs w:val="18"/>
        </w:rPr>
        <w:t xml:space="preserve">prima facie </w:t>
      </w:r>
      <w:r w:rsidRPr="006B2F21">
        <w:rPr>
          <w:szCs w:val="18"/>
        </w:rPr>
        <w:t xml:space="preserve">case by adducing specific evidence and arguments as to why, in the circumstances of this case, the alternative measure was not in fact reasonably available. The Panel, however, did not address the question whether the description of the measure provided by Ukraine was sufficient to demonstrate </w:t>
      </w:r>
      <w:r w:rsidRPr="006B2F21">
        <w:rPr>
          <w:i/>
          <w:szCs w:val="18"/>
        </w:rPr>
        <w:t xml:space="preserve">prima facie </w:t>
      </w:r>
      <w:r w:rsidRPr="006B2F21">
        <w:rPr>
          <w:szCs w:val="18"/>
        </w:rPr>
        <w:t>that Russia would not be incapable of taking such an alternative measure. Indeed, the Panel should have considered the implications of the fact that the proposed measure already existed as a possible alternative to on</w:t>
      </w:r>
      <w:r w:rsidRPr="006B2F21">
        <w:rPr>
          <w:szCs w:val="18"/>
        </w:rPr>
        <w:noBreakHyphen/>
        <w:t xml:space="preserve">site inspections in Russia's legislation and the extent to which this fact in itself demonstrated that the measure was </w:t>
      </w:r>
      <w:r w:rsidRPr="006B2F21">
        <w:rPr>
          <w:i/>
          <w:szCs w:val="18"/>
        </w:rPr>
        <w:t>prima facie</w:t>
      </w:r>
      <w:r w:rsidRPr="006B2F21">
        <w:rPr>
          <w:szCs w:val="18"/>
        </w:rPr>
        <w:t xml:space="preserve"> reasonably available, as opposed to merely theoretical. Instead, the Panel reasoned that, because information on the absence of non</w:t>
      </w:r>
      <w:r w:rsidRPr="006B2F21">
        <w:rPr>
          <w:szCs w:val="18"/>
        </w:rPr>
        <w:noBreakHyphen/>
        <w:t>conformities and consumer complaints was in principle available to Ukraine, it was for Ukraine to submit evidence relating to the application of these conditions to the products covered by the suspensions at issue.</w:t>
      </w:r>
      <w:r w:rsidRPr="006B2F21">
        <w:rPr>
          <w:rStyle w:val="FootnoteReference"/>
          <w:szCs w:val="18"/>
        </w:rPr>
        <w:footnoteReference w:id="497"/>
      </w:r>
      <w:r w:rsidRPr="006B2F21">
        <w:rPr>
          <w:szCs w:val="18"/>
        </w:rPr>
        <w:t xml:space="preserve"> The availability of certain information to Ukraine, as well as the issue of whether "it undertook reasonable efforts to obtain [this] information from Russia"</w:t>
      </w:r>
      <w:r w:rsidRPr="006B2F21">
        <w:rPr>
          <w:rStyle w:val="FootnoteReference"/>
          <w:szCs w:val="18"/>
        </w:rPr>
        <w:footnoteReference w:id="498"/>
      </w:r>
      <w:r w:rsidRPr="006B2F21">
        <w:rPr>
          <w:szCs w:val="18"/>
        </w:rPr>
        <w:t xml:space="preserve">, is, however, distinct from the issue of which Member bears the burden of proof with respect to the application of the conditions in Article 7.4.1. </w:t>
      </w:r>
    </w:p>
    <w:p w14:paraId="1219116B" w14:textId="1E6ED740" w:rsidR="00C1190C" w:rsidRPr="006B2F21" w:rsidRDefault="00C1190C" w:rsidP="006B2F21">
      <w:pPr>
        <w:pStyle w:val="BodyText"/>
        <w:numPr>
          <w:ilvl w:val="6"/>
          <w:numId w:val="1"/>
        </w:numPr>
        <w:rPr>
          <w:szCs w:val="18"/>
        </w:rPr>
      </w:pPr>
      <w:r w:rsidRPr="006B2F21">
        <w:rPr>
          <w:szCs w:val="18"/>
        </w:rPr>
        <w:t>In light of the above, we do not see that, for purposes of establishing the reasonable availability of the alternative measure consisting in the conduct of off</w:t>
      </w:r>
      <w:r w:rsidRPr="006B2F21">
        <w:rPr>
          <w:szCs w:val="18"/>
        </w:rPr>
        <w:noBreakHyphen/>
        <w:t>site inspections, it was necessary for Ukraine to provide information about the compliance with the two requirements of Article 7.4.1, namely</w:t>
      </w:r>
      <w:r w:rsidR="00276C4B" w:rsidRPr="006B2F21">
        <w:rPr>
          <w:szCs w:val="18"/>
        </w:rPr>
        <w:t>,</w:t>
      </w:r>
      <w:r w:rsidRPr="006B2F21">
        <w:rPr>
          <w:szCs w:val="18"/>
        </w:rPr>
        <w:t xml:space="preserve"> the absence of non</w:t>
      </w:r>
      <w:r w:rsidRPr="006B2F21">
        <w:rPr>
          <w:szCs w:val="18"/>
        </w:rPr>
        <w:noBreakHyphen/>
        <w:t>conformities and consumer complaints, with respect to the railway products covered by the suspensions at issue. However, the majority of the Panel's findings that Ukraine failed to demonstrate the availability of off</w:t>
      </w:r>
      <w:r w:rsidRPr="006B2F21">
        <w:rPr>
          <w:szCs w:val="18"/>
        </w:rPr>
        <w:noBreakHyphen/>
        <w:t xml:space="preserve">site inspections under Article 7.4.1 for the railway products covered by instructions 1 to 14 are based on </w:t>
      </w:r>
      <w:r w:rsidRPr="006B2F21">
        <w:rPr>
          <w:i/>
          <w:szCs w:val="18"/>
        </w:rPr>
        <w:t>the absence of evidence</w:t>
      </w:r>
      <w:r w:rsidRPr="006B2F21">
        <w:rPr>
          <w:szCs w:val="18"/>
        </w:rPr>
        <w:t xml:space="preserve"> on record regarding non</w:t>
      </w:r>
      <w:r w:rsidRPr="006B2F21">
        <w:rPr>
          <w:szCs w:val="18"/>
        </w:rPr>
        <w:noBreakHyphen/>
        <w:t>conformities and consumer complaints concerning these products.</w:t>
      </w:r>
      <w:r w:rsidRPr="006B2F21">
        <w:rPr>
          <w:rStyle w:val="FootnoteReference"/>
          <w:szCs w:val="18"/>
        </w:rPr>
        <w:footnoteReference w:id="499"/>
      </w:r>
      <w:r w:rsidRPr="006B2F21">
        <w:rPr>
          <w:szCs w:val="18"/>
        </w:rPr>
        <w:t xml:space="preserve"> This was so even in those cases where it remained unclear whether evidence on inconsistencies related to the products at issue</w:t>
      </w:r>
      <w:r w:rsidRPr="006B2F21">
        <w:rPr>
          <w:rStyle w:val="FootnoteReference"/>
          <w:szCs w:val="18"/>
        </w:rPr>
        <w:footnoteReference w:id="500"/>
      </w:r>
      <w:r w:rsidRPr="006B2F21">
        <w:rPr>
          <w:szCs w:val="18"/>
        </w:rPr>
        <w:t xml:space="preserve"> or where evidence showed no non</w:t>
      </w:r>
      <w:r w:rsidRPr="006B2F21">
        <w:rPr>
          <w:szCs w:val="18"/>
        </w:rPr>
        <w:noBreakHyphen/>
        <w:t>conformities in the most recent inspection control but there was no evidence of consumer complaints with respect to the same products.</w:t>
      </w:r>
      <w:r w:rsidRPr="006B2F21">
        <w:rPr>
          <w:rStyle w:val="FootnoteReference"/>
          <w:szCs w:val="18"/>
        </w:rPr>
        <w:footnoteReference w:id="501"/>
      </w:r>
      <w:r w:rsidRPr="006B2F21">
        <w:rPr>
          <w:szCs w:val="18"/>
        </w:rPr>
        <w:t xml:space="preserve"> Therefore, the burden of proof that the Panel placed on Ukraine went beyond what Ukraine was required to establish in making a </w:t>
      </w:r>
      <w:r w:rsidRPr="006B2F21">
        <w:rPr>
          <w:i/>
          <w:szCs w:val="18"/>
        </w:rPr>
        <w:t xml:space="preserve">prima facie </w:t>
      </w:r>
      <w:r w:rsidRPr="006B2F21">
        <w:rPr>
          <w:szCs w:val="18"/>
        </w:rPr>
        <w:t xml:space="preserve">case that a hypothetical measure, such as the measure </w:t>
      </w:r>
      <w:r w:rsidRPr="006B2F21">
        <w:rPr>
          <w:szCs w:val="18"/>
        </w:rPr>
        <w:lastRenderedPageBreak/>
        <w:t>provided for in Article 5.3 of CS FRT 12</w:t>
      </w:r>
      <w:r w:rsidRPr="006B2F21">
        <w:rPr>
          <w:szCs w:val="18"/>
        </w:rPr>
        <w:noBreakHyphen/>
        <w:t>2003 and Article 7.4.1 of PC</w:t>
      </w:r>
      <w:r w:rsidRPr="006B2F21">
        <w:rPr>
          <w:szCs w:val="18"/>
        </w:rPr>
        <w:noBreakHyphen/>
        <w:t>FZT 08</w:t>
      </w:r>
      <w:r w:rsidRPr="006B2F21">
        <w:rPr>
          <w:szCs w:val="18"/>
        </w:rPr>
        <w:noBreakHyphen/>
        <w:t>2013, would have been reasonably available to Russia in the circumstances of the case.</w:t>
      </w:r>
    </w:p>
    <w:p w14:paraId="66BE0239" w14:textId="5F5D84F2" w:rsidR="00C1190C" w:rsidRPr="006B2F21" w:rsidRDefault="00C1190C" w:rsidP="006B2F21">
      <w:pPr>
        <w:pStyle w:val="BodyText"/>
        <w:numPr>
          <w:ilvl w:val="6"/>
          <w:numId w:val="1"/>
        </w:numPr>
        <w:rPr>
          <w:szCs w:val="18"/>
        </w:rPr>
      </w:pPr>
      <w:r w:rsidRPr="006B2F21">
        <w:rPr>
          <w:szCs w:val="18"/>
        </w:rPr>
        <w:t>In sum, we consider that by placing the burden of proof on Ukraine to provide evidence as to the existence of the two conditions under Article 7.4.1 of PC</w:t>
      </w:r>
      <w:r w:rsidRPr="006B2F21">
        <w:rPr>
          <w:szCs w:val="18"/>
        </w:rPr>
        <w:noBreakHyphen/>
        <w:t>FZT 08</w:t>
      </w:r>
      <w:r w:rsidRPr="006B2F21">
        <w:rPr>
          <w:szCs w:val="18"/>
        </w:rPr>
        <w:noBreakHyphen/>
        <w:t>2013 in all individual instances in the present case and for purposes of establishing that the proposed alternative measure was reasonably available, the Panel erred in its allocation of the burden of proof under Article 5.1.2 of the TBT Agreement with respect to the 14 instructions suspending certificates in the present proceedings.</w:t>
      </w:r>
    </w:p>
    <w:p w14:paraId="22682212" w14:textId="1C783D99" w:rsidR="00C1190C" w:rsidRPr="006B2F21" w:rsidRDefault="00C1190C" w:rsidP="006B2F21">
      <w:pPr>
        <w:pStyle w:val="BodyText"/>
        <w:numPr>
          <w:ilvl w:val="6"/>
          <w:numId w:val="1"/>
        </w:numPr>
        <w:rPr>
          <w:szCs w:val="18"/>
        </w:rPr>
      </w:pPr>
      <w:r w:rsidRPr="006B2F21">
        <w:rPr>
          <w:szCs w:val="18"/>
        </w:rPr>
        <w:t>We recall that Ukraine also requests us to reverse the Panel's findings in paragraph 8.1.c.iii of the Panel Report regarding the FBO's rejections of applications for new certificates by Ukrainian producers of railway products.</w:t>
      </w:r>
      <w:r w:rsidRPr="006B2F21">
        <w:rPr>
          <w:rStyle w:val="FootnoteReference"/>
          <w:szCs w:val="18"/>
        </w:rPr>
        <w:footnoteReference w:id="502"/>
      </w:r>
      <w:r w:rsidRPr="006B2F21">
        <w:rPr>
          <w:szCs w:val="18"/>
        </w:rPr>
        <w:t xml:space="preserve"> Russia submits that Ukraine did not meaningfully address the Panel's findings set out in paragraph 8.1.c.iii, insofar as Ukraine simply alleged that its assertions with respect to rejections of certificates are similar to those it raised concerning suspension of certificates.</w:t>
      </w:r>
      <w:r w:rsidRPr="006B2F21">
        <w:rPr>
          <w:rStyle w:val="FootnoteReference"/>
          <w:szCs w:val="18"/>
        </w:rPr>
        <w:footnoteReference w:id="503"/>
      </w:r>
      <w:r w:rsidRPr="006B2F21">
        <w:rPr>
          <w:szCs w:val="18"/>
        </w:rPr>
        <w:t xml:space="preserve"> In Russia's view, a mere assertion is not enough to prove a violation of Article 11 of the DSU.</w:t>
      </w:r>
      <w:r w:rsidRPr="006B2F21">
        <w:rPr>
          <w:rStyle w:val="FootnoteReference"/>
          <w:szCs w:val="18"/>
        </w:rPr>
        <w:footnoteReference w:id="504"/>
      </w:r>
      <w:r w:rsidRPr="006B2F21">
        <w:rPr>
          <w:szCs w:val="18"/>
        </w:rPr>
        <w:t xml:space="preserve"> We note that on appeal Ukraine has not put forward separate arguments relating to the Panel's finding concerning the rejections of certificates. Therefore, Ukraine has not substantiated its request for reversal. We further observe that Ukraine's claim before the Panel concerning these rejections was based on a different legislative framework, namely</w:t>
      </w:r>
      <w:r w:rsidR="00D30219">
        <w:rPr>
          <w:szCs w:val="18"/>
        </w:rPr>
        <w:t>,</w:t>
      </w:r>
      <w:r w:rsidRPr="006B2F21">
        <w:rPr>
          <w:szCs w:val="18"/>
        </w:rPr>
        <w:t xml:space="preserve"> CU Technical Regulations 001/2011, 002/2011, and 003/2011.</w:t>
      </w:r>
      <w:r w:rsidRPr="006B2F21">
        <w:rPr>
          <w:rStyle w:val="FootnoteReference"/>
          <w:szCs w:val="18"/>
        </w:rPr>
        <w:footnoteReference w:id="505"/>
      </w:r>
      <w:r w:rsidRPr="006B2F21">
        <w:rPr>
          <w:szCs w:val="18"/>
        </w:rPr>
        <w:t xml:space="preserve"> Moreover, the relevant alternative measure proposed by Ukraine in this context was different, in that it concerned the availability of off</w:t>
      </w:r>
      <w:r w:rsidRPr="006B2F21">
        <w:rPr>
          <w:szCs w:val="18"/>
        </w:rPr>
        <w:noBreakHyphen/>
        <w:t xml:space="preserve">site testing of samples for applications submitted under scheme 3c in Annex 6 </w:t>
      </w:r>
      <w:r w:rsidR="0061714D" w:rsidRPr="006B2F21">
        <w:rPr>
          <w:szCs w:val="18"/>
        </w:rPr>
        <w:t xml:space="preserve">to </w:t>
      </w:r>
      <w:r w:rsidRPr="006B2F21">
        <w:rPr>
          <w:szCs w:val="18"/>
        </w:rPr>
        <w:t>CU Technical Regulation 001/2011.</w:t>
      </w:r>
      <w:r w:rsidRPr="006B2F21">
        <w:rPr>
          <w:rStyle w:val="FootnoteReference"/>
          <w:szCs w:val="18"/>
        </w:rPr>
        <w:footnoteReference w:id="506"/>
      </w:r>
      <w:r w:rsidRPr="006B2F21">
        <w:rPr>
          <w:szCs w:val="18"/>
        </w:rPr>
        <w:t xml:space="preserve"> Most importantly, with respect to the burden of proof, the Panel found as follows:</w:t>
      </w:r>
    </w:p>
    <w:p w14:paraId="0FEFCC75" w14:textId="77777777" w:rsidR="00C1190C" w:rsidRPr="006B2F21" w:rsidRDefault="00C1190C" w:rsidP="006B2F21">
      <w:pPr>
        <w:pStyle w:val="Quotation"/>
      </w:pPr>
      <w:r w:rsidRPr="006B2F21">
        <w:rPr>
          <w:lang w:bidi="ru-RU"/>
        </w:rPr>
        <w:t>[T]</w:t>
      </w:r>
      <w:r w:rsidRPr="006B2F21">
        <w:t>here is no evidence on record that the FBO's practice of permitting off</w:t>
      </w:r>
      <w:r w:rsidRPr="006B2F21">
        <w:noBreakHyphen/>
        <w:t>site testing of samples under the conditions set out in Article 7.4.1 when processing applications concerning railway products produced in series under CU Technical Regulation 001/2011 has been officially published or is publicly known or available. Nor is there evidence that the FBO informed the producers elsewhere in Ukraine who were applying for new certificates under CU Technical Regulation 001/2011 that off</w:t>
      </w:r>
      <w:r w:rsidRPr="006B2F21">
        <w:noBreakHyphen/>
        <w:t>site testing of samples was a possibility.</w:t>
      </w:r>
      <w:r w:rsidRPr="006B2F21">
        <w:rPr>
          <w:rStyle w:val="FootnoteReference"/>
        </w:rPr>
        <w:footnoteReference w:id="507"/>
      </w:r>
    </w:p>
    <w:p w14:paraId="7D8355A7" w14:textId="77777777" w:rsidR="00C1190C" w:rsidRPr="006B2F21" w:rsidRDefault="00C1190C" w:rsidP="006B2F21">
      <w:pPr>
        <w:pStyle w:val="BodyText"/>
        <w:numPr>
          <w:ilvl w:val="6"/>
          <w:numId w:val="1"/>
        </w:numPr>
        <w:rPr>
          <w:szCs w:val="18"/>
        </w:rPr>
      </w:pPr>
      <w:r w:rsidRPr="006B2F21">
        <w:rPr>
          <w:szCs w:val="18"/>
        </w:rPr>
        <w:t>In these circumstances, the Panel considered that Ukraine did not need to demonstrate, as part of substantiating its claim that off</w:t>
      </w:r>
      <w:r w:rsidRPr="006B2F21">
        <w:rPr>
          <w:szCs w:val="18"/>
        </w:rPr>
        <w:noBreakHyphen/>
        <w:t>site sampling is a less strict manner of application reasonably available to Russia,</w:t>
      </w:r>
      <w:r w:rsidRPr="006B2F21" w:rsidDel="00557F7B">
        <w:rPr>
          <w:szCs w:val="18"/>
        </w:rPr>
        <w:t xml:space="preserve"> </w:t>
      </w:r>
      <w:r w:rsidRPr="006B2F21">
        <w:rPr>
          <w:szCs w:val="18"/>
        </w:rPr>
        <w:t>that the conditions set out in Article 7.4.1 were satisfied in the case of the applications submitted pursuant to scheme 3c.</w:t>
      </w:r>
      <w:r w:rsidRPr="006B2F21">
        <w:rPr>
          <w:rStyle w:val="FootnoteReference"/>
          <w:szCs w:val="18"/>
        </w:rPr>
        <w:footnoteReference w:id="508"/>
      </w:r>
      <w:r w:rsidRPr="006B2F21">
        <w:rPr>
          <w:szCs w:val="18"/>
        </w:rPr>
        <w:t xml:space="preserve"> Taking into account the Panel's conclusion and in the absence of any substantiation by Ukraine, we do not consider that our findings with respect to the Panel's allocation of the burden of proof in the context of Ukraine's claim regarding the suspensions of certificates would have an implication for its analysis regarding the rejections of applications for new certificates. Thus, Ukraine has not established that the Panel failed to make an objective assessment in its allocation of the burden of proof in this respect.</w:t>
      </w:r>
    </w:p>
    <w:p w14:paraId="3279EDDE" w14:textId="77777777" w:rsidR="00C1190C" w:rsidRPr="006B2F21" w:rsidRDefault="00C1190C" w:rsidP="006B2F21">
      <w:pPr>
        <w:pStyle w:val="Heading3"/>
        <w:numPr>
          <w:ilvl w:val="2"/>
          <w:numId w:val="1"/>
        </w:numPr>
        <w:rPr>
          <w:szCs w:val="18"/>
        </w:rPr>
      </w:pPr>
      <w:bookmarkStart w:id="213" w:name="_Toc26805642"/>
      <w:bookmarkStart w:id="214" w:name="_Toc31381016"/>
      <w:bookmarkStart w:id="215" w:name="_Hlk24450328"/>
      <w:r w:rsidRPr="006B2F21">
        <w:rPr>
          <w:szCs w:val="18"/>
        </w:rPr>
        <w:t>Completion of the legal analysis</w:t>
      </w:r>
      <w:bookmarkEnd w:id="213"/>
      <w:bookmarkEnd w:id="214"/>
    </w:p>
    <w:p w14:paraId="0AA71D6A" w14:textId="6BAB8EF9" w:rsidR="00C1190C" w:rsidRPr="006B2F21" w:rsidRDefault="00C1190C" w:rsidP="006B2F21">
      <w:pPr>
        <w:pStyle w:val="BodyText"/>
        <w:numPr>
          <w:ilvl w:val="6"/>
          <w:numId w:val="1"/>
        </w:numPr>
        <w:rPr>
          <w:szCs w:val="18"/>
        </w:rPr>
      </w:pPr>
      <w:r w:rsidRPr="006B2F21">
        <w:rPr>
          <w:szCs w:val="18"/>
        </w:rPr>
        <w:t xml:space="preserve">We now turn to assess whether we are in a position to complete the legal analysis and find whether Russia has acted inconsistently with Article 5.1.2 of the TBT Agreement. In order to do so, we consider whether we have sufficient factual findings by the Panel and undisputed facts on the Panel record to find that the alternative manner of applying the conformity assessment procedures: (i) is less strict; (ii) makes an equivalent contribution to the objective of providing the importing Member </w:t>
      </w:r>
      <w:r w:rsidR="00C737C4" w:rsidRPr="006B2F21">
        <w:rPr>
          <w:szCs w:val="18"/>
        </w:rPr>
        <w:t xml:space="preserve">with </w:t>
      </w:r>
      <w:r w:rsidRPr="006B2F21">
        <w:rPr>
          <w:szCs w:val="18"/>
        </w:rPr>
        <w:t>adequate confidence of conformity; and (iii) is reasonably available to the importing Member.</w:t>
      </w:r>
    </w:p>
    <w:p w14:paraId="48203516" w14:textId="2EA5CC61" w:rsidR="00C1190C" w:rsidRPr="006B2F21" w:rsidRDefault="00C1190C" w:rsidP="006B2F21">
      <w:pPr>
        <w:pStyle w:val="BodyText"/>
        <w:numPr>
          <w:ilvl w:val="6"/>
          <w:numId w:val="1"/>
        </w:numPr>
        <w:rPr>
          <w:szCs w:val="18"/>
        </w:rPr>
      </w:pPr>
      <w:r w:rsidRPr="006B2F21">
        <w:rPr>
          <w:szCs w:val="18"/>
        </w:rPr>
        <w:lastRenderedPageBreak/>
        <w:t>With respect to the alternative measure consisting in the conduct of off</w:t>
      </w:r>
      <w:r w:rsidRPr="006B2F21">
        <w:rPr>
          <w:szCs w:val="18"/>
        </w:rPr>
        <w:noBreakHyphen/>
        <w:t>site inspections, the Panel found that Ukraine had failed to establish that conducting off</w:t>
      </w:r>
      <w:r w:rsidRPr="006B2F21">
        <w:rPr>
          <w:szCs w:val="18"/>
        </w:rPr>
        <w:noBreakHyphen/>
        <w:t>site inspection control was reasonably available under Article 7.4.1 of PC</w:t>
      </w:r>
      <w:r w:rsidRPr="006B2F21">
        <w:rPr>
          <w:szCs w:val="18"/>
        </w:rPr>
        <w:noBreakHyphen/>
        <w:t>FZT 08</w:t>
      </w:r>
      <w:r w:rsidRPr="006B2F21">
        <w:rPr>
          <w:szCs w:val="18"/>
        </w:rPr>
        <w:noBreakHyphen/>
        <w:t>2013. As we found above, the Panel erred in finding that Ukraine had to demonstrate that no non</w:t>
      </w:r>
      <w:r w:rsidRPr="006B2F21">
        <w:rPr>
          <w:szCs w:val="18"/>
        </w:rPr>
        <w:noBreakHyphen/>
        <w:t>conformities and consumer complaints existed pursuant to the requirements of Article 7.4.1 of PC</w:t>
      </w:r>
      <w:r w:rsidRPr="006B2F21">
        <w:rPr>
          <w:szCs w:val="18"/>
        </w:rPr>
        <w:noBreakHyphen/>
        <w:t>FZT 08</w:t>
      </w:r>
      <w:r w:rsidRPr="006B2F21">
        <w:rPr>
          <w:szCs w:val="18"/>
        </w:rPr>
        <w:noBreakHyphen/>
        <w:t xml:space="preserve">2013 with respect to the railway products covered by the suspensions at issue. By focusing its assessment on whether Ukraine put forward evidence as to the compliance of these products with the requirements of Article 7.4.1 in each individual case, the Panel did not conduct an analysis of whether Ukraine's own description of the alternative measure was sufficient to make a </w:t>
      </w:r>
      <w:r w:rsidRPr="006B2F21">
        <w:rPr>
          <w:i/>
          <w:szCs w:val="18"/>
        </w:rPr>
        <w:t xml:space="preserve">prima facie </w:t>
      </w:r>
      <w:r w:rsidRPr="006B2F21">
        <w:rPr>
          <w:szCs w:val="18"/>
        </w:rPr>
        <w:t xml:space="preserve">case as to its reasonable availability. The Panel also did not assess whether the proposed alternative manner of application is less strict and makes an equivalent contribution to the objective of providing Russia </w:t>
      </w:r>
      <w:r w:rsidR="00C737C4" w:rsidRPr="006B2F21">
        <w:rPr>
          <w:szCs w:val="18"/>
        </w:rPr>
        <w:t xml:space="preserve">with </w:t>
      </w:r>
      <w:r w:rsidRPr="006B2F21">
        <w:rPr>
          <w:szCs w:val="18"/>
        </w:rPr>
        <w:t>adequate confidence of conformity. In the absence of such an analysis by the Panel, we do not have sufficient factual findings on which to base our completion of the legal analysis. Furthermore, the relevance of a number of pieces of evidence is disputed by the parties.</w:t>
      </w:r>
      <w:r w:rsidRPr="006B2F21">
        <w:rPr>
          <w:rStyle w:val="FootnoteReference"/>
          <w:szCs w:val="18"/>
        </w:rPr>
        <w:footnoteReference w:id="509"/>
      </w:r>
      <w:r w:rsidRPr="006B2F21">
        <w:rPr>
          <w:szCs w:val="18"/>
        </w:rPr>
        <w:t xml:space="preserve"> Finally, in weighing and balancing the factors relevant to the existence of an "unnecessary obstacle[] to international trade" under Article 5.1.2 of the TBT Agreement, the Panel gave prominence to its finding that Ukraine failed to demonstrate that there were less strict manners of applying Russia's conformity assessment procedure that were available to the FBO under the applicable conformity assessment procedure.</w:t>
      </w:r>
      <w:r w:rsidRPr="006B2F21">
        <w:rPr>
          <w:rStyle w:val="FootnoteReference"/>
          <w:szCs w:val="18"/>
        </w:rPr>
        <w:footnoteReference w:id="510"/>
      </w:r>
      <w:r w:rsidRPr="006B2F21">
        <w:rPr>
          <w:szCs w:val="18"/>
        </w:rPr>
        <w:t xml:space="preserve"> In light of our reversal of the Panel's finding as to the burden of proof in assessing the reasonable availability of the alternative proposed by Ukraine, we cannot rely on the Panel's weighing and balancing analysis. Therefore, given the absence of sufficient factual findings by the Panel and undisputed facts on the Panel record, we are not in a position to conduct an overall assessment of whether Russia applied its conformity assessment procedure more strictly than necessary within the meaning of Article 5.1.2 of the TBT Agreement.</w:t>
      </w:r>
    </w:p>
    <w:p w14:paraId="299E7903" w14:textId="7A2DBF7D" w:rsidR="00520CA1" w:rsidRPr="006B2F21" w:rsidRDefault="00520CA1" w:rsidP="006B2F21">
      <w:pPr>
        <w:pStyle w:val="Heading3"/>
        <w:rPr>
          <w:szCs w:val="18"/>
        </w:rPr>
      </w:pPr>
      <w:bookmarkStart w:id="216" w:name="_Toc31381017"/>
      <w:r w:rsidRPr="006B2F21">
        <w:rPr>
          <w:szCs w:val="18"/>
        </w:rPr>
        <w:t>Whether the Panel failed to make an objective assessment of the matter under Article 11 of the DSU with respect to the other alternative measures</w:t>
      </w:r>
      <w:bookmarkEnd w:id="216"/>
    </w:p>
    <w:bookmarkEnd w:id="215"/>
    <w:p w14:paraId="5971C486" w14:textId="07482165" w:rsidR="00C1190C" w:rsidRPr="006B2F21" w:rsidRDefault="00C1190C" w:rsidP="006B2F21">
      <w:pPr>
        <w:pStyle w:val="BodyText"/>
        <w:numPr>
          <w:ilvl w:val="6"/>
          <w:numId w:val="1"/>
        </w:numPr>
        <w:rPr>
          <w:szCs w:val="18"/>
        </w:rPr>
      </w:pPr>
      <w:r w:rsidRPr="006B2F21">
        <w:rPr>
          <w:szCs w:val="18"/>
        </w:rPr>
        <w:t xml:space="preserve">We now turn to </w:t>
      </w:r>
      <w:r w:rsidR="0087741E" w:rsidRPr="006B2F21">
        <w:rPr>
          <w:szCs w:val="18"/>
        </w:rPr>
        <w:t xml:space="preserve">consider whether, with respect to the other three alternative measures, </w:t>
      </w:r>
      <w:r w:rsidRPr="006B2F21">
        <w:rPr>
          <w:szCs w:val="18"/>
        </w:rPr>
        <w:t>the Panel failed to conduct an objective assessment of the matter. We recall our finding that, in determining the existence of reasonably available less trade</w:t>
      </w:r>
      <w:r w:rsidRPr="006B2F21">
        <w:rPr>
          <w:szCs w:val="18"/>
        </w:rPr>
        <w:noBreakHyphen/>
        <w:t xml:space="preserve">restrictive alternative measures under Article 5.1.2 of the TBT Agreement, it is for the complainant to make a </w:t>
      </w:r>
      <w:r w:rsidRPr="006B2F21">
        <w:rPr>
          <w:i/>
          <w:szCs w:val="18"/>
        </w:rPr>
        <w:t>prima facie</w:t>
      </w:r>
      <w:r w:rsidRPr="006B2F21">
        <w:rPr>
          <w:szCs w:val="18"/>
        </w:rPr>
        <w:t xml:space="preserve"> case that the proposed alternative is reasonably available to the respondent. In establishing such a </w:t>
      </w:r>
      <w:r w:rsidRPr="006B2F21">
        <w:rPr>
          <w:i/>
          <w:szCs w:val="18"/>
        </w:rPr>
        <w:t xml:space="preserve">prima facie </w:t>
      </w:r>
      <w:r w:rsidRPr="006B2F21">
        <w:rPr>
          <w:szCs w:val="18"/>
        </w:rPr>
        <w:t xml:space="preserve">case and considering that proposed alternative measures serve as "conceptual tools", a complainant cannot be expected to provide detailed information on how a proposed alternative would be implemented by the respondent in practice. The complainant would nevertheless have to provide sufficient indications that the proposed alternative does not </w:t>
      </w:r>
      <w:r w:rsidRPr="006B2F21">
        <w:rPr>
          <w:i/>
          <w:szCs w:val="18"/>
        </w:rPr>
        <w:t xml:space="preserve">a priori </w:t>
      </w:r>
      <w:r w:rsidRPr="006B2F21">
        <w:rPr>
          <w:szCs w:val="18"/>
        </w:rPr>
        <w:t>impose an undue burden on the respondent, such as prohibitive costs or substantial technical difficulties, and is not merely theoretical in nature.</w:t>
      </w:r>
      <w:r w:rsidRPr="006B2F21">
        <w:rPr>
          <w:rStyle w:val="FootnoteReference"/>
          <w:szCs w:val="18"/>
        </w:rPr>
        <w:footnoteReference w:id="511"/>
      </w:r>
      <w:r w:rsidRPr="006B2F21">
        <w:rPr>
          <w:szCs w:val="18"/>
        </w:rPr>
        <w:t xml:space="preserve"> </w:t>
      </w:r>
    </w:p>
    <w:p w14:paraId="7C8D2237" w14:textId="6CA59D95" w:rsidR="00C1190C" w:rsidRPr="006B2F21" w:rsidRDefault="00C1190C" w:rsidP="006B2F21">
      <w:pPr>
        <w:pStyle w:val="BodyText"/>
        <w:numPr>
          <w:ilvl w:val="6"/>
          <w:numId w:val="1"/>
        </w:numPr>
        <w:rPr>
          <w:szCs w:val="18"/>
        </w:rPr>
      </w:pPr>
      <w:r w:rsidRPr="006B2F21">
        <w:rPr>
          <w:szCs w:val="18"/>
        </w:rPr>
        <w:t>We first address the alternative consisting in the FBO accrediting non</w:t>
      </w:r>
      <w:r w:rsidRPr="006B2F21">
        <w:rPr>
          <w:szCs w:val="18"/>
        </w:rPr>
        <w:noBreakHyphen/>
        <w:t>Russian experts or organizations to conduct inspections in Ukraine under its accreditation rules and in particular Article 10 of CS FRT 01</w:t>
      </w:r>
      <w:r w:rsidRPr="006B2F21">
        <w:rPr>
          <w:szCs w:val="18"/>
        </w:rPr>
        <w:noBreakHyphen/>
        <w:t>96.</w:t>
      </w:r>
      <w:r w:rsidRPr="006B2F21">
        <w:rPr>
          <w:rStyle w:val="FootnoteReference"/>
          <w:szCs w:val="18"/>
        </w:rPr>
        <w:footnoteReference w:id="512"/>
      </w:r>
      <w:r w:rsidRPr="006B2F21">
        <w:rPr>
          <w:szCs w:val="18"/>
        </w:rPr>
        <w:t xml:space="preserve"> Unlike the Panel, we do not consider that it was Ukraine's burden to put forward evidence as to why it may have been impracticable for Russia to implement this procedure in practice, for instance because the Ministry could not itself approach experts and issue them with accreditation certificates, and there were no non</w:t>
      </w:r>
      <w:r w:rsidRPr="006B2F21">
        <w:rPr>
          <w:szCs w:val="18"/>
        </w:rPr>
        <w:noBreakHyphen/>
        <w:t>Russian experts qualified to conduct inspection control at the time of the suspensions.</w:t>
      </w:r>
      <w:r w:rsidRPr="006B2F21">
        <w:rPr>
          <w:rStyle w:val="FootnoteReference"/>
          <w:szCs w:val="18"/>
        </w:rPr>
        <w:footnoteReference w:id="513"/>
      </w:r>
      <w:r w:rsidRPr="006B2F21">
        <w:rPr>
          <w:szCs w:val="18"/>
        </w:rPr>
        <w:t xml:space="preserve"> As noted above, even if Ukraine made the choice to refer to an alternative that was already present in Russia's legislative framework, Ukraine was not required to demonstrate, for purposes of showing that the alternative was </w:t>
      </w:r>
      <w:r w:rsidRPr="006B2F21">
        <w:rPr>
          <w:i/>
          <w:szCs w:val="18"/>
        </w:rPr>
        <w:t xml:space="preserve">prima facie </w:t>
      </w:r>
      <w:r w:rsidRPr="006B2F21">
        <w:rPr>
          <w:szCs w:val="18"/>
        </w:rPr>
        <w:t>reasonably available, that the requirements of the existing measure in Russia's legislation were fulfilled in the specific instances related to the suspensions of certificates. At the same time, we note that, unlike the alternative consisting in the conduct of off</w:t>
      </w:r>
      <w:r w:rsidRPr="006B2F21">
        <w:rPr>
          <w:szCs w:val="18"/>
        </w:rPr>
        <w:noBreakHyphen/>
        <w:t>site inspections, Article 10 of CS FRT 01</w:t>
      </w:r>
      <w:r w:rsidRPr="006B2F21">
        <w:rPr>
          <w:szCs w:val="18"/>
        </w:rPr>
        <w:noBreakHyphen/>
        <w:t>96 does not specifically outline this alternative, but simply contains no language as to the nationality that an FBO</w:t>
      </w:r>
      <w:r w:rsidR="00CF2BA6">
        <w:rPr>
          <w:szCs w:val="18"/>
        </w:rPr>
        <w:t> </w:t>
      </w:r>
      <w:r w:rsidRPr="006B2F21">
        <w:rPr>
          <w:szCs w:val="18"/>
        </w:rPr>
        <w:t xml:space="preserve">expert must have. Thus, Article 10 does not speak to the reasonable availability of Ukraine's proposed measure. Furthermore, the mere reference to the theoretical possibility of appointing </w:t>
      </w:r>
      <w:r w:rsidRPr="006B2F21">
        <w:rPr>
          <w:szCs w:val="18"/>
        </w:rPr>
        <w:lastRenderedPageBreak/>
        <w:t xml:space="preserve">experts of other nationalities due to the absence of any provision to the contrary does not lay out in sufficient detail an alternative manner of application of Russia's conformity assessment procedure allowing the Panel to assess whether </w:t>
      </w:r>
      <w:r w:rsidRPr="006B2F21">
        <w:rPr>
          <w:i/>
          <w:szCs w:val="18"/>
        </w:rPr>
        <w:t xml:space="preserve">a priori </w:t>
      </w:r>
      <w:r w:rsidRPr="006B2F21">
        <w:rPr>
          <w:szCs w:val="18"/>
        </w:rPr>
        <w:t>the measure would impose an undue burden on the respondent, such as prohibitive costs or substantial technical difficulties. In our view, by stating that "it is not clear that [Article 10 of CS FRT 01</w:t>
      </w:r>
      <w:r w:rsidRPr="006B2F21">
        <w:rPr>
          <w:szCs w:val="18"/>
        </w:rPr>
        <w:noBreakHyphen/>
        <w:t>96] provides for the possibility of accrediting non</w:t>
      </w:r>
      <w:r w:rsidRPr="006B2F21">
        <w:rPr>
          <w:szCs w:val="18"/>
        </w:rPr>
        <w:noBreakHyphen/>
        <w:t>Russian experts to conduct on</w:t>
      </w:r>
      <w:r w:rsidRPr="006B2F21">
        <w:rPr>
          <w:szCs w:val="18"/>
        </w:rPr>
        <w:noBreakHyphen/>
        <w:t>site inspections", the Panel recognized that Ukraine's description of the alternative measure was not precise enough to establish that this alternative was reasonably available to Russia. In light of the above, we agree with the Panel that, by merely referring to Russia's rules governing the suspension of certificates and arguing that those rules "do not preclude the accreditation of non</w:t>
      </w:r>
      <w:r w:rsidRPr="006B2F21">
        <w:rPr>
          <w:szCs w:val="18"/>
        </w:rPr>
        <w:noBreakHyphen/>
        <w:t>Russian experts, because they do not prescribe the nationality of the experts who can be used"</w:t>
      </w:r>
      <w:r w:rsidRPr="006B2F21">
        <w:rPr>
          <w:rStyle w:val="FootnoteReference"/>
          <w:szCs w:val="18"/>
        </w:rPr>
        <w:footnoteReference w:id="514"/>
      </w:r>
      <w:r w:rsidRPr="006B2F21">
        <w:rPr>
          <w:szCs w:val="18"/>
        </w:rPr>
        <w:t>, Ukraine did not meet its burden with respect to the reasonable availability of this alternative.</w:t>
      </w:r>
    </w:p>
    <w:p w14:paraId="4D669A81" w14:textId="64F6971E" w:rsidR="00C1190C" w:rsidRPr="006B2F21" w:rsidRDefault="00C1190C" w:rsidP="006B2F21">
      <w:pPr>
        <w:pStyle w:val="BodyText"/>
        <w:numPr>
          <w:ilvl w:val="6"/>
          <w:numId w:val="1"/>
        </w:numPr>
        <w:rPr>
          <w:szCs w:val="18"/>
        </w:rPr>
      </w:pPr>
      <w:r w:rsidRPr="006B2F21">
        <w:rPr>
          <w:szCs w:val="18"/>
        </w:rPr>
        <w:t xml:space="preserve">Second, we turn to the alternative measure consisting in the FBO entrusting inspections with respect to Ukrainian railway products to the competent authorities in Kazakhstan or Belarus under the rules of the existing </w:t>
      </w:r>
      <w:r w:rsidR="004467B9" w:rsidRPr="006B2F21">
        <w:rPr>
          <w:szCs w:val="18"/>
        </w:rPr>
        <w:t>CU</w:t>
      </w:r>
      <w:r w:rsidRPr="006B2F21">
        <w:rPr>
          <w:szCs w:val="18"/>
        </w:rPr>
        <w:t xml:space="preserve">. We do not see that the mere existence of a </w:t>
      </w:r>
      <w:r w:rsidR="008F016C" w:rsidRPr="006B2F21">
        <w:rPr>
          <w:szCs w:val="18"/>
        </w:rPr>
        <w:t>customs union</w:t>
      </w:r>
      <w:r w:rsidRPr="006B2F21">
        <w:rPr>
          <w:szCs w:val="18"/>
        </w:rPr>
        <w:t xml:space="preserve"> with a unified legal framework for technical regulations and conformity assessment procedures</w:t>
      </w:r>
      <w:r w:rsidRPr="006B2F21">
        <w:rPr>
          <w:rStyle w:val="FootnoteReference"/>
          <w:szCs w:val="18"/>
        </w:rPr>
        <w:footnoteReference w:id="515"/>
      </w:r>
      <w:r w:rsidRPr="006B2F21">
        <w:rPr>
          <w:szCs w:val="18"/>
        </w:rPr>
        <w:t xml:space="preserve"> necessarily translates into the possibility for one of the </w:t>
      </w:r>
      <w:r w:rsidR="008F016C" w:rsidRPr="006B2F21">
        <w:rPr>
          <w:szCs w:val="18"/>
        </w:rPr>
        <w:t>custom</w:t>
      </w:r>
      <w:r w:rsidR="00276C4B" w:rsidRPr="006B2F21">
        <w:rPr>
          <w:szCs w:val="18"/>
        </w:rPr>
        <w:t>s</w:t>
      </w:r>
      <w:r w:rsidR="008F016C" w:rsidRPr="006B2F21">
        <w:rPr>
          <w:szCs w:val="18"/>
        </w:rPr>
        <w:t xml:space="preserve"> union</w:t>
      </w:r>
      <w:r w:rsidRPr="006B2F21">
        <w:rPr>
          <w:szCs w:val="18"/>
        </w:rPr>
        <w:t>'s members to entrust competent authorities of another sovereign member with the conduct of inspections in the context of such common rules. While the FBO could have made such a request for assistance, its outcome would have been uncertain. We therefore agree with the Panel's conclusion that it is not self</w:t>
      </w:r>
      <w:r w:rsidRPr="006B2F21">
        <w:rPr>
          <w:szCs w:val="18"/>
        </w:rPr>
        <w:noBreakHyphen/>
        <w:t>evident "that the FBO has the power to entrust foreign government authorities to carry out tasks entrusted to it".</w:t>
      </w:r>
      <w:r w:rsidRPr="006B2F21">
        <w:rPr>
          <w:rStyle w:val="FootnoteReference"/>
          <w:szCs w:val="18"/>
        </w:rPr>
        <w:footnoteReference w:id="516"/>
      </w:r>
      <w:r w:rsidRPr="006B2F21">
        <w:rPr>
          <w:szCs w:val="18"/>
        </w:rPr>
        <w:t xml:space="preserve"> Moreover, as we see it, there is a difference between the competent authority's power to recognize a certificate issued by another authority and the power of that authority to entrust other competent authorities with the task of performing inspections.</w:t>
      </w:r>
      <w:r w:rsidRPr="006B2F21">
        <w:rPr>
          <w:rStyle w:val="FootnoteReference"/>
          <w:szCs w:val="18"/>
        </w:rPr>
        <w:footnoteReference w:id="517"/>
      </w:r>
      <w:r w:rsidRPr="006B2F21">
        <w:rPr>
          <w:szCs w:val="18"/>
        </w:rPr>
        <w:t xml:space="preserve"> Since the power to recognize a certificate issued by another authority does not necessarily entail the power to entrust that authority with the carrying out of an inspection, we do not consider that the Panel erred in concluding that Ukraine failed to make a </w:t>
      </w:r>
      <w:r w:rsidRPr="006B2F21">
        <w:rPr>
          <w:i/>
          <w:szCs w:val="18"/>
        </w:rPr>
        <w:t xml:space="preserve">prima facie </w:t>
      </w:r>
      <w:r w:rsidRPr="006B2F21">
        <w:rPr>
          <w:szCs w:val="18"/>
        </w:rPr>
        <w:t>case with respect to the reasonable availability of this alternative.</w:t>
      </w:r>
    </w:p>
    <w:p w14:paraId="744230E2" w14:textId="77777777" w:rsidR="00C1190C" w:rsidRPr="006B2F21" w:rsidRDefault="00C1190C" w:rsidP="006B2F21">
      <w:pPr>
        <w:pStyle w:val="BodyText"/>
        <w:numPr>
          <w:ilvl w:val="6"/>
          <w:numId w:val="1"/>
        </w:numPr>
        <w:rPr>
          <w:szCs w:val="18"/>
        </w:rPr>
      </w:pPr>
      <w:r w:rsidRPr="006B2F21">
        <w:rPr>
          <w:szCs w:val="18"/>
        </w:rPr>
        <w:t>Third, we address the alternative measure consisting in the FBO communicating with the relevant Ukrainian producers in order to create conditions for the carrying out of on</w:t>
      </w:r>
      <w:r w:rsidRPr="006B2F21">
        <w:rPr>
          <w:szCs w:val="18"/>
        </w:rPr>
        <w:noBreakHyphen/>
        <w:t>site inspections. In our view, the Panel correctly concluded that the communications between the FBO and the Ukrainian producers have an uncertain outcome and could not in themselves constitute a reasonably available alternative measure capable of comparison with the challenged suspensions.</w:t>
      </w:r>
      <w:r w:rsidRPr="006B2F21">
        <w:rPr>
          <w:rStyle w:val="FootnoteReference"/>
          <w:szCs w:val="18"/>
        </w:rPr>
        <w:footnoteReference w:id="518"/>
      </w:r>
      <w:r w:rsidRPr="006B2F21">
        <w:rPr>
          <w:szCs w:val="18"/>
        </w:rPr>
        <w:t xml:space="preserve"> Indeed, such communications "could theoretically lead to a situation that would allow the conformity assessment procedure to continue, just as it could lead to a situation where the conformity assessment procedure would not continue and certificates would be suspended".</w:t>
      </w:r>
      <w:r w:rsidRPr="006B2F21">
        <w:rPr>
          <w:rStyle w:val="FootnoteReference"/>
          <w:szCs w:val="18"/>
        </w:rPr>
        <w:footnoteReference w:id="519"/>
      </w:r>
      <w:r w:rsidRPr="006B2F21">
        <w:rPr>
          <w:szCs w:val="18"/>
        </w:rPr>
        <w:t xml:space="preserve"> Furthermore, we note that Ukraine did not elaborate on the substance of the proposed private security arrangements and therefore on why such arrangements could be considered a reasonably available alternative to the suspensions of certificates. We therefore agree with the Panel that Ukraine did not establish that its proposed alternative is reasonably available.</w:t>
      </w:r>
    </w:p>
    <w:p w14:paraId="2A5A4F21" w14:textId="77777777" w:rsidR="00C1190C" w:rsidRPr="006B2F21" w:rsidRDefault="00C1190C" w:rsidP="006B2F21">
      <w:pPr>
        <w:pStyle w:val="Heading3"/>
        <w:numPr>
          <w:ilvl w:val="2"/>
          <w:numId w:val="1"/>
        </w:numPr>
        <w:rPr>
          <w:szCs w:val="18"/>
        </w:rPr>
      </w:pPr>
      <w:bookmarkStart w:id="217" w:name="_Toc26805644"/>
      <w:bookmarkStart w:id="218" w:name="_Toc31381018"/>
      <w:r w:rsidRPr="006B2F21">
        <w:rPr>
          <w:szCs w:val="18"/>
        </w:rPr>
        <w:t>Conclusion</w:t>
      </w:r>
      <w:bookmarkEnd w:id="217"/>
      <w:bookmarkEnd w:id="218"/>
      <w:r w:rsidRPr="006B2F21">
        <w:rPr>
          <w:szCs w:val="18"/>
        </w:rPr>
        <w:t xml:space="preserve"> </w:t>
      </w:r>
    </w:p>
    <w:p w14:paraId="659A76BC" w14:textId="464A060B" w:rsidR="00C1190C" w:rsidRPr="006B2F21" w:rsidRDefault="00C1190C" w:rsidP="006B2F21">
      <w:pPr>
        <w:pStyle w:val="BodyText"/>
        <w:numPr>
          <w:ilvl w:val="6"/>
          <w:numId w:val="1"/>
        </w:numPr>
        <w:rPr>
          <w:szCs w:val="18"/>
        </w:rPr>
      </w:pPr>
      <w:r w:rsidRPr="006B2F21">
        <w:rPr>
          <w:szCs w:val="18"/>
        </w:rPr>
        <w:t>Ukraine was not required to demonstrate, for purpose</w:t>
      </w:r>
      <w:r w:rsidR="0056183D" w:rsidRPr="006B2F21">
        <w:rPr>
          <w:szCs w:val="18"/>
        </w:rPr>
        <w:t>s</w:t>
      </w:r>
      <w:r w:rsidRPr="006B2F21">
        <w:rPr>
          <w:szCs w:val="18"/>
        </w:rPr>
        <w:t xml:space="preserve"> of showing that the proposed alternative measure consisting in the conduct of off</w:t>
      </w:r>
      <w:r w:rsidRPr="006B2F21">
        <w:rPr>
          <w:szCs w:val="18"/>
        </w:rPr>
        <w:noBreakHyphen/>
        <w:t xml:space="preserve">site inspections was </w:t>
      </w:r>
      <w:r w:rsidRPr="006B2F21">
        <w:rPr>
          <w:i/>
          <w:szCs w:val="18"/>
        </w:rPr>
        <w:t>prima facie</w:t>
      </w:r>
      <w:r w:rsidRPr="006B2F21">
        <w:rPr>
          <w:szCs w:val="18"/>
        </w:rPr>
        <w:t xml:space="preserve"> reasonably available, whether the measure described in Article 5.3 of CS FRT 12</w:t>
      </w:r>
      <w:r w:rsidRPr="006B2F21">
        <w:rPr>
          <w:szCs w:val="18"/>
        </w:rPr>
        <w:noBreakHyphen/>
        <w:t>2003 and Article 7.4.1 of PC</w:t>
      </w:r>
      <w:r w:rsidRPr="006B2F21">
        <w:rPr>
          <w:szCs w:val="18"/>
        </w:rPr>
        <w:noBreakHyphen/>
        <w:t>FZT 08</w:t>
      </w:r>
      <w:r w:rsidRPr="006B2F21">
        <w:rPr>
          <w:szCs w:val="18"/>
        </w:rPr>
        <w:noBreakHyphen/>
        <w:t>2013 could have applied in the specific instances related to the suspensions of certificates at issue. However, the Panel reasoned that, because information on the absence of non</w:t>
      </w:r>
      <w:r w:rsidRPr="006B2F21">
        <w:rPr>
          <w:szCs w:val="18"/>
        </w:rPr>
        <w:noBreakHyphen/>
        <w:t xml:space="preserve">conformities and consumer complaints was in principle available to Ukraine, it was for Ukraine to submit evidence relating to the application of these conditions to the products covered by the suspensions at issue. We therefore </w:t>
      </w:r>
      <w:r w:rsidRPr="006B2F21">
        <w:rPr>
          <w:szCs w:val="18"/>
          <w:u w:val="single"/>
        </w:rPr>
        <w:t>find</w:t>
      </w:r>
      <w:r w:rsidRPr="006B2F21">
        <w:rPr>
          <w:szCs w:val="18"/>
        </w:rPr>
        <w:t xml:space="preserve"> that the Panel failed to make an objective assessment of the matter before it </w:t>
      </w:r>
      <w:r w:rsidRPr="006B2F21">
        <w:rPr>
          <w:szCs w:val="18"/>
        </w:rPr>
        <w:lastRenderedPageBreak/>
        <w:t xml:space="preserve">under Article 11 of the DSU in allocating the burden of proof under Article 5.1.2 of the TBT Agreement in its analysis of this alternative measure. </w:t>
      </w:r>
      <w:r w:rsidR="0056183D" w:rsidRPr="006B2F21">
        <w:rPr>
          <w:szCs w:val="18"/>
        </w:rPr>
        <w:t>W</w:t>
      </w:r>
      <w:r w:rsidRPr="006B2F21">
        <w:rPr>
          <w:szCs w:val="18"/>
        </w:rPr>
        <w:t xml:space="preserve">e </w:t>
      </w:r>
      <w:r w:rsidR="0056183D" w:rsidRPr="006B2F21">
        <w:rPr>
          <w:szCs w:val="18"/>
        </w:rPr>
        <w:t xml:space="preserve">also </w:t>
      </w:r>
      <w:r w:rsidRPr="006B2F21">
        <w:rPr>
          <w:szCs w:val="18"/>
          <w:u w:val="single"/>
        </w:rPr>
        <w:t>find</w:t>
      </w:r>
      <w:r w:rsidRPr="006B2F21">
        <w:rPr>
          <w:szCs w:val="18"/>
        </w:rPr>
        <w:t xml:space="preserve"> that Ukraine failed to establish that the Panel erred in making an objective assessment of the matter before it </w:t>
      </w:r>
      <w:r w:rsidR="0056183D" w:rsidRPr="006B2F21">
        <w:rPr>
          <w:szCs w:val="18"/>
        </w:rPr>
        <w:t xml:space="preserve">pursuant to Article 11 of the DSU </w:t>
      </w:r>
      <w:r w:rsidRPr="006B2F21">
        <w:rPr>
          <w:szCs w:val="18"/>
        </w:rPr>
        <w:t xml:space="preserve">in finding that Ukraine failed to establish that </w:t>
      </w:r>
      <w:r w:rsidR="0056183D" w:rsidRPr="006B2F21">
        <w:rPr>
          <w:szCs w:val="18"/>
        </w:rPr>
        <w:t xml:space="preserve">the other three proposed alternatives </w:t>
      </w:r>
      <w:r w:rsidRPr="006B2F21">
        <w:rPr>
          <w:szCs w:val="18"/>
        </w:rPr>
        <w:t xml:space="preserve">were reasonably available. </w:t>
      </w:r>
    </w:p>
    <w:p w14:paraId="71C9EAA7" w14:textId="2A59A870" w:rsidR="00C1190C" w:rsidRPr="006B2F21" w:rsidRDefault="00C1190C" w:rsidP="006B2F21">
      <w:pPr>
        <w:pStyle w:val="BodyText"/>
        <w:numPr>
          <w:ilvl w:val="6"/>
          <w:numId w:val="1"/>
        </w:numPr>
        <w:rPr>
          <w:szCs w:val="18"/>
        </w:rPr>
      </w:pPr>
      <w:r w:rsidRPr="006B2F21">
        <w:rPr>
          <w:szCs w:val="18"/>
        </w:rPr>
        <w:t xml:space="preserve">Consequently, we </w:t>
      </w:r>
      <w:r w:rsidRPr="006B2F21">
        <w:rPr>
          <w:szCs w:val="18"/>
          <w:u w:val="single"/>
        </w:rPr>
        <w:t>reverse</w:t>
      </w:r>
      <w:r w:rsidRPr="006B2F21">
        <w:rPr>
          <w:szCs w:val="18"/>
        </w:rPr>
        <w:t xml:space="preserve"> the Panel's finding, in paragraphs 7.544 and 8.1.b.ii of the Panel Report, that Ukraine failed to establish, with respect to each of the 14 instructions suspending certificates, that Russia has acted inconsistently with its obligations under Article 5.1.2, first and second sentences, of the TBT Agreement. </w:t>
      </w:r>
    </w:p>
    <w:p w14:paraId="6A3BF922" w14:textId="77777777" w:rsidR="00C1190C" w:rsidRPr="006B2F21" w:rsidRDefault="00C1190C" w:rsidP="006B2F21">
      <w:pPr>
        <w:pStyle w:val="Heading2"/>
        <w:numPr>
          <w:ilvl w:val="1"/>
          <w:numId w:val="13"/>
        </w:numPr>
        <w:rPr>
          <w:szCs w:val="18"/>
        </w:rPr>
      </w:pPr>
      <w:bookmarkStart w:id="219" w:name="_Toc26805645"/>
      <w:bookmarkStart w:id="220" w:name="_Toc31381019"/>
      <w:r w:rsidRPr="006B2F21">
        <w:rPr>
          <w:szCs w:val="18"/>
        </w:rPr>
        <w:t>Ukraine's claim concerning the existence of systematic import prevention</w:t>
      </w:r>
      <w:bookmarkEnd w:id="219"/>
      <w:bookmarkEnd w:id="220"/>
    </w:p>
    <w:p w14:paraId="19D17FEB" w14:textId="4C9F94DF" w:rsidR="00C1190C" w:rsidRPr="006B2F21" w:rsidRDefault="00C1190C" w:rsidP="006B2F21">
      <w:pPr>
        <w:pStyle w:val="BodyText"/>
        <w:numPr>
          <w:ilvl w:val="6"/>
          <w:numId w:val="1"/>
        </w:numPr>
        <w:rPr>
          <w:szCs w:val="18"/>
        </w:rPr>
      </w:pPr>
      <w:r w:rsidRPr="006B2F21">
        <w:rPr>
          <w:szCs w:val="18"/>
        </w:rPr>
        <w:t>Ukraine requests us to reverse the Panel's finding in paragraph 8.1.e of its Report that, because it did not demonstrate the existence of systematic import prevention of railway products into Russia in the form of an unwritten measure, Ukraine failed to establish its claims of inconsistency with Articles I:1, XI:1, and XIII:1 of the GATT 1994. Ukraine asserts that the Panel failed to make an objective assessment of the matter before it when examining the existence of systematic import prevention by applying an incorrect standard of review and wrongly allocating the burden of proof.</w:t>
      </w:r>
      <w:r w:rsidRPr="006B2F21">
        <w:rPr>
          <w:rStyle w:val="FootnoteReference"/>
          <w:szCs w:val="18"/>
        </w:rPr>
        <w:footnoteReference w:id="520"/>
      </w:r>
      <w:r w:rsidRPr="006B2F21">
        <w:rPr>
          <w:szCs w:val="18"/>
        </w:rPr>
        <w:t xml:space="preserve"> </w:t>
      </w:r>
    </w:p>
    <w:p w14:paraId="152529CC" w14:textId="77777777" w:rsidR="00C1190C" w:rsidRPr="006B2F21" w:rsidRDefault="00C1190C" w:rsidP="006B2F21">
      <w:pPr>
        <w:pStyle w:val="Heading3"/>
        <w:numPr>
          <w:ilvl w:val="2"/>
          <w:numId w:val="22"/>
        </w:numPr>
        <w:rPr>
          <w:szCs w:val="18"/>
        </w:rPr>
      </w:pPr>
      <w:bookmarkStart w:id="221" w:name="_Toc26805646"/>
      <w:bookmarkStart w:id="222" w:name="_Toc31381020"/>
      <w:bookmarkStart w:id="223" w:name="_Hlk22565670"/>
      <w:r w:rsidRPr="006B2F21">
        <w:rPr>
          <w:szCs w:val="18"/>
        </w:rPr>
        <w:t>The Panel's findings</w:t>
      </w:r>
      <w:bookmarkEnd w:id="221"/>
      <w:bookmarkEnd w:id="222"/>
    </w:p>
    <w:p w14:paraId="4DC13F44" w14:textId="01B87007" w:rsidR="00C1190C" w:rsidRPr="006B2F21" w:rsidRDefault="00C1190C" w:rsidP="006B2F21">
      <w:pPr>
        <w:pStyle w:val="BodyText"/>
        <w:numPr>
          <w:ilvl w:val="6"/>
          <w:numId w:val="14"/>
        </w:numPr>
        <w:rPr>
          <w:szCs w:val="18"/>
          <w:lang w:eastAsia="zh-CN"/>
        </w:rPr>
      </w:pPr>
      <w:r w:rsidRPr="006B2F21">
        <w:rPr>
          <w:szCs w:val="18"/>
        </w:rPr>
        <w:t xml:space="preserve">Before the Panel, Ukraine claimed that Russia maintained a measure consisting of the systematic prevention of Ukrainian railway products from being imported into Russia by means of: (i) suspending valid certificates held by Ukrainian producers; (ii) refusing to issue new certificates; and (iii) not recognizing certificates issued by other CU countries. Ukraine alleged </w:t>
      </w:r>
      <w:r w:rsidR="00154CA3" w:rsidRPr="006B2F21">
        <w:rPr>
          <w:szCs w:val="18"/>
        </w:rPr>
        <w:t xml:space="preserve">that this measure was inconsistent </w:t>
      </w:r>
      <w:r w:rsidRPr="006B2F21">
        <w:rPr>
          <w:szCs w:val="18"/>
        </w:rPr>
        <w:t>with Russia's obligations under Articles I:1, XI:1, and XIII:1 of the GATT 1994.</w:t>
      </w:r>
      <w:r w:rsidRPr="006B2F21">
        <w:rPr>
          <w:rStyle w:val="FootnoteReference"/>
          <w:szCs w:val="18"/>
        </w:rPr>
        <w:footnoteReference w:id="521"/>
      </w:r>
      <w:r w:rsidRPr="006B2F21">
        <w:rPr>
          <w:szCs w:val="18"/>
        </w:rPr>
        <w:t xml:space="preserve"> </w:t>
      </w:r>
      <w:r w:rsidR="005E6DBA" w:rsidRPr="006B2F21">
        <w:rPr>
          <w:szCs w:val="18"/>
        </w:rPr>
        <w:t>T</w:t>
      </w:r>
      <w:r w:rsidRPr="006B2F21">
        <w:rPr>
          <w:szCs w:val="18"/>
        </w:rPr>
        <w:t xml:space="preserve">he Panel noted that, to </w:t>
      </w:r>
      <w:r w:rsidR="00FC1CB9" w:rsidRPr="006B2F21">
        <w:rPr>
          <w:szCs w:val="18"/>
        </w:rPr>
        <w:t xml:space="preserve">establish </w:t>
      </w:r>
      <w:r w:rsidRPr="006B2F21">
        <w:rPr>
          <w:szCs w:val="18"/>
        </w:rPr>
        <w:t>the existence of an unwritten measure, a complaining party must provide evidence demonstrating: (i) that the measure is attributable to the responding party; (ii) the precise content of the measure; and (iii) other elements arising from the manner in which the complaining party described or characterized the measure.</w:t>
      </w:r>
      <w:r w:rsidRPr="006B2F21">
        <w:rPr>
          <w:rStyle w:val="FootnoteReference"/>
          <w:szCs w:val="18"/>
        </w:rPr>
        <w:footnoteReference w:id="522"/>
      </w:r>
      <w:r w:rsidRPr="006B2F21">
        <w:rPr>
          <w:szCs w:val="18"/>
        </w:rPr>
        <w:t xml:space="preserve"> The Panel added that a complaining party may also have to demonstrate how the different components of the measure operate together as part of a single measure and how such single measure exists as distinct from its components. Furthermore, the Panel noted that the evidentiary threshold for proving the existence of an unwritten measure is high.</w:t>
      </w:r>
      <w:r w:rsidRPr="006B2F21">
        <w:rPr>
          <w:rStyle w:val="FootnoteReference"/>
          <w:szCs w:val="18"/>
        </w:rPr>
        <w:footnoteReference w:id="523"/>
      </w:r>
      <w:r w:rsidRPr="006B2F21">
        <w:rPr>
          <w:szCs w:val="18"/>
        </w:rPr>
        <w:t xml:space="preserve"> The Panel further observed that a complaining party seeking to demonstrate </w:t>
      </w:r>
      <w:r w:rsidRPr="006B2F21">
        <w:rPr>
          <w:i/>
          <w:szCs w:val="18"/>
        </w:rPr>
        <w:t>the systematic nature of a measure</w:t>
      </w:r>
      <w:r w:rsidRPr="006B2F21">
        <w:rPr>
          <w:szCs w:val="18"/>
        </w:rPr>
        <w:t xml:space="preserve"> must demonstrate that such measure is aimed at achieving a particular policy or result and is done according to a system, plan, or organized method or effort.</w:t>
      </w:r>
      <w:r w:rsidRPr="006B2F21">
        <w:rPr>
          <w:rStyle w:val="FootnoteReference"/>
          <w:szCs w:val="18"/>
        </w:rPr>
        <w:footnoteReference w:id="524"/>
      </w:r>
      <w:r w:rsidRPr="006B2F21">
        <w:rPr>
          <w:szCs w:val="18"/>
        </w:rPr>
        <w:t xml:space="preserve"> The systematic nature of a measure could be demonstrated, for instance, by proving that the measure is applied to economic operators in a broad variety of different sectors as part of an organized effort, or coordinated and implemented at the highest levels of government.</w:t>
      </w:r>
      <w:r w:rsidRPr="006B2F21">
        <w:rPr>
          <w:rStyle w:val="FootnoteReference"/>
          <w:szCs w:val="18"/>
        </w:rPr>
        <w:footnoteReference w:id="525"/>
      </w:r>
    </w:p>
    <w:p w14:paraId="09A4EA79" w14:textId="0E769CB5" w:rsidR="00C1190C" w:rsidRPr="006B2F21" w:rsidRDefault="00C1190C" w:rsidP="006B2F21">
      <w:pPr>
        <w:pStyle w:val="BodyText"/>
        <w:numPr>
          <w:ilvl w:val="6"/>
          <w:numId w:val="14"/>
        </w:numPr>
        <w:rPr>
          <w:szCs w:val="18"/>
        </w:rPr>
      </w:pPr>
      <w:r w:rsidRPr="006B2F21">
        <w:rPr>
          <w:szCs w:val="18"/>
        </w:rPr>
        <w:t>On the basis of the foregoing observations, the Panel went on to examine evidence of the existence of the measure. The Panel noted that the evidence submitted by Ukraine consisted of: (i) three components of the alleged measure (suspensions of certificates, rejections of certificates, and non</w:t>
      </w:r>
      <w:r w:rsidRPr="006B2F21">
        <w:rPr>
          <w:szCs w:val="18"/>
        </w:rPr>
        <w:noBreakHyphen/>
        <w:t>recognition of certificates issued in other CU countries); and (ii) trade and economic data concerning the decline in the imports of Ukrainian railway products into Russia and in Ukraine's share of Russia's imports of railway products.</w:t>
      </w:r>
      <w:r w:rsidRPr="006B2F21">
        <w:rPr>
          <w:rStyle w:val="FootnoteReference"/>
          <w:szCs w:val="18"/>
        </w:rPr>
        <w:footnoteReference w:id="526"/>
      </w:r>
      <w:r w:rsidRPr="006B2F21">
        <w:rPr>
          <w:szCs w:val="18"/>
        </w:rPr>
        <w:t xml:space="preserve"> </w:t>
      </w:r>
    </w:p>
    <w:p w14:paraId="16C3E479" w14:textId="6E89BE6F" w:rsidR="00C1190C" w:rsidRPr="006B2F21" w:rsidRDefault="00C1190C" w:rsidP="006B2F21">
      <w:pPr>
        <w:pStyle w:val="BodyText"/>
        <w:numPr>
          <w:ilvl w:val="6"/>
          <w:numId w:val="14"/>
        </w:numPr>
        <w:rPr>
          <w:szCs w:val="18"/>
        </w:rPr>
      </w:pPr>
      <w:r w:rsidRPr="006B2F21">
        <w:rPr>
          <w:szCs w:val="18"/>
        </w:rPr>
        <w:t>The Panel began by determining whether the three individual components establish the existence of this measure and its systematic nature. With respect to the first component, namely</w:t>
      </w:r>
      <w:r w:rsidR="00D30219">
        <w:rPr>
          <w:szCs w:val="18"/>
        </w:rPr>
        <w:t>,</w:t>
      </w:r>
      <w:r w:rsidRPr="006B2F21">
        <w:rPr>
          <w:szCs w:val="18"/>
        </w:rPr>
        <w:t xml:space="preserve"> the suspension of certificates, the Panel found that the evidence concerning the 14 instructions through which the FBO suspended valid certificates did not support the conclusion that the </w:t>
      </w:r>
      <w:r w:rsidRPr="006B2F21">
        <w:rPr>
          <w:szCs w:val="18"/>
        </w:rPr>
        <w:lastRenderedPageBreak/>
        <w:t>FBO adopted these instructions with the aim of preventing importation of Ukrainian railway products. Rather, the FBO adopted those instructions because its inability to conduct inspections in Ukraine due to the situation there prevented the FBO from having adequate confidence about the products' conformity with the relevant technical requirements.</w:t>
      </w:r>
      <w:r w:rsidRPr="006B2F21">
        <w:rPr>
          <w:rStyle w:val="FootnoteReference"/>
          <w:szCs w:val="18"/>
        </w:rPr>
        <w:footnoteReference w:id="527"/>
      </w:r>
      <w:r w:rsidRPr="006B2F21">
        <w:rPr>
          <w:szCs w:val="18"/>
        </w:rPr>
        <w:t xml:space="preserve"> With respect to the second component, namely</w:t>
      </w:r>
      <w:r w:rsidR="00D30219">
        <w:rPr>
          <w:szCs w:val="18"/>
        </w:rPr>
        <w:t>,</w:t>
      </w:r>
      <w:r w:rsidRPr="006B2F21">
        <w:rPr>
          <w:szCs w:val="18"/>
        </w:rPr>
        <w:t xml:space="preserve"> the rejection of certificates, the Panel recalled that the FBO had valid grounds to reject many of the applications for certificates submitted by Ukrainian producers under CU Technical Regulations 001/2011 and 003/2011.</w:t>
      </w:r>
      <w:r w:rsidRPr="006B2F21">
        <w:rPr>
          <w:rStyle w:val="FootnoteReference"/>
          <w:szCs w:val="18"/>
        </w:rPr>
        <w:footnoteReference w:id="528"/>
      </w:r>
      <w:r w:rsidRPr="006B2F21">
        <w:rPr>
          <w:szCs w:val="18"/>
        </w:rPr>
        <w:t xml:space="preserve"> Furthermore, </w:t>
      </w:r>
      <w:r w:rsidR="00257D6A" w:rsidRPr="006B2F21">
        <w:rPr>
          <w:szCs w:val="18"/>
        </w:rPr>
        <w:t xml:space="preserve">the Panel </w:t>
      </w:r>
      <w:r w:rsidR="00606128" w:rsidRPr="006B2F21">
        <w:rPr>
          <w:szCs w:val="18"/>
        </w:rPr>
        <w:t xml:space="preserve">noted that its findings, that in the case of </w:t>
      </w:r>
      <w:r w:rsidRPr="006B2F21">
        <w:rPr>
          <w:szCs w:val="18"/>
        </w:rPr>
        <w:t>two</w:t>
      </w:r>
      <w:r w:rsidR="00606128" w:rsidRPr="006B2F21">
        <w:rPr>
          <w:szCs w:val="18"/>
        </w:rPr>
        <w:t xml:space="preserve"> </w:t>
      </w:r>
      <w:r w:rsidRPr="006B2F21">
        <w:rPr>
          <w:szCs w:val="18"/>
        </w:rPr>
        <w:t>applications and one product subject to another application the FBO rejected applications unjustifiably and contrary to Russia's obligations under Article 5.1.2</w:t>
      </w:r>
      <w:r w:rsidR="00606128" w:rsidRPr="006B2F21">
        <w:rPr>
          <w:szCs w:val="18"/>
        </w:rPr>
        <w:t xml:space="preserve">, </w:t>
      </w:r>
      <w:r w:rsidRPr="006B2F21">
        <w:rPr>
          <w:szCs w:val="18"/>
        </w:rPr>
        <w:t>rest on the lack of evidence on the record regarding past non</w:t>
      </w:r>
      <w:r w:rsidRPr="006B2F21">
        <w:rPr>
          <w:szCs w:val="18"/>
        </w:rPr>
        <w:noBreakHyphen/>
        <w:t>conformities or consumer complaints involving the producers at issue. With respect to the third component, namely</w:t>
      </w:r>
      <w:r w:rsidR="008D070A" w:rsidRPr="006B2F21">
        <w:rPr>
          <w:szCs w:val="18"/>
        </w:rPr>
        <w:t>,</w:t>
      </w:r>
      <w:r w:rsidRPr="006B2F21">
        <w:rPr>
          <w:szCs w:val="18"/>
        </w:rPr>
        <w:t xml:space="preserve"> the non</w:t>
      </w:r>
      <w:r w:rsidRPr="006B2F21">
        <w:rPr>
          <w:szCs w:val="18"/>
        </w:rPr>
        <w:noBreakHyphen/>
        <w:t>recognition of certificates issued in other CU countries, the Panel considered that the facts surrounding the application of the non</w:t>
      </w:r>
      <w:r w:rsidRPr="006B2F21">
        <w:rPr>
          <w:szCs w:val="18"/>
        </w:rPr>
        <w:noBreakHyphen/>
        <w:t xml:space="preserve">recognition requirement are in principle consistent with Ukraine's allegation regarding Russia's prevention of </w:t>
      </w:r>
      <w:r w:rsidR="00F0368D" w:rsidRPr="006B2F21">
        <w:rPr>
          <w:szCs w:val="18"/>
        </w:rPr>
        <w:t xml:space="preserve">the importation of </w:t>
      </w:r>
      <w:r w:rsidRPr="006B2F21">
        <w:rPr>
          <w:szCs w:val="18"/>
        </w:rPr>
        <w:t>Ukrainian products.</w:t>
      </w:r>
      <w:r w:rsidRPr="006B2F21">
        <w:rPr>
          <w:rStyle w:val="FootnoteReference"/>
          <w:szCs w:val="18"/>
        </w:rPr>
        <w:footnoteReference w:id="529"/>
      </w:r>
      <w:r w:rsidRPr="006B2F21">
        <w:rPr>
          <w:szCs w:val="18"/>
        </w:rPr>
        <w:t xml:space="preserve"> However, in the Panel's view, the fact that one of the three</w:t>
      </w:r>
      <w:r w:rsidR="006C6674">
        <w:rPr>
          <w:szCs w:val="18"/>
        </w:rPr>
        <w:t> </w:t>
      </w:r>
      <w:r w:rsidRPr="006B2F21">
        <w:rPr>
          <w:szCs w:val="18"/>
        </w:rPr>
        <w:t>elements of the alleged systematic import prevention unjustifiably restricts access to the Russian market was not sufficient to demonstrate the existence of systematic prevention of imports of Ukrainian products as an independent measure.</w:t>
      </w:r>
      <w:r w:rsidRPr="006B2F21">
        <w:rPr>
          <w:rStyle w:val="FootnoteReference"/>
          <w:szCs w:val="18"/>
        </w:rPr>
        <w:footnoteReference w:id="530"/>
      </w:r>
      <w:r w:rsidRPr="006B2F21">
        <w:rPr>
          <w:szCs w:val="18"/>
        </w:rPr>
        <w:t xml:space="preserve"> According to the Panel, there was no indication that the combined effect of these distinct measures was the reason for applying </w:t>
      </w:r>
      <w:r w:rsidRPr="006B2F21">
        <w:rPr>
          <w:i/>
          <w:szCs w:val="18"/>
        </w:rPr>
        <w:t>each</w:t>
      </w:r>
      <w:r w:rsidRPr="006B2F21">
        <w:rPr>
          <w:szCs w:val="18"/>
        </w:rPr>
        <w:t xml:space="preserve"> of them.</w:t>
      </w:r>
      <w:r w:rsidRPr="006B2F21">
        <w:rPr>
          <w:rStyle w:val="FootnoteReference"/>
          <w:szCs w:val="18"/>
        </w:rPr>
        <w:footnoteReference w:id="531"/>
      </w:r>
      <w:r w:rsidRPr="006B2F21">
        <w:rPr>
          <w:szCs w:val="18"/>
        </w:rPr>
        <w:t xml:space="preserve"> </w:t>
      </w:r>
    </w:p>
    <w:p w14:paraId="7420B87E" w14:textId="6F372352" w:rsidR="00C1190C" w:rsidRPr="006B2F21" w:rsidRDefault="00C1190C" w:rsidP="006B2F21">
      <w:pPr>
        <w:pStyle w:val="BodyText"/>
        <w:numPr>
          <w:ilvl w:val="6"/>
          <w:numId w:val="1"/>
        </w:numPr>
        <w:rPr>
          <w:szCs w:val="18"/>
        </w:rPr>
      </w:pPr>
      <w:r w:rsidRPr="006B2F21">
        <w:rPr>
          <w:szCs w:val="18"/>
        </w:rPr>
        <w:t xml:space="preserve">The Panel then proceeded to the examination of additional evidence submitted by Ukraine in support of the systematic nature of the measure. Regarding Ukraine's evidence relating to the substantial repetition of suspensions of certificates and rejections of new applications for certification, the Panel noted that this evidence </w:t>
      </w:r>
      <w:r w:rsidR="00BB4F2A" w:rsidRPr="006B2F21">
        <w:rPr>
          <w:szCs w:val="18"/>
        </w:rPr>
        <w:t xml:space="preserve">showed the number of certificates accepted rather than </w:t>
      </w:r>
      <w:r w:rsidRPr="006B2F21">
        <w:rPr>
          <w:szCs w:val="18"/>
        </w:rPr>
        <w:t>repetition with regard to rejections of new applications from August 2014.</w:t>
      </w:r>
      <w:r w:rsidRPr="006B2F21">
        <w:rPr>
          <w:rStyle w:val="FootnoteReference"/>
          <w:szCs w:val="18"/>
        </w:rPr>
        <w:footnoteReference w:id="532"/>
      </w:r>
      <w:r w:rsidRPr="006B2F21">
        <w:rPr>
          <w:szCs w:val="18"/>
        </w:rPr>
        <w:t xml:space="preserve"> In the Panel's view, although the evidence showed repetition with regard to suspensions of valid certificates since 2014, such evidence was not, by itself, probative of the existence of the measure or of its systematic nature as Russia had justified reasons for such suspensions. The Panel also found no evidentiary basis </w:t>
      </w:r>
      <w:r w:rsidR="009656D6" w:rsidRPr="006B2F21">
        <w:rPr>
          <w:szCs w:val="18"/>
        </w:rPr>
        <w:t xml:space="preserve">for the proposition </w:t>
      </w:r>
      <w:r w:rsidRPr="006B2F21">
        <w:rPr>
          <w:szCs w:val="18"/>
        </w:rPr>
        <w:t>that the FBO should have suspended more certificates also in the case of producers from the other countries identified in the table, but did not.</w:t>
      </w:r>
      <w:r w:rsidRPr="006B2F21">
        <w:rPr>
          <w:rStyle w:val="FootnoteReference"/>
          <w:szCs w:val="18"/>
        </w:rPr>
        <w:footnoteReference w:id="533"/>
      </w:r>
      <w:r w:rsidRPr="006B2F21">
        <w:rPr>
          <w:szCs w:val="18"/>
        </w:rPr>
        <w:t xml:space="preserve"> Overall, the Panel did not consider that the differences in the number of certificates held, suspended, and applications rejected, concerning producers from different countries, established the existence of the alleged systematic import prevention.</w:t>
      </w:r>
      <w:r w:rsidRPr="006B2F21">
        <w:rPr>
          <w:rStyle w:val="FootnoteReference"/>
          <w:szCs w:val="18"/>
        </w:rPr>
        <w:footnoteReference w:id="534"/>
      </w:r>
    </w:p>
    <w:p w14:paraId="26529F01" w14:textId="5FB82121" w:rsidR="00C1190C" w:rsidRPr="006B2F21" w:rsidRDefault="00C1190C" w:rsidP="006B2F21">
      <w:pPr>
        <w:pStyle w:val="BodyText"/>
        <w:numPr>
          <w:ilvl w:val="6"/>
          <w:numId w:val="1"/>
        </w:numPr>
        <w:rPr>
          <w:szCs w:val="18"/>
        </w:rPr>
      </w:pPr>
      <w:r w:rsidRPr="006B2F21">
        <w:rPr>
          <w:szCs w:val="18"/>
        </w:rPr>
        <w:t xml:space="preserve">Next, the Panel addressed Ukraine's submission that the systematic nature of the measure can be evidenced through a "set of trade restrictive measures" adopted by Russia following the conclusion of the </w:t>
      </w:r>
      <w:bookmarkStart w:id="224" w:name="_Hlk26874475"/>
      <w:r w:rsidRPr="006B2F21">
        <w:rPr>
          <w:szCs w:val="18"/>
        </w:rPr>
        <w:t>Association Agreement by Ukraine with the European Union</w:t>
      </w:r>
      <w:bookmarkEnd w:id="224"/>
      <w:r w:rsidR="002F201F" w:rsidRPr="006B2F21">
        <w:rPr>
          <w:szCs w:val="18"/>
        </w:rPr>
        <w:t xml:space="preserve"> (Association Agreement)</w:t>
      </w:r>
      <w:r w:rsidRPr="006B2F21">
        <w:rPr>
          <w:szCs w:val="18"/>
        </w:rPr>
        <w:t>.</w:t>
      </w:r>
      <w:r w:rsidRPr="006B2F21">
        <w:rPr>
          <w:rStyle w:val="FootnoteReference"/>
          <w:szCs w:val="18"/>
        </w:rPr>
        <w:footnoteReference w:id="535"/>
      </w:r>
      <w:r w:rsidRPr="006B2F21">
        <w:rPr>
          <w:szCs w:val="18"/>
        </w:rPr>
        <w:t xml:space="preserve"> The Panel agreed that the media articles presented by Ukraine point to tensions in the bilateral relationship in connection with the negotiation and conclusion by Ukraine of </w:t>
      </w:r>
      <w:r w:rsidR="002F201F" w:rsidRPr="006B2F21">
        <w:rPr>
          <w:szCs w:val="18"/>
        </w:rPr>
        <w:t xml:space="preserve">the </w:t>
      </w:r>
      <w:r w:rsidRPr="006B2F21">
        <w:rPr>
          <w:szCs w:val="18"/>
        </w:rPr>
        <w:t>Association Agreement, and also refer to trade action that Russian authorities might take or did take against Ukraine in response. Ultimately, however, the evidence presented to the Panel did not demonstrate that Russia adopted a plan or decided to embark on an organized effort to prevent the importation into Russia of Ukrainian products in general or Ukrainian railway products in particular. Moreover, for the Panel, even if trade</w:t>
      </w:r>
      <w:r w:rsidRPr="006B2F21">
        <w:rPr>
          <w:szCs w:val="18"/>
        </w:rPr>
        <w:noBreakHyphen/>
        <w:t>restrictive measures were taken with regard to some Ukrainian products, this did not necessarily mean that such measures were taken also with regard to Ukrainian railway products.</w:t>
      </w:r>
      <w:r w:rsidRPr="006B2F21">
        <w:rPr>
          <w:rStyle w:val="FootnoteReference"/>
          <w:szCs w:val="18"/>
        </w:rPr>
        <w:footnoteReference w:id="536"/>
      </w:r>
      <w:r w:rsidRPr="006B2F21">
        <w:rPr>
          <w:szCs w:val="18"/>
        </w:rPr>
        <w:t xml:space="preserve"> </w:t>
      </w:r>
    </w:p>
    <w:p w14:paraId="4AAAAC20" w14:textId="77777777" w:rsidR="00C1190C" w:rsidRPr="006B2F21" w:rsidRDefault="00C1190C" w:rsidP="006B2F21">
      <w:pPr>
        <w:pStyle w:val="BodyText"/>
        <w:numPr>
          <w:ilvl w:val="6"/>
          <w:numId w:val="1"/>
        </w:numPr>
        <w:rPr>
          <w:szCs w:val="18"/>
        </w:rPr>
      </w:pPr>
      <w:r w:rsidRPr="006B2F21">
        <w:rPr>
          <w:szCs w:val="18"/>
        </w:rPr>
        <w:t>Overall, with respect to the components of the measure and its systematic nature, the Panel concluded that the evidence submitted by Ukraine did not establish that the three elements have been designed, structured, or operated in combination so as to constitute a separate measure with the aim of systematic prevention.</w:t>
      </w:r>
      <w:r w:rsidRPr="006B2F21">
        <w:rPr>
          <w:rStyle w:val="FootnoteReference"/>
          <w:szCs w:val="18"/>
        </w:rPr>
        <w:footnoteReference w:id="537"/>
      </w:r>
      <w:r w:rsidRPr="006B2F21">
        <w:rPr>
          <w:szCs w:val="18"/>
        </w:rPr>
        <w:t xml:space="preserve"> Nor did the evidence establish that those elements form part of a plan or coordinated effort directed at attaining the aim of preventing the importation of Ukrainian </w:t>
      </w:r>
      <w:r w:rsidRPr="006B2F21">
        <w:rPr>
          <w:szCs w:val="18"/>
        </w:rPr>
        <w:lastRenderedPageBreak/>
        <w:t>railway products into Russia.</w:t>
      </w:r>
      <w:r w:rsidRPr="006B2F21">
        <w:rPr>
          <w:rStyle w:val="FootnoteReference"/>
          <w:szCs w:val="18"/>
        </w:rPr>
        <w:footnoteReference w:id="538"/>
      </w:r>
      <w:r w:rsidRPr="006B2F21">
        <w:rPr>
          <w:szCs w:val="18"/>
        </w:rPr>
        <w:t xml:space="preserve"> Finally, according to the Panel, the trade and other economic data submitted by Ukraine also did not establish the existence of the alleged systematic import prevention.</w:t>
      </w:r>
      <w:r w:rsidRPr="006B2F21">
        <w:rPr>
          <w:rStyle w:val="FootnoteReference"/>
          <w:szCs w:val="18"/>
        </w:rPr>
        <w:footnoteReference w:id="539"/>
      </w:r>
    </w:p>
    <w:p w14:paraId="109A1B66" w14:textId="77777777" w:rsidR="00C1190C" w:rsidRPr="006B2F21" w:rsidRDefault="00C1190C" w:rsidP="006B2F21">
      <w:pPr>
        <w:pStyle w:val="Heading3"/>
        <w:numPr>
          <w:ilvl w:val="2"/>
          <w:numId w:val="1"/>
        </w:numPr>
        <w:rPr>
          <w:szCs w:val="18"/>
        </w:rPr>
      </w:pPr>
      <w:bookmarkStart w:id="225" w:name="_Toc26805647"/>
      <w:bookmarkStart w:id="226" w:name="_Toc31381021"/>
      <w:bookmarkEnd w:id="223"/>
      <w:r w:rsidRPr="006B2F21">
        <w:rPr>
          <w:szCs w:val="18"/>
        </w:rPr>
        <w:t>Claims and arguments on appeal</w:t>
      </w:r>
      <w:bookmarkEnd w:id="225"/>
      <w:bookmarkEnd w:id="226"/>
    </w:p>
    <w:p w14:paraId="0319CE62" w14:textId="2988CC08" w:rsidR="00C1190C" w:rsidRPr="006B2F21" w:rsidRDefault="00C1190C" w:rsidP="006B2F21">
      <w:pPr>
        <w:pStyle w:val="BodyText"/>
        <w:numPr>
          <w:ilvl w:val="6"/>
          <w:numId w:val="1"/>
        </w:numPr>
        <w:rPr>
          <w:rFonts w:eastAsia="Verdana" w:cs="Verdana"/>
          <w:szCs w:val="18"/>
        </w:rPr>
      </w:pPr>
      <w:r w:rsidRPr="006B2F21">
        <w:rPr>
          <w:szCs w:val="18"/>
        </w:rPr>
        <w:t>On appeal, Ukraine asserts that the Panel failed to make an objective assessment of the matter before it when examining the existence of systematic import prevention by applying an incorrect standard of review and wrongly allocating the burden of proof. Specifically, Ukraine submits that Russia systematically prevented the importation of railway products from Ukraine by suspending conformity certificates, rejecting the application for new certificates, and refusing the recognition of existing certificates. Ukraine explains that some of these decisions were challenged on an individual basis and that the individual decisions formed part of the evidence showing the existence of the measure at issue.</w:t>
      </w:r>
      <w:r w:rsidRPr="006B2F21">
        <w:rPr>
          <w:rStyle w:val="FootnoteReference"/>
          <w:szCs w:val="18"/>
        </w:rPr>
        <w:footnoteReference w:id="540"/>
      </w:r>
      <w:r w:rsidRPr="006B2F21">
        <w:rPr>
          <w:szCs w:val="18"/>
        </w:rPr>
        <w:t xml:space="preserve"> </w:t>
      </w:r>
      <w:r w:rsidRPr="006B2F21">
        <w:rPr>
          <w:rFonts w:eastAsia="Verdana" w:cs="Verdana"/>
          <w:szCs w:val="18"/>
        </w:rPr>
        <w:t xml:space="preserve">Ukraine contends that, following the implementation of the measures, exports of railway products from Ukraine to Russia, which had reached USD 1.7 billion in 2013, decreased to USD 600 million in 2014 and to only USD 110 million in 2015. </w:t>
      </w:r>
      <w:r w:rsidR="009656D6" w:rsidRPr="006B2F21">
        <w:rPr>
          <w:rFonts w:eastAsia="Verdana" w:cs="Verdana"/>
          <w:szCs w:val="18"/>
        </w:rPr>
        <w:t xml:space="preserve">For </w:t>
      </w:r>
      <w:r w:rsidRPr="006B2F21">
        <w:rPr>
          <w:rFonts w:eastAsia="Verdana" w:cs="Verdana"/>
          <w:szCs w:val="18"/>
        </w:rPr>
        <w:t>Ukraine</w:t>
      </w:r>
      <w:r w:rsidR="009656D6" w:rsidRPr="006B2F21">
        <w:rPr>
          <w:rFonts w:eastAsia="Verdana" w:cs="Verdana"/>
          <w:szCs w:val="18"/>
        </w:rPr>
        <w:t>,</w:t>
      </w:r>
      <w:r w:rsidRPr="006B2F21">
        <w:rPr>
          <w:rFonts w:eastAsia="Verdana" w:cs="Verdana"/>
          <w:szCs w:val="18"/>
        </w:rPr>
        <w:t xml:space="preserve"> such a drastic drop in exports cannot be justified by anything but an artificial intervention in the traditional and ordinary course of trade.</w:t>
      </w:r>
      <w:r w:rsidRPr="006B2F21">
        <w:rPr>
          <w:rStyle w:val="FootnoteReference"/>
          <w:rFonts w:eastAsia="Verdana" w:cs="Verdana"/>
          <w:szCs w:val="18"/>
        </w:rPr>
        <w:footnoteReference w:id="541"/>
      </w:r>
      <w:r w:rsidRPr="006B2F21">
        <w:rPr>
          <w:rFonts w:eastAsia="Verdana" w:cs="Verdana"/>
          <w:szCs w:val="18"/>
        </w:rPr>
        <w:t xml:space="preserve"> </w:t>
      </w:r>
    </w:p>
    <w:p w14:paraId="100F2D2B" w14:textId="77777777" w:rsidR="00C1190C" w:rsidRPr="006B2F21" w:rsidRDefault="00C1190C" w:rsidP="006B2F21">
      <w:pPr>
        <w:pStyle w:val="BodyText"/>
        <w:numPr>
          <w:ilvl w:val="6"/>
          <w:numId w:val="1"/>
        </w:numPr>
        <w:rPr>
          <w:szCs w:val="18"/>
        </w:rPr>
      </w:pPr>
      <w:r w:rsidRPr="006B2F21">
        <w:rPr>
          <w:rFonts w:eastAsia="Verdana" w:cs="Verdana"/>
          <w:szCs w:val="18"/>
        </w:rPr>
        <w:t>Ukraine alleges that the Panel failed to conduct a holistic assessment of all the evidence before it, thus failing to meet the standard of Article 11 of the DSU.</w:t>
      </w:r>
      <w:r w:rsidRPr="006B2F21">
        <w:rPr>
          <w:rStyle w:val="FootnoteReference"/>
          <w:rFonts w:eastAsia="Verdana" w:cs="Verdana"/>
          <w:szCs w:val="18"/>
        </w:rPr>
        <w:footnoteReference w:id="542"/>
      </w:r>
      <w:r w:rsidRPr="006B2F21">
        <w:rPr>
          <w:rFonts w:eastAsia="Verdana" w:cs="Verdana"/>
          <w:szCs w:val="18"/>
        </w:rPr>
        <w:t xml:space="preserve"> Ukraine agrees with the Panel that in order to demonstrate the existence of an unwritten measure the complainant had to provide evidence demonstrating: (i) that the measure is attributable to the respondent; (ii) the precise content of the measure; and (iii) other elements arising from the manner in which the complainant described the measure, such as the nature or operation of the measure.</w:t>
      </w:r>
      <w:r w:rsidRPr="006B2F21">
        <w:rPr>
          <w:rStyle w:val="FootnoteReference"/>
          <w:rFonts w:eastAsia="Verdana" w:cs="Verdana"/>
          <w:szCs w:val="18"/>
        </w:rPr>
        <w:footnoteReference w:id="543"/>
      </w:r>
      <w:r w:rsidRPr="006B2F21">
        <w:rPr>
          <w:rFonts w:eastAsia="Verdana" w:cs="Verdana"/>
          <w:szCs w:val="18"/>
        </w:rPr>
        <w:t xml:space="preserve"> However, for </w:t>
      </w:r>
      <w:r w:rsidRPr="006B2F21">
        <w:rPr>
          <w:szCs w:val="18"/>
        </w:rPr>
        <w:t>Ukraine, the Panel failed to properly apply this legal standard to the facts of the present case, because it did not consider relevant evidence submitted by Ukraine and did not provide explicit conclusions with regard to the existence of an unwritten measure, before continuing its assessment of specific elements of that measure. Ukraine argues that the order of analysis was of paramount importance in this case, and that by adopting an incorrect order of analysis, the Panel failed to comply with its duty to make an objective assessment of the matter.</w:t>
      </w:r>
      <w:r w:rsidRPr="006B2F21">
        <w:rPr>
          <w:rStyle w:val="FootnoteReference"/>
          <w:szCs w:val="18"/>
        </w:rPr>
        <w:footnoteReference w:id="544"/>
      </w:r>
      <w:r w:rsidRPr="006B2F21">
        <w:rPr>
          <w:szCs w:val="18"/>
        </w:rPr>
        <w:t xml:space="preserve"> </w:t>
      </w:r>
    </w:p>
    <w:p w14:paraId="31447A81" w14:textId="77777777" w:rsidR="00C1190C" w:rsidRPr="006B2F21" w:rsidRDefault="00C1190C" w:rsidP="006B2F21">
      <w:pPr>
        <w:pStyle w:val="BodyText"/>
        <w:numPr>
          <w:ilvl w:val="6"/>
          <w:numId w:val="1"/>
        </w:numPr>
        <w:rPr>
          <w:szCs w:val="18"/>
        </w:rPr>
      </w:pPr>
      <w:r w:rsidRPr="006B2F21">
        <w:rPr>
          <w:szCs w:val="18"/>
        </w:rPr>
        <w:t>Regarding the Panel's analysis of the systematic nature of the measure, Ukraine recalls that the Panel rejected its arguments concerning the "repetition of suspensions and rejections" of certificates and the "set of trade restrictive measures" and concluded that the evidence failed to demonstrate the existence of the measure or its systematic nature or an organized effort of Russia to prevent Ukrainian imports.</w:t>
      </w:r>
      <w:r w:rsidRPr="006B2F21">
        <w:rPr>
          <w:rStyle w:val="FootnoteReference"/>
          <w:szCs w:val="18"/>
        </w:rPr>
        <w:footnoteReference w:id="545"/>
      </w:r>
      <w:r w:rsidRPr="006B2F21">
        <w:rPr>
          <w:szCs w:val="18"/>
        </w:rPr>
        <w:t xml:space="preserve"> Ukraine contends that the Panel erred in setting a very high burden of proof for Ukraine, because such an organized effort was not prescribed in any particular law or regulation.</w:t>
      </w:r>
      <w:r w:rsidRPr="006B2F21">
        <w:rPr>
          <w:rStyle w:val="FootnoteReference"/>
          <w:szCs w:val="18"/>
        </w:rPr>
        <w:footnoteReference w:id="546"/>
      </w:r>
      <w:r w:rsidRPr="006B2F21">
        <w:rPr>
          <w:szCs w:val="18"/>
        </w:rPr>
        <w:t xml:space="preserve"> Finally, Ukraine alleges that the Panel erred in reviewing individual measures in isolation from each other and failed to consider evidence in its totality.</w:t>
      </w:r>
      <w:r w:rsidRPr="006B2F21">
        <w:rPr>
          <w:rStyle w:val="FootnoteReference"/>
          <w:szCs w:val="18"/>
        </w:rPr>
        <w:footnoteReference w:id="547"/>
      </w:r>
    </w:p>
    <w:p w14:paraId="2B1C73F7" w14:textId="46C71CF6" w:rsidR="00C1190C" w:rsidRPr="006B2F21" w:rsidRDefault="00C1190C" w:rsidP="006B2F21">
      <w:pPr>
        <w:pStyle w:val="BodyText"/>
        <w:numPr>
          <w:ilvl w:val="6"/>
          <w:numId w:val="1"/>
        </w:numPr>
        <w:rPr>
          <w:szCs w:val="18"/>
        </w:rPr>
      </w:pPr>
      <w:r w:rsidRPr="006B2F21">
        <w:rPr>
          <w:szCs w:val="18"/>
        </w:rPr>
        <w:t>With respect to its allegation that the Panel erred in the allocation of the burden of proof, Ukraine takes issue with a finding made by the Panel in the context of its analysis under Article 5.1.2, namely</w:t>
      </w:r>
      <w:r w:rsidR="008D070A" w:rsidRPr="006B2F21">
        <w:rPr>
          <w:szCs w:val="18"/>
        </w:rPr>
        <w:t>,</w:t>
      </w:r>
      <w:r w:rsidRPr="006B2F21">
        <w:rPr>
          <w:szCs w:val="18"/>
        </w:rPr>
        <w:t xml:space="preserve"> that "there is no evidence on record that would allow [the Panel] to either accept or reject Russia's explanation" that it granted applications for certificates of producers located in the eastern regions of Ukraine because no inconsistencies had been identified with regard to the products at issue in the course of the previous inspections, and thus the conditions for off</w:t>
      </w:r>
      <w:r w:rsidRPr="006B2F21">
        <w:rPr>
          <w:szCs w:val="18"/>
        </w:rPr>
        <w:noBreakHyphen/>
        <w:t>site testing or inspection were satisfied.</w:t>
      </w:r>
      <w:r w:rsidRPr="006B2F21">
        <w:rPr>
          <w:rStyle w:val="FootnoteReference"/>
          <w:szCs w:val="18"/>
        </w:rPr>
        <w:footnoteReference w:id="548"/>
      </w:r>
      <w:r w:rsidRPr="006B2F21">
        <w:rPr>
          <w:szCs w:val="18"/>
        </w:rPr>
        <w:t xml:space="preserve"> Ukraine notes that the Panel's finding of inconsistency under Article 5.1.2 rested on the lack of evidence regarding past non</w:t>
      </w:r>
      <w:r w:rsidRPr="006B2F21">
        <w:rPr>
          <w:szCs w:val="18"/>
        </w:rPr>
        <w:noBreakHyphen/>
        <w:t>conformities or consumer complaints in the case of the rejections of certificates, and that Russia's evidence of absence of non</w:t>
      </w:r>
      <w:r w:rsidRPr="006B2F21">
        <w:rPr>
          <w:szCs w:val="18"/>
        </w:rPr>
        <w:noBreakHyphen/>
        <w:t xml:space="preserve">conformities </w:t>
      </w:r>
      <w:r w:rsidRPr="006B2F21">
        <w:rPr>
          <w:szCs w:val="18"/>
        </w:rPr>
        <w:lastRenderedPageBreak/>
        <w:t>post</w:t>
      </w:r>
      <w:r w:rsidRPr="006B2F21">
        <w:rPr>
          <w:szCs w:val="18"/>
        </w:rPr>
        <w:noBreakHyphen/>
        <w:t>dated the date of issuance of the certificates for producers in the eastern regions</w:t>
      </w:r>
      <w:r w:rsidRPr="006B2F21">
        <w:rPr>
          <w:rFonts w:eastAsia="Verdana" w:cs="Verdana"/>
          <w:szCs w:val="18"/>
          <w:lang w:eastAsia="zh-CN"/>
        </w:rPr>
        <w:t>.</w:t>
      </w:r>
      <w:r w:rsidRPr="006B2F21">
        <w:rPr>
          <w:rStyle w:val="FootnoteReference"/>
          <w:rFonts w:eastAsia="Verdana" w:cs="Verdana"/>
          <w:szCs w:val="18"/>
          <w:lang w:eastAsia="zh-CN"/>
        </w:rPr>
        <w:footnoteReference w:id="549"/>
      </w:r>
      <w:r w:rsidRPr="006B2F21">
        <w:rPr>
          <w:rFonts w:eastAsia="Verdana" w:cs="Verdana"/>
          <w:szCs w:val="18"/>
          <w:lang w:eastAsia="zh-CN"/>
        </w:rPr>
        <w:t xml:space="preserve"> </w:t>
      </w:r>
      <w:r w:rsidRPr="006B2F21">
        <w:rPr>
          <w:szCs w:val="18"/>
        </w:rPr>
        <w:t>Ukraine highlights that this consideration did not preclude the Panel from coming to the conclusion that there was no evidence on the record that would allow it to either accept or reject Russia's explanation.</w:t>
      </w:r>
      <w:r w:rsidRPr="006B2F21">
        <w:rPr>
          <w:rStyle w:val="FootnoteReference"/>
          <w:szCs w:val="18"/>
        </w:rPr>
        <w:footnoteReference w:id="550"/>
      </w:r>
      <w:r w:rsidRPr="006B2F21">
        <w:rPr>
          <w:szCs w:val="18"/>
        </w:rPr>
        <w:t xml:space="preserve"> By making such conclusions, the Panel, in Ukraine's view, failed to make an objective assessment by releasing Russia from its burden of proof and placing </w:t>
      </w:r>
      <w:r w:rsidR="005A5143" w:rsidRPr="006B2F21">
        <w:rPr>
          <w:szCs w:val="18"/>
        </w:rPr>
        <w:t xml:space="preserve">an </w:t>
      </w:r>
      <w:r w:rsidRPr="006B2F21">
        <w:rPr>
          <w:szCs w:val="18"/>
        </w:rPr>
        <w:t>unreasonable burden of proof on Ukraine.</w:t>
      </w:r>
      <w:r w:rsidRPr="006B2F21">
        <w:rPr>
          <w:rStyle w:val="FootnoteReference"/>
          <w:szCs w:val="18"/>
        </w:rPr>
        <w:footnoteReference w:id="551"/>
      </w:r>
      <w:r w:rsidRPr="006B2F21">
        <w:rPr>
          <w:szCs w:val="18"/>
        </w:rPr>
        <w:t xml:space="preserve"> </w:t>
      </w:r>
    </w:p>
    <w:p w14:paraId="7D99A10B" w14:textId="00082873" w:rsidR="00C1190C" w:rsidRPr="006B2F21" w:rsidRDefault="00C1190C" w:rsidP="006B2F21">
      <w:pPr>
        <w:pStyle w:val="BodyText"/>
        <w:numPr>
          <w:ilvl w:val="6"/>
          <w:numId w:val="1"/>
        </w:numPr>
        <w:rPr>
          <w:szCs w:val="18"/>
        </w:rPr>
      </w:pPr>
      <w:r w:rsidRPr="006B2F21">
        <w:rPr>
          <w:szCs w:val="18"/>
        </w:rPr>
        <w:t>Furthermore, Ukraine alleges that the Panel erred in the application of the burden of proof when assessing evidence relating to the substantial repetition of suspensions and rejections of certificates.</w:t>
      </w:r>
      <w:r w:rsidRPr="006B2F21">
        <w:rPr>
          <w:rStyle w:val="FootnoteReference"/>
          <w:szCs w:val="18"/>
        </w:rPr>
        <w:footnoteReference w:id="552"/>
      </w:r>
      <w:r w:rsidRPr="006B2F21">
        <w:rPr>
          <w:szCs w:val="18"/>
        </w:rPr>
        <w:t xml:space="preserve"> For Ukraine, the Panel erred in concluding that "</w:t>
      </w:r>
      <w:r w:rsidRPr="006B2F21">
        <w:rPr>
          <w:rFonts w:eastAsia="Verdana" w:cs="Verdana"/>
          <w:szCs w:val="18"/>
        </w:rPr>
        <w:t>Russia in the case of the challenged suspensions had justified reasons for suspending certificates concerning Ukrainian producers", without providing reasoning for its conclusion that Russia "justified" the reasons for suspending these certificates.</w:t>
      </w:r>
      <w:r w:rsidRPr="006B2F21">
        <w:rPr>
          <w:rStyle w:val="FootnoteReference"/>
          <w:rFonts w:eastAsia="Verdana" w:cs="Verdana"/>
          <w:szCs w:val="18"/>
        </w:rPr>
        <w:footnoteReference w:id="553"/>
      </w:r>
      <w:r w:rsidRPr="006B2F21">
        <w:rPr>
          <w:rFonts w:eastAsia="Verdana" w:cs="Verdana"/>
          <w:szCs w:val="18"/>
        </w:rPr>
        <w:t xml:space="preserve"> In addition, Ukraine takes issue with the Panel's conclusion that it did not have </w:t>
      </w:r>
      <w:r w:rsidR="00EF42F8" w:rsidRPr="006B2F21">
        <w:rPr>
          <w:rFonts w:eastAsia="Verdana" w:cs="Verdana"/>
          <w:szCs w:val="18"/>
        </w:rPr>
        <w:t xml:space="preserve">an </w:t>
      </w:r>
      <w:r w:rsidRPr="006B2F21">
        <w:rPr>
          <w:rFonts w:eastAsia="Verdana" w:cs="Verdana"/>
          <w:szCs w:val="18"/>
        </w:rPr>
        <w:t>"evidentiary basis on which to infer that the FBO should have suspended more certificates also in the case of producers from the other countries identified in the table, but did not".</w:t>
      </w:r>
      <w:r w:rsidRPr="006B2F21">
        <w:rPr>
          <w:rStyle w:val="FootnoteReference"/>
          <w:rFonts w:eastAsia="Verdana" w:cs="Verdana"/>
          <w:szCs w:val="18"/>
        </w:rPr>
        <w:footnoteReference w:id="554"/>
      </w:r>
      <w:r w:rsidRPr="006B2F21">
        <w:rPr>
          <w:szCs w:val="18"/>
        </w:rPr>
        <w:t xml:space="preserve"> In Ukraine's view, even though it was for Russia to prove that the FBO should have suspended more certificates also in the case of producers from other countries, the Panel did not require it to do so.</w:t>
      </w:r>
      <w:r w:rsidRPr="006B2F21">
        <w:rPr>
          <w:rStyle w:val="FootnoteReference"/>
          <w:szCs w:val="18"/>
        </w:rPr>
        <w:footnoteReference w:id="555"/>
      </w:r>
      <w:r w:rsidRPr="006B2F21">
        <w:rPr>
          <w:szCs w:val="18"/>
        </w:rPr>
        <w:t xml:space="preserve"> </w:t>
      </w:r>
      <w:r w:rsidRPr="006B2F21">
        <w:rPr>
          <w:rFonts w:eastAsia="Verdana" w:cs="Verdana"/>
          <w:szCs w:val="18"/>
        </w:rPr>
        <w:t xml:space="preserve">Finally, </w:t>
      </w:r>
      <w:r w:rsidRPr="006B2F21">
        <w:rPr>
          <w:szCs w:val="18"/>
        </w:rPr>
        <w:t>Ukraine draws attention to the fact that the Panel repeatedly indicated in its analysis that there was not enough evidence to rule on the matter before it.</w:t>
      </w:r>
      <w:r w:rsidRPr="006B2F21">
        <w:rPr>
          <w:rStyle w:val="FootnoteReference"/>
          <w:szCs w:val="18"/>
        </w:rPr>
        <w:footnoteReference w:id="556"/>
      </w:r>
      <w:r w:rsidRPr="006B2F21">
        <w:rPr>
          <w:szCs w:val="18"/>
        </w:rPr>
        <w:t xml:space="preserve"> Ukraine submits that the Panel should have sought information from relevant sources pursuant to Article 13 of the DSU in order to gather the information necessary to make an objective assessment of the matter before it.</w:t>
      </w:r>
      <w:r w:rsidRPr="006B2F21">
        <w:rPr>
          <w:rStyle w:val="FootnoteReference"/>
          <w:szCs w:val="18"/>
        </w:rPr>
        <w:footnoteReference w:id="557"/>
      </w:r>
      <w:r w:rsidRPr="006B2F21">
        <w:rPr>
          <w:rFonts w:eastAsia="Verdana" w:cs="Verdana"/>
          <w:szCs w:val="18"/>
        </w:rPr>
        <w:t xml:space="preserve"> </w:t>
      </w:r>
    </w:p>
    <w:p w14:paraId="09C42CCB" w14:textId="5FC8DF89" w:rsidR="00C1190C" w:rsidRPr="006B2F21" w:rsidRDefault="00C1190C" w:rsidP="006B2F21">
      <w:pPr>
        <w:pStyle w:val="BodyText"/>
        <w:numPr>
          <w:ilvl w:val="6"/>
          <w:numId w:val="1"/>
        </w:numPr>
        <w:rPr>
          <w:szCs w:val="18"/>
        </w:rPr>
      </w:pPr>
      <w:r w:rsidRPr="006B2F21">
        <w:rPr>
          <w:szCs w:val="18"/>
        </w:rPr>
        <w:t>Russia requests us to uphold the Panel's findings with respect to the existence of the alleged systematic import prevention.</w:t>
      </w:r>
      <w:r w:rsidRPr="006B2F21">
        <w:rPr>
          <w:rStyle w:val="FootnoteReference"/>
          <w:szCs w:val="18"/>
        </w:rPr>
        <w:footnoteReference w:id="558"/>
      </w:r>
      <w:r w:rsidRPr="006B2F21">
        <w:rPr>
          <w:szCs w:val="18"/>
        </w:rPr>
        <w:t xml:space="preserve"> Russia considers that the Panel did not err in its examination of the existence of the alleged systematic import prevention as an unwritten measure.</w:t>
      </w:r>
      <w:r w:rsidRPr="006B2F21">
        <w:rPr>
          <w:rStyle w:val="FootnoteReference"/>
          <w:szCs w:val="18"/>
        </w:rPr>
        <w:footnoteReference w:id="559"/>
      </w:r>
      <w:r w:rsidRPr="006B2F21">
        <w:rPr>
          <w:szCs w:val="18"/>
        </w:rPr>
        <w:t xml:space="preserve"> Russia recalls that the Panel, after considering Ukraine's claims with respect to each of the individual components of the measure, only found the existence of inconsistency with respect to one out of three components. In Russia's view, even though the Panel had all the reasons to stop its analysis there and find that the alleged measure did not exist, it went on to examine other arguments and evidence presented by Ukraine. Russia therefore disagrees with Ukraine that the Panel failed to examine information presented by Ukraine in accordance with the established standard of review.</w:t>
      </w:r>
      <w:r w:rsidRPr="006B2F21">
        <w:rPr>
          <w:rStyle w:val="FootnoteReference"/>
          <w:szCs w:val="18"/>
        </w:rPr>
        <w:footnoteReference w:id="560"/>
      </w:r>
      <w:r w:rsidRPr="006B2F21">
        <w:rPr>
          <w:szCs w:val="18"/>
        </w:rPr>
        <w:t xml:space="preserve"> In response to the importance of order of analysis asserted by Ukraine, Russia points out that neither Article 11 of the DSU nor WTO jurisprudence requires panels to follow a particular sequence of analysis.</w:t>
      </w:r>
      <w:r w:rsidRPr="006B2F21">
        <w:rPr>
          <w:rStyle w:val="FootnoteReference"/>
          <w:szCs w:val="18"/>
        </w:rPr>
        <w:footnoteReference w:id="561"/>
      </w:r>
      <w:r w:rsidRPr="006B2F21">
        <w:rPr>
          <w:szCs w:val="18"/>
        </w:rPr>
        <w:t xml:space="preserve"> Russia asserts that, in any event, the Panel would have reached a negative conclusion as to the existence of the measure at issue, even if the Panel had followed the sequence in paragraph 7.946 of its Report.</w:t>
      </w:r>
      <w:r w:rsidRPr="006B2F21">
        <w:rPr>
          <w:rStyle w:val="FootnoteReference"/>
          <w:szCs w:val="18"/>
        </w:rPr>
        <w:footnoteReference w:id="562"/>
      </w:r>
      <w:r w:rsidRPr="006B2F21">
        <w:rPr>
          <w:szCs w:val="18"/>
        </w:rPr>
        <w:t xml:space="preserve"> In addition, Russia points to the Panel's finding that Ukraine failed to demonstrate how the three components operate as a single measure and form part of a coordinated effort to prevent the importation of Ukrainian railway products into Russia.</w:t>
      </w:r>
      <w:r w:rsidRPr="006B2F21">
        <w:rPr>
          <w:rStyle w:val="FootnoteReference"/>
          <w:szCs w:val="18"/>
        </w:rPr>
        <w:footnoteReference w:id="563"/>
      </w:r>
      <w:r w:rsidRPr="006B2F21">
        <w:rPr>
          <w:szCs w:val="18"/>
        </w:rPr>
        <w:t xml:space="preserve"> Thus, in Russia's view, the Panel would </w:t>
      </w:r>
      <w:r w:rsidR="0066004D" w:rsidRPr="006B2F21">
        <w:rPr>
          <w:szCs w:val="18"/>
        </w:rPr>
        <w:t xml:space="preserve">have </w:t>
      </w:r>
      <w:r w:rsidRPr="006B2F21">
        <w:rPr>
          <w:szCs w:val="18"/>
        </w:rPr>
        <w:t>lack</w:t>
      </w:r>
      <w:r w:rsidR="0066004D" w:rsidRPr="006B2F21">
        <w:rPr>
          <w:szCs w:val="18"/>
        </w:rPr>
        <w:t>ed</w:t>
      </w:r>
      <w:r w:rsidRPr="006B2F21">
        <w:rPr>
          <w:szCs w:val="18"/>
        </w:rPr>
        <w:t xml:space="preserve"> </w:t>
      </w:r>
      <w:r w:rsidR="0066004D" w:rsidRPr="006B2F21">
        <w:rPr>
          <w:szCs w:val="18"/>
        </w:rPr>
        <w:t>a</w:t>
      </w:r>
      <w:r w:rsidRPr="006B2F21">
        <w:rPr>
          <w:szCs w:val="18"/>
        </w:rPr>
        <w:t xml:space="preserve"> basis </w:t>
      </w:r>
      <w:r w:rsidR="0066004D" w:rsidRPr="006B2F21">
        <w:rPr>
          <w:szCs w:val="18"/>
        </w:rPr>
        <w:t xml:space="preserve">for concluding </w:t>
      </w:r>
      <w:r w:rsidRPr="006B2F21">
        <w:rPr>
          <w:szCs w:val="18"/>
        </w:rPr>
        <w:t xml:space="preserve">that Ukraine made a </w:t>
      </w:r>
      <w:r w:rsidRPr="006B2F21">
        <w:rPr>
          <w:i/>
          <w:szCs w:val="18"/>
        </w:rPr>
        <w:t xml:space="preserve">prima facie </w:t>
      </w:r>
      <w:r w:rsidRPr="006B2F21">
        <w:rPr>
          <w:szCs w:val="18"/>
        </w:rPr>
        <w:t xml:space="preserve">case with respect to the existence of the alleged systematic import prevention, even if the Panel had </w:t>
      </w:r>
      <w:r w:rsidR="0066004D" w:rsidRPr="006B2F21">
        <w:rPr>
          <w:szCs w:val="18"/>
        </w:rPr>
        <w:t xml:space="preserve">found </w:t>
      </w:r>
      <w:r w:rsidRPr="006B2F21">
        <w:rPr>
          <w:szCs w:val="18"/>
        </w:rPr>
        <w:t>all three components</w:t>
      </w:r>
      <w:r w:rsidR="0066004D" w:rsidRPr="006B2F21">
        <w:rPr>
          <w:szCs w:val="18"/>
        </w:rPr>
        <w:t xml:space="preserve"> of the measure to be inconsistent</w:t>
      </w:r>
      <w:r w:rsidRPr="006B2F21">
        <w:rPr>
          <w:szCs w:val="18"/>
        </w:rPr>
        <w:t>.</w:t>
      </w:r>
      <w:r w:rsidRPr="006B2F21">
        <w:rPr>
          <w:rStyle w:val="FootnoteReference"/>
          <w:szCs w:val="18"/>
        </w:rPr>
        <w:footnoteReference w:id="564"/>
      </w:r>
      <w:r w:rsidRPr="006B2F21">
        <w:rPr>
          <w:szCs w:val="18"/>
        </w:rPr>
        <w:t xml:space="preserve"> </w:t>
      </w:r>
    </w:p>
    <w:p w14:paraId="45F71CB8" w14:textId="786BDD35" w:rsidR="00C1190C" w:rsidRPr="006B2F21" w:rsidRDefault="00C1190C" w:rsidP="006B2F21">
      <w:pPr>
        <w:pStyle w:val="BodyText"/>
        <w:numPr>
          <w:ilvl w:val="6"/>
          <w:numId w:val="1"/>
        </w:numPr>
        <w:rPr>
          <w:szCs w:val="18"/>
        </w:rPr>
      </w:pPr>
      <w:r w:rsidRPr="006B2F21">
        <w:rPr>
          <w:szCs w:val="18"/>
        </w:rPr>
        <w:t>Furthermore, regarding Ukraine's argument that the alleged systematic import prevention was part of a set of trade</w:t>
      </w:r>
      <w:r w:rsidRPr="006B2F21">
        <w:rPr>
          <w:szCs w:val="18"/>
        </w:rPr>
        <w:noBreakHyphen/>
        <w:t xml:space="preserve">restrictive measures adopted by Russia in response to Ukraine's negotiation and conclusion of </w:t>
      </w:r>
      <w:r w:rsidR="002F201F" w:rsidRPr="006B2F21">
        <w:rPr>
          <w:szCs w:val="18"/>
        </w:rPr>
        <w:t>the A</w:t>
      </w:r>
      <w:r w:rsidRPr="006B2F21">
        <w:rPr>
          <w:szCs w:val="18"/>
        </w:rPr>
        <w:t xml:space="preserve">ssociation </w:t>
      </w:r>
      <w:r w:rsidR="00903ABA" w:rsidRPr="006B2F21">
        <w:rPr>
          <w:szCs w:val="18"/>
        </w:rPr>
        <w:t>A</w:t>
      </w:r>
      <w:r w:rsidRPr="006B2F21">
        <w:rPr>
          <w:szCs w:val="18"/>
        </w:rPr>
        <w:t xml:space="preserve">greement, Russia submits that the Panel carefully examined the statements of Russia's officials provided by Ukraine and correctly concluded that the </w:t>
      </w:r>
      <w:r w:rsidRPr="006B2F21">
        <w:rPr>
          <w:szCs w:val="18"/>
        </w:rPr>
        <w:lastRenderedPageBreak/>
        <w:t>presented evidence failed to demonstrate an "organized effort" on the part of Russia.</w:t>
      </w:r>
      <w:r w:rsidRPr="006B2F21">
        <w:rPr>
          <w:rStyle w:val="FootnoteReference"/>
          <w:szCs w:val="18"/>
        </w:rPr>
        <w:footnoteReference w:id="565"/>
      </w:r>
      <w:r w:rsidRPr="006B2F21">
        <w:rPr>
          <w:szCs w:val="18"/>
        </w:rPr>
        <w:t xml:space="preserve"> Further, Russia observes that Ukraine referred to measures imposed by Russia on "other products" as evidence of Russia restricting the importation of Ukrainian "railway products".</w:t>
      </w:r>
      <w:r w:rsidRPr="006B2F21">
        <w:rPr>
          <w:rStyle w:val="FootnoteReference"/>
          <w:szCs w:val="18"/>
        </w:rPr>
        <w:footnoteReference w:id="566"/>
      </w:r>
      <w:r w:rsidRPr="006B2F21">
        <w:rPr>
          <w:szCs w:val="18"/>
        </w:rPr>
        <w:t xml:space="preserve"> With respect to the allegedly high burden of proof the Panel placed on Ukraine, Russia points out that the allocation of the burden of proof is not to be determined on the basis of a comparison between the respective difficulties parties may encounter in collecting information to prove the case.</w:t>
      </w:r>
      <w:r w:rsidRPr="006B2F21">
        <w:rPr>
          <w:rStyle w:val="FootnoteReference"/>
          <w:szCs w:val="18"/>
        </w:rPr>
        <w:footnoteReference w:id="567"/>
      </w:r>
      <w:r w:rsidRPr="006B2F21">
        <w:rPr>
          <w:szCs w:val="18"/>
        </w:rPr>
        <w:t xml:space="preserve"> Moreover, with respect to the Panel's conclusion that the differences in the number of certificates held, suspended, and applications rejected, concerning producers from different countries, fail to establish the existence of the alleged systematic import prevention, Russia submits that the Panel carefully reviewed the evidence but found no evidence to support Ukraine's arguments.</w:t>
      </w:r>
      <w:r w:rsidRPr="006B2F21">
        <w:rPr>
          <w:rStyle w:val="FootnoteReference"/>
          <w:szCs w:val="18"/>
        </w:rPr>
        <w:footnoteReference w:id="568"/>
      </w:r>
      <w:r w:rsidRPr="006B2F21">
        <w:rPr>
          <w:szCs w:val="18"/>
        </w:rPr>
        <w:t xml:space="preserve"> </w:t>
      </w:r>
      <w:bookmarkStart w:id="227" w:name="_Hlk13936896"/>
    </w:p>
    <w:p w14:paraId="3415A8CB" w14:textId="53ACC592" w:rsidR="00C1190C" w:rsidRPr="006B2F21" w:rsidRDefault="00C1190C" w:rsidP="006B2F21">
      <w:pPr>
        <w:pStyle w:val="BodyText"/>
        <w:numPr>
          <w:ilvl w:val="6"/>
          <w:numId w:val="1"/>
        </w:numPr>
        <w:rPr>
          <w:szCs w:val="18"/>
        </w:rPr>
      </w:pPr>
      <w:r w:rsidRPr="006B2F21">
        <w:rPr>
          <w:szCs w:val="18"/>
        </w:rPr>
        <w:t xml:space="preserve">With respect to the burden of proof, Russia </w:t>
      </w:r>
      <w:bookmarkEnd w:id="227"/>
      <w:r w:rsidR="0066004D" w:rsidRPr="006B2F21">
        <w:rPr>
          <w:szCs w:val="18"/>
        </w:rPr>
        <w:t xml:space="preserve">submits that </w:t>
      </w:r>
      <w:r w:rsidRPr="006B2F21">
        <w:rPr>
          <w:szCs w:val="18"/>
        </w:rPr>
        <w:t xml:space="preserve">Ukraine </w:t>
      </w:r>
      <w:r w:rsidR="0066004D" w:rsidRPr="006B2F21">
        <w:rPr>
          <w:szCs w:val="18"/>
        </w:rPr>
        <w:t xml:space="preserve">failed </w:t>
      </w:r>
      <w:r w:rsidRPr="006B2F21">
        <w:rPr>
          <w:szCs w:val="18"/>
        </w:rPr>
        <w:t>to establish that the Panel did not objectively assess the alleged systematic prevention.</w:t>
      </w:r>
      <w:r w:rsidRPr="006B2F21">
        <w:rPr>
          <w:rStyle w:val="FootnoteReference"/>
          <w:szCs w:val="18"/>
        </w:rPr>
        <w:footnoteReference w:id="569"/>
      </w:r>
      <w:r w:rsidRPr="006B2F21">
        <w:rPr>
          <w:szCs w:val="18"/>
        </w:rPr>
        <w:t xml:space="preserve"> Russia submits that Ukraine failed to prove the existence of </w:t>
      </w:r>
      <w:r w:rsidR="003944FE" w:rsidRPr="006B2F21">
        <w:rPr>
          <w:szCs w:val="18"/>
        </w:rPr>
        <w:t xml:space="preserve">the </w:t>
      </w:r>
      <w:r w:rsidRPr="006B2F21">
        <w:rPr>
          <w:szCs w:val="18"/>
        </w:rPr>
        <w:t>first and second components of the alleged systematic prevention, namely</w:t>
      </w:r>
      <w:r w:rsidR="00D30219">
        <w:rPr>
          <w:szCs w:val="18"/>
        </w:rPr>
        <w:t>,</w:t>
      </w:r>
      <w:r w:rsidRPr="006B2F21">
        <w:rPr>
          <w:szCs w:val="18"/>
        </w:rPr>
        <w:t xml:space="preserve"> the suspension and rejection of applications.</w:t>
      </w:r>
      <w:r w:rsidRPr="006B2F21">
        <w:rPr>
          <w:rStyle w:val="FootnoteReference"/>
          <w:szCs w:val="18"/>
        </w:rPr>
        <w:footnoteReference w:id="570"/>
      </w:r>
      <w:r w:rsidRPr="006B2F21">
        <w:rPr>
          <w:szCs w:val="18"/>
        </w:rPr>
        <w:t xml:space="preserve"> In Russia's view, it is clear from paragraph 7.960 of the Panel Report that the Panel examined all the evidence submitted by the parties and concluded that it was not persuaded that the applications unjustifiably rejected by the FBO were proof that the FBO used its powers with the aim or as part of a plan directed at preventing the importation of Ukrainian railway products into Russia.</w:t>
      </w:r>
      <w:r w:rsidRPr="006B2F21">
        <w:rPr>
          <w:rStyle w:val="FootnoteReference"/>
          <w:szCs w:val="18"/>
        </w:rPr>
        <w:footnoteReference w:id="571"/>
      </w:r>
      <w:r w:rsidRPr="006B2F21">
        <w:rPr>
          <w:szCs w:val="18"/>
        </w:rPr>
        <w:t xml:space="preserve"> </w:t>
      </w:r>
      <w:r w:rsidRPr="006B2F21">
        <w:rPr>
          <w:rFonts w:eastAsia="Verdana"/>
          <w:szCs w:val="18"/>
          <w:lang w:eastAsia="zh-CN"/>
        </w:rPr>
        <w:t xml:space="preserve">Russia further </w:t>
      </w:r>
      <w:r w:rsidR="0066004D" w:rsidRPr="006B2F21">
        <w:rPr>
          <w:rFonts w:eastAsia="Verdana"/>
          <w:szCs w:val="18"/>
          <w:lang w:eastAsia="zh-CN"/>
        </w:rPr>
        <w:t xml:space="preserve">contends </w:t>
      </w:r>
      <w:r w:rsidRPr="006B2F21">
        <w:rPr>
          <w:rFonts w:eastAsia="Verdana"/>
          <w:szCs w:val="18"/>
          <w:lang w:eastAsia="zh-CN"/>
        </w:rPr>
        <w:t xml:space="preserve">that Ukraine does not </w:t>
      </w:r>
      <w:r w:rsidR="0066004D" w:rsidRPr="006B2F21">
        <w:rPr>
          <w:rFonts w:eastAsia="Verdana"/>
          <w:szCs w:val="18"/>
          <w:lang w:eastAsia="zh-CN"/>
        </w:rPr>
        <w:t xml:space="preserve">allege </w:t>
      </w:r>
      <w:r w:rsidRPr="006B2F21">
        <w:rPr>
          <w:rFonts w:eastAsia="Verdana"/>
          <w:szCs w:val="18"/>
          <w:lang w:eastAsia="zh-CN"/>
        </w:rPr>
        <w:t>specific errors with respect to the Panel's conclusion in paragraph 7.965 of its Report that "</w:t>
      </w:r>
      <w:r w:rsidRPr="006B2F21">
        <w:rPr>
          <w:szCs w:val="18"/>
          <w:lang w:eastAsia="ru-RU"/>
        </w:rPr>
        <w:t>the mere fact that the non</w:t>
      </w:r>
      <w:r w:rsidRPr="006B2F21">
        <w:rPr>
          <w:szCs w:val="18"/>
          <w:lang w:eastAsia="ru-RU"/>
        </w:rPr>
        <w:noBreakHyphen/>
        <w:t>recognition requirement has been applied alongside the (for the most part) justified suspensions and rejections, which also had the effect of preventing imports of Ukrainian products, does not mean that these distinct measures in fact form a single, coherent measure with a common aim of preventing imports of Ukrainian products through any means possible</w:t>
      </w:r>
      <w:r w:rsidRPr="006B2F21">
        <w:rPr>
          <w:rFonts w:eastAsia="Verdana"/>
          <w:szCs w:val="18"/>
          <w:lang w:eastAsia="zh-CN"/>
        </w:rPr>
        <w:t>."</w:t>
      </w:r>
      <w:r w:rsidRPr="006B2F21">
        <w:rPr>
          <w:rStyle w:val="FootnoteReference"/>
          <w:rFonts w:eastAsia="Verdana"/>
          <w:szCs w:val="18"/>
          <w:lang w:eastAsia="zh-CN"/>
        </w:rPr>
        <w:footnoteReference w:id="572"/>
      </w:r>
      <w:r w:rsidRPr="006B2F21">
        <w:rPr>
          <w:rFonts w:eastAsia="Verdana"/>
          <w:szCs w:val="18"/>
          <w:lang w:eastAsia="zh-CN"/>
        </w:rPr>
        <w:t xml:space="preserve"> </w:t>
      </w:r>
    </w:p>
    <w:p w14:paraId="3DF94771" w14:textId="2D699B8F" w:rsidR="00C1190C" w:rsidRPr="006B2F21" w:rsidRDefault="00C1190C" w:rsidP="006B2F21">
      <w:pPr>
        <w:pStyle w:val="BodyText"/>
        <w:numPr>
          <w:ilvl w:val="6"/>
          <w:numId w:val="1"/>
        </w:numPr>
        <w:rPr>
          <w:szCs w:val="18"/>
        </w:rPr>
      </w:pPr>
      <w:r w:rsidRPr="006B2F21">
        <w:rPr>
          <w:rFonts w:eastAsia="Verdana"/>
          <w:szCs w:val="18"/>
          <w:lang w:eastAsia="zh-CN"/>
        </w:rPr>
        <w:t xml:space="preserve">Regarding the Panel's application of the burden of proof, Russia submits that the Panel examined all the evidence submitted by Ukraine and that </w:t>
      </w:r>
      <w:r w:rsidRPr="006B2F21">
        <w:rPr>
          <w:szCs w:val="18"/>
        </w:rPr>
        <w:t>it did not "consider that the differences in the number of certificates held, suspended, and applications rejected, concerning producers from different countries[,] establish[] the existence of the alleged systematic import prevention"</w:t>
      </w:r>
      <w:r w:rsidRPr="006B2F21">
        <w:rPr>
          <w:rFonts w:eastAsia="Verdana"/>
          <w:szCs w:val="18"/>
          <w:lang w:eastAsia="zh-CN"/>
        </w:rPr>
        <w:t>.</w:t>
      </w:r>
      <w:r w:rsidRPr="006B2F21">
        <w:rPr>
          <w:rStyle w:val="FootnoteReference"/>
          <w:rFonts w:eastAsia="Verdana"/>
          <w:szCs w:val="18"/>
          <w:lang w:eastAsia="zh-CN"/>
        </w:rPr>
        <w:footnoteReference w:id="573"/>
      </w:r>
      <w:r w:rsidRPr="006B2F21">
        <w:rPr>
          <w:rFonts w:eastAsia="Verdana"/>
          <w:szCs w:val="18"/>
          <w:lang w:eastAsia="zh-CN"/>
        </w:rPr>
        <w:t xml:space="preserve"> According to Russia, </w:t>
      </w:r>
      <w:r w:rsidRPr="006B2F21">
        <w:rPr>
          <w:szCs w:val="18"/>
        </w:rPr>
        <w:t>if Ukraine wished to substantiate the allegation that there were indeed reasons for the FBO to suspend the certificates issued to third</w:t>
      </w:r>
      <w:r w:rsidRPr="006B2F21">
        <w:rPr>
          <w:szCs w:val="18"/>
        </w:rPr>
        <w:noBreakHyphen/>
        <w:t>country producers, it was up to Ukraine to substantiate such allegation, which it failed to do</w:t>
      </w:r>
      <w:r w:rsidRPr="006B2F21">
        <w:rPr>
          <w:rFonts w:eastAsia="Verdana"/>
          <w:szCs w:val="18"/>
          <w:lang w:eastAsia="zh-CN"/>
        </w:rPr>
        <w:t>.</w:t>
      </w:r>
      <w:r w:rsidRPr="006B2F21">
        <w:rPr>
          <w:rStyle w:val="FootnoteReference"/>
          <w:rFonts w:eastAsia="Verdana"/>
          <w:szCs w:val="18"/>
          <w:lang w:eastAsia="zh-CN"/>
        </w:rPr>
        <w:footnoteReference w:id="574"/>
      </w:r>
      <w:r w:rsidRPr="006B2F21">
        <w:rPr>
          <w:rFonts w:eastAsia="Verdana"/>
          <w:szCs w:val="18"/>
          <w:lang w:eastAsia="zh-CN"/>
        </w:rPr>
        <w:t xml:space="preserve"> Regarding Ukraine's allegation that the Panel failed to have recourse to Article 13 of the DSU, Russia contends that </w:t>
      </w:r>
      <w:r w:rsidRPr="006B2F21">
        <w:rPr>
          <w:szCs w:val="18"/>
        </w:rPr>
        <w:t xml:space="preserve">the Panel was precluded from using its authority under Article 13 in order "to rule in favour of a complaining party which has not established a </w:t>
      </w:r>
      <w:r w:rsidRPr="006B2F21">
        <w:rPr>
          <w:i/>
          <w:szCs w:val="18"/>
        </w:rPr>
        <w:t xml:space="preserve">prima facie </w:t>
      </w:r>
      <w:r w:rsidRPr="006B2F21">
        <w:rPr>
          <w:szCs w:val="18"/>
        </w:rPr>
        <w:t>case of inconsistency based on specific legal claims asserted by it".</w:t>
      </w:r>
      <w:r w:rsidRPr="006B2F21">
        <w:rPr>
          <w:rStyle w:val="FootnoteReference"/>
          <w:szCs w:val="18"/>
        </w:rPr>
        <w:footnoteReference w:id="575"/>
      </w:r>
      <w:r w:rsidRPr="006B2F21">
        <w:rPr>
          <w:szCs w:val="18"/>
        </w:rPr>
        <w:t xml:space="preserve"> </w:t>
      </w:r>
      <w:r w:rsidRPr="006B2F21">
        <w:rPr>
          <w:rFonts w:eastAsia="Verdana"/>
          <w:szCs w:val="18"/>
          <w:lang w:eastAsia="zh-CN"/>
        </w:rPr>
        <w:t>Therefore, Russia submits that the Panel acted consistently with Article 11 of the DSU by abstaining from requesting information under Article 13 of the DSU.</w:t>
      </w:r>
      <w:r w:rsidRPr="006B2F21">
        <w:rPr>
          <w:rStyle w:val="FootnoteReference"/>
          <w:rFonts w:eastAsia="Verdana"/>
          <w:szCs w:val="18"/>
          <w:lang w:eastAsia="zh-CN"/>
        </w:rPr>
        <w:footnoteReference w:id="576"/>
      </w:r>
    </w:p>
    <w:p w14:paraId="1F368FC5" w14:textId="162CA2AC" w:rsidR="00C1190C" w:rsidRPr="006B2F21" w:rsidRDefault="00C1190C" w:rsidP="006B2F21">
      <w:pPr>
        <w:pStyle w:val="BodyText"/>
        <w:numPr>
          <w:ilvl w:val="6"/>
          <w:numId w:val="1"/>
        </w:numPr>
        <w:rPr>
          <w:color w:val="000000"/>
          <w:szCs w:val="18"/>
        </w:rPr>
      </w:pPr>
      <w:r w:rsidRPr="006B2F21">
        <w:rPr>
          <w:szCs w:val="18"/>
        </w:rPr>
        <w:t>Finally, Russia submits that if the Appellate Body were to agree with Ukraine's arguments and find that the Panel erred under Article 11 of the DSU, the overall conclusion of the Panel regarding Ukraine's failure to demonstrate the existence of the alleged systematic prevention in paragraphs 7.993</w:t>
      </w:r>
      <w:r w:rsidR="00A754BF" w:rsidRPr="006B2F21">
        <w:rPr>
          <w:szCs w:val="18"/>
        </w:rPr>
        <w:noBreakHyphen/>
      </w:r>
      <w:r w:rsidRPr="006B2F21">
        <w:rPr>
          <w:szCs w:val="18"/>
        </w:rPr>
        <w:t xml:space="preserve">7.995 and 8.1.e of its Report </w:t>
      </w:r>
      <w:r w:rsidR="0066004D" w:rsidRPr="006B2F21">
        <w:rPr>
          <w:szCs w:val="18"/>
        </w:rPr>
        <w:t xml:space="preserve">nonetheless </w:t>
      </w:r>
      <w:r w:rsidRPr="006B2F21">
        <w:rPr>
          <w:szCs w:val="18"/>
        </w:rPr>
        <w:t>stands, because this conclusion was based on Panel findings that Ukraine did not appeal.</w:t>
      </w:r>
      <w:r w:rsidRPr="006B2F21">
        <w:rPr>
          <w:rStyle w:val="FootnoteReference"/>
          <w:szCs w:val="18"/>
        </w:rPr>
        <w:footnoteReference w:id="577"/>
      </w:r>
      <w:r w:rsidRPr="006B2F21">
        <w:rPr>
          <w:szCs w:val="18"/>
        </w:rPr>
        <w:t xml:space="preserve"> In Russia's view, the Panel Report confirms that after the examination of each of Ukraine's arguments and evidence, the Panel found </w:t>
      </w:r>
      <w:r w:rsidR="0066004D" w:rsidRPr="006B2F21">
        <w:rPr>
          <w:szCs w:val="18"/>
        </w:rPr>
        <w:t xml:space="preserve">no </w:t>
      </w:r>
      <w:r w:rsidRPr="006B2F21">
        <w:rPr>
          <w:szCs w:val="18"/>
        </w:rPr>
        <w:t xml:space="preserve">support </w:t>
      </w:r>
      <w:r w:rsidR="0066004D" w:rsidRPr="006B2F21">
        <w:rPr>
          <w:szCs w:val="18"/>
        </w:rPr>
        <w:t xml:space="preserve">for </w:t>
      </w:r>
      <w:r w:rsidRPr="006B2F21">
        <w:rPr>
          <w:szCs w:val="18"/>
        </w:rPr>
        <w:t>Ukraine's position as to the existence of the alleged</w:t>
      </w:r>
      <w:r w:rsidRPr="006B2F21">
        <w:rPr>
          <w:rFonts w:eastAsia="Verdana"/>
          <w:szCs w:val="18"/>
        </w:rPr>
        <w:t xml:space="preserve"> systematic prevention</w:t>
      </w:r>
      <w:r w:rsidRPr="006B2F21">
        <w:rPr>
          <w:szCs w:val="18"/>
        </w:rPr>
        <w:t>.</w:t>
      </w:r>
      <w:r w:rsidRPr="006B2F21">
        <w:rPr>
          <w:rStyle w:val="FootnoteReference"/>
          <w:szCs w:val="18"/>
        </w:rPr>
        <w:footnoteReference w:id="578"/>
      </w:r>
      <w:r w:rsidRPr="006B2F21">
        <w:rPr>
          <w:szCs w:val="18"/>
        </w:rPr>
        <w:t xml:space="preserve"> Regarding the Panel's conclusion in paragraph 7.965 of its Report, Russia reiterates its position that Ukraine does </w:t>
      </w:r>
      <w:r w:rsidRPr="006B2F21">
        <w:rPr>
          <w:szCs w:val="18"/>
        </w:rPr>
        <w:lastRenderedPageBreak/>
        <w:t>not claim specific errors with respect to this conclusion and therefore agrees with the Panel as to the absence of indication that the combined effect of the individual measures is the reason for applying each of them</w:t>
      </w:r>
      <w:r w:rsidRPr="006B2F21">
        <w:rPr>
          <w:color w:val="000000"/>
          <w:szCs w:val="18"/>
        </w:rPr>
        <w:t>.</w:t>
      </w:r>
      <w:r w:rsidRPr="006B2F21">
        <w:rPr>
          <w:rStyle w:val="FootnoteReference"/>
          <w:color w:val="000000"/>
          <w:szCs w:val="18"/>
        </w:rPr>
        <w:footnoteReference w:id="579"/>
      </w:r>
      <w:r w:rsidRPr="006B2F21">
        <w:rPr>
          <w:color w:val="000000"/>
          <w:szCs w:val="18"/>
        </w:rPr>
        <w:t xml:space="preserve"> Furthermore, Russia submits that Ukraine does not appeal the Panel's conclusions in paragraphs 7.984, 7.987, and 7.988 in which </w:t>
      </w:r>
      <w:r w:rsidRPr="006B2F21">
        <w:rPr>
          <w:szCs w:val="18"/>
        </w:rPr>
        <w:t>the Panel made a factual finding that trade and other economic data did not support Ukraine's position on the existence of the alleged systematic import prevention</w:t>
      </w:r>
      <w:r w:rsidRPr="006B2F21">
        <w:rPr>
          <w:color w:val="000000"/>
          <w:szCs w:val="18"/>
        </w:rPr>
        <w:t>.</w:t>
      </w:r>
      <w:r w:rsidRPr="006B2F21">
        <w:rPr>
          <w:rStyle w:val="FootnoteReference"/>
          <w:color w:val="000000"/>
          <w:szCs w:val="18"/>
        </w:rPr>
        <w:footnoteReference w:id="580"/>
      </w:r>
      <w:r w:rsidRPr="006B2F21">
        <w:rPr>
          <w:color w:val="000000"/>
          <w:szCs w:val="18"/>
        </w:rPr>
        <w:t xml:space="preserve"> </w:t>
      </w:r>
    </w:p>
    <w:p w14:paraId="0B364A9E" w14:textId="77777777" w:rsidR="00C1190C" w:rsidRPr="006B2F21" w:rsidRDefault="00C1190C" w:rsidP="006B2F21">
      <w:pPr>
        <w:pStyle w:val="Heading3"/>
        <w:numPr>
          <w:ilvl w:val="2"/>
          <w:numId w:val="1"/>
        </w:numPr>
        <w:rPr>
          <w:szCs w:val="18"/>
        </w:rPr>
      </w:pPr>
      <w:bookmarkStart w:id="228" w:name="_Toc26805648"/>
      <w:bookmarkStart w:id="229" w:name="_Toc31381022"/>
      <w:r w:rsidRPr="006B2F21">
        <w:rPr>
          <w:szCs w:val="18"/>
        </w:rPr>
        <w:t>Whether the Panel failed to make an objective assessment of the matter under Article 11 of the DSU</w:t>
      </w:r>
      <w:bookmarkEnd w:id="228"/>
      <w:bookmarkEnd w:id="229"/>
    </w:p>
    <w:p w14:paraId="3CD93EE7" w14:textId="694B1016" w:rsidR="00C1190C" w:rsidRPr="006B2F21" w:rsidRDefault="00C1190C" w:rsidP="006B2F21">
      <w:pPr>
        <w:pStyle w:val="BodyText"/>
        <w:numPr>
          <w:ilvl w:val="6"/>
          <w:numId w:val="1"/>
        </w:numPr>
        <w:rPr>
          <w:szCs w:val="18"/>
        </w:rPr>
      </w:pPr>
      <w:r w:rsidRPr="006B2F21">
        <w:rPr>
          <w:szCs w:val="18"/>
        </w:rPr>
        <w:t xml:space="preserve">Ukraine takes issue with the Panel's allocation of the burden of proof and assessment of the evidence in its </w:t>
      </w:r>
      <w:r w:rsidR="0066004D" w:rsidRPr="006B2F21">
        <w:rPr>
          <w:szCs w:val="18"/>
        </w:rPr>
        <w:t xml:space="preserve">analysis </w:t>
      </w:r>
      <w:r w:rsidRPr="006B2F21">
        <w:rPr>
          <w:szCs w:val="18"/>
        </w:rPr>
        <w:t>of the existence and systematic nature of the alleged unwritten measure.</w:t>
      </w:r>
      <w:r w:rsidRPr="006B2F21">
        <w:rPr>
          <w:rStyle w:val="FootnoteReference"/>
          <w:szCs w:val="18"/>
        </w:rPr>
        <w:footnoteReference w:id="581"/>
      </w:r>
      <w:r w:rsidRPr="006B2F21">
        <w:rPr>
          <w:szCs w:val="18"/>
        </w:rPr>
        <w:t xml:space="preserve"> Specifically, Ukraine considers that the Panel erred in characterizing the measure at issue as comprising only specific decisions suspending certificates, rejecting applications for new certificates, and not recognizing certificates from other CU countries that were separately challenged on an individual basis by Ukraine. Ukraine contends that the individual decisions were only part of the evidence of the unwritten measure, and that the Panel erred in finding that the existence of the alleged unwritten measure was conditional on the WTO</w:t>
      </w:r>
      <w:r w:rsidRPr="006B2F21">
        <w:rPr>
          <w:szCs w:val="18"/>
        </w:rPr>
        <w:noBreakHyphen/>
        <w:t>inconsistency of these decisions. In Ukraine's view, this led the Panel to review the individual measures in isolation from one another and prevented it from assessing whether systematic import prevention existed on the basis of all evidence before it.</w:t>
      </w:r>
      <w:r w:rsidRPr="006B2F21">
        <w:rPr>
          <w:rStyle w:val="FootnoteReference"/>
          <w:szCs w:val="18"/>
        </w:rPr>
        <w:footnoteReference w:id="582"/>
      </w:r>
    </w:p>
    <w:p w14:paraId="754F03E6" w14:textId="1CE108B4" w:rsidR="00C1190C" w:rsidRPr="006B2F21" w:rsidRDefault="00C1190C" w:rsidP="006B2F21">
      <w:pPr>
        <w:pStyle w:val="BodyText"/>
        <w:numPr>
          <w:ilvl w:val="6"/>
          <w:numId w:val="1"/>
        </w:numPr>
        <w:rPr>
          <w:szCs w:val="18"/>
        </w:rPr>
      </w:pPr>
      <w:r w:rsidRPr="006B2F21">
        <w:rPr>
          <w:szCs w:val="18"/>
        </w:rPr>
        <w:t>We recall that, before the Panel, Ukraine claimed that Russia maintains, since mid</w:t>
      </w:r>
      <w:r w:rsidRPr="006B2F21">
        <w:rPr>
          <w:szCs w:val="18"/>
        </w:rPr>
        <w:noBreakHyphen/>
        <w:t xml:space="preserve">2014, systematic prevention of </w:t>
      </w:r>
      <w:r w:rsidR="0066004D" w:rsidRPr="006B2F21">
        <w:rPr>
          <w:szCs w:val="18"/>
        </w:rPr>
        <w:t xml:space="preserve">importation of </w:t>
      </w:r>
      <w:r w:rsidRPr="006B2F21">
        <w:rPr>
          <w:szCs w:val="18"/>
        </w:rPr>
        <w:t>Ukrainian railway products by means of</w:t>
      </w:r>
      <w:r w:rsidR="00121F81" w:rsidRPr="006B2F21">
        <w:rPr>
          <w:szCs w:val="18"/>
        </w:rPr>
        <w:t>:</w:t>
      </w:r>
      <w:r w:rsidRPr="006B2F21">
        <w:rPr>
          <w:szCs w:val="18"/>
        </w:rPr>
        <w:t xml:space="preserve"> (i)</w:t>
      </w:r>
      <w:r w:rsidR="00121F81" w:rsidRPr="006B2F21">
        <w:rPr>
          <w:szCs w:val="18"/>
        </w:rPr>
        <w:t> </w:t>
      </w:r>
      <w:r w:rsidRPr="006B2F21">
        <w:rPr>
          <w:szCs w:val="18"/>
        </w:rPr>
        <w:t>suspending valid certificates held by Ukrainian producers</w:t>
      </w:r>
      <w:r w:rsidR="00121F81" w:rsidRPr="006B2F21">
        <w:rPr>
          <w:szCs w:val="18"/>
        </w:rPr>
        <w:t>;</w:t>
      </w:r>
      <w:r w:rsidRPr="006B2F21">
        <w:rPr>
          <w:szCs w:val="18"/>
        </w:rPr>
        <w:t xml:space="preserve"> (ii)</w:t>
      </w:r>
      <w:r w:rsidR="00121F81" w:rsidRPr="006B2F21">
        <w:rPr>
          <w:szCs w:val="18"/>
        </w:rPr>
        <w:t> </w:t>
      </w:r>
      <w:r w:rsidRPr="006B2F21">
        <w:rPr>
          <w:szCs w:val="18"/>
        </w:rPr>
        <w:t>refusing to issue new certificates</w:t>
      </w:r>
      <w:r w:rsidR="00121F81" w:rsidRPr="006B2F21">
        <w:rPr>
          <w:szCs w:val="18"/>
        </w:rPr>
        <w:t>;</w:t>
      </w:r>
      <w:r w:rsidRPr="006B2F21">
        <w:rPr>
          <w:szCs w:val="18"/>
        </w:rPr>
        <w:t xml:space="preserve"> and (iii)</w:t>
      </w:r>
      <w:r w:rsidR="00121F81" w:rsidRPr="006B2F21">
        <w:rPr>
          <w:szCs w:val="18"/>
        </w:rPr>
        <w:t> </w:t>
      </w:r>
      <w:r w:rsidRPr="006B2F21">
        <w:rPr>
          <w:szCs w:val="18"/>
        </w:rPr>
        <w:t>not recognizing certificates issued by other CU countries, and that this practice is inconsistent with Russia's obligations under Articles I:1, XI:1, and XIII:1 of the GATT 1994.</w:t>
      </w:r>
      <w:r w:rsidRPr="006B2F21">
        <w:rPr>
          <w:rStyle w:val="FootnoteReference"/>
          <w:szCs w:val="18"/>
        </w:rPr>
        <w:footnoteReference w:id="583"/>
      </w:r>
      <w:r w:rsidRPr="006B2F21">
        <w:rPr>
          <w:szCs w:val="18"/>
        </w:rPr>
        <w:t xml:space="preserve"> The Panel noted that "to demonstrate the existence of an unwritten measure, a complaining party must provide evidence demonstrating (a) that the measure is attributable to the responding party; (b) the precise content of the measure; and (c)</w:t>
      </w:r>
      <w:r w:rsidR="00903ABA" w:rsidRPr="006B2F21">
        <w:rPr>
          <w:szCs w:val="18"/>
        </w:rPr>
        <w:t> </w:t>
      </w:r>
      <w:r w:rsidRPr="006B2F21">
        <w:rPr>
          <w:szCs w:val="18"/>
        </w:rPr>
        <w:t>other elements arising from the manner in which the complaining party described or characterized the measure." In the Panel's view, such other elements could include "demonstrating the specific nature of the measure, i.e., whether it is of general and prospective application or of a different nature" and "how the different components of the measure operate together as part of a single measure and how such single measure exists as distinct from its components".</w:t>
      </w:r>
      <w:r w:rsidRPr="006B2F21">
        <w:rPr>
          <w:rStyle w:val="FootnoteReference"/>
          <w:szCs w:val="18"/>
        </w:rPr>
        <w:footnoteReference w:id="584"/>
      </w:r>
      <w:r w:rsidRPr="006B2F21">
        <w:rPr>
          <w:szCs w:val="18"/>
        </w:rPr>
        <w:t xml:space="preserve"> The Panel further observed that "a complaining party seeking to demonstrate the systematic nature of a measure must demonstrate that such measure is aimed at achieving a particular policy or result and is done according to a system, plan, or organized method or effort."</w:t>
      </w:r>
      <w:r w:rsidRPr="006B2F21">
        <w:rPr>
          <w:rStyle w:val="FootnoteReference"/>
          <w:szCs w:val="18"/>
        </w:rPr>
        <w:footnoteReference w:id="585"/>
      </w:r>
    </w:p>
    <w:p w14:paraId="7355828A" w14:textId="77777777" w:rsidR="00C1190C" w:rsidRPr="006B2F21" w:rsidRDefault="00C1190C" w:rsidP="006B2F21">
      <w:pPr>
        <w:pStyle w:val="BodyText"/>
        <w:numPr>
          <w:ilvl w:val="6"/>
          <w:numId w:val="1"/>
        </w:numPr>
        <w:rPr>
          <w:szCs w:val="18"/>
        </w:rPr>
      </w:pPr>
      <w:r w:rsidRPr="006B2F21">
        <w:rPr>
          <w:szCs w:val="18"/>
        </w:rPr>
        <w:t>In its analysis, the Panel first turned to assess whether the instructions through which the FBO suspended valid certificates, the decisions through which the FBO rejected applications for certificates, and the non</w:t>
      </w:r>
      <w:r w:rsidRPr="006B2F21">
        <w:rPr>
          <w:szCs w:val="18"/>
        </w:rPr>
        <w:noBreakHyphen/>
        <w:t>recognition requirement applied by Russia's authorities, which it had separately examined in the previous sections of its Report (suspensions, rejections, and non</w:t>
      </w:r>
      <w:r w:rsidRPr="006B2F21">
        <w:rPr>
          <w:szCs w:val="18"/>
        </w:rPr>
        <w:noBreakHyphen/>
        <w:t>recognition), were evidence of the existence of this measure and of its systematic nature.</w:t>
      </w:r>
      <w:r w:rsidRPr="006B2F21">
        <w:rPr>
          <w:rStyle w:val="FootnoteReference"/>
          <w:szCs w:val="18"/>
        </w:rPr>
        <w:footnoteReference w:id="586"/>
      </w:r>
      <w:r w:rsidRPr="006B2F21">
        <w:rPr>
          <w:szCs w:val="18"/>
        </w:rPr>
        <w:t xml:space="preserve"> In this respect, the Panel found that "the mere fact that the non</w:t>
      </w:r>
      <w:r w:rsidRPr="006B2F21">
        <w:rPr>
          <w:szCs w:val="18"/>
        </w:rPr>
        <w:noBreakHyphen/>
        <w:t>recognition requirement has been applied alongside the (for the most part) justified suspensions and rejections, which also had the effect of preventing imports of Ukrainian products, does not mean that these distinct measures in fact form a single, coherent measure with a common aim of preventing imports of Ukrainian products through any means possible."</w:t>
      </w:r>
      <w:r w:rsidRPr="006B2F21">
        <w:rPr>
          <w:rStyle w:val="FootnoteReference"/>
          <w:szCs w:val="18"/>
        </w:rPr>
        <w:footnoteReference w:id="587"/>
      </w:r>
      <w:r w:rsidRPr="006B2F21">
        <w:rPr>
          <w:szCs w:val="18"/>
        </w:rPr>
        <w:t xml:space="preserve"> Turning to the additional evidence submitted by Ukraine, the Panel found that neither the figures demonstrating substantial repetition in the suspensions and rejections </w:t>
      </w:r>
      <w:r w:rsidRPr="006B2F21">
        <w:rPr>
          <w:szCs w:val="18"/>
        </w:rPr>
        <w:lastRenderedPageBreak/>
        <w:t>of certificates, nor the media articles evidencing that the alleged systematic import prevention was part of a set of trade</w:t>
      </w:r>
      <w:r w:rsidRPr="006B2F21">
        <w:rPr>
          <w:szCs w:val="18"/>
        </w:rPr>
        <w:noBreakHyphen/>
        <w:t>restrictive measures adopted by Russia, established the existence of a plan or organized effort to prevent importation.</w:t>
      </w:r>
      <w:r w:rsidRPr="006B2F21">
        <w:rPr>
          <w:rStyle w:val="FootnoteReference"/>
          <w:szCs w:val="18"/>
        </w:rPr>
        <w:footnoteReference w:id="588"/>
      </w:r>
      <w:r w:rsidRPr="006B2F21">
        <w:rPr>
          <w:szCs w:val="18"/>
        </w:rPr>
        <w:t xml:space="preserve"> Finally, the Panel analysed certain import trade data that Ukraine claimed supported the existence of the alleged systematic import prevention.</w:t>
      </w:r>
      <w:r w:rsidRPr="006B2F21">
        <w:rPr>
          <w:rStyle w:val="FootnoteReference"/>
          <w:szCs w:val="18"/>
        </w:rPr>
        <w:footnoteReference w:id="589"/>
      </w:r>
      <w:r w:rsidRPr="006B2F21">
        <w:rPr>
          <w:szCs w:val="18"/>
        </w:rPr>
        <w:t xml:space="preserve"> Overall, the Panel considered that Ukraine had failed to demonstrate that Russia systematically prevented the importation of Ukrainian railway products into Russia.</w:t>
      </w:r>
      <w:r w:rsidRPr="006B2F21">
        <w:rPr>
          <w:rStyle w:val="FootnoteReference"/>
          <w:szCs w:val="18"/>
        </w:rPr>
        <w:footnoteReference w:id="590"/>
      </w:r>
    </w:p>
    <w:p w14:paraId="327DEF3B" w14:textId="28FCBB54" w:rsidR="00C1190C" w:rsidRPr="006B2F21" w:rsidRDefault="00C1190C" w:rsidP="006B2F21">
      <w:pPr>
        <w:pStyle w:val="BodyText"/>
        <w:numPr>
          <w:ilvl w:val="6"/>
          <w:numId w:val="1"/>
        </w:numPr>
        <w:rPr>
          <w:szCs w:val="18"/>
        </w:rPr>
      </w:pPr>
      <w:r w:rsidRPr="006B2F21">
        <w:rPr>
          <w:szCs w:val="18"/>
        </w:rPr>
        <w:t>At the outset, we recall that, in principle, any act or omission attributable to a WTO Member can be challenged as a measure under the WTO dispute settlement system.</w:t>
      </w:r>
      <w:r w:rsidRPr="006B2F21">
        <w:rPr>
          <w:rStyle w:val="FootnoteReference"/>
          <w:szCs w:val="18"/>
        </w:rPr>
        <w:footnoteReference w:id="591"/>
      </w:r>
      <w:r w:rsidRPr="006B2F21">
        <w:rPr>
          <w:szCs w:val="18"/>
        </w:rPr>
        <w:t xml:space="preserve"> The measure at issue in WTO dispute settlement proceedings may include </w:t>
      </w:r>
      <w:r w:rsidR="00327BCD" w:rsidRPr="006B2F21">
        <w:rPr>
          <w:szCs w:val="18"/>
        </w:rPr>
        <w:t xml:space="preserve">either </w:t>
      </w:r>
      <w:r w:rsidRPr="006B2F21">
        <w:rPr>
          <w:szCs w:val="18"/>
        </w:rPr>
        <w:t xml:space="preserve">"acts setting forth rules or norms that are intended to have general and prospective application", such as legislation, </w:t>
      </w:r>
      <w:r w:rsidR="00327BCD" w:rsidRPr="006B2F21">
        <w:rPr>
          <w:szCs w:val="18"/>
        </w:rPr>
        <w:t xml:space="preserve">or </w:t>
      </w:r>
      <w:r w:rsidRPr="006B2F21">
        <w:rPr>
          <w:szCs w:val="18"/>
        </w:rPr>
        <w:t>"particular acts applied only to a specific situation", such as an administrative decision to impose anti</w:t>
      </w:r>
      <w:r w:rsidRPr="006B2F21">
        <w:rPr>
          <w:szCs w:val="18"/>
        </w:rPr>
        <w:noBreakHyphen/>
        <w:t>dumping duties on certain imports.</w:t>
      </w:r>
      <w:r w:rsidRPr="006B2F21">
        <w:rPr>
          <w:rStyle w:val="FootnoteReference"/>
          <w:szCs w:val="18"/>
        </w:rPr>
        <w:footnoteReference w:id="592"/>
      </w:r>
      <w:r w:rsidRPr="006B2F21">
        <w:rPr>
          <w:szCs w:val="18"/>
        </w:rPr>
        <w:t xml:space="preserve"> </w:t>
      </w:r>
      <w:bookmarkStart w:id="230" w:name="_Hlk16870245"/>
      <w:r w:rsidRPr="006B2F21">
        <w:rPr>
          <w:szCs w:val="18"/>
        </w:rPr>
        <w:t xml:space="preserve">In </w:t>
      </w:r>
      <w:r w:rsidRPr="006B2F21">
        <w:rPr>
          <w:i/>
          <w:szCs w:val="18"/>
        </w:rPr>
        <w:t>US – Zeroing (EC)</w:t>
      </w:r>
      <w:r w:rsidRPr="006B2F21">
        <w:rPr>
          <w:szCs w:val="18"/>
        </w:rPr>
        <w:t>, the Appellate Body recognized that an "as such" challenge can, in principle, be brought against a measure that is not expressed in the form of a written document, and there is nothing in the covered agreements or in WTO jurisprudence to suggest that a measure must be in written form.</w:t>
      </w:r>
      <w:r w:rsidRPr="006B2F21">
        <w:rPr>
          <w:rStyle w:val="FootnoteReference"/>
          <w:szCs w:val="18"/>
        </w:rPr>
        <w:footnoteReference w:id="593"/>
      </w:r>
      <w:r w:rsidRPr="006B2F21">
        <w:rPr>
          <w:szCs w:val="18"/>
        </w:rPr>
        <w:t xml:space="preserve"> The Appellate Body emphasized, however, that "a panel must not lightly assume the existence of a 'rule or norm' constituting a measure of general and prospective application, especially when it is not expressed in the form of a written document."</w:t>
      </w:r>
      <w:r w:rsidRPr="006B2F21">
        <w:rPr>
          <w:rStyle w:val="FootnoteReference"/>
          <w:szCs w:val="18"/>
        </w:rPr>
        <w:footnoteReference w:id="594"/>
      </w:r>
      <w:r w:rsidRPr="006B2F21">
        <w:rPr>
          <w:szCs w:val="18"/>
        </w:rPr>
        <w:t xml:space="preserve"> </w:t>
      </w:r>
    </w:p>
    <w:p w14:paraId="244F7118" w14:textId="77777777" w:rsidR="00C1190C" w:rsidRPr="006B2F21" w:rsidRDefault="00C1190C" w:rsidP="006B2F21">
      <w:pPr>
        <w:pStyle w:val="BodyText"/>
        <w:numPr>
          <w:ilvl w:val="6"/>
          <w:numId w:val="1"/>
        </w:numPr>
        <w:rPr>
          <w:szCs w:val="18"/>
        </w:rPr>
      </w:pPr>
      <w:r w:rsidRPr="006B2F21">
        <w:rPr>
          <w:szCs w:val="18"/>
        </w:rPr>
        <w:t xml:space="preserve">In </w:t>
      </w:r>
      <w:r w:rsidRPr="006B2F21">
        <w:rPr>
          <w:i/>
          <w:szCs w:val="18"/>
        </w:rPr>
        <w:t>Argentina – Import Measures</w:t>
      </w:r>
      <w:r w:rsidRPr="006B2F21">
        <w:rPr>
          <w:szCs w:val="18"/>
        </w:rPr>
        <w:t xml:space="preserve">, </w:t>
      </w:r>
      <w:bookmarkEnd w:id="230"/>
      <w:r w:rsidRPr="006B2F21">
        <w:rPr>
          <w:szCs w:val="18"/>
        </w:rPr>
        <w:t>the Appellate Body further elaborated on the standard for establishing the existence of an unwritten measure and in particular observed that "the constituent elements that must be substantiated with evidence and arguments in order to prove the existence of a measure challenged will be informed by how such measure is described or characterized by the complainant."</w:t>
      </w:r>
      <w:r w:rsidRPr="006B2F21">
        <w:rPr>
          <w:rStyle w:val="FootnoteReference"/>
          <w:szCs w:val="18"/>
        </w:rPr>
        <w:footnoteReference w:id="595"/>
      </w:r>
      <w:r w:rsidRPr="006B2F21">
        <w:rPr>
          <w:szCs w:val="18"/>
        </w:rPr>
        <w:t xml:space="preserve"> In particular, the Appellate Body considered that, depending on the characteristics of the measure challenged, other elements in addition to attribution to a WTO Member and precise content may need to be substantiated to prove its existence. For instance, a complainant challenging a single measure composed of several different instruments will normally need to provide evidence of how the different components operate together as part of a single measure and how a single measure exists as distinct from its components.</w:t>
      </w:r>
      <w:r w:rsidRPr="006B2F21">
        <w:rPr>
          <w:rStyle w:val="FootnoteReference"/>
          <w:szCs w:val="18"/>
        </w:rPr>
        <w:footnoteReference w:id="596"/>
      </w:r>
    </w:p>
    <w:p w14:paraId="16B26436" w14:textId="66708712" w:rsidR="00C1190C" w:rsidRPr="006B2F21" w:rsidRDefault="00C1190C" w:rsidP="006B2F21">
      <w:pPr>
        <w:pStyle w:val="BodyText"/>
        <w:numPr>
          <w:ilvl w:val="6"/>
          <w:numId w:val="1"/>
        </w:numPr>
        <w:rPr>
          <w:szCs w:val="18"/>
        </w:rPr>
      </w:pPr>
      <w:bookmarkStart w:id="231" w:name="_Hlk24376988"/>
      <w:r w:rsidRPr="006B2F21">
        <w:rPr>
          <w:szCs w:val="18"/>
        </w:rPr>
        <w:t xml:space="preserve">In contrast to a written measure, the existence of unwritten measures cannot be established by submitting to a panel the text of a legal instrument. Instead, the existence and content of an unwritten measure must be established based on other, often circumstantial, evidence and arguments. Moreover, the specific measure challenged and </w:t>
      </w:r>
      <w:r w:rsidR="00327BCD" w:rsidRPr="006B2F21">
        <w:rPr>
          <w:szCs w:val="18"/>
        </w:rPr>
        <w:t xml:space="preserve">the way in which </w:t>
      </w:r>
      <w:r w:rsidRPr="006B2F21">
        <w:rPr>
          <w:szCs w:val="18"/>
        </w:rPr>
        <w:t xml:space="preserve">it is described or characterized by a complainant will inform the kind of evidence a complainant is required to submit and the elements that it must establish, in order to determine the existence of the challenged measure. A complainant seeking to prove the existence of an unwritten measure will invariably be required to establish the attribution of that measure to a Member and its precise content. </w:t>
      </w:r>
      <w:r w:rsidR="004016EA" w:rsidRPr="006B2F21">
        <w:rPr>
          <w:szCs w:val="18"/>
        </w:rPr>
        <w:t xml:space="preserve">Moreover, additional </w:t>
      </w:r>
      <w:r w:rsidRPr="006B2F21">
        <w:rPr>
          <w:szCs w:val="18"/>
        </w:rPr>
        <w:t xml:space="preserve">elements may need to be </w:t>
      </w:r>
      <w:r w:rsidR="00CA6698" w:rsidRPr="006B2F21">
        <w:rPr>
          <w:szCs w:val="18"/>
        </w:rPr>
        <w:t>established</w:t>
      </w:r>
      <w:r w:rsidRPr="006B2F21">
        <w:rPr>
          <w:szCs w:val="18"/>
        </w:rPr>
        <w:t>.</w:t>
      </w:r>
      <w:r w:rsidRPr="006B2F21">
        <w:rPr>
          <w:rStyle w:val="FootnoteReference"/>
          <w:szCs w:val="18"/>
        </w:rPr>
        <w:footnoteReference w:id="597"/>
      </w:r>
      <w:r w:rsidRPr="006B2F21">
        <w:rPr>
          <w:szCs w:val="18"/>
        </w:rPr>
        <w:t xml:space="preserve"> For instance, in </w:t>
      </w:r>
      <w:r w:rsidRPr="006B2F21">
        <w:rPr>
          <w:i/>
          <w:szCs w:val="18"/>
        </w:rPr>
        <w:t>Argentina – Import Measures</w:t>
      </w:r>
      <w:r w:rsidRPr="006B2F21">
        <w:rPr>
          <w:szCs w:val="18"/>
        </w:rPr>
        <w:t xml:space="preserve">, the complainants challenged the existence of a single measure consisting of a combination of one or more of the five </w:t>
      </w:r>
      <w:bookmarkStart w:id="232" w:name="_Hlk26874130"/>
      <w:r w:rsidRPr="006B2F21">
        <w:rPr>
          <w:szCs w:val="18"/>
        </w:rPr>
        <w:t>trade</w:t>
      </w:r>
      <w:r w:rsidRPr="006B2F21">
        <w:rPr>
          <w:szCs w:val="18"/>
        </w:rPr>
        <w:noBreakHyphen/>
        <w:t xml:space="preserve">related requirements (TRRs) </w:t>
      </w:r>
      <w:bookmarkEnd w:id="232"/>
      <w:r w:rsidRPr="006B2F21">
        <w:rPr>
          <w:szCs w:val="18"/>
        </w:rPr>
        <w:t xml:space="preserve">in pursuance of a specific policy objective. </w:t>
      </w:r>
      <w:r w:rsidRPr="006B2F21">
        <w:rPr>
          <w:szCs w:val="18"/>
        </w:rPr>
        <w:lastRenderedPageBreak/>
        <w:t>Therefore, as part of its examination of the precise content of the TRRs measure, the panel was required to assess whether the measure was composed of the five individual elements identified by the complainants, and whether the individual TRRs applied and operated as part of a single measure in furtherance of an underlying policy of "managed trade" with the specific objectives of substituting imports and reducing trade deficits.</w:t>
      </w:r>
      <w:r w:rsidRPr="006B2F21">
        <w:rPr>
          <w:rStyle w:val="FootnoteReference"/>
          <w:szCs w:val="18"/>
        </w:rPr>
        <w:footnoteReference w:id="598"/>
      </w:r>
    </w:p>
    <w:bookmarkEnd w:id="231"/>
    <w:p w14:paraId="54BB31D3" w14:textId="21336E05" w:rsidR="00C1190C" w:rsidRPr="006B2F21" w:rsidRDefault="00C1190C" w:rsidP="006B2F21">
      <w:pPr>
        <w:pStyle w:val="BodyText"/>
        <w:numPr>
          <w:ilvl w:val="6"/>
          <w:numId w:val="1"/>
        </w:numPr>
        <w:rPr>
          <w:szCs w:val="18"/>
        </w:rPr>
      </w:pPr>
      <w:r w:rsidRPr="006B2F21">
        <w:rPr>
          <w:szCs w:val="18"/>
        </w:rPr>
        <w:t>The appropriate order of analysis in a given dispute will depend on the characteristics of the measure at issue, as described by the complainant, as well as the arguments and evidence on the record. It may also depend on which elements are the focus of contention between the disputing parties, and which, if any, are conceded or undisputed between the parties.</w:t>
      </w:r>
      <w:r w:rsidRPr="006B2F21">
        <w:rPr>
          <w:rStyle w:val="FootnoteReference"/>
          <w:szCs w:val="18"/>
        </w:rPr>
        <w:footnoteReference w:id="599"/>
      </w:r>
      <w:r w:rsidRPr="006B2F21">
        <w:rPr>
          <w:szCs w:val="18"/>
        </w:rPr>
        <w:t xml:space="preserve"> In any event, panels enjoy a margin of discretion to structure their assessment as they see fit, provided they proceed "on the basis of a properly structured analysis"</w:t>
      </w:r>
      <w:r w:rsidRPr="006B2F21">
        <w:rPr>
          <w:rStyle w:val="FootnoteReference"/>
          <w:szCs w:val="18"/>
        </w:rPr>
        <w:footnoteReference w:id="600"/>
      </w:r>
      <w:r w:rsidRPr="006B2F21">
        <w:rPr>
          <w:szCs w:val="18"/>
        </w:rPr>
        <w:t>, provide "reasoned and adequate explanations and coherent reasoning"</w:t>
      </w:r>
      <w:r w:rsidRPr="006B2F21">
        <w:rPr>
          <w:rStyle w:val="FootnoteReference"/>
          <w:szCs w:val="18"/>
        </w:rPr>
        <w:footnoteReference w:id="601"/>
      </w:r>
      <w:r w:rsidRPr="006B2F21">
        <w:rPr>
          <w:szCs w:val="18"/>
        </w:rPr>
        <w:t>, and base their findings on a "sufficient evidentiary basis"</w:t>
      </w:r>
      <w:r w:rsidR="008D45BE" w:rsidRPr="006B2F21">
        <w:rPr>
          <w:szCs w:val="18"/>
        </w:rPr>
        <w:t>.</w:t>
      </w:r>
      <w:r w:rsidRPr="006B2F21">
        <w:rPr>
          <w:rStyle w:val="FootnoteReference"/>
          <w:szCs w:val="18"/>
        </w:rPr>
        <w:footnoteReference w:id="602"/>
      </w:r>
      <w:r w:rsidRPr="006B2F21">
        <w:rPr>
          <w:szCs w:val="18"/>
        </w:rPr>
        <w:t xml:space="preserve"> Accordingly, panels are afforded a certain degree of latitude to tailor the sequence and order of analysis, which, however, is informed by the specific claims, measures, facts, and arguments at issue.</w:t>
      </w:r>
      <w:r w:rsidRPr="006B2F21">
        <w:rPr>
          <w:rStyle w:val="FootnoteReference"/>
          <w:szCs w:val="18"/>
        </w:rPr>
        <w:footnoteReference w:id="603"/>
      </w:r>
      <w:r w:rsidRPr="006B2F21">
        <w:rPr>
          <w:szCs w:val="18"/>
        </w:rPr>
        <w:t xml:space="preserve"> Therefore, an appellant challenging the sequence and order of analysis adopted by a panel in a given case must demonstrate why, by following a particular sequence, the panel committed an error in the specific circumstances of the case at hand. It is not sufficient for an appellant merely to claim that a panel erred by deviating from a certain sequence and order of analysis in the abstract.</w:t>
      </w:r>
      <w:r w:rsidRPr="006B2F21">
        <w:rPr>
          <w:rStyle w:val="FootnoteReference"/>
          <w:szCs w:val="18"/>
        </w:rPr>
        <w:footnoteReference w:id="604"/>
      </w:r>
    </w:p>
    <w:p w14:paraId="2C734D10" w14:textId="77777777" w:rsidR="00C1190C" w:rsidRPr="006B2F21" w:rsidRDefault="00C1190C" w:rsidP="006B2F21">
      <w:pPr>
        <w:pStyle w:val="BodyText"/>
        <w:numPr>
          <w:ilvl w:val="6"/>
          <w:numId w:val="1"/>
        </w:numPr>
        <w:rPr>
          <w:szCs w:val="18"/>
          <w:lang w:eastAsia="ko-KR"/>
        </w:rPr>
      </w:pPr>
      <w:r w:rsidRPr="006B2F21">
        <w:rPr>
          <w:szCs w:val="18"/>
        </w:rPr>
        <w:t>With respect to Ukraine's argument that the Panel erred by failing to make conclusions with regard to the existence of an unwritten measure before assessing specific elements of that measure</w:t>
      </w:r>
      <w:r w:rsidRPr="006B2F21">
        <w:rPr>
          <w:rStyle w:val="FootnoteReference"/>
          <w:szCs w:val="18"/>
        </w:rPr>
        <w:footnoteReference w:id="605"/>
      </w:r>
      <w:r w:rsidRPr="006B2F21">
        <w:rPr>
          <w:szCs w:val="18"/>
        </w:rPr>
        <w:t xml:space="preserve">, </w:t>
      </w:r>
      <w:r w:rsidRPr="006B2F21">
        <w:rPr>
          <w:rFonts w:eastAsia="Verdana" w:cs="Verdana"/>
          <w:szCs w:val="18"/>
        </w:rPr>
        <w:t>we observe that the Panel in fact took note of the precise content of the alleged measure and listed its constituent elements, including Ukraine's characterization of the measure as "an overarching unwritten measure" that comprises several components and results in the "systematic prevention" of importation of Ukrainian products into Russia.</w:t>
      </w:r>
      <w:r w:rsidRPr="006B2F21">
        <w:rPr>
          <w:rStyle w:val="FootnoteReference"/>
          <w:rFonts w:eastAsia="Verdana" w:cs="Verdana"/>
          <w:szCs w:val="18"/>
        </w:rPr>
        <w:footnoteReference w:id="606"/>
      </w:r>
      <w:r w:rsidRPr="006B2F21">
        <w:rPr>
          <w:rFonts w:eastAsia="Verdana" w:cs="Verdana"/>
          <w:szCs w:val="18"/>
        </w:rPr>
        <w:t xml:space="preserve"> Furthermore, it appears logical, in light of the characteristics of the measure as described by Ukraine, that the Panel's subsequent analysis was focused on examining the existence of a single measure and its systematic nature. Thus, in the circumstances of this case, </w:t>
      </w:r>
      <w:r w:rsidRPr="006B2F21">
        <w:rPr>
          <w:szCs w:val="18"/>
          <w:lang w:eastAsia="ko-KR"/>
        </w:rPr>
        <w:t>as part of its assessment of the existence</w:t>
      </w:r>
      <w:r w:rsidRPr="006B2F21">
        <w:rPr>
          <w:i/>
          <w:szCs w:val="18"/>
          <w:lang w:eastAsia="ko-KR"/>
        </w:rPr>
        <w:t xml:space="preserve"> </w:t>
      </w:r>
      <w:r w:rsidRPr="006B2F21">
        <w:rPr>
          <w:szCs w:val="18"/>
          <w:lang w:eastAsia="ko-KR"/>
        </w:rPr>
        <w:t>of the unwritten measure, the Panel had to examine evidence relating</w:t>
      </w:r>
      <w:r w:rsidRPr="006B2F21">
        <w:rPr>
          <w:rFonts w:eastAsia="Verdana" w:cs="Verdana"/>
          <w:szCs w:val="18"/>
        </w:rPr>
        <w:t xml:space="preserve"> to the constituent components of the measure, as well as to </w:t>
      </w:r>
      <w:r w:rsidRPr="006B2F21">
        <w:rPr>
          <w:szCs w:val="18"/>
          <w:lang w:eastAsia="ko-KR"/>
        </w:rPr>
        <w:t>the way in which the different components interact, in order to achieve a particular objective.</w:t>
      </w:r>
      <w:r w:rsidRPr="006B2F21">
        <w:rPr>
          <w:rStyle w:val="FootnoteReference"/>
          <w:szCs w:val="18"/>
          <w:lang w:eastAsia="ko-KR"/>
        </w:rPr>
        <w:footnoteReference w:id="607"/>
      </w:r>
      <w:r w:rsidRPr="006B2F21">
        <w:rPr>
          <w:szCs w:val="18"/>
          <w:lang w:eastAsia="ko-KR"/>
        </w:rPr>
        <w:t xml:space="preserve"> </w:t>
      </w:r>
    </w:p>
    <w:p w14:paraId="5E601762" w14:textId="54AB0A47" w:rsidR="00C1190C" w:rsidRPr="006B2F21" w:rsidRDefault="00C1190C" w:rsidP="006B2F21">
      <w:pPr>
        <w:pStyle w:val="BodyText"/>
        <w:numPr>
          <w:ilvl w:val="6"/>
          <w:numId w:val="1"/>
        </w:numPr>
        <w:rPr>
          <w:szCs w:val="18"/>
        </w:rPr>
      </w:pPr>
      <w:r w:rsidRPr="006B2F21">
        <w:rPr>
          <w:szCs w:val="18"/>
        </w:rPr>
        <w:t>Next, we turn to review the Panel's analysis regarding the existence of the alleged unwritten measure at issue. As noted, the Panel separately assessed the instructions suspending certificates, the decisions rejecting applications for certificates, and the non</w:t>
      </w:r>
      <w:r w:rsidRPr="006B2F21">
        <w:rPr>
          <w:szCs w:val="18"/>
        </w:rPr>
        <w:noBreakHyphen/>
        <w:t>recognition requirement applied by Russia's authorities, which Ukraine had challenged on an individual basis and which the Panel had separately examined in the prior sections of its Report.</w:t>
      </w:r>
      <w:r w:rsidRPr="006B2F21">
        <w:rPr>
          <w:rStyle w:val="FootnoteReference"/>
          <w:szCs w:val="18"/>
        </w:rPr>
        <w:footnoteReference w:id="608"/>
      </w:r>
      <w:r w:rsidRPr="006B2F21">
        <w:rPr>
          <w:szCs w:val="18"/>
        </w:rPr>
        <w:t xml:space="preserve"> As the Panel acknowledged, the specific suspension instructions and rejection decisions were only part of the instances of suspensions and rejections on which Ukraine relied as evidence demonstrating the existence of an unwritten measure.</w:t>
      </w:r>
      <w:r w:rsidRPr="006B2F21">
        <w:rPr>
          <w:rStyle w:val="FootnoteReference"/>
          <w:szCs w:val="18"/>
        </w:rPr>
        <w:footnoteReference w:id="609"/>
      </w:r>
      <w:r w:rsidRPr="006B2F21">
        <w:rPr>
          <w:szCs w:val="18"/>
        </w:rPr>
        <w:t xml:space="preserve"> Despite this fact, the Panel considered it necessary to separately examine the suspensions, rejections, and non</w:t>
      </w:r>
      <w:r w:rsidRPr="006B2F21">
        <w:rPr>
          <w:szCs w:val="18"/>
        </w:rPr>
        <w:noBreakHyphen/>
        <w:t>recognitions challenged by Ukraine on an individual basis. In doing so, the Panel focused its assessment on whether these three elements of the alleged measure had already been found to be inconsistent with Article</w:t>
      </w:r>
      <w:r w:rsidR="00903ABA" w:rsidRPr="006B2F21">
        <w:rPr>
          <w:szCs w:val="18"/>
        </w:rPr>
        <w:t>s</w:t>
      </w:r>
      <w:r w:rsidRPr="006B2F21">
        <w:rPr>
          <w:szCs w:val="18"/>
        </w:rPr>
        <w:t> 5.1.1 and 5.1.2 of the TBT Agreement in the Panel's prior analysis. Thus, the Panel concluded that "the fact that one of the three elements of the alleged systematic import prevention", namely</w:t>
      </w:r>
      <w:r w:rsidR="008D070A" w:rsidRPr="006B2F21">
        <w:rPr>
          <w:szCs w:val="18"/>
        </w:rPr>
        <w:t>,</w:t>
      </w:r>
      <w:r w:rsidRPr="006B2F21">
        <w:rPr>
          <w:szCs w:val="18"/>
        </w:rPr>
        <w:t xml:space="preserve"> the non</w:t>
      </w:r>
      <w:r w:rsidRPr="006B2F21">
        <w:rPr>
          <w:szCs w:val="18"/>
        </w:rPr>
        <w:noBreakHyphen/>
        <w:t xml:space="preserve">recognition of certificates issued in other </w:t>
      </w:r>
      <w:r w:rsidRPr="006B2F21">
        <w:rPr>
          <w:szCs w:val="18"/>
        </w:rPr>
        <w:lastRenderedPageBreak/>
        <w:t>CU countries, "unjustifiably restricts access to the Russian market is not sufficient to demonstrate the existence of systematic prevention of imports of Ukrainian products as an independent measure."</w:t>
      </w:r>
      <w:r w:rsidRPr="006B2F21">
        <w:rPr>
          <w:rStyle w:val="FootnoteReference"/>
          <w:szCs w:val="18"/>
        </w:rPr>
        <w:footnoteReference w:id="610"/>
      </w:r>
      <w:r w:rsidRPr="006B2F21">
        <w:rPr>
          <w:szCs w:val="18"/>
        </w:rPr>
        <w:t xml:space="preserve"> The Panel also affirmed that "it is only if the circumstances justifying these decisions disappeared and they were nonetheless maintained or such decisions were nonetheless adopted in respect of new applications, that the issue would arise whether those measures form part of comprehensive systematic import prevention that covers both the recognition of certificates issued in other CU countries and issuance of certificates in Russia."</w:t>
      </w:r>
      <w:r w:rsidRPr="006B2F21">
        <w:rPr>
          <w:rStyle w:val="FootnoteReference"/>
          <w:szCs w:val="18"/>
        </w:rPr>
        <w:footnoteReference w:id="611"/>
      </w:r>
      <w:r w:rsidRPr="006B2F21">
        <w:rPr>
          <w:szCs w:val="18"/>
        </w:rPr>
        <w:t xml:space="preserve"> In this regard, Ukraine argues that the Panel examined the individual components of the alleged unwritten measure in isolation from one another and did not assess the existence of systematic import prevention on the basis of all evidence before it.</w:t>
      </w:r>
      <w:r w:rsidRPr="006B2F21">
        <w:rPr>
          <w:rStyle w:val="FootnoteReference"/>
          <w:szCs w:val="18"/>
        </w:rPr>
        <w:footnoteReference w:id="612"/>
      </w:r>
      <w:r w:rsidRPr="006B2F21">
        <w:rPr>
          <w:szCs w:val="18"/>
        </w:rPr>
        <w:t xml:space="preserve"> The question therefore arises whether, in examining the existence of the alleged systematic prevention measure based on the consistency of its components with the TBT Agreement, the Panel properly assessed the existence of the overarching measure as an issue separate from the consistency of its elements with the covered agreements.</w:t>
      </w:r>
    </w:p>
    <w:p w14:paraId="276DE9C3" w14:textId="77777777" w:rsidR="00C1190C" w:rsidRPr="006B2F21" w:rsidRDefault="00C1190C" w:rsidP="006B2F21">
      <w:pPr>
        <w:pStyle w:val="BodyText"/>
        <w:numPr>
          <w:ilvl w:val="6"/>
          <w:numId w:val="1"/>
        </w:numPr>
        <w:rPr>
          <w:rFonts w:eastAsia="Verdana" w:cs="Verdana"/>
          <w:szCs w:val="18"/>
        </w:rPr>
      </w:pPr>
      <w:r w:rsidRPr="006B2F21">
        <w:rPr>
          <w:szCs w:val="18"/>
        </w:rPr>
        <w:t>We observe in this regard that Ukraine's own description of the measure presupposed the need to focus on the rationale underlying the individual instances of suspensions, rejections, and non</w:t>
      </w:r>
      <w:r w:rsidRPr="006B2F21">
        <w:rPr>
          <w:szCs w:val="18"/>
        </w:rPr>
        <w:noBreakHyphen/>
        <w:t xml:space="preserve">recognition of certificates. Thus, Ukraine argued that "Ukrainian producers have been denied, or have been unable to use, certificates </w:t>
      </w:r>
      <w:r w:rsidRPr="006B2F21">
        <w:rPr>
          <w:i/>
          <w:szCs w:val="18"/>
        </w:rPr>
        <w:t>for reasons other than the lack of conformity</w:t>
      </w:r>
      <w:r w:rsidRPr="006B2F21">
        <w:rPr>
          <w:szCs w:val="18"/>
        </w:rPr>
        <w:t xml:space="preserve"> with the relevant technical regulations."</w:t>
      </w:r>
      <w:r w:rsidRPr="006B2F21">
        <w:rPr>
          <w:rStyle w:val="FootnoteReference"/>
          <w:szCs w:val="18"/>
        </w:rPr>
        <w:footnoteReference w:id="613"/>
      </w:r>
      <w:r w:rsidRPr="006B2F21">
        <w:rPr>
          <w:szCs w:val="18"/>
        </w:rPr>
        <w:t xml:space="preserve"> In Ukraine's view, Russia, "through </w:t>
      </w:r>
      <w:r w:rsidRPr="006B2F21">
        <w:rPr>
          <w:i/>
          <w:szCs w:val="18"/>
        </w:rPr>
        <w:t>an organized effort</w:t>
      </w:r>
      <w:r w:rsidRPr="006B2F21">
        <w:rPr>
          <w:szCs w:val="18"/>
        </w:rPr>
        <w:t xml:space="preserve">", "put in place all means possible </w:t>
      </w:r>
      <w:r w:rsidRPr="006B2F21">
        <w:rPr>
          <w:i/>
          <w:szCs w:val="18"/>
        </w:rPr>
        <w:t>to prevent imports</w:t>
      </w:r>
      <w:r w:rsidRPr="006B2F21">
        <w:rPr>
          <w:szCs w:val="18"/>
        </w:rPr>
        <w:t xml:space="preserve"> of Ukrainian railway products into Russia".</w:t>
      </w:r>
      <w:r w:rsidRPr="006B2F21">
        <w:rPr>
          <w:rStyle w:val="FootnoteReference"/>
          <w:szCs w:val="18"/>
        </w:rPr>
        <w:footnoteReference w:id="614"/>
      </w:r>
      <w:r w:rsidRPr="006B2F21">
        <w:rPr>
          <w:szCs w:val="18"/>
        </w:rPr>
        <w:t xml:space="preserve"> Thus, the content of the measure, as described by Ukraine, required a finding that the individual elements of the measure are parts of an organized effort or policy with the objective of "</w:t>
      </w:r>
      <w:r w:rsidRPr="006B2F21">
        <w:rPr>
          <w:i/>
          <w:szCs w:val="18"/>
        </w:rPr>
        <w:t>systematic</w:t>
      </w:r>
      <w:r w:rsidRPr="006B2F21">
        <w:rPr>
          <w:szCs w:val="18"/>
        </w:rPr>
        <w:t xml:space="preserve"> </w:t>
      </w:r>
      <w:r w:rsidRPr="006B2F21">
        <w:rPr>
          <w:i/>
          <w:szCs w:val="18"/>
        </w:rPr>
        <w:t>import prevention</w:t>
      </w:r>
      <w:r w:rsidRPr="006B2F21">
        <w:rPr>
          <w:szCs w:val="18"/>
        </w:rPr>
        <w:t>", as opposed to separate instances of instructions and decisions taken for reasons relating to the possibility of assessing conformity with the relevant technical regulations. The discussion before the Panel focused precisely on whether the suspensions and rejections were made for reasons related to achieving positive assurance of conformity, or instead for reasons related to import prevention. Thus, Russia argued that the reason for suspending and rejecting certificates of Ukrainian producers was that the requirements of the relevant Russian technical regulations were not satisfied, i.e. it was impossible to carry out the inspection control in full due to the security situation in Ukraine, and therefore there was no "organised effort" by Russia to prevent imports from Ukraine.</w:t>
      </w:r>
      <w:r w:rsidRPr="006B2F21">
        <w:rPr>
          <w:rStyle w:val="FootnoteReference"/>
          <w:szCs w:val="18"/>
        </w:rPr>
        <w:footnoteReference w:id="615"/>
      </w:r>
      <w:r w:rsidRPr="006B2F21">
        <w:rPr>
          <w:szCs w:val="18"/>
        </w:rPr>
        <w:t xml:space="preserve"> By contrast, Ukraine contended that, as demonstrated by the inconsistency of the instructions and decisions challenged on an individual basis, the objective of the suspensions and rejections was not to verify conformity of Ukrainian railway products but to prevent imports of such products into Russia.</w:t>
      </w:r>
      <w:r w:rsidRPr="006B2F21">
        <w:rPr>
          <w:rStyle w:val="FootnoteReference"/>
          <w:szCs w:val="18"/>
        </w:rPr>
        <w:footnoteReference w:id="616"/>
      </w:r>
      <w:r w:rsidRPr="006B2F21">
        <w:rPr>
          <w:szCs w:val="18"/>
        </w:rPr>
        <w:t xml:space="preserve"> </w:t>
      </w:r>
    </w:p>
    <w:p w14:paraId="3EADAB8A" w14:textId="77777777" w:rsidR="00C1190C" w:rsidRPr="006B2F21" w:rsidRDefault="00C1190C" w:rsidP="006B2F21">
      <w:pPr>
        <w:pStyle w:val="BodyText"/>
        <w:numPr>
          <w:ilvl w:val="6"/>
          <w:numId w:val="1"/>
        </w:numPr>
        <w:rPr>
          <w:szCs w:val="18"/>
        </w:rPr>
      </w:pPr>
      <w:r w:rsidRPr="006B2F21">
        <w:rPr>
          <w:szCs w:val="18"/>
        </w:rPr>
        <w:t xml:space="preserve">We recall that "a complainant challenging a single measure composed of several different instruments will </w:t>
      </w:r>
      <w:r w:rsidRPr="006B2F21">
        <w:rPr>
          <w:szCs w:val="18"/>
          <w:lang w:eastAsia="ko-KR"/>
        </w:rPr>
        <w:t xml:space="preserve">normally </w:t>
      </w:r>
      <w:r w:rsidRPr="006B2F21">
        <w:rPr>
          <w:szCs w:val="18"/>
        </w:rPr>
        <w:t>need to provide evidence of how the different components operate together as part of a single measure and how a single measure exists as distinct from its components."</w:t>
      </w:r>
      <w:r w:rsidRPr="006B2F21">
        <w:rPr>
          <w:rStyle w:val="FootnoteReference"/>
          <w:szCs w:val="18"/>
        </w:rPr>
        <w:footnoteReference w:id="617"/>
      </w:r>
      <w:r w:rsidRPr="006B2F21">
        <w:rPr>
          <w:szCs w:val="18"/>
        </w:rPr>
        <w:t xml:space="preserve"> In the present case, it was therefore Ukraine's burden to establish that the separate instances of suspensions, rejections, and non</w:t>
      </w:r>
      <w:r w:rsidRPr="006B2F21">
        <w:rPr>
          <w:szCs w:val="18"/>
        </w:rPr>
        <w:noBreakHyphen/>
        <w:t xml:space="preserve">recognition functioned together and formed a single overarching measure, distinct from its parts, in pursuance of an import prevention policy. </w:t>
      </w:r>
    </w:p>
    <w:p w14:paraId="279AB4D6" w14:textId="262448CF" w:rsidR="00C1190C" w:rsidRPr="006B2F21" w:rsidRDefault="00C1190C" w:rsidP="006B2F21">
      <w:pPr>
        <w:pStyle w:val="BodyText"/>
        <w:numPr>
          <w:ilvl w:val="6"/>
          <w:numId w:val="1"/>
        </w:numPr>
        <w:rPr>
          <w:szCs w:val="18"/>
        </w:rPr>
      </w:pPr>
      <w:r w:rsidRPr="006B2F21">
        <w:rPr>
          <w:szCs w:val="18"/>
        </w:rPr>
        <w:t xml:space="preserve">In this context, it appears to us that the rationale behind the suspensions and rejections constituted an important factor for determining whether the components of the alleged overarching </w:t>
      </w:r>
      <w:r w:rsidRPr="006B2F21">
        <w:rPr>
          <w:szCs w:val="18"/>
        </w:rPr>
        <w:lastRenderedPageBreak/>
        <w:t>measure operated together as part of a single measure. Specifically, this rationale related to the impossibility for the FBO to assess conformity of Ukrainian railway products with the relevant Russian technical regulations due to the security situation in Ukraine, and thus to the absence of a comparable situation under Article 5.1.1 of the TBT Agreement. If this were the case, there would be no common policy or plan connecting the various suspensions and rejections, such that they operate together as part of one measure, and thus no proof that "the FBO used its powers with the aim or as part of a plan directed at preventing the importation of Ukrainian railway products into Russia."</w:t>
      </w:r>
      <w:r w:rsidRPr="006B2F21">
        <w:rPr>
          <w:rStyle w:val="FootnoteReference"/>
          <w:szCs w:val="18"/>
        </w:rPr>
        <w:footnoteReference w:id="618"/>
      </w:r>
      <w:r w:rsidRPr="006B2F21">
        <w:rPr>
          <w:szCs w:val="18"/>
        </w:rPr>
        <w:t xml:space="preserve"> Instead, each of these individual measures would be based on a separate and independent rationale, namely</w:t>
      </w:r>
      <w:r w:rsidR="00D30219">
        <w:rPr>
          <w:szCs w:val="18"/>
        </w:rPr>
        <w:t>,</w:t>
      </w:r>
      <w:r w:rsidRPr="006B2F21">
        <w:rPr>
          <w:szCs w:val="18"/>
        </w:rPr>
        <w:t xml:space="preserve"> the impossibility, in each particular instance, to complete the required steps in the conformity assessment procedure. This is how we understand the Panel's statement that "the fact that one of the three elements of the alleged systematic import prevention … unjustifiably restricts access to the Russian market is not sufficient to demonstrate the existence of systematic prevention of imports of Ukrainian products as an independent measure."</w:t>
      </w:r>
      <w:r w:rsidRPr="006B2F21">
        <w:rPr>
          <w:rStyle w:val="FootnoteReference"/>
          <w:szCs w:val="18"/>
        </w:rPr>
        <w:footnoteReference w:id="619"/>
      </w:r>
      <w:r w:rsidRPr="006B2F21">
        <w:rPr>
          <w:szCs w:val="18"/>
        </w:rPr>
        <w:t xml:space="preserve"> We </w:t>
      </w:r>
      <w:r w:rsidR="004016EA" w:rsidRPr="006B2F21">
        <w:rPr>
          <w:szCs w:val="18"/>
        </w:rPr>
        <w:t xml:space="preserve">consider </w:t>
      </w:r>
      <w:r w:rsidRPr="006B2F21">
        <w:rPr>
          <w:szCs w:val="18"/>
        </w:rPr>
        <w:t xml:space="preserve">that the Panel's language referring to the consistency or inconsistency of the suspensions and rejections was </w:t>
      </w:r>
      <w:r w:rsidR="004016EA" w:rsidRPr="006B2F21">
        <w:rPr>
          <w:szCs w:val="18"/>
        </w:rPr>
        <w:t xml:space="preserve">somewhat </w:t>
      </w:r>
      <w:r w:rsidRPr="006B2F21">
        <w:rPr>
          <w:szCs w:val="18"/>
        </w:rPr>
        <w:t xml:space="preserve">imprecise. However, as we see it, the Panel was </w:t>
      </w:r>
      <w:r w:rsidR="004016EA" w:rsidRPr="006B2F21">
        <w:rPr>
          <w:szCs w:val="18"/>
        </w:rPr>
        <w:t xml:space="preserve">in fact </w:t>
      </w:r>
      <w:r w:rsidRPr="006B2F21">
        <w:rPr>
          <w:szCs w:val="18"/>
        </w:rPr>
        <w:t>concerned with the rationale behind such decisions, which would reveal the relationship between them and thus the existence of a common plan. By contrast, a finding of inconsistency under Article 5.1.1 would imply that the concerns about the security situation in Ukraine and the safety for FBO inspectors did not constitute a valid justification for the suspensions and rejections at issue. The question would thus arise as to whether there was a different rationale behind the instructions suspending certificates and decisions rejecting applications for new certificates, including the rationale of preventing imports. As the Panel observed, "it is only if the circumstances justifying these decisions disappeared and they were nonetheless maintained or such decisions were nonetheless adopted in respect of new applications, that the issue would arise whether those measures form part of a comprehensive systematic import prevention that covers both the recognition of certificates issued in other CU countries and issuance of certificates in Russia."</w:t>
      </w:r>
      <w:r w:rsidRPr="006B2F21">
        <w:rPr>
          <w:rStyle w:val="FootnoteReference"/>
          <w:szCs w:val="18"/>
        </w:rPr>
        <w:footnoteReference w:id="620"/>
      </w:r>
      <w:r w:rsidRPr="006B2F21">
        <w:rPr>
          <w:szCs w:val="18"/>
        </w:rPr>
        <w:t xml:space="preserve"> Thus, while it may seem that the Panel's reasoning does not properly distinguish between existence and consistency of the alleged measure, we consider that in fact the Panel considered the consistency of components of the measures only insofar as the </w:t>
      </w:r>
      <w:r w:rsidRPr="006B2F21">
        <w:rPr>
          <w:i/>
          <w:szCs w:val="18"/>
        </w:rPr>
        <w:t>justification</w:t>
      </w:r>
      <w:r w:rsidRPr="006B2F21">
        <w:rPr>
          <w:szCs w:val="18"/>
        </w:rPr>
        <w:t xml:space="preserve"> underlying their consistency would lead to the conclusion that these decisions were taken independently from one another and not </w:t>
      </w:r>
      <w:r w:rsidRPr="006B2F21">
        <w:rPr>
          <w:i/>
          <w:szCs w:val="18"/>
        </w:rPr>
        <w:t>as part of a common plan</w:t>
      </w:r>
      <w:r w:rsidRPr="006B2F21">
        <w:rPr>
          <w:szCs w:val="18"/>
        </w:rPr>
        <w:t xml:space="preserve">. In turn, finding no evidence of a common plan or organized effort to prevent the importation into Russia of Ukrainian railway products would suggest no overarching unwritten measure of systematic import prevention existed in the present case. </w:t>
      </w:r>
    </w:p>
    <w:p w14:paraId="75183833" w14:textId="3F7ADF50" w:rsidR="00C1190C" w:rsidRPr="006B2F21" w:rsidRDefault="00C1190C" w:rsidP="006B2F21">
      <w:pPr>
        <w:pStyle w:val="BodyText"/>
        <w:numPr>
          <w:ilvl w:val="6"/>
          <w:numId w:val="1"/>
        </w:numPr>
        <w:rPr>
          <w:szCs w:val="18"/>
        </w:rPr>
      </w:pPr>
      <w:r w:rsidRPr="006B2F21">
        <w:rPr>
          <w:szCs w:val="18"/>
        </w:rPr>
        <w:t>When the Panel's focus on the consistency or inconsistency of the suspensions and rejections challenged on an individual basis with certain provisions of the TBT Agreement is seen in context of the broader objective of its analysis, it is clear that the rationale behind the enacting of the individual measures was crucial for finding the existence of "a single, coherent measure with a common aim of preventing imports of Ukrainian products through any means possible".</w:t>
      </w:r>
      <w:r w:rsidRPr="006B2F21">
        <w:rPr>
          <w:rStyle w:val="FootnoteReference"/>
          <w:szCs w:val="18"/>
        </w:rPr>
        <w:footnoteReference w:id="621"/>
      </w:r>
      <w:r w:rsidRPr="006B2F21">
        <w:rPr>
          <w:szCs w:val="18"/>
        </w:rPr>
        <w:t xml:space="preserve"> Specifically, the fact that this rationale related to the absence of conditions in Ukraine to conduct part of the conformity assessment procedure spoke against Ukraine's argument that there was a common import prevention objective behind these individual measures. This also explains the Panel's initial focus on the challenged measures only, for which there was already evidence on the record relating to the rationale for taking them. In the same vein, by stating that the substantial repetition in the number of suspensions was not probative of the measure's existence due to the absence of evidence regarding the rationale behind such suspensions, the Panel in our view considered that such statistics themselves did not reveal the existence of an aim to achieve a particular policy or result, thereby proving the existence and systematic nature of an unwritten overarching measure. </w:t>
      </w:r>
    </w:p>
    <w:p w14:paraId="3D310127" w14:textId="100A1C21" w:rsidR="00C1190C" w:rsidRPr="006B2F21" w:rsidRDefault="00C1190C" w:rsidP="006B2F21">
      <w:pPr>
        <w:pStyle w:val="BodyText"/>
        <w:numPr>
          <w:ilvl w:val="6"/>
          <w:numId w:val="1"/>
        </w:numPr>
        <w:rPr>
          <w:szCs w:val="18"/>
        </w:rPr>
      </w:pPr>
      <w:r w:rsidRPr="006B2F21">
        <w:rPr>
          <w:szCs w:val="18"/>
        </w:rPr>
        <w:t>Therefore, in our view, the Panel's focus on the rationale underlying the instructions and decisions formed an important part of its analysis as to the existence of the unwritten measure in the particular circumstances of the case. Moreover, we note that the alleged measure, as described by Ukraine, contains in itself an element of inconsistency. Thus, if the suspensions, rejections, and non</w:t>
      </w:r>
      <w:r w:rsidRPr="006B2F21">
        <w:rPr>
          <w:szCs w:val="18"/>
        </w:rPr>
        <w:noBreakHyphen/>
        <w:t xml:space="preserve">recognition operate together with an underlying "systematic import prevention" rationale, such an overarching "import prevention" measure would very likely be found to be inconsistent under the GATT 1994. We recall that determining the existence of an alleged unwritten measure and </w:t>
      </w:r>
      <w:r w:rsidR="00765D4A" w:rsidRPr="006B2F21">
        <w:rPr>
          <w:szCs w:val="18"/>
        </w:rPr>
        <w:t xml:space="preserve">assessing </w:t>
      </w:r>
      <w:r w:rsidRPr="006B2F21">
        <w:rPr>
          <w:szCs w:val="18"/>
        </w:rPr>
        <w:t xml:space="preserve">the consistency of this measure or its components with the covered agreements remain separate </w:t>
      </w:r>
      <w:r w:rsidRPr="006B2F21">
        <w:rPr>
          <w:szCs w:val="18"/>
        </w:rPr>
        <w:lastRenderedPageBreak/>
        <w:t>steps. At the same time, the specific measure challenged and the way in which it is described or characterized by a complainant will inform the kind of evidence a complainant is required to submit and the elements that it must establish, in order to determine the existence of the challenged measure. In the circumstances of the present case, because Ukraine's description of the measure incorporated the term "import prevention" and because most individual components of the measure were found by the Panel to have a rationale different from "import prevention", the Panel's task of assessing the question of existence of the measure separately from the question of its consistency was rendered particularly difficult. Moreover, as noted above, it was not the Panel's logic that, because the components of the measure were not inconsistent with the TBT Agreement, the overarching measure could not exist. Rather, in the presence of valid justifications explaining why the individual suspensions and rejections were made and relating to concerns about the safety of FBO inspectors, there was no basis for a finding that the different parts of the alleged measure operated together as a single measure distinct from its components. For instance, even if all certificates of Ukrainian railway equipment were suspended or rejected due to the impossibility to conduct off</w:t>
      </w:r>
      <w:r w:rsidRPr="006B2F21">
        <w:rPr>
          <w:szCs w:val="18"/>
        </w:rPr>
        <w:noBreakHyphen/>
        <w:t>site inspections</w:t>
      </w:r>
      <w:r w:rsidR="00920A0B" w:rsidRPr="006B2F21">
        <w:rPr>
          <w:szCs w:val="18"/>
        </w:rPr>
        <w:t>,</w:t>
      </w:r>
      <w:r w:rsidRPr="006B2F21">
        <w:rPr>
          <w:szCs w:val="18"/>
        </w:rPr>
        <w:t xml:space="preserve"> that would not translate into an organized effort to prevent importation, unless the impossibility to conduct such inspections was only a pretext and a different unifying rationale existed. In other words, the Panel simply did not consider that Ukraine presented sufficient evidence revealing the existence of a common plan aimed at import prevention behind the components of the alleged overarching measure. </w:t>
      </w:r>
    </w:p>
    <w:p w14:paraId="1C05FC21" w14:textId="26A109D5" w:rsidR="00C1190C" w:rsidRPr="006B2F21" w:rsidRDefault="00C1190C" w:rsidP="006B2F21">
      <w:pPr>
        <w:pStyle w:val="BodyText"/>
        <w:numPr>
          <w:ilvl w:val="6"/>
          <w:numId w:val="1"/>
        </w:numPr>
        <w:rPr>
          <w:szCs w:val="18"/>
        </w:rPr>
      </w:pPr>
      <w:r w:rsidRPr="006B2F21">
        <w:rPr>
          <w:szCs w:val="18"/>
        </w:rPr>
        <w:t xml:space="preserve">Moreover, while Ukraine relied extensively on the panel and the Appellate Body's rationale for determining the existence of an unwritten measure in </w:t>
      </w:r>
      <w:r w:rsidRPr="006B2F21">
        <w:rPr>
          <w:i/>
          <w:szCs w:val="18"/>
        </w:rPr>
        <w:t>Argentina – Import Measures</w:t>
      </w:r>
      <w:r w:rsidRPr="006B2F21">
        <w:rPr>
          <w:szCs w:val="18"/>
        </w:rPr>
        <w:t xml:space="preserve">, the alleged measure at issue in the present case is different. Unlike </w:t>
      </w:r>
      <w:r w:rsidR="005022AB" w:rsidRPr="006B2F21">
        <w:rPr>
          <w:szCs w:val="18"/>
        </w:rPr>
        <w:t xml:space="preserve">the European Union </w:t>
      </w:r>
      <w:r w:rsidRPr="006B2F21">
        <w:rPr>
          <w:szCs w:val="18"/>
        </w:rPr>
        <w:t xml:space="preserve">in </w:t>
      </w:r>
      <w:r w:rsidRPr="006B2F21">
        <w:rPr>
          <w:i/>
          <w:szCs w:val="18"/>
        </w:rPr>
        <w:t>Argentina</w:t>
      </w:r>
      <w:r w:rsidR="00277676" w:rsidRPr="006B2F21">
        <w:rPr>
          <w:i/>
          <w:szCs w:val="18"/>
        </w:rPr>
        <w:t> </w:t>
      </w:r>
      <w:r w:rsidRPr="006B2F21">
        <w:rPr>
          <w:i/>
          <w:szCs w:val="18"/>
        </w:rPr>
        <w:t>–</w:t>
      </w:r>
      <w:r w:rsidR="00277676" w:rsidRPr="006B2F21">
        <w:rPr>
          <w:i/>
          <w:szCs w:val="18"/>
        </w:rPr>
        <w:t> </w:t>
      </w:r>
      <w:r w:rsidRPr="006B2F21">
        <w:rPr>
          <w:i/>
          <w:szCs w:val="18"/>
        </w:rPr>
        <w:t>Import Measures</w:t>
      </w:r>
      <w:r w:rsidRPr="006B2F21">
        <w:rPr>
          <w:szCs w:val="18"/>
        </w:rPr>
        <w:t xml:space="preserve">, </w:t>
      </w:r>
      <w:r w:rsidR="005022AB" w:rsidRPr="006B2F21">
        <w:rPr>
          <w:szCs w:val="18"/>
        </w:rPr>
        <w:t xml:space="preserve">here </w:t>
      </w:r>
      <w:r w:rsidRPr="006B2F21">
        <w:rPr>
          <w:szCs w:val="18"/>
        </w:rPr>
        <w:t xml:space="preserve">Ukraine challenged part of the unwritten measure's components on an individual basis. In this context, the task of the Panel was to determine whether an interaction existed between these individual components, such that they in combination functioned in a manner distinct from their individual operation. Thus, the Panel's understanding of the content and operation of the components on an individual basis, including the rationale underlying their enacting, formed part of its analysis as to whether the different components operated together as a single measure aimed at achieving a particular policy. In </w:t>
      </w:r>
      <w:r w:rsidRPr="006B2F21">
        <w:rPr>
          <w:i/>
          <w:szCs w:val="18"/>
        </w:rPr>
        <w:t>Argentina – Import Measures</w:t>
      </w:r>
      <w:r w:rsidRPr="006B2F21">
        <w:rPr>
          <w:szCs w:val="18"/>
        </w:rPr>
        <w:t>, there was also "extensive evidence on the [p]anel record showing that the TRRs measure implements the 'managed trade' policy, and that this policy has been announced in public statements and speeches and on government websites by high</w:t>
      </w:r>
      <w:r w:rsidRPr="006B2F21">
        <w:rPr>
          <w:szCs w:val="18"/>
        </w:rPr>
        <w:noBreakHyphen/>
        <w:t>ranking Argentine Government officials, including the President, the Minister of Industry, and the Secretary of Trade".</w:t>
      </w:r>
      <w:r w:rsidRPr="006B2F21">
        <w:rPr>
          <w:rStyle w:val="FootnoteReference"/>
          <w:szCs w:val="18"/>
        </w:rPr>
        <w:footnoteReference w:id="622"/>
      </w:r>
      <w:r w:rsidRPr="006B2F21">
        <w:rPr>
          <w:szCs w:val="18"/>
        </w:rPr>
        <w:t xml:space="preserve"> This evidence suggested that "these TRRs are interlinked and operate together as part of a single measure and will continue to be imposed in the future unless and until the policy is repealed or modified."</w:t>
      </w:r>
      <w:r w:rsidRPr="006B2F21">
        <w:rPr>
          <w:rStyle w:val="FootnoteReference"/>
          <w:szCs w:val="18"/>
        </w:rPr>
        <w:footnoteReference w:id="623"/>
      </w:r>
      <w:r w:rsidRPr="006B2F21">
        <w:rPr>
          <w:szCs w:val="18"/>
        </w:rPr>
        <w:t xml:space="preserve"> Differently, in the present case, the Panel found that the evidence presented by Ukraine regarding the "set of trade restrictive measures" did not establish the existence of an underlying policy behind the suspensions and rejections. In particular, the Panel considered that "[t]he media articles that Ukraine has presented point to tensions in the bilateral relationship in connection with the negotiation and conclusion by Ukraine of </w:t>
      </w:r>
      <w:r w:rsidR="00BB4F2A" w:rsidRPr="006B2F21">
        <w:rPr>
          <w:szCs w:val="18"/>
        </w:rPr>
        <w:t>[the]</w:t>
      </w:r>
      <w:r w:rsidRPr="006B2F21">
        <w:rPr>
          <w:szCs w:val="18"/>
        </w:rPr>
        <w:t xml:space="preserve"> Association Agreement", and "refer to trade action that Russian authorities might take or did take against Ukraine in response".</w:t>
      </w:r>
      <w:r w:rsidRPr="006B2F21">
        <w:rPr>
          <w:rStyle w:val="FootnoteReference"/>
          <w:szCs w:val="18"/>
        </w:rPr>
        <w:footnoteReference w:id="624"/>
      </w:r>
      <w:r w:rsidRPr="006B2F21">
        <w:rPr>
          <w:szCs w:val="18"/>
        </w:rPr>
        <w:t xml:space="preserve"> However, ultimately, the evidence did not demonstrate that "Russia adopted a plan or decided to embark on an organized effort to prevent the importation into Russia of Ukrainian products in general or Ukrainian railway products in particular", and "even if trade</w:t>
      </w:r>
      <w:r w:rsidRPr="006B2F21">
        <w:rPr>
          <w:szCs w:val="18"/>
        </w:rPr>
        <w:noBreakHyphen/>
        <w:t>restrictive measures were taken with regard to some Ukrainian products, this does not necessarily mean that such measures were taken also with regard to Ukrainian railway products."</w:t>
      </w:r>
      <w:r w:rsidRPr="006B2F21">
        <w:rPr>
          <w:rStyle w:val="FootnoteReference"/>
          <w:szCs w:val="18"/>
        </w:rPr>
        <w:footnoteReference w:id="625"/>
      </w:r>
      <w:r w:rsidRPr="006B2F21">
        <w:rPr>
          <w:szCs w:val="18"/>
        </w:rPr>
        <w:t xml:space="preserve"> </w:t>
      </w:r>
    </w:p>
    <w:p w14:paraId="2CA631FD" w14:textId="799E64CC" w:rsidR="00C1190C" w:rsidRPr="00F410EE" w:rsidRDefault="00C1190C" w:rsidP="00F410EE">
      <w:pPr>
        <w:pStyle w:val="BodyText"/>
        <w:numPr>
          <w:ilvl w:val="6"/>
          <w:numId w:val="1"/>
        </w:numPr>
        <w:rPr>
          <w:szCs w:val="18"/>
        </w:rPr>
      </w:pPr>
      <w:r w:rsidRPr="00F410EE">
        <w:rPr>
          <w:szCs w:val="18"/>
        </w:rPr>
        <w:t>In this regard, Ukraine submits that</w:t>
      </w:r>
      <w:r w:rsidRPr="00F410EE">
        <w:rPr>
          <w:rFonts w:eastAsia="Verdana" w:cs="Verdana"/>
          <w:szCs w:val="18"/>
        </w:rPr>
        <w:t xml:space="preserve"> the </w:t>
      </w:r>
      <w:r w:rsidRPr="00F410EE">
        <w:rPr>
          <w:szCs w:val="18"/>
        </w:rPr>
        <w:t>Panel</w:t>
      </w:r>
      <w:r w:rsidRPr="00F410EE">
        <w:rPr>
          <w:rFonts w:eastAsia="Verdana" w:cs="Verdana"/>
          <w:szCs w:val="18"/>
        </w:rPr>
        <w:t xml:space="preserve"> allocated an excessive burden of proof on Ukraine in establishing the existence of the measure, in particular due to its unwritten nature.</w:t>
      </w:r>
      <w:r w:rsidRPr="006B2F21">
        <w:rPr>
          <w:rStyle w:val="FootnoteReference"/>
          <w:rFonts w:eastAsia="Verdana" w:cs="Verdana"/>
          <w:szCs w:val="18"/>
        </w:rPr>
        <w:footnoteReference w:id="626"/>
      </w:r>
      <w:r w:rsidRPr="00F410EE">
        <w:rPr>
          <w:rFonts w:eastAsia="Verdana" w:cs="Verdana"/>
          <w:szCs w:val="18"/>
        </w:rPr>
        <w:t xml:space="preserve"> Ukraine relies on the panel's findings in </w:t>
      </w:r>
      <w:r w:rsidRPr="00F410EE">
        <w:rPr>
          <w:rFonts w:eastAsia="Verdana" w:cs="Verdana"/>
          <w:i/>
          <w:iCs/>
          <w:szCs w:val="18"/>
        </w:rPr>
        <w:t>Argentina – Import Measures</w:t>
      </w:r>
      <w:r w:rsidRPr="00F410EE">
        <w:rPr>
          <w:rFonts w:eastAsia="Verdana" w:cs="Verdana"/>
          <w:szCs w:val="18"/>
        </w:rPr>
        <w:t>, in which the panel disagreed with Argentina's contention that journalistic material cannot be "considered to have any probative</w:t>
      </w:r>
      <w:r w:rsidR="00F410EE" w:rsidRPr="00F410EE">
        <w:rPr>
          <w:rFonts w:eastAsia="Verdana" w:cs="Verdana"/>
          <w:szCs w:val="18"/>
        </w:rPr>
        <w:br/>
      </w:r>
      <w:r w:rsidR="00F410EE" w:rsidRPr="00F410EE">
        <w:rPr>
          <w:rFonts w:eastAsia="Verdana" w:cs="Verdana"/>
          <w:szCs w:val="18"/>
        </w:rPr>
        <w:br w:type="column"/>
      </w:r>
      <w:r w:rsidRPr="00F410EE">
        <w:rPr>
          <w:rFonts w:eastAsia="Verdana" w:cs="Verdana"/>
          <w:szCs w:val="18"/>
        </w:rPr>
        <w:lastRenderedPageBreak/>
        <w:t>value" in ascertaining the existence of an unwritten measure.</w:t>
      </w:r>
      <w:r w:rsidRPr="006B2F21">
        <w:rPr>
          <w:rStyle w:val="FootnoteReference"/>
          <w:rFonts w:eastAsia="Verdana" w:cs="Verdana"/>
          <w:szCs w:val="18"/>
        </w:rPr>
        <w:footnoteReference w:id="627"/>
      </w:r>
      <w:r w:rsidRPr="00F410EE">
        <w:rPr>
          <w:rFonts w:eastAsia="Verdana" w:cs="Verdana"/>
          <w:szCs w:val="18"/>
        </w:rPr>
        <w:t xml:space="preserve"> However, </w:t>
      </w:r>
      <w:r w:rsidRPr="00F410EE">
        <w:rPr>
          <w:szCs w:val="18"/>
        </w:rPr>
        <w:t xml:space="preserve">as we see it, rather than questioning the credibility of the media articles provided by Ukraine as a source of information, the Panel did not consider them specific enough to establish the existence and systematic nature of an alleged systematic prevention measure applicable to Ukrainian railway equipment. </w:t>
      </w:r>
    </w:p>
    <w:p w14:paraId="7ED892FE" w14:textId="77777777" w:rsidR="00C1190C" w:rsidRPr="006B2F21" w:rsidRDefault="00C1190C" w:rsidP="006B2F21">
      <w:pPr>
        <w:pStyle w:val="BodyText"/>
        <w:numPr>
          <w:ilvl w:val="6"/>
          <w:numId w:val="1"/>
        </w:numPr>
        <w:rPr>
          <w:szCs w:val="18"/>
        </w:rPr>
      </w:pPr>
      <w:r w:rsidRPr="006B2F21">
        <w:rPr>
          <w:szCs w:val="18"/>
        </w:rPr>
        <w:t>The Panel's conclusion with respect to the media articles presented by Ukraine also demonstrates that the Panel's finding as to the existence of the alleged unwritten measure was not based only on its assessment of the rationale behind the suspensions and rejections. Furthermore, the Panel analysed certain import trade data which, in Ukraine's view, supported the existence of the alleged systematic import prevention.</w:t>
      </w:r>
      <w:r w:rsidRPr="006B2F21">
        <w:rPr>
          <w:rStyle w:val="FootnoteReference"/>
          <w:szCs w:val="18"/>
        </w:rPr>
        <w:footnoteReference w:id="628"/>
      </w:r>
      <w:r w:rsidRPr="006B2F21">
        <w:rPr>
          <w:szCs w:val="18"/>
        </w:rPr>
        <w:t xml:space="preserve"> The Panel concluded that "[t]he evidence does not demonstrate that the cause of the decrease in Ukraine's imports and import share in Russia was more likely than not the alleged existence of a systematic prevention of imports by Russia", and that "there is evidence on record suggesting that there are other causes that could explain the decrease of imports of Ukrainian railway products into Russia."</w:t>
      </w:r>
      <w:r w:rsidRPr="006B2F21">
        <w:rPr>
          <w:rStyle w:val="FootnoteReference"/>
          <w:szCs w:val="18"/>
        </w:rPr>
        <w:footnoteReference w:id="629"/>
      </w:r>
      <w:r w:rsidRPr="006B2F21">
        <w:rPr>
          <w:szCs w:val="18"/>
        </w:rPr>
        <w:t xml:space="preserve"> On appeal, Ukraine does not take issue with this part of the Panel's analysis and conclusions, which was also independent from the Panel's assessment of the rationale behind the suspensions and rejections. </w:t>
      </w:r>
    </w:p>
    <w:p w14:paraId="558C238B" w14:textId="77777777" w:rsidR="00C1190C" w:rsidRPr="006B2F21" w:rsidRDefault="00C1190C" w:rsidP="006B2F21">
      <w:pPr>
        <w:pStyle w:val="BodyText"/>
        <w:numPr>
          <w:ilvl w:val="6"/>
          <w:numId w:val="1"/>
        </w:numPr>
        <w:rPr>
          <w:szCs w:val="18"/>
        </w:rPr>
      </w:pPr>
      <w:r w:rsidRPr="006B2F21">
        <w:rPr>
          <w:szCs w:val="18"/>
        </w:rPr>
        <w:t>Thus, in making its ultimate finding that Ukraine failed to demonstrate that Russia systematically prevented the importation of Ukrainian railway products into Russia, the Panel relied on the following conclusions:</w:t>
      </w:r>
    </w:p>
    <w:p w14:paraId="7C3C5C57" w14:textId="77777777" w:rsidR="00C1190C" w:rsidRPr="006B2F21" w:rsidRDefault="00C1190C" w:rsidP="006B2F21">
      <w:pPr>
        <w:pStyle w:val="Quotation"/>
      </w:pPr>
      <w:r w:rsidRPr="006B2F21">
        <w:t xml:space="preserve">[T]he evidence on record does not establish that </w:t>
      </w:r>
      <w:r w:rsidRPr="006B2F21">
        <w:rPr>
          <w:i/>
        </w:rPr>
        <w:t>the three elements</w:t>
      </w:r>
      <w:r w:rsidRPr="006B2F21">
        <w:t xml:space="preserve"> of the alleged systematic import prevention (suspension of certificates, rejection of certificates, and the general non</w:t>
      </w:r>
      <w:r w:rsidRPr="006B2F21">
        <w:noBreakHyphen/>
        <w:t xml:space="preserve">recognition of certificates issued in other CU countries) </w:t>
      </w:r>
      <w:r w:rsidRPr="006B2F21">
        <w:rPr>
          <w:i/>
        </w:rPr>
        <w:t>have been designed, structured, or operated in combination so as to constitute a separate measure</w:t>
      </w:r>
      <w:r w:rsidRPr="006B2F21">
        <w:t xml:space="preserve"> with the aim of systematically preventing imports of Ukrainian railway products into Russia. </w:t>
      </w:r>
    </w:p>
    <w:p w14:paraId="32AF756F" w14:textId="77777777" w:rsidR="00C1190C" w:rsidRPr="006B2F21" w:rsidRDefault="00C1190C" w:rsidP="006B2F21">
      <w:pPr>
        <w:pStyle w:val="Quotation"/>
      </w:pPr>
      <w:r w:rsidRPr="006B2F21">
        <w:t xml:space="preserve">Moreover, the evidence does not establish that those elements </w:t>
      </w:r>
      <w:r w:rsidRPr="006B2F21">
        <w:rPr>
          <w:i/>
        </w:rPr>
        <w:t>form part of a plan or coordinated effort directed at attaining the aim</w:t>
      </w:r>
      <w:r w:rsidRPr="006B2F21">
        <w:t xml:space="preserve"> of preventing the importation of Ukrainian railway products into Russia. </w:t>
      </w:r>
    </w:p>
    <w:p w14:paraId="1038F8AC" w14:textId="77777777" w:rsidR="00C1190C" w:rsidRPr="006B2F21" w:rsidRDefault="00C1190C" w:rsidP="006B2F21">
      <w:pPr>
        <w:pStyle w:val="Quotation"/>
      </w:pPr>
      <w:r w:rsidRPr="006B2F21">
        <w:t xml:space="preserve">Finally, </w:t>
      </w:r>
      <w:r w:rsidRPr="006B2F21">
        <w:rPr>
          <w:i/>
        </w:rPr>
        <w:t>the trade and other economic data submitted by Ukraine also does not establish the existence of the alleged systematic import prevention</w:t>
      </w:r>
      <w:r w:rsidRPr="006B2F21">
        <w:t>. The evidence does not demonstrate that the cause of the decrease in Ukraine's imports and import share in Russia was more likely than not the alleged existence of a systematic prevention of imports by Russia. Rather, we consider that there is evidence on record suggesting that there are other causes that could explain the decrease of imports of Ukrainian railway products into Russia.</w:t>
      </w:r>
      <w:r w:rsidRPr="006B2F21">
        <w:rPr>
          <w:rStyle w:val="FootnoteReference"/>
        </w:rPr>
        <w:footnoteReference w:id="630"/>
      </w:r>
    </w:p>
    <w:p w14:paraId="74A88DB0" w14:textId="77777777" w:rsidR="00C1190C" w:rsidRPr="006B2F21" w:rsidRDefault="00C1190C" w:rsidP="006B2F21">
      <w:pPr>
        <w:pStyle w:val="BodyText"/>
        <w:numPr>
          <w:ilvl w:val="6"/>
          <w:numId w:val="1"/>
        </w:numPr>
        <w:rPr>
          <w:szCs w:val="18"/>
        </w:rPr>
      </w:pPr>
      <w:r w:rsidRPr="006B2F21">
        <w:rPr>
          <w:szCs w:val="18"/>
        </w:rPr>
        <w:t>In examining the design, structure, and operation of the three elements of the alleged measure, including Ukraine's argument as to the substantial repetition of suspensions and rejections, the Panel focused on the existence of evidence regarding the rationale behind the suspensions of certificates, rejections of applications for new certificates, and the non</w:t>
      </w:r>
      <w:r w:rsidRPr="006B2F21">
        <w:rPr>
          <w:szCs w:val="18"/>
        </w:rPr>
        <w:noBreakHyphen/>
        <w:t xml:space="preserve">recognition requirement. In this respect, we took the view that it was not unreasonable for the Panel to rely on such evidence in determining the existence of a common policy or plan of import prevention connecting the various components of the alleged measure, as opposed to a finding that each of those components was based on the impossibility to complete the required steps in the conformity assessment procedure. Moreover, as noted, the Panel's ultimate finding did not rely only on that logic. Notably, the assessment of Ukraine's argument about the "set of trade restrictive measures", as well as the </w:t>
      </w:r>
      <w:r w:rsidRPr="006B2F21">
        <w:rPr>
          <w:szCs w:val="18"/>
        </w:rPr>
        <w:lastRenderedPageBreak/>
        <w:t>import trade data submitted by Ukraine, also led the Panel to conclude that there was no sufficient evidence demonstrating the existence of the alleged systematic import prevention.</w:t>
      </w:r>
    </w:p>
    <w:p w14:paraId="0150836A" w14:textId="77777777" w:rsidR="00C1190C" w:rsidRPr="006B2F21" w:rsidRDefault="00C1190C" w:rsidP="006B2F21">
      <w:pPr>
        <w:pStyle w:val="BodyText"/>
        <w:numPr>
          <w:ilvl w:val="6"/>
          <w:numId w:val="1"/>
        </w:numPr>
        <w:rPr>
          <w:szCs w:val="18"/>
        </w:rPr>
      </w:pPr>
      <w:r w:rsidRPr="006B2F21">
        <w:rPr>
          <w:szCs w:val="18"/>
        </w:rPr>
        <w:t>Finally, we recall that, in reviewing a panel's assessment of the measure at issue, the Appellate Body "will not lightly interfere" with the panel's factual findings, including those concerning "how a municipal law has been applied, the opinions of experts, administrative practice, or pronouncements of domestic courts".</w:t>
      </w:r>
      <w:r w:rsidRPr="006B2F21">
        <w:rPr>
          <w:rStyle w:val="FootnoteReference"/>
          <w:szCs w:val="18"/>
        </w:rPr>
        <w:footnoteReference w:id="631"/>
      </w:r>
      <w:r w:rsidRPr="006B2F21">
        <w:rPr>
          <w:szCs w:val="18"/>
        </w:rPr>
        <w:t xml:space="preserve"> Instead, for a claim under Article 11 to succeed, the Appellate Body must be satisfied that the panel "has exceeded its authority as trier of facts".</w:t>
      </w:r>
      <w:r w:rsidRPr="006B2F21">
        <w:rPr>
          <w:rStyle w:val="FootnoteReference"/>
          <w:szCs w:val="18"/>
        </w:rPr>
        <w:footnoteReference w:id="632"/>
      </w:r>
      <w:r w:rsidRPr="006B2F21">
        <w:rPr>
          <w:szCs w:val="18"/>
        </w:rPr>
        <w:t xml:space="preserve"> In the present case, the Panel thoroughly examined both parties' evidence, assessed the credibility of that evidence, and reached its findings on this basis. For its part, Ukraine does not explain how a different approach by the Panel to examining the evidence on the record would have led to a different conclusion. </w:t>
      </w:r>
    </w:p>
    <w:p w14:paraId="08CE3155" w14:textId="77777777" w:rsidR="00C1190C" w:rsidRPr="006B2F21" w:rsidRDefault="00C1190C" w:rsidP="006B2F21">
      <w:pPr>
        <w:pStyle w:val="BodyText"/>
        <w:numPr>
          <w:ilvl w:val="6"/>
          <w:numId w:val="1"/>
        </w:numPr>
        <w:rPr>
          <w:szCs w:val="18"/>
        </w:rPr>
      </w:pPr>
      <w:r w:rsidRPr="006B2F21">
        <w:rPr>
          <w:szCs w:val="18"/>
        </w:rPr>
        <w:t>In sum, given the characteristics of the alleged unwritten measure, as presented by Ukraine, and the Panel's assessment of the evidence on the record, we do not consider that the Panel erred in its objective assessment of the matter before it under Article 11 of the DSU in finding that Ukraine failed to demonstrate that Russia systematically prevented the importation of Ukrainian railway products into Russia.</w:t>
      </w:r>
    </w:p>
    <w:p w14:paraId="694749B7" w14:textId="77777777" w:rsidR="00C1190C" w:rsidRPr="006B2F21" w:rsidRDefault="00C1190C" w:rsidP="006B2F21">
      <w:pPr>
        <w:pStyle w:val="Heading3"/>
        <w:numPr>
          <w:ilvl w:val="2"/>
          <w:numId w:val="1"/>
        </w:numPr>
        <w:rPr>
          <w:szCs w:val="18"/>
        </w:rPr>
      </w:pPr>
      <w:bookmarkStart w:id="233" w:name="_Toc26805649"/>
      <w:bookmarkStart w:id="234" w:name="_Toc31381023"/>
      <w:r w:rsidRPr="006B2F21">
        <w:rPr>
          <w:szCs w:val="18"/>
        </w:rPr>
        <w:t>Conclusion</w:t>
      </w:r>
      <w:bookmarkEnd w:id="233"/>
      <w:bookmarkEnd w:id="234"/>
      <w:r w:rsidRPr="006B2F21">
        <w:rPr>
          <w:szCs w:val="18"/>
        </w:rPr>
        <w:t xml:space="preserve"> </w:t>
      </w:r>
    </w:p>
    <w:p w14:paraId="6EE3F3E4" w14:textId="77777777" w:rsidR="00C1190C" w:rsidRPr="006B2F21" w:rsidRDefault="00C1190C" w:rsidP="006B2F21">
      <w:pPr>
        <w:pStyle w:val="BodyText"/>
        <w:numPr>
          <w:ilvl w:val="6"/>
          <w:numId w:val="1"/>
        </w:numPr>
        <w:rPr>
          <w:szCs w:val="18"/>
        </w:rPr>
      </w:pPr>
      <w:r w:rsidRPr="006B2F21">
        <w:rPr>
          <w:szCs w:val="18"/>
        </w:rPr>
        <w:t xml:space="preserve">The Panel properly considered whether the individual components of the alleged unwritten measure form part of a common plan to prevent imports of Ukrainian products into Russia. The Panel also did not err in taking into consideration the rationale underlying these individual suspensions and rejections. </w:t>
      </w:r>
    </w:p>
    <w:p w14:paraId="3A106478" w14:textId="77777777" w:rsidR="00C1190C" w:rsidRPr="006B2F21" w:rsidRDefault="00C1190C" w:rsidP="006B2F21">
      <w:pPr>
        <w:pStyle w:val="BodyText"/>
        <w:numPr>
          <w:ilvl w:val="6"/>
          <w:numId w:val="1"/>
        </w:numPr>
        <w:rPr>
          <w:szCs w:val="18"/>
        </w:rPr>
      </w:pPr>
      <w:r w:rsidRPr="006B2F21">
        <w:rPr>
          <w:szCs w:val="18"/>
        </w:rPr>
        <w:t xml:space="preserve">We therefore </w:t>
      </w:r>
      <w:r w:rsidRPr="006B2F21">
        <w:rPr>
          <w:szCs w:val="18"/>
          <w:u w:val="single"/>
        </w:rPr>
        <w:t>find</w:t>
      </w:r>
      <w:r w:rsidRPr="006B2F21">
        <w:rPr>
          <w:szCs w:val="18"/>
        </w:rPr>
        <w:t xml:space="preserve"> that Ukraine has not established that the Panel failed to make an objective assessment of the matter before it under Article 11 of the DSU in finding that Ukraine failed to demonstrate that Russia systematically prevented the importation of Ukrainian railway products into Russia.</w:t>
      </w:r>
    </w:p>
    <w:p w14:paraId="21EB2623" w14:textId="48DBE247" w:rsidR="00C1190C" w:rsidRPr="006B2F21" w:rsidRDefault="00C1190C" w:rsidP="006B2F21">
      <w:pPr>
        <w:pStyle w:val="Heading1"/>
        <w:rPr>
          <w:szCs w:val="18"/>
        </w:rPr>
      </w:pPr>
      <w:bookmarkStart w:id="235" w:name="_Toc26805650"/>
      <w:bookmarkStart w:id="236" w:name="_Toc31381024"/>
      <w:r w:rsidRPr="006B2F21">
        <w:rPr>
          <w:szCs w:val="18"/>
        </w:rPr>
        <w:t>Findings and conclusions</w:t>
      </w:r>
      <w:bookmarkEnd w:id="235"/>
      <w:bookmarkEnd w:id="236"/>
    </w:p>
    <w:p w14:paraId="6B79FC28" w14:textId="78327EAD" w:rsidR="00C1190C" w:rsidRPr="006B2F21" w:rsidRDefault="00C1190C" w:rsidP="006B2F21">
      <w:pPr>
        <w:pStyle w:val="BodyText"/>
        <w:numPr>
          <w:ilvl w:val="6"/>
          <w:numId w:val="13"/>
        </w:numPr>
        <w:rPr>
          <w:szCs w:val="18"/>
        </w:rPr>
      </w:pPr>
      <w:r w:rsidRPr="006B2F21">
        <w:rPr>
          <w:szCs w:val="18"/>
        </w:rPr>
        <w:t>For the reasons set out in this Report, the Appellate</w:t>
      </w:r>
      <w:r w:rsidR="00685156" w:rsidRPr="006B2F21">
        <w:rPr>
          <w:szCs w:val="18"/>
        </w:rPr>
        <w:t> Body</w:t>
      </w:r>
      <w:r w:rsidRPr="006B2F21">
        <w:rPr>
          <w:szCs w:val="18"/>
        </w:rPr>
        <w:t xml:space="preserve"> makes the following findings and conclusions:</w:t>
      </w:r>
    </w:p>
    <w:p w14:paraId="41CB7D06" w14:textId="77777777" w:rsidR="00C1190C" w:rsidRPr="006B2F21" w:rsidRDefault="00C1190C" w:rsidP="006B2F21">
      <w:pPr>
        <w:pStyle w:val="Heading2"/>
        <w:numPr>
          <w:ilvl w:val="1"/>
          <w:numId w:val="23"/>
        </w:numPr>
        <w:rPr>
          <w:szCs w:val="18"/>
        </w:rPr>
      </w:pPr>
      <w:bookmarkStart w:id="237" w:name="_Toc31381025"/>
      <w:r w:rsidRPr="006B2F21">
        <w:rPr>
          <w:szCs w:val="18"/>
        </w:rPr>
        <w:t>The Panel's preliminary ruling</w:t>
      </w:r>
      <w:bookmarkEnd w:id="237"/>
    </w:p>
    <w:p w14:paraId="368817A3" w14:textId="77777777" w:rsidR="00C1190C" w:rsidRPr="006B2F21" w:rsidRDefault="00C1190C" w:rsidP="006B2F21">
      <w:pPr>
        <w:pStyle w:val="BodyText"/>
        <w:rPr>
          <w:szCs w:val="18"/>
        </w:rPr>
      </w:pPr>
      <w:r w:rsidRPr="006B2F21">
        <w:rPr>
          <w:szCs w:val="18"/>
        </w:rPr>
        <w:t xml:space="preserve">Russia has not established that the Panel erred in determining the scope of its terms of reference in this dispute. </w:t>
      </w:r>
    </w:p>
    <w:p w14:paraId="1DFF947F" w14:textId="123BEF7A" w:rsidR="00C1190C" w:rsidRPr="006B2F21" w:rsidRDefault="00C1190C" w:rsidP="006B2F21">
      <w:pPr>
        <w:pStyle w:val="BodyText2"/>
        <w:numPr>
          <w:ilvl w:val="7"/>
          <w:numId w:val="13"/>
        </w:numPr>
        <w:rPr>
          <w:szCs w:val="18"/>
        </w:rPr>
      </w:pPr>
      <w:r w:rsidRPr="006B2F21">
        <w:rPr>
          <w:szCs w:val="18"/>
        </w:rPr>
        <w:t xml:space="preserve">We therefore </w:t>
      </w:r>
      <w:r w:rsidRPr="006B2F21">
        <w:rPr>
          <w:szCs w:val="18"/>
          <w:u w:val="single"/>
        </w:rPr>
        <w:t>uphold</w:t>
      </w:r>
      <w:r w:rsidRPr="006B2F21">
        <w:rPr>
          <w:szCs w:val="18"/>
        </w:rPr>
        <w:t xml:space="preserve"> the Panel's finding</w:t>
      </w:r>
      <w:r w:rsidR="00EA7984" w:rsidRPr="006B2F21">
        <w:rPr>
          <w:szCs w:val="18"/>
        </w:rPr>
        <w:t>,</w:t>
      </w:r>
      <w:r w:rsidRPr="006B2F21">
        <w:rPr>
          <w:szCs w:val="18"/>
        </w:rPr>
        <w:t xml:space="preserve"> in paragraphs 8.1.a.i, 8.1.d.iv, and</w:t>
      </w:r>
      <w:r w:rsidR="003A79E5" w:rsidRPr="006B2F21">
        <w:rPr>
          <w:szCs w:val="18"/>
        </w:rPr>
        <w:t> </w:t>
      </w:r>
      <w:r w:rsidRPr="006B2F21">
        <w:rPr>
          <w:szCs w:val="18"/>
        </w:rPr>
        <w:t>8.1.d.v of the Panel</w:t>
      </w:r>
      <w:r w:rsidR="00685156" w:rsidRPr="006B2F21">
        <w:rPr>
          <w:szCs w:val="18"/>
        </w:rPr>
        <w:t> Report</w:t>
      </w:r>
      <w:r w:rsidR="00EA7984" w:rsidRPr="006B2F21">
        <w:rPr>
          <w:szCs w:val="18"/>
        </w:rPr>
        <w:t>,</w:t>
      </w:r>
      <w:r w:rsidRPr="006B2F21">
        <w:rPr>
          <w:szCs w:val="18"/>
        </w:rPr>
        <w:t xml:space="preserve"> that Russia has failed to establish that Ukraine's panel request is inconsistent with Article 6.2 of the DSU.</w:t>
      </w:r>
    </w:p>
    <w:p w14:paraId="70F07C2A" w14:textId="4D3C3D47" w:rsidR="00C1190C" w:rsidRPr="006B2F21" w:rsidRDefault="00C1190C" w:rsidP="006B2F21">
      <w:pPr>
        <w:pStyle w:val="Heading2"/>
        <w:numPr>
          <w:ilvl w:val="1"/>
          <w:numId w:val="13"/>
        </w:numPr>
        <w:rPr>
          <w:szCs w:val="18"/>
        </w:rPr>
      </w:pPr>
      <w:bookmarkStart w:id="238" w:name="_Toc31381026"/>
      <w:r w:rsidRPr="006B2F21">
        <w:rPr>
          <w:szCs w:val="18"/>
        </w:rPr>
        <w:t>The third measure as a "general" non</w:t>
      </w:r>
      <w:r w:rsidR="00540416" w:rsidRPr="006B2F21">
        <w:rPr>
          <w:szCs w:val="18"/>
        </w:rPr>
        <w:noBreakHyphen/>
      </w:r>
      <w:r w:rsidRPr="006B2F21">
        <w:rPr>
          <w:szCs w:val="18"/>
        </w:rPr>
        <w:t>recognition requirement</w:t>
      </w:r>
      <w:bookmarkEnd w:id="238"/>
      <w:r w:rsidRPr="006B2F21">
        <w:rPr>
          <w:szCs w:val="18"/>
        </w:rPr>
        <w:t xml:space="preserve"> </w:t>
      </w:r>
    </w:p>
    <w:p w14:paraId="54D841A8" w14:textId="1C6097BC" w:rsidR="00C1190C" w:rsidRPr="006B2F21" w:rsidRDefault="00C1190C" w:rsidP="006B2F21">
      <w:pPr>
        <w:pStyle w:val="BodyText"/>
        <w:numPr>
          <w:ilvl w:val="6"/>
          <w:numId w:val="13"/>
        </w:numPr>
        <w:rPr>
          <w:szCs w:val="18"/>
        </w:rPr>
      </w:pPr>
      <w:r w:rsidRPr="006B2F21">
        <w:rPr>
          <w:szCs w:val="18"/>
        </w:rPr>
        <w:t>Russia has not established that the Panel acted inconsistently with Article 11 of the DSU in finding that the third measure is of a "</w:t>
      </w:r>
      <w:r w:rsidR="003E7DA0" w:rsidRPr="006B2F21">
        <w:rPr>
          <w:szCs w:val="18"/>
        </w:rPr>
        <w:t>general</w:t>
      </w:r>
      <w:r w:rsidRPr="006B2F21">
        <w:rPr>
          <w:szCs w:val="18"/>
        </w:rPr>
        <w:t xml:space="preserve">" character and flows </w:t>
      </w:r>
      <w:r w:rsidR="003E7DA0" w:rsidRPr="006B2F21">
        <w:rPr>
          <w:szCs w:val="18"/>
        </w:rPr>
        <w:t xml:space="preserve">from </w:t>
      </w:r>
      <w:r w:rsidRPr="006B2F21">
        <w:rPr>
          <w:szCs w:val="18"/>
        </w:rPr>
        <w:t>CU Technical Regulation</w:t>
      </w:r>
      <w:r w:rsidR="00C548D3">
        <w:rPr>
          <w:szCs w:val="18"/>
        </w:rPr>
        <w:t> </w:t>
      </w:r>
      <w:r w:rsidRPr="006B2F21">
        <w:rPr>
          <w:szCs w:val="18"/>
        </w:rPr>
        <w:t>001/2011</w:t>
      </w:r>
      <w:r w:rsidR="0094610E" w:rsidRPr="006B2F21">
        <w:rPr>
          <w:szCs w:val="18"/>
        </w:rPr>
        <w:t>.</w:t>
      </w:r>
      <w:r w:rsidRPr="006B2F21">
        <w:rPr>
          <w:szCs w:val="18"/>
        </w:rPr>
        <w:t xml:space="preserve"> </w:t>
      </w:r>
    </w:p>
    <w:p w14:paraId="075BA12D" w14:textId="0395A4F6" w:rsidR="00C1190C" w:rsidRPr="006B2F21" w:rsidRDefault="00C1190C" w:rsidP="00C548D3">
      <w:pPr>
        <w:pStyle w:val="BodyText2"/>
        <w:keepNext/>
        <w:numPr>
          <w:ilvl w:val="7"/>
          <w:numId w:val="19"/>
        </w:numPr>
        <w:rPr>
          <w:szCs w:val="18"/>
        </w:rPr>
      </w:pPr>
      <w:r w:rsidRPr="006B2F21">
        <w:rPr>
          <w:szCs w:val="18"/>
        </w:rPr>
        <w:t xml:space="preserve">We therefore </w:t>
      </w:r>
      <w:r w:rsidRPr="006B2F21">
        <w:rPr>
          <w:szCs w:val="18"/>
          <w:u w:val="single"/>
        </w:rPr>
        <w:t>uphold</w:t>
      </w:r>
      <w:r w:rsidRPr="006B2F21">
        <w:rPr>
          <w:szCs w:val="18"/>
        </w:rPr>
        <w:t xml:space="preserve"> the Panel's finding</w:t>
      </w:r>
      <w:r w:rsidR="00C37363" w:rsidRPr="006B2F21">
        <w:rPr>
          <w:szCs w:val="18"/>
        </w:rPr>
        <w:t>,</w:t>
      </w:r>
      <w:r w:rsidRPr="006B2F21">
        <w:rPr>
          <w:szCs w:val="18"/>
        </w:rPr>
        <w:t xml:space="preserve"> in paragraph 7.861 </w:t>
      </w:r>
      <w:r w:rsidR="00C37363" w:rsidRPr="006B2F21">
        <w:rPr>
          <w:szCs w:val="18"/>
        </w:rPr>
        <w:t xml:space="preserve">of the Panel Report, </w:t>
      </w:r>
      <w:r w:rsidRPr="006B2F21">
        <w:rPr>
          <w:szCs w:val="18"/>
        </w:rPr>
        <w:t xml:space="preserve">that the third measure as a general non-recognition requirement, which the relevant Russian </w:t>
      </w:r>
      <w:r w:rsidRPr="006B2F21">
        <w:rPr>
          <w:szCs w:val="18"/>
        </w:rPr>
        <w:lastRenderedPageBreak/>
        <w:t>authorities considered to flow from CU</w:t>
      </w:r>
      <w:r w:rsidR="006C6674">
        <w:rPr>
          <w:szCs w:val="18"/>
        </w:rPr>
        <w:t xml:space="preserve"> </w:t>
      </w:r>
      <w:r w:rsidRPr="006B2F21">
        <w:rPr>
          <w:szCs w:val="18"/>
        </w:rPr>
        <w:t>Technical Regulation</w:t>
      </w:r>
      <w:r w:rsidR="006C6674">
        <w:rPr>
          <w:szCs w:val="18"/>
        </w:rPr>
        <w:t xml:space="preserve"> </w:t>
      </w:r>
      <w:r w:rsidRPr="006B2F21">
        <w:rPr>
          <w:szCs w:val="18"/>
        </w:rPr>
        <w:t xml:space="preserve">001/2011, had been demonstrated to exist. </w:t>
      </w:r>
    </w:p>
    <w:p w14:paraId="6142F856" w14:textId="26CD97CE" w:rsidR="00C1190C" w:rsidRPr="006B2F21" w:rsidRDefault="00C1190C" w:rsidP="006B2F21">
      <w:pPr>
        <w:pStyle w:val="Heading2"/>
        <w:numPr>
          <w:ilvl w:val="1"/>
          <w:numId w:val="13"/>
        </w:numPr>
        <w:rPr>
          <w:szCs w:val="18"/>
        </w:rPr>
      </w:pPr>
      <w:bookmarkStart w:id="239" w:name="_Toc31381027"/>
      <w:r w:rsidRPr="006B2F21">
        <w:rPr>
          <w:szCs w:val="18"/>
        </w:rPr>
        <w:t>The third measure as a single measure</w:t>
      </w:r>
      <w:bookmarkEnd w:id="239"/>
    </w:p>
    <w:p w14:paraId="613DF5E6" w14:textId="77777777" w:rsidR="00C1190C" w:rsidRPr="006B2F21" w:rsidRDefault="00C1190C" w:rsidP="006B2F21">
      <w:pPr>
        <w:pStyle w:val="BodyText"/>
        <w:numPr>
          <w:ilvl w:val="6"/>
          <w:numId w:val="13"/>
        </w:numPr>
        <w:rPr>
          <w:szCs w:val="18"/>
        </w:rPr>
      </w:pPr>
      <w:r w:rsidRPr="006B2F21">
        <w:rPr>
          <w:szCs w:val="18"/>
        </w:rPr>
        <w:t xml:space="preserve">Russia has not established that Ukraine failed to meet its </w:t>
      </w:r>
      <w:r w:rsidRPr="006B2F21">
        <w:rPr>
          <w:i/>
          <w:szCs w:val="18"/>
        </w:rPr>
        <w:t>prima facie</w:t>
      </w:r>
      <w:r w:rsidRPr="006B2F21">
        <w:rPr>
          <w:szCs w:val="18"/>
        </w:rPr>
        <w:t xml:space="preserve"> burden to establish the existence of the third measure as a single measure. </w:t>
      </w:r>
    </w:p>
    <w:p w14:paraId="210F5FA9" w14:textId="0DC56691" w:rsidR="00C1190C" w:rsidRPr="006B2F21" w:rsidRDefault="00C1190C" w:rsidP="006B2F21">
      <w:pPr>
        <w:pStyle w:val="BodyText2"/>
        <w:numPr>
          <w:ilvl w:val="7"/>
          <w:numId w:val="18"/>
        </w:numPr>
        <w:rPr>
          <w:szCs w:val="18"/>
        </w:rPr>
      </w:pPr>
      <w:r w:rsidRPr="006B2F21">
        <w:rPr>
          <w:szCs w:val="18"/>
        </w:rPr>
        <w:t xml:space="preserve">We therefore </w:t>
      </w:r>
      <w:r w:rsidRPr="006B2F21">
        <w:rPr>
          <w:szCs w:val="18"/>
          <w:u w:val="single"/>
        </w:rPr>
        <w:t>uphold</w:t>
      </w:r>
      <w:r w:rsidRPr="006B2F21">
        <w:rPr>
          <w:szCs w:val="18"/>
        </w:rPr>
        <w:t xml:space="preserve"> the Panel's finding</w:t>
      </w:r>
      <w:r w:rsidR="00C37363" w:rsidRPr="006B2F21">
        <w:rPr>
          <w:szCs w:val="18"/>
        </w:rPr>
        <w:t>,</w:t>
      </w:r>
      <w:r w:rsidRPr="006B2F21">
        <w:rPr>
          <w:szCs w:val="18"/>
        </w:rPr>
        <w:t xml:space="preserve"> in paragraph 7.861 </w:t>
      </w:r>
      <w:r w:rsidR="00C37363" w:rsidRPr="006B2F21">
        <w:rPr>
          <w:szCs w:val="18"/>
        </w:rPr>
        <w:t xml:space="preserve">of the Panel Report, </w:t>
      </w:r>
      <w:r w:rsidRPr="006B2F21">
        <w:rPr>
          <w:szCs w:val="18"/>
        </w:rPr>
        <w:t xml:space="preserve">that the third measure had been demonstrated to exist. </w:t>
      </w:r>
    </w:p>
    <w:p w14:paraId="65D58778" w14:textId="0B5BD0CE" w:rsidR="00C1190C" w:rsidRPr="006B2F21" w:rsidRDefault="00C1190C" w:rsidP="006B2F21">
      <w:pPr>
        <w:pStyle w:val="Heading2"/>
        <w:numPr>
          <w:ilvl w:val="1"/>
          <w:numId w:val="13"/>
        </w:numPr>
        <w:rPr>
          <w:szCs w:val="18"/>
        </w:rPr>
      </w:pPr>
      <w:bookmarkStart w:id="240" w:name="_Toc31381028"/>
      <w:r w:rsidRPr="006B2F21">
        <w:rPr>
          <w:szCs w:val="18"/>
        </w:rPr>
        <w:t xml:space="preserve">The </w:t>
      </w:r>
      <w:r w:rsidR="00F605DF" w:rsidRPr="006B2F21">
        <w:rPr>
          <w:szCs w:val="18"/>
        </w:rPr>
        <w:t xml:space="preserve">third measure and the </w:t>
      </w:r>
      <w:r w:rsidRPr="006B2F21">
        <w:rPr>
          <w:szCs w:val="18"/>
        </w:rPr>
        <w:t>Panel's terms of reference</w:t>
      </w:r>
      <w:bookmarkEnd w:id="240"/>
      <w:r w:rsidRPr="006B2F21">
        <w:rPr>
          <w:szCs w:val="18"/>
        </w:rPr>
        <w:t xml:space="preserve"> </w:t>
      </w:r>
    </w:p>
    <w:p w14:paraId="4BBB05D2" w14:textId="77777777" w:rsidR="00C1190C" w:rsidRPr="006B2F21" w:rsidRDefault="00C1190C" w:rsidP="006B2F21">
      <w:pPr>
        <w:pStyle w:val="BodyText"/>
        <w:numPr>
          <w:ilvl w:val="6"/>
          <w:numId w:val="13"/>
        </w:numPr>
        <w:rPr>
          <w:szCs w:val="18"/>
        </w:rPr>
      </w:pPr>
      <w:r w:rsidRPr="006B2F21">
        <w:rPr>
          <w:szCs w:val="18"/>
        </w:rPr>
        <w:t>Russia's claim regarding the terms of reference concerning the third measure is based on the premise that the Panel erred in its preliminary ruling. We have rejected that allegation of error and upheld the Panel's preliminary ruling.</w:t>
      </w:r>
    </w:p>
    <w:p w14:paraId="60DB3376" w14:textId="643D11EF" w:rsidR="00C1190C" w:rsidRPr="006B2F21" w:rsidRDefault="00C1190C" w:rsidP="006B2F21">
      <w:pPr>
        <w:pStyle w:val="BodyText2"/>
        <w:numPr>
          <w:ilvl w:val="7"/>
          <w:numId w:val="13"/>
        </w:numPr>
        <w:rPr>
          <w:szCs w:val="18"/>
        </w:rPr>
      </w:pPr>
      <w:r w:rsidRPr="006B2F21">
        <w:rPr>
          <w:szCs w:val="18"/>
        </w:rPr>
        <w:t xml:space="preserve">Consequently, we </w:t>
      </w:r>
      <w:r w:rsidRPr="006B2F21">
        <w:rPr>
          <w:szCs w:val="18"/>
          <w:u w:val="single"/>
        </w:rPr>
        <w:t>uphold</w:t>
      </w:r>
      <w:r w:rsidRPr="006B2F21">
        <w:rPr>
          <w:szCs w:val="18"/>
        </w:rPr>
        <w:t xml:space="preserve"> the Panel's finding</w:t>
      </w:r>
      <w:r w:rsidR="00C37363" w:rsidRPr="006B2F21">
        <w:rPr>
          <w:szCs w:val="18"/>
        </w:rPr>
        <w:t>,</w:t>
      </w:r>
      <w:r w:rsidRPr="006B2F21">
        <w:rPr>
          <w:szCs w:val="18"/>
        </w:rPr>
        <w:t xml:space="preserve"> in paragraph</w:t>
      </w:r>
      <w:r w:rsidR="00C37363" w:rsidRPr="006B2F21">
        <w:rPr>
          <w:szCs w:val="18"/>
        </w:rPr>
        <w:t>s</w:t>
      </w:r>
      <w:r w:rsidRPr="006B2F21">
        <w:rPr>
          <w:szCs w:val="18"/>
        </w:rPr>
        <w:t xml:space="preserve"> 7.823 and 8.1.d.i of the Panel</w:t>
      </w:r>
      <w:r w:rsidR="00685156" w:rsidRPr="006B2F21">
        <w:rPr>
          <w:szCs w:val="18"/>
        </w:rPr>
        <w:t> Report</w:t>
      </w:r>
      <w:r w:rsidR="00C37363" w:rsidRPr="006B2F21">
        <w:rPr>
          <w:szCs w:val="18"/>
        </w:rPr>
        <w:t>,</w:t>
      </w:r>
      <w:r w:rsidRPr="006B2F21">
        <w:rPr>
          <w:szCs w:val="18"/>
        </w:rPr>
        <w:t xml:space="preserve"> that the non-recognition requirement based on the local production condition is properly before the Panel.</w:t>
      </w:r>
    </w:p>
    <w:p w14:paraId="54521E77" w14:textId="0B990060" w:rsidR="00C1190C" w:rsidRPr="006B2F21" w:rsidRDefault="00C1190C" w:rsidP="006B2F21">
      <w:pPr>
        <w:pStyle w:val="Heading2"/>
        <w:numPr>
          <w:ilvl w:val="1"/>
          <w:numId w:val="13"/>
        </w:numPr>
        <w:rPr>
          <w:szCs w:val="18"/>
        </w:rPr>
      </w:pPr>
      <w:bookmarkStart w:id="241" w:name="_Toc31381029"/>
      <w:r w:rsidRPr="006B2F21">
        <w:rPr>
          <w:szCs w:val="18"/>
        </w:rPr>
        <w:t xml:space="preserve">The </w:t>
      </w:r>
      <w:r w:rsidR="00F605DF" w:rsidRPr="006B2F21">
        <w:rPr>
          <w:szCs w:val="18"/>
        </w:rPr>
        <w:t xml:space="preserve">third measure and </w:t>
      </w:r>
      <w:r w:rsidRPr="006B2F21">
        <w:rPr>
          <w:szCs w:val="18"/>
        </w:rPr>
        <w:t>the local registration condition</w:t>
      </w:r>
      <w:bookmarkEnd w:id="241"/>
      <w:r w:rsidRPr="006B2F21">
        <w:rPr>
          <w:szCs w:val="18"/>
        </w:rPr>
        <w:t xml:space="preserve"> </w:t>
      </w:r>
    </w:p>
    <w:p w14:paraId="6D67AAF2" w14:textId="77777777" w:rsidR="00C1190C" w:rsidRPr="006B2F21" w:rsidRDefault="00C1190C" w:rsidP="006B2F21">
      <w:pPr>
        <w:pStyle w:val="BodyText"/>
        <w:numPr>
          <w:ilvl w:val="6"/>
          <w:numId w:val="13"/>
        </w:numPr>
        <w:rPr>
          <w:szCs w:val="18"/>
        </w:rPr>
      </w:pPr>
      <w:r w:rsidRPr="006B2F21">
        <w:rPr>
          <w:szCs w:val="18"/>
        </w:rPr>
        <w:t>The Panel's statements challenged by Russia as constituting "findings" concerning the local registration condition were either merely descriptive statements or concerned the third measure within the Panel's terms of reference.</w:t>
      </w:r>
    </w:p>
    <w:p w14:paraId="3D15FF73" w14:textId="77777777" w:rsidR="00C1190C" w:rsidRPr="006B2F21" w:rsidRDefault="00C1190C" w:rsidP="006B2F21">
      <w:pPr>
        <w:pStyle w:val="BodyText2"/>
        <w:numPr>
          <w:ilvl w:val="7"/>
          <w:numId w:val="17"/>
        </w:numPr>
        <w:rPr>
          <w:szCs w:val="18"/>
        </w:rPr>
      </w:pPr>
      <w:r w:rsidRPr="006B2F21">
        <w:rPr>
          <w:szCs w:val="18"/>
        </w:rPr>
        <w:t xml:space="preserve">Consequently, we </w:t>
      </w:r>
      <w:r w:rsidRPr="006B2F21">
        <w:rPr>
          <w:szCs w:val="18"/>
          <w:u w:val="single"/>
        </w:rPr>
        <w:t>find</w:t>
      </w:r>
      <w:r w:rsidRPr="006B2F21">
        <w:rPr>
          <w:szCs w:val="18"/>
        </w:rPr>
        <w:t xml:space="preserve"> that Russia has failed to establish that the Panel acted inconsistently with Article 11 of the DSU by continuing to make findings with respect to a matter that was not within its terms of reference.</w:t>
      </w:r>
    </w:p>
    <w:p w14:paraId="0FF5AA3C" w14:textId="2706771A" w:rsidR="00C1190C" w:rsidRPr="006B2F21" w:rsidRDefault="00C1190C" w:rsidP="006B2F21">
      <w:pPr>
        <w:pStyle w:val="Heading2"/>
        <w:numPr>
          <w:ilvl w:val="1"/>
          <w:numId w:val="13"/>
        </w:numPr>
        <w:rPr>
          <w:szCs w:val="18"/>
        </w:rPr>
      </w:pPr>
      <w:bookmarkStart w:id="242" w:name="_Toc31381030"/>
      <w:r w:rsidRPr="006B2F21">
        <w:rPr>
          <w:szCs w:val="18"/>
        </w:rPr>
        <w:t>Article</w:t>
      </w:r>
      <w:r w:rsidR="00685156" w:rsidRPr="006B2F21">
        <w:rPr>
          <w:szCs w:val="18"/>
        </w:rPr>
        <w:t> </w:t>
      </w:r>
      <w:r w:rsidRPr="006B2F21">
        <w:rPr>
          <w:szCs w:val="18"/>
        </w:rPr>
        <w:t>5.1.1 of the TBT Agreement</w:t>
      </w:r>
      <w:bookmarkEnd w:id="242"/>
    </w:p>
    <w:p w14:paraId="5E906FE6" w14:textId="24D7E2ED" w:rsidR="00C1190C" w:rsidRPr="006B2F21" w:rsidRDefault="00C1190C" w:rsidP="006B2F21">
      <w:pPr>
        <w:pStyle w:val="BodyText"/>
        <w:numPr>
          <w:ilvl w:val="6"/>
          <w:numId w:val="13"/>
        </w:numPr>
        <w:rPr>
          <w:szCs w:val="18"/>
        </w:rPr>
      </w:pPr>
      <w:r w:rsidRPr="006B2F21">
        <w:rPr>
          <w:szCs w:val="18"/>
        </w:rPr>
        <w:t>Under Article</w:t>
      </w:r>
      <w:r w:rsidR="00685156" w:rsidRPr="006B2F21">
        <w:rPr>
          <w:szCs w:val="18"/>
        </w:rPr>
        <w:t> </w:t>
      </w:r>
      <w:r w:rsidRPr="006B2F21">
        <w:rPr>
          <w:szCs w:val="18"/>
        </w:rPr>
        <w:t>5.1.1 of the TBT Agreement</w:t>
      </w:r>
      <w:r w:rsidR="00511A92" w:rsidRPr="006B2F21">
        <w:rPr>
          <w:szCs w:val="18"/>
        </w:rPr>
        <w:t>,</w:t>
      </w:r>
      <w:r w:rsidRPr="006B2F21">
        <w:rPr>
          <w:szCs w:val="18"/>
        </w:rPr>
        <w:t xml:space="preserve"> the assessment of whether access is granted under conditions no less favourable "in a comparable situation" should focus on factors having a bearing on the conditions for granting access to conformity assessment to suppliers of like products and the ability of the regulating Member to ensure compliance with the requirements in the underlying technical regulation or standard. </w:t>
      </w:r>
      <w:r w:rsidR="00B80628" w:rsidRPr="006B2F21">
        <w:rPr>
          <w:szCs w:val="18"/>
        </w:rPr>
        <w:t>Thus, factors relevant to the inquiry of whether a "comparable situation" exists have to affect the specific suppliers to which the conditions for access to conformity assessment granted by the importing Member relate.</w:t>
      </w:r>
    </w:p>
    <w:p w14:paraId="6621BBEB" w14:textId="15ABC27E" w:rsidR="00C1190C" w:rsidRPr="006B2F21" w:rsidRDefault="00B80628" w:rsidP="006B2F21">
      <w:pPr>
        <w:pStyle w:val="BodyText"/>
        <w:numPr>
          <w:ilvl w:val="6"/>
          <w:numId w:val="13"/>
        </w:numPr>
        <w:rPr>
          <w:szCs w:val="18"/>
        </w:rPr>
      </w:pPr>
      <w:r w:rsidRPr="006B2F21">
        <w:rPr>
          <w:szCs w:val="18"/>
        </w:rPr>
        <w:t>We consider that the Panel did not err in its interpretation of the phrase "in a comparable situation" in Article 5.1.1 of the TBT Agreement. However, i</w:t>
      </w:r>
      <w:r w:rsidR="00C1190C" w:rsidRPr="006B2F21">
        <w:rPr>
          <w:szCs w:val="18"/>
        </w:rPr>
        <w:t xml:space="preserve">n examining factors relevant for establishing the existence of a "comparable situation" in the particular circumstances of this case, the Panel </w:t>
      </w:r>
      <w:r w:rsidRPr="006B2F21">
        <w:rPr>
          <w:szCs w:val="18"/>
        </w:rPr>
        <w:t xml:space="preserve">relied too much on information concerning the security situation in Ukraine generally, and </w:t>
      </w:r>
      <w:r w:rsidR="00C1190C" w:rsidRPr="006B2F21">
        <w:rPr>
          <w:szCs w:val="18"/>
        </w:rPr>
        <w:t xml:space="preserve">did not focus sufficiently on aspects specific to the suppliers who are claimed to have been granted access under less favourable conditions or to the location of the suppliers' facilities. We therefore </w:t>
      </w:r>
      <w:r w:rsidR="00C1190C" w:rsidRPr="006B2F21">
        <w:rPr>
          <w:szCs w:val="18"/>
          <w:u w:val="single"/>
        </w:rPr>
        <w:t>find</w:t>
      </w:r>
      <w:r w:rsidR="00C1190C" w:rsidRPr="006B2F21">
        <w:rPr>
          <w:szCs w:val="18"/>
        </w:rPr>
        <w:t xml:space="preserve"> that the Panel erred in its application of Article 5.1.1 of the TBT Agreement to the facts of the present case in finding that, between April 2014 and December 2016, Ukrainian suppliers of railway products were denied no less favourable access in a situation that was not comparable to the situation in which Russia granted access to suppliers of Russian railway products and suppliers of railway products from other countries. For the same reasons, we </w:t>
      </w:r>
      <w:r w:rsidR="00C1190C" w:rsidRPr="006B2F21">
        <w:rPr>
          <w:szCs w:val="18"/>
          <w:u w:val="single"/>
        </w:rPr>
        <w:t>find</w:t>
      </w:r>
      <w:r w:rsidR="00C1190C" w:rsidRPr="006B2F21">
        <w:rPr>
          <w:szCs w:val="18"/>
        </w:rPr>
        <w:t xml:space="preserve"> that the Panel erred in its application of Article 5.1.1 of the TBT Agreement to the facts of the present case in finding that less favourable access conditions were granted to Ukrainian suppliers of railway products in a situation that was not comparable </w:t>
      </w:r>
      <w:r w:rsidR="006139C5" w:rsidRPr="006B2F21">
        <w:rPr>
          <w:szCs w:val="18"/>
        </w:rPr>
        <w:t xml:space="preserve">also in the context of </w:t>
      </w:r>
      <w:r w:rsidR="00C1190C" w:rsidRPr="006B2F21">
        <w:rPr>
          <w:szCs w:val="18"/>
        </w:rPr>
        <w:t>the two decisions through which the FBO rejected applications submitted by Ukrainian suppliers under CU</w:t>
      </w:r>
      <w:r w:rsidR="00D3633A">
        <w:rPr>
          <w:szCs w:val="18"/>
        </w:rPr>
        <w:t xml:space="preserve"> </w:t>
      </w:r>
      <w:r w:rsidR="00C1190C" w:rsidRPr="006B2F21">
        <w:rPr>
          <w:szCs w:val="18"/>
        </w:rPr>
        <w:t>Technical Regulation</w:t>
      </w:r>
      <w:r w:rsidR="00D3633A">
        <w:rPr>
          <w:szCs w:val="18"/>
        </w:rPr>
        <w:t xml:space="preserve"> </w:t>
      </w:r>
      <w:r w:rsidR="00C1190C" w:rsidRPr="006B2F21">
        <w:rPr>
          <w:szCs w:val="18"/>
        </w:rPr>
        <w:t>001/2011 (i.e.</w:t>
      </w:r>
      <w:r w:rsidR="00D30219">
        <w:rPr>
          <w:szCs w:val="18"/>
        </w:rPr>
        <w:t> </w:t>
      </w:r>
      <w:r w:rsidR="00C1190C" w:rsidRPr="006B2F21">
        <w:rPr>
          <w:szCs w:val="18"/>
        </w:rPr>
        <w:t>decisions 1 and 2).</w:t>
      </w:r>
    </w:p>
    <w:p w14:paraId="37331FC1" w14:textId="5B471C2E" w:rsidR="00C1190C" w:rsidRPr="006B2F21" w:rsidRDefault="00C1190C" w:rsidP="006B2F21">
      <w:pPr>
        <w:pStyle w:val="BodyText2"/>
        <w:numPr>
          <w:ilvl w:val="7"/>
          <w:numId w:val="13"/>
        </w:numPr>
        <w:rPr>
          <w:szCs w:val="18"/>
        </w:rPr>
      </w:pPr>
      <w:r w:rsidRPr="006B2F21">
        <w:rPr>
          <w:szCs w:val="18"/>
        </w:rPr>
        <w:t xml:space="preserve">Consequently, we </w:t>
      </w:r>
      <w:r w:rsidRPr="006B2F21">
        <w:rPr>
          <w:szCs w:val="18"/>
          <w:u w:val="single"/>
        </w:rPr>
        <w:t>reverse</w:t>
      </w:r>
      <w:r w:rsidRPr="006B2F21">
        <w:rPr>
          <w:szCs w:val="18"/>
        </w:rPr>
        <w:t xml:space="preserve"> the Panel's finding</w:t>
      </w:r>
      <w:r w:rsidR="00C37363" w:rsidRPr="006B2F21">
        <w:rPr>
          <w:szCs w:val="18"/>
        </w:rPr>
        <w:t>,</w:t>
      </w:r>
      <w:r w:rsidRPr="006B2F21">
        <w:rPr>
          <w:szCs w:val="18"/>
        </w:rPr>
        <w:t xml:space="preserve"> in paragraph</w:t>
      </w:r>
      <w:r w:rsidR="00C37363" w:rsidRPr="006B2F21">
        <w:rPr>
          <w:szCs w:val="18"/>
        </w:rPr>
        <w:t>s</w:t>
      </w:r>
      <w:r w:rsidRPr="006B2F21">
        <w:rPr>
          <w:szCs w:val="18"/>
        </w:rPr>
        <w:t xml:space="preserve"> 7.394 and 8.1.b.i of </w:t>
      </w:r>
      <w:r w:rsidR="00C37363" w:rsidRPr="006B2F21">
        <w:rPr>
          <w:szCs w:val="18"/>
        </w:rPr>
        <w:t xml:space="preserve">the Panel </w:t>
      </w:r>
      <w:r w:rsidRPr="006B2F21">
        <w:rPr>
          <w:szCs w:val="18"/>
        </w:rPr>
        <w:t>Report</w:t>
      </w:r>
      <w:r w:rsidR="00C37363" w:rsidRPr="006B2F21">
        <w:rPr>
          <w:szCs w:val="18"/>
        </w:rPr>
        <w:t>,</w:t>
      </w:r>
      <w:r w:rsidRPr="006B2F21">
        <w:rPr>
          <w:szCs w:val="18"/>
        </w:rPr>
        <w:t xml:space="preserve"> that Ukraine failed to establish, </w:t>
      </w:r>
      <w:r w:rsidR="00AC349B" w:rsidRPr="006B2F21">
        <w:rPr>
          <w:szCs w:val="18"/>
        </w:rPr>
        <w:t xml:space="preserve">with </w:t>
      </w:r>
      <w:r w:rsidRPr="006B2F21">
        <w:rPr>
          <w:szCs w:val="18"/>
        </w:rPr>
        <w:t xml:space="preserve">respect </w:t>
      </w:r>
      <w:r w:rsidR="00AC349B" w:rsidRPr="006B2F21">
        <w:rPr>
          <w:szCs w:val="18"/>
        </w:rPr>
        <w:t xml:space="preserve">to </w:t>
      </w:r>
      <w:r w:rsidRPr="006B2F21">
        <w:rPr>
          <w:szCs w:val="18"/>
        </w:rPr>
        <w:t>each of the 14</w:t>
      </w:r>
      <w:r w:rsidR="00A227A5" w:rsidRPr="006B2F21">
        <w:rPr>
          <w:szCs w:val="18"/>
        </w:rPr>
        <w:t> </w:t>
      </w:r>
      <w:r w:rsidRPr="006B2F21">
        <w:rPr>
          <w:szCs w:val="18"/>
        </w:rPr>
        <w:t xml:space="preserve">challenged </w:t>
      </w:r>
      <w:r w:rsidRPr="006B2F21">
        <w:rPr>
          <w:szCs w:val="18"/>
        </w:rPr>
        <w:lastRenderedPageBreak/>
        <w:t xml:space="preserve">instructions suspending certificates, that Russia acted inconsistently with its obligations under Article 5.1.1 of the TBT Agreement. </w:t>
      </w:r>
    </w:p>
    <w:p w14:paraId="3F5612D8" w14:textId="1AABE70F" w:rsidR="00C1190C" w:rsidRPr="006B2F21" w:rsidRDefault="00C1190C" w:rsidP="006B2F21">
      <w:pPr>
        <w:pStyle w:val="BodyText2"/>
        <w:numPr>
          <w:ilvl w:val="7"/>
          <w:numId w:val="13"/>
        </w:numPr>
        <w:rPr>
          <w:szCs w:val="18"/>
        </w:rPr>
      </w:pPr>
      <w:r w:rsidRPr="006B2F21">
        <w:rPr>
          <w:szCs w:val="18"/>
        </w:rPr>
        <w:t xml:space="preserve">We also </w:t>
      </w:r>
      <w:r w:rsidRPr="006B2F21">
        <w:rPr>
          <w:szCs w:val="18"/>
          <w:u w:val="single"/>
        </w:rPr>
        <w:t>reverse</w:t>
      </w:r>
      <w:r w:rsidRPr="006B2F21">
        <w:rPr>
          <w:szCs w:val="18"/>
        </w:rPr>
        <w:t xml:space="preserve"> the Panel's finding</w:t>
      </w:r>
      <w:r w:rsidR="00C37363" w:rsidRPr="006B2F21">
        <w:rPr>
          <w:szCs w:val="18"/>
        </w:rPr>
        <w:t>,</w:t>
      </w:r>
      <w:r w:rsidRPr="006B2F21">
        <w:rPr>
          <w:szCs w:val="18"/>
        </w:rPr>
        <w:t xml:space="preserve"> in paragraphs 7.638 and 8.1.c.i of </w:t>
      </w:r>
      <w:r w:rsidR="00C37363" w:rsidRPr="006B2F21">
        <w:rPr>
          <w:szCs w:val="18"/>
        </w:rPr>
        <w:t xml:space="preserve">the Panel </w:t>
      </w:r>
      <w:r w:rsidRPr="006B2F21">
        <w:rPr>
          <w:szCs w:val="18"/>
        </w:rPr>
        <w:t>Report</w:t>
      </w:r>
      <w:r w:rsidR="00C37363" w:rsidRPr="006B2F21">
        <w:rPr>
          <w:szCs w:val="18"/>
        </w:rPr>
        <w:t>,</w:t>
      </w:r>
      <w:r w:rsidRPr="006B2F21">
        <w:rPr>
          <w:szCs w:val="18"/>
        </w:rPr>
        <w:t xml:space="preserve"> that Ukraine failed to establish, </w:t>
      </w:r>
      <w:r w:rsidR="00BD6E12" w:rsidRPr="006B2F21">
        <w:rPr>
          <w:szCs w:val="18"/>
        </w:rPr>
        <w:t xml:space="preserve">with </w:t>
      </w:r>
      <w:r w:rsidRPr="006B2F21">
        <w:rPr>
          <w:szCs w:val="18"/>
        </w:rPr>
        <w:t xml:space="preserve">respect </w:t>
      </w:r>
      <w:r w:rsidR="00BD6E12" w:rsidRPr="006B2F21">
        <w:rPr>
          <w:szCs w:val="18"/>
        </w:rPr>
        <w:t xml:space="preserve">to </w:t>
      </w:r>
      <w:r w:rsidRPr="006B2F21">
        <w:rPr>
          <w:szCs w:val="18"/>
        </w:rPr>
        <w:t>the two decisions through which the FBO "returned without consideration" applications for certificates submitted by Ukrainian producers under CU Technical Regulation 001/2011, i.e.</w:t>
      </w:r>
      <w:r w:rsidR="00A227A5" w:rsidRPr="006B2F21">
        <w:rPr>
          <w:szCs w:val="18"/>
        </w:rPr>
        <w:t> </w:t>
      </w:r>
      <w:r w:rsidRPr="006B2F21">
        <w:rPr>
          <w:szCs w:val="18"/>
        </w:rPr>
        <w:t>decisions 1 and 2, that Russia acted inconsistently with its obligations under Article 5.1.1 of the TBT Agreement.</w:t>
      </w:r>
    </w:p>
    <w:p w14:paraId="641DB93D" w14:textId="77777777" w:rsidR="00C1190C" w:rsidRPr="006B2F21" w:rsidRDefault="00C1190C" w:rsidP="006B2F21">
      <w:pPr>
        <w:pStyle w:val="Heading2"/>
        <w:numPr>
          <w:ilvl w:val="1"/>
          <w:numId w:val="13"/>
        </w:numPr>
        <w:rPr>
          <w:szCs w:val="18"/>
        </w:rPr>
      </w:pPr>
      <w:bookmarkStart w:id="243" w:name="_Toc31381031"/>
      <w:r w:rsidRPr="006B2F21">
        <w:rPr>
          <w:szCs w:val="18"/>
        </w:rPr>
        <w:t>Article 5.1.2 of the TBT Agreement</w:t>
      </w:r>
      <w:bookmarkEnd w:id="243"/>
    </w:p>
    <w:p w14:paraId="63585205" w14:textId="573C3B3B" w:rsidR="00C1190C" w:rsidRPr="006B2F21" w:rsidRDefault="00C1190C" w:rsidP="006B2F21">
      <w:pPr>
        <w:pStyle w:val="BodyText"/>
        <w:numPr>
          <w:ilvl w:val="6"/>
          <w:numId w:val="13"/>
        </w:numPr>
        <w:rPr>
          <w:szCs w:val="18"/>
        </w:rPr>
      </w:pPr>
      <w:r w:rsidRPr="006B2F21">
        <w:rPr>
          <w:szCs w:val="18"/>
        </w:rPr>
        <w:t xml:space="preserve">Ukraine was not required to demonstrate, for purposes of showing that the proposed alternative measure consisting in the conduct of off-site inspections was </w:t>
      </w:r>
      <w:r w:rsidRPr="006B2F21">
        <w:rPr>
          <w:i/>
          <w:szCs w:val="18"/>
        </w:rPr>
        <w:t>prima facie</w:t>
      </w:r>
      <w:r w:rsidRPr="006B2F21">
        <w:rPr>
          <w:szCs w:val="18"/>
        </w:rPr>
        <w:t xml:space="preserve"> reasonably available, whether the measure described in Article 5.3 of CS FRT 12-2003 and Article 7.4.1 of PC-FZT 08</w:t>
      </w:r>
      <w:r w:rsidR="00D30219">
        <w:rPr>
          <w:szCs w:val="18"/>
        </w:rPr>
        <w:noBreakHyphen/>
      </w:r>
      <w:r w:rsidRPr="006B2F21">
        <w:rPr>
          <w:szCs w:val="18"/>
        </w:rPr>
        <w:t xml:space="preserve">2013 could have applied in the specific instances related to the suspensions of certificates at issue. However, the Panel reasoned that, because information on the absence of non-conformities and consumer complaints was in principle available to Ukraine, it was for Ukraine to submit evidence relating to the application of these conditions to the products covered by the suspensions at issue. We therefore </w:t>
      </w:r>
      <w:r w:rsidRPr="006B2F21">
        <w:rPr>
          <w:szCs w:val="18"/>
          <w:u w:val="single"/>
        </w:rPr>
        <w:t>find</w:t>
      </w:r>
      <w:r w:rsidRPr="006B2F21">
        <w:rPr>
          <w:szCs w:val="18"/>
        </w:rPr>
        <w:t xml:space="preserve"> that the Panel failed to make an objective assessment of the matter before it under Article 11 of the DSU in allocating the burden of proof under Article 5.1.2 of the TBT Agreement in its analysis of this alternative measure. We also </w:t>
      </w:r>
      <w:r w:rsidRPr="006B2F21">
        <w:rPr>
          <w:szCs w:val="18"/>
          <w:u w:val="single"/>
        </w:rPr>
        <w:t>find</w:t>
      </w:r>
      <w:r w:rsidRPr="006B2F21">
        <w:rPr>
          <w:szCs w:val="18"/>
        </w:rPr>
        <w:t xml:space="preserve"> that Ukraine failed to establish that the Panel erred in making an objective assessment of the matter before it pursuant to Article 11 of the DSU in finding that Ukraine failed to establish that the other three proposed alternatives were reasonably available.</w:t>
      </w:r>
    </w:p>
    <w:p w14:paraId="4E4F6321" w14:textId="4BB24940" w:rsidR="00C1190C" w:rsidRPr="006B2F21" w:rsidRDefault="00C1190C" w:rsidP="006B2F21">
      <w:pPr>
        <w:pStyle w:val="BodyText2"/>
        <w:numPr>
          <w:ilvl w:val="7"/>
          <w:numId w:val="13"/>
        </w:numPr>
        <w:rPr>
          <w:szCs w:val="18"/>
        </w:rPr>
      </w:pPr>
      <w:r w:rsidRPr="006B2F21">
        <w:rPr>
          <w:szCs w:val="18"/>
        </w:rPr>
        <w:t xml:space="preserve">Consequently, we </w:t>
      </w:r>
      <w:r w:rsidRPr="006B2F21">
        <w:rPr>
          <w:szCs w:val="18"/>
          <w:u w:val="single"/>
        </w:rPr>
        <w:t>reverse</w:t>
      </w:r>
      <w:r w:rsidRPr="006B2F21">
        <w:rPr>
          <w:szCs w:val="18"/>
        </w:rPr>
        <w:t xml:space="preserve"> the Panel's finding</w:t>
      </w:r>
      <w:r w:rsidR="00C37363" w:rsidRPr="006B2F21">
        <w:rPr>
          <w:szCs w:val="18"/>
        </w:rPr>
        <w:t>,</w:t>
      </w:r>
      <w:r w:rsidRPr="006B2F21">
        <w:rPr>
          <w:szCs w:val="18"/>
        </w:rPr>
        <w:t xml:space="preserve"> in paragraphs 7.544 and 8.1.b.ii </w:t>
      </w:r>
      <w:r w:rsidR="00C37363" w:rsidRPr="006B2F21">
        <w:rPr>
          <w:szCs w:val="18"/>
        </w:rPr>
        <w:t xml:space="preserve">of the Panel Report, </w:t>
      </w:r>
      <w:r w:rsidRPr="006B2F21">
        <w:rPr>
          <w:szCs w:val="18"/>
        </w:rPr>
        <w:t xml:space="preserve">that Ukraine failed to establish, </w:t>
      </w:r>
      <w:r w:rsidR="00BD6E12" w:rsidRPr="006B2F21">
        <w:rPr>
          <w:szCs w:val="18"/>
        </w:rPr>
        <w:t xml:space="preserve">with </w:t>
      </w:r>
      <w:r w:rsidRPr="006B2F21">
        <w:rPr>
          <w:szCs w:val="18"/>
        </w:rPr>
        <w:t xml:space="preserve">respect </w:t>
      </w:r>
      <w:r w:rsidR="00BD6E12" w:rsidRPr="006B2F21">
        <w:rPr>
          <w:szCs w:val="18"/>
        </w:rPr>
        <w:t xml:space="preserve">to </w:t>
      </w:r>
      <w:r w:rsidRPr="006B2F21">
        <w:rPr>
          <w:szCs w:val="18"/>
        </w:rPr>
        <w:t>each of the 14 instructions suspending certificates, that Russia has acted inconsistently with its obligations under Article 5.1.2, first and second sentence</w:t>
      </w:r>
      <w:r w:rsidR="00C37363" w:rsidRPr="006B2F21">
        <w:rPr>
          <w:szCs w:val="18"/>
        </w:rPr>
        <w:t>s</w:t>
      </w:r>
      <w:r w:rsidRPr="006B2F21">
        <w:rPr>
          <w:szCs w:val="18"/>
        </w:rPr>
        <w:t>, of the TBT Agreement.</w:t>
      </w:r>
    </w:p>
    <w:p w14:paraId="569AD69B" w14:textId="4AC13A57" w:rsidR="00C1190C" w:rsidRPr="006B2F21" w:rsidRDefault="00C1190C" w:rsidP="006B2F21">
      <w:pPr>
        <w:pStyle w:val="Heading2"/>
        <w:numPr>
          <w:ilvl w:val="1"/>
          <w:numId w:val="13"/>
        </w:numPr>
        <w:rPr>
          <w:szCs w:val="18"/>
        </w:rPr>
      </w:pPr>
      <w:bookmarkStart w:id="244" w:name="_Toc31381032"/>
      <w:r w:rsidRPr="006B2F21">
        <w:rPr>
          <w:szCs w:val="18"/>
        </w:rPr>
        <w:t xml:space="preserve">Systematic </w:t>
      </w:r>
      <w:r w:rsidR="004467B9" w:rsidRPr="006B2F21">
        <w:rPr>
          <w:szCs w:val="18"/>
        </w:rPr>
        <w:t>p</w:t>
      </w:r>
      <w:r w:rsidRPr="006B2F21">
        <w:rPr>
          <w:szCs w:val="18"/>
        </w:rPr>
        <w:t xml:space="preserve">revention of </w:t>
      </w:r>
      <w:r w:rsidR="004467B9" w:rsidRPr="006B2F21">
        <w:rPr>
          <w:szCs w:val="18"/>
        </w:rPr>
        <w:t>i</w:t>
      </w:r>
      <w:r w:rsidRPr="006B2F21">
        <w:rPr>
          <w:szCs w:val="18"/>
        </w:rPr>
        <w:t>mports</w:t>
      </w:r>
      <w:bookmarkEnd w:id="244"/>
    </w:p>
    <w:p w14:paraId="0D27EE8D" w14:textId="77777777" w:rsidR="00C1190C" w:rsidRPr="006B2F21" w:rsidRDefault="00C1190C" w:rsidP="006B2F21">
      <w:pPr>
        <w:pStyle w:val="BodyText"/>
        <w:numPr>
          <w:ilvl w:val="6"/>
          <w:numId w:val="13"/>
        </w:numPr>
        <w:rPr>
          <w:szCs w:val="18"/>
        </w:rPr>
      </w:pPr>
      <w:r w:rsidRPr="006B2F21">
        <w:rPr>
          <w:szCs w:val="18"/>
        </w:rPr>
        <w:t xml:space="preserve">The Panel properly considered whether the individual components of the alleged unwritten measure form part of a common plan to prevent imports of Ukrainian products into Russia. The Panel also did not err in taking into consideration the rationale underlying these individual suspensions and rejections. </w:t>
      </w:r>
    </w:p>
    <w:p w14:paraId="4FF73C76" w14:textId="77777777" w:rsidR="00C1190C" w:rsidRPr="006B2F21" w:rsidRDefault="00C1190C" w:rsidP="006B2F21">
      <w:pPr>
        <w:pStyle w:val="BodyText2"/>
        <w:numPr>
          <w:ilvl w:val="7"/>
          <w:numId w:val="13"/>
        </w:numPr>
        <w:rPr>
          <w:szCs w:val="18"/>
        </w:rPr>
      </w:pPr>
      <w:r w:rsidRPr="006B2F21">
        <w:rPr>
          <w:szCs w:val="18"/>
        </w:rPr>
        <w:t xml:space="preserve">We therefore </w:t>
      </w:r>
      <w:r w:rsidRPr="006B2F21">
        <w:rPr>
          <w:szCs w:val="18"/>
          <w:u w:val="single"/>
        </w:rPr>
        <w:t>find</w:t>
      </w:r>
      <w:r w:rsidRPr="006B2F21">
        <w:rPr>
          <w:szCs w:val="18"/>
        </w:rPr>
        <w:t xml:space="preserve"> that Ukraine has not established that the Panel failed to make an objective assessment of the matter before it under Article 11 of the DSU in finding that Ukraine failed to demonstrate that Russia systematically prevented the importation of Ukrainian railway products into Russia.</w:t>
      </w:r>
    </w:p>
    <w:p w14:paraId="5AD75F45" w14:textId="77777777" w:rsidR="00C1190C" w:rsidRPr="006B2F21" w:rsidRDefault="00C1190C" w:rsidP="006B2F21">
      <w:pPr>
        <w:pStyle w:val="Heading2"/>
        <w:numPr>
          <w:ilvl w:val="1"/>
          <w:numId w:val="13"/>
        </w:numPr>
        <w:rPr>
          <w:szCs w:val="18"/>
        </w:rPr>
      </w:pPr>
      <w:bookmarkStart w:id="245" w:name="_Toc4508058"/>
      <w:bookmarkStart w:id="246" w:name="_Toc5704531"/>
      <w:bookmarkStart w:id="247" w:name="_Toc31381033"/>
      <w:r w:rsidRPr="006B2F21">
        <w:rPr>
          <w:szCs w:val="18"/>
        </w:rPr>
        <w:t>Recommendation</w:t>
      </w:r>
      <w:bookmarkEnd w:id="245"/>
      <w:bookmarkEnd w:id="246"/>
      <w:bookmarkEnd w:id="247"/>
    </w:p>
    <w:p w14:paraId="36848C9E" w14:textId="422B8790" w:rsidR="00C1190C" w:rsidRPr="006B2F21" w:rsidRDefault="00C1190C" w:rsidP="006B2F21">
      <w:pPr>
        <w:pStyle w:val="BodyText"/>
        <w:numPr>
          <w:ilvl w:val="6"/>
          <w:numId w:val="13"/>
        </w:numPr>
        <w:rPr>
          <w:szCs w:val="18"/>
        </w:rPr>
      </w:pPr>
      <w:r w:rsidRPr="006B2F21">
        <w:rPr>
          <w:szCs w:val="18"/>
        </w:rPr>
        <w:t xml:space="preserve">The Appellate Body </w:t>
      </w:r>
      <w:r w:rsidRPr="006B2F21">
        <w:rPr>
          <w:szCs w:val="18"/>
          <w:u w:val="single"/>
        </w:rPr>
        <w:t>recommends</w:t>
      </w:r>
      <w:r w:rsidRPr="006B2F21">
        <w:rPr>
          <w:szCs w:val="18"/>
        </w:rPr>
        <w:t xml:space="preserve"> that the DSB request Russia to bring its measures found in this Report, and in the Panel Report as modified by this Report, to be inconsistent with the TBT Agreement and the GATT 1994, into conformity with its obligations under those Agreements.</w:t>
      </w:r>
    </w:p>
    <w:p w14:paraId="2329A017" w14:textId="77777777" w:rsidR="00A00A3F" w:rsidRPr="006B2F21" w:rsidRDefault="00A00A3F" w:rsidP="006B2F21">
      <w:pPr>
        <w:rPr>
          <w:szCs w:val="18"/>
        </w:rPr>
      </w:pPr>
      <w:r w:rsidRPr="006B2F21">
        <w:rPr>
          <w:szCs w:val="18"/>
        </w:rPr>
        <w:t>Signed in the original in Geneva this 6th day of December 2019 by:</w:t>
      </w:r>
    </w:p>
    <w:p w14:paraId="0EEF4862" w14:textId="77777777" w:rsidR="00A00A3F" w:rsidRDefault="00A00A3F" w:rsidP="00A00A3F">
      <w:pPr>
        <w:jc w:val="center"/>
      </w:pPr>
    </w:p>
    <w:p w14:paraId="4BA863F5" w14:textId="77777777" w:rsidR="00A00A3F" w:rsidRPr="00B55651" w:rsidRDefault="00A00A3F" w:rsidP="00A00A3F"/>
    <w:p w14:paraId="160F95B5" w14:textId="77777777" w:rsidR="00A00A3F" w:rsidRPr="006A77AC" w:rsidRDefault="00A00A3F" w:rsidP="00A00A3F">
      <w:pPr>
        <w:tabs>
          <w:tab w:val="center" w:pos="4536"/>
        </w:tabs>
        <w:rPr>
          <w:b/>
        </w:rPr>
      </w:pPr>
      <w:r w:rsidRPr="006A77AC">
        <w:rPr>
          <w:b/>
        </w:rPr>
        <w:tab/>
        <w:t>_________________________</w:t>
      </w:r>
    </w:p>
    <w:p w14:paraId="6EEF0336" w14:textId="77777777" w:rsidR="00A00A3F" w:rsidRPr="00B55651" w:rsidRDefault="00A00A3F" w:rsidP="00A00A3F">
      <w:pPr>
        <w:tabs>
          <w:tab w:val="center" w:pos="4536"/>
        </w:tabs>
      </w:pPr>
      <w:r>
        <w:tab/>
        <w:t>Thomas R. Graham</w:t>
      </w:r>
    </w:p>
    <w:p w14:paraId="625B333D" w14:textId="77777777" w:rsidR="00A00A3F" w:rsidRPr="00B55651" w:rsidRDefault="00A00A3F" w:rsidP="00A00A3F">
      <w:pPr>
        <w:tabs>
          <w:tab w:val="center" w:pos="4536"/>
        </w:tabs>
      </w:pPr>
      <w:r>
        <w:tab/>
      </w:r>
      <w:r w:rsidRPr="00B55651">
        <w:t>Presiding Member</w:t>
      </w:r>
    </w:p>
    <w:p w14:paraId="5FC9987B" w14:textId="77777777" w:rsidR="00A00A3F" w:rsidRPr="00B55651" w:rsidRDefault="00A00A3F" w:rsidP="00A00A3F"/>
    <w:p w14:paraId="53EB810C" w14:textId="77777777" w:rsidR="00A00A3F" w:rsidRPr="00B55651" w:rsidRDefault="00A00A3F" w:rsidP="00A00A3F"/>
    <w:p w14:paraId="216EB67D" w14:textId="77777777" w:rsidR="00A00A3F" w:rsidRPr="00B55651" w:rsidRDefault="00A00A3F" w:rsidP="00A00A3F"/>
    <w:p w14:paraId="2F5BACBB" w14:textId="77777777" w:rsidR="00A00A3F" w:rsidRPr="00B55651" w:rsidRDefault="00A00A3F" w:rsidP="00A00A3F">
      <w:pPr>
        <w:tabs>
          <w:tab w:val="center" w:pos="2268"/>
          <w:tab w:val="center" w:pos="6804"/>
        </w:tabs>
      </w:pPr>
      <w:r w:rsidRPr="00B55651">
        <w:tab/>
      </w:r>
      <w:r w:rsidRPr="006A77AC">
        <w:rPr>
          <w:b/>
        </w:rPr>
        <w:t>_________________________</w:t>
      </w:r>
      <w:r w:rsidRPr="00B55651">
        <w:tab/>
      </w:r>
      <w:r w:rsidRPr="006A77AC">
        <w:rPr>
          <w:b/>
        </w:rPr>
        <w:t>_________________________</w:t>
      </w:r>
    </w:p>
    <w:p w14:paraId="6AFE5B2C" w14:textId="77777777" w:rsidR="00A00A3F" w:rsidRPr="00E45463" w:rsidRDefault="00A00A3F" w:rsidP="00A00A3F">
      <w:pPr>
        <w:tabs>
          <w:tab w:val="center" w:pos="2268"/>
          <w:tab w:val="center" w:pos="6804"/>
        </w:tabs>
      </w:pPr>
      <w:r w:rsidRPr="00B55651">
        <w:tab/>
      </w:r>
      <w:r>
        <w:t>Hong Zhao</w:t>
      </w:r>
      <w:r w:rsidRPr="00E45463">
        <w:tab/>
      </w:r>
      <w:r>
        <w:t>Shree B. C. Servansing</w:t>
      </w:r>
    </w:p>
    <w:p w14:paraId="3AFC8DA3" w14:textId="77777777" w:rsidR="00A00A3F" w:rsidRPr="00B55651" w:rsidRDefault="00A00A3F" w:rsidP="00A00A3F">
      <w:pPr>
        <w:tabs>
          <w:tab w:val="center" w:pos="2268"/>
          <w:tab w:val="center" w:pos="6804"/>
        </w:tabs>
      </w:pPr>
      <w:r w:rsidRPr="00E45463">
        <w:tab/>
      </w:r>
      <w:r w:rsidRPr="00B55651">
        <w:t>Member</w:t>
      </w:r>
      <w:r w:rsidRPr="00B55651">
        <w:tab/>
        <w:t>Member</w:t>
      </w:r>
    </w:p>
    <w:p w14:paraId="6DD62E26" w14:textId="4CB561A3" w:rsidR="00A00A3F" w:rsidRPr="00A00A3F" w:rsidRDefault="00A00A3F" w:rsidP="00A00A3F">
      <w:pPr>
        <w:jc w:val="center"/>
      </w:pPr>
      <w:r>
        <w:rPr>
          <w:b/>
        </w:rPr>
        <w:t>__________</w:t>
      </w:r>
    </w:p>
    <w:sectPr w:rsidR="00A00A3F" w:rsidRPr="00A00A3F" w:rsidSect="005B1803">
      <w:headerReference w:type="even" r:id="rId17"/>
      <w:headerReference w:type="default" r:id="rId18"/>
      <w:headerReference w:type="first" r:id="rId19"/>
      <w:footnotePr>
        <w:numRestart w:val="eachSect"/>
      </w:footnotePr>
      <w:type w:val="continuous"/>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578B3" w14:textId="77777777" w:rsidR="00641D4A" w:rsidRDefault="00641D4A" w:rsidP="00ED54E0">
      <w:r>
        <w:separator/>
      </w:r>
    </w:p>
  </w:endnote>
  <w:endnote w:type="continuationSeparator" w:id="0">
    <w:p w14:paraId="4CB8A96B" w14:textId="77777777" w:rsidR="00641D4A" w:rsidRDefault="00641D4A"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C9BA3" w14:textId="77777777" w:rsidR="009D6585" w:rsidRPr="001A5E89" w:rsidRDefault="009D6585" w:rsidP="001A5E8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5B4E" w14:textId="58FDF58E" w:rsidR="009D6585" w:rsidRPr="001A5E89" w:rsidRDefault="009D6585" w:rsidP="001A5E8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D8E90" w14:textId="15D5F1C8" w:rsidR="009D6585" w:rsidRDefault="009D6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F7F19" w14:textId="77777777" w:rsidR="00641D4A" w:rsidRDefault="00641D4A" w:rsidP="00ED54E0">
      <w:r>
        <w:separator/>
      </w:r>
    </w:p>
  </w:footnote>
  <w:footnote w:type="continuationSeparator" w:id="0">
    <w:p w14:paraId="0AE594A3" w14:textId="77777777" w:rsidR="00641D4A" w:rsidRDefault="00641D4A" w:rsidP="00ED54E0">
      <w:r>
        <w:continuationSeparator/>
      </w:r>
    </w:p>
  </w:footnote>
  <w:footnote w:id="1">
    <w:p w14:paraId="02682A74" w14:textId="28F6F471" w:rsidR="009D6585" w:rsidRPr="003B2BFE" w:rsidRDefault="009D6585" w:rsidP="003B2BFE">
      <w:pPr>
        <w:pStyle w:val="FootnoteText"/>
        <w:ind w:firstLine="0"/>
        <w:rPr>
          <w:szCs w:val="16"/>
        </w:rPr>
      </w:pPr>
      <w:r w:rsidRPr="003B2BFE">
        <w:rPr>
          <w:rStyle w:val="FootnoteReference"/>
          <w:szCs w:val="16"/>
        </w:rPr>
        <w:footnoteRef/>
      </w:r>
      <w:r w:rsidRPr="003B2BFE">
        <w:rPr>
          <w:szCs w:val="16"/>
        </w:rPr>
        <w:t xml:space="preserve"> </w:t>
      </w:r>
      <w:r w:rsidRPr="003B2BFE">
        <w:rPr>
          <w:iCs/>
          <w:szCs w:val="16"/>
        </w:rPr>
        <w:t>BCI redacted, as indicated</w:t>
      </w:r>
      <w:r w:rsidRPr="003B2BFE">
        <w:rPr>
          <w:szCs w:val="16"/>
        </w:rPr>
        <w:t xml:space="preserve"> </w:t>
      </w:r>
      <w:r w:rsidRPr="003B2BFE">
        <w:rPr>
          <w:b/>
          <w:szCs w:val="16"/>
        </w:rPr>
        <w:t>[BCI]</w:t>
      </w:r>
      <w:r w:rsidRPr="003B2BFE">
        <w:rPr>
          <w:bCs/>
          <w:szCs w:val="16"/>
        </w:rPr>
        <w:t>. See also para. 1.13.</w:t>
      </w:r>
    </w:p>
  </w:footnote>
  <w:footnote w:id="2">
    <w:p w14:paraId="4847C30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WT/DS499/R, 30 July 2018.</w:t>
      </w:r>
    </w:p>
  </w:footnote>
  <w:footnote w:id="3">
    <w:p w14:paraId="04119D8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Request for the Establishment of a Panel by Ukraine, WT/DS499/2 (Ukraine's panel request).</w:t>
      </w:r>
    </w:p>
  </w:footnote>
  <w:footnote w:id="4">
    <w:p w14:paraId="32D5813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7.225.</w:t>
      </w:r>
    </w:p>
  </w:footnote>
  <w:footnote w:id="5">
    <w:p w14:paraId="7C8F5856" w14:textId="227189F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7.43,</w:t>
      </w:r>
      <w:r w:rsidRPr="003B2BFE" w:rsidDel="00C8354F">
        <w:rPr>
          <w:szCs w:val="16"/>
        </w:rPr>
        <w:t xml:space="preserve"> </w:t>
      </w:r>
      <w:r w:rsidRPr="003B2BFE">
        <w:rPr>
          <w:szCs w:val="16"/>
        </w:rPr>
        <w:t>7.104,</w:t>
      </w:r>
      <w:r w:rsidRPr="003B2BFE" w:rsidDel="00C8354F">
        <w:rPr>
          <w:szCs w:val="16"/>
        </w:rPr>
        <w:t xml:space="preserve"> </w:t>
      </w:r>
      <w:r w:rsidRPr="003B2BFE">
        <w:rPr>
          <w:szCs w:val="16"/>
        </w:rPr>
        <w:t>and 8.1.a.i.</w:t>
      </w:r>
    </w:p>
  </w:footnote>
  <w:footnote w:id="6">
    <w:p w14:paraId="223CCDE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7.394 and 8.1.b.i.</w:t>
      </w:r>
    </w:p>
  </w:footnote>
  <w:footnote w:id="7">
    <w:p w14:paraId="11B32DA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7.544 and 8.1.b.ii.</w:t>
      </w:r>
    </w:p>
  </w:footnote>
  <w:footnote w:id="8">
    <w:p w14:paraId="21EAE4EA"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7.638 and 8.1.c.i.</w:t>
      </w:r>
    </w:p>
  </w:footnote>
  <w:footnote w:id="9">
    <w:p w14:paraId="4B5CB3E8"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7.728, 7.764, and 8.1.c.iii.</w:t>
      </w:r>
    </w:p>
  </w:footnote>
  <w:footnote w:id="10">
    <w:p w14:paraId="3E6EAF6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7.823, 7.829, and 8.1.d.i.</w:t>
      </w:r>
    </w:p>
  </w:footnote>
  <w:footnote w:id="11">
    <w:p w14:paraId="374B363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7.907 and 8.1.d.iv.</w:t>
      </w:r>
    </w:p>
  </w:footnote>
  <w:footnote w:id="12">
    <w:p w14:paraId="5B6BC03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7.928 and 8.1.d.v.</w:t>
      </w:r>
    </w:p>
  </w:footnote>
  <w:footnote w:id="13">
    <w:p w14:paraId="4FBA98F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7.995 and 8.1.e.i.</w:t>
      </w:r>
    </w:p>
  </w:footnote>
  <w:footnote w:id="14">
    <w:p w14:paraId="448BD78F" w14:textId="0D787A00"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7.591 and 8.1.b.iii. For the remaining single instruction suspending certificates, the Panel found that Ukraine had failed to establish that Russia had acted inconsistently with Article 5.2.2 of the TBT Agreement. (Ibid., paras. 7.591 and 8.1.b.iv)</w:t>
      </w:r>
    </w:p>
  </w:footnote>
  <w:footnote w:id="15">
    <w:p w14:paraId="43D964E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7.727 and 8.1.c.ii.</w:t>
      </w:r>
    </w:p>
  </w:footnote>
  <w:footnote w:id="16">
    <w:p w14:paraId="06002D7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7.806 and 8.1.c.iv.</w:t>
      </w:r>
    </w:p>
  </w:footnote>
  <w:footnote w:id="17">
    <w:p w14:paraId="4FDBD46A" w14:textId="1DBEB661"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7.785 and 8.1.c.v. For the remaining single decision rejecting applications for certificates at issue, the Panel found that Ukraine had failed to establish that Russia had acted inconsistently with Article 5.2.2, third obligation, of the TBT Agreement. (Ibid., paras. 7.785 and 8.1.c.vi)</w:t>
      </w:r>
    </w:p>
  </w:footnote>
  <w:footnote w:id="18">
    <w:p w14:paraId="3F70BF39" w14:textId="667DDDC5"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7.885 and 8.1.d.ii.</w:t>
      </w:r>
    </w:p>
  </w:footnote>
  <w:footnote w:id="19">
    <w:p w14:paraId="6364C9F1" w14:textId="57B872DF"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7.826, 7.940, 8.1.d.iii, and 8.1.d.vi.</w:t>
      </w:r>
    </w:p>
  </w:footnote>
  <w:footnote w:id="20">
    <w:p w14:paraId="2CA4136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8.2.</w:t>
      </w:r>
    </w:p>
  </w:footnote>
  <w:footnote w:id="21">
    <w:p w14:paraId="2D88D24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WT/DS499/6.</w:t>
      </w:r>
    </w:p>
  </w:footnote>
  <w:footnote w:id="22">
    <w:p w14:paraId="74F887D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WT/AB/WP/6, 16 August 2010.</w:t>
      </w:r>
    </w:p>
  </w:footnote>
  <w:footnote w:id="23">
    <w:p w14:paraId="7D7F77C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WT/DS499/7.</w:t>
      </w:r>
    </w:p>
  </w:footnote>
  <w:footnote w:id="24">
    <w:p w14:paraId="1E23DEB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Pursuant to Rules 22 and 23(4) of the Working Procedures.</w:t>
      </w:r>
    </w:p>
  </w:footnote>
  <w:footnote w:id="25">
    <w:p w14:paraId="612329C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Pursuant to Rule 24(1) of the Working Procedures.</w:t>
      </w:r>
    </w:p>
  </w:footnote>
  <w:footnote w:id="26">
    <w:p w14:paraId="1D07A73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Pursuant to Rule 24(2) of the Working Procedures.</w:t>
      </w:r>
    </w:p>
  </w:footnote>
  <w:footnote w:id="27">
    <w:p w14:paraId="77BA6AC8" w14:textId="615119A6"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WT/DSB/79.</w:t>
      </w:r>
    </w:p>
  </w:footnote>
  <w:footnote w:id="28">
    <w:p w14:paraId="49A5D718" w14:textId="3E8C6701"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The Chair of the Appellate Body referred to the size of the Panel record and the complex issues appealed and further noted that, in view of the backlog of appeals pending and the overlap in the composition of all divisions resulting in part from the reduced number of Appellate Body Members, it would not be possible for the Division to focus on the consideration of this appeal and for it to be fully staffed for some time. (WT/DS499/8)</w:t>
      </w:r>
    </w:p>
  </w:footnote>
  <w:footnote w:id="29">
    <w:p w14:paraId="7A399AD1" w14:textId="5B60BE86"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WT/DS499/9.</w:t>
      </w:r>
    </w:p>
  </w:footnote>
  <w:footnote w:id="30">
    <w:p w14:paraId="0EF541BC" w14:textId="61F0E010"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response to questioning at the oral hearing (referring to Panel Report, para. 7.222).</w:t>
      </w:r>
    </w:p>
  </w:footnote>
  <w:footnote w:id="31">
    <w:p w14:paraId="71E77BDF" w14:textId="72A8E2A3" w:rsidR="009D6585" w:rsidRPr="003B2BFE" w:rsidRDefault="009D6585" w:rsidP="003B2BFE">
      <w:pPr>
        <w:pStyle w:val="FootnoteText"/>
        <w:rPr>
          <w:szCs w:val="16"/>
          <w:lang w:val="es-ES"/>
        </w:rPr>
      </w:pPr>
      <w:r w:rsidRPr="003B2BFE">
        <w:rPr>
          <w:rStyle w:val="FootnoteReference"/>
          <w:szCs w:val="16"/>
        </w:rPr>
        <w:footnoteRef/>
      </w:r>
      <w:r w:rsidRPr="003B2BFE">
        <w:rPr>
          <w:szCs w:val="16"/>
        </w:rPr>
        <w:t xml:space="preserve"> Appellate Body Report, </w:t>
      </w:r>
      <w:r w:rsidRPr="003B2BFE">
        <w:rPr>
          <w:i/>
          <w:szCs w:val="16"/>
        </w:rPr>
        <w:t>EC and certain member States – Large Civil Aircraft (Article 21.5 – US)</w:t>
      </w:r>
      <w:r w:rsidRPr="003B2BFE">
        <w:rPr>
          <w:szCs w:val="16"/>
        </w:rPr>
        <w:t>, Annex D</w:t>
      </w:r>
      <w:r w:rsidRPr="003B2BFE">
        <w:rPr>
          <w:szCs w:val="16"/>
        </w:rPr>
        <w:noBreakHyphen/>
        <w:t>1, Procedural Ruling of 25 October 2016, para. </w:t>
      </w:r>
      <w:r w:rsidRPr="003B2BFE">
        <w:rPr>
          <w:szCs w:val="16"/>
          <w:lang w:val="es-ES"/>
        </w:rPr>
        <w:t>10.</w:t>
      </w:r>
    </w:p>
  </w:footnote>
  <w:footnote w:id="32">
    <w:p w14:paraId="58880B27" w14:textId="77777777" w:rsidR="009D6585" w:rsidRPr="003B2BFE" w:rsidRDefault="009D6585" w:rsidP="003B2BFE">
      <w:pPr>
        <w:pStyle w:val="FootnoteText"/>
        <w:rPr>
          <w:szCs w:val="16"/>
        </w:rPr>
      </w:pPr>
      <w:r w:rsidRPr="003B2BFE">
        <w:rPr>
          <w:rStyle w:val="FootnoteReference"/>
          <w:szCs w:val="16"/>
        </w:rPr>
        <w:footnoteRef/>
      </w:r>
      <w:r w:rsidRPr="003B2BFE">
        <w:rPr>
          <w:szCs w:val="16"/>
          <w:lang w:val="es-ES"/>
        </w:rPr>
        <w:t xml:space="preserve"> Appellate Body Report, </w:t>
      </w:r>
      <w:r w:rsidRPr="003B2BFE">
        <w:rPr>
          <w:i/>
          <w:szCs w:val="16"/>
          <w:lang w:val="es-ES"/>
        </w:rPr>
        <w:t>US – Tuna II (Mexico) (Article 21.5 – Mexico)</w:t>
      </w:r>
      <w:r w:rsidRPr="003B2BFE">
        <w:rPr>
          <w:szCs w:val="16"/>
          <w:lang w:val="es-ES"/>
        </w:rPr>
        <w:t>, para. </w:t>
      </w:r>
      <w:r w:rsidRPr="003B2BFE">
        <w:rPr>
          <w:szCs w:val="16"/>
        </w:rPr>
        <w:t xml:space="preserve">5.3 (referring to Appellate Body Report, </w:t>
      </w:r>
      <w:r w:rsidRPr="003B2BFE">
        <w:rPr>
          <w:i/>
          <w:szCs w:val="16"/>
        </w:rPr>
        <w:t>EC and certain member States – Large Civil Aircraft</w:t>
      </w:r>
      <w:r w:rsidRPr="003B2BFE">
        <w:rPr>
          <w:szCs w:val="16"/>
        </w:rPr>
        <w:t>, Annex III, Procedural Ruling of 10 August 2010, para. 15).</w:t>
      </w:r>
    </w:p>
  </w:footnote>
  <w:footnote w:id="33">
    <w:p w14:paraId="7620BBC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Japan – DRAMS (Korea)</w:t>
      </w:r>
      <w:r w:rsidRPr="003B2BFE">
        <w:rPr>
          <w:szCs w:val="16"/>
        </w:rPr>
        <w:t>, para. 279.</w:t>
      </w:r>
    </w:p>
  </w:footnote>
  <w:footnote w:id="34">
    <w:p w14:paraId="60D158C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Pursuant to the Appellate Body's communication on "Executive Summaries of Written Submissions in Appellate Proceedings" and "Guidelines in Respect of Executive Summaries of Written Submissions in Appellate Proceedings" (WT/AB/23, 11 March 2015).</w:t>
      </w:r>
    </w:p>
  </w:footnote>
  <w:footnote w:id="35">
    <w:p w14:paraId="5A4791D9"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Pursuant to the Appellate Body's communication on "Executive Summaries of Written Submissions in Appellate Proceedings" and "Guidelines in Respect of Executive Summaries of Written Submissions in Appellate Proceedings" (WT/AB/23, 11 March 2015).</w:t>
      </w:r>
    </w:p>
  </w:footnote>
  <w:footnote w:id="36">
    <w:p w14:paraId="06B31D95" w14:textId="17A1FD80"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162(d) (referring to Panel Report, para. 8.1.a.i). In addition, Russia requests that, as a consequence, we also reverse the Panel's conclusions relating to the measures not properly identified in Ukraine's panel request. (Panel Report, paras. 8.1.d.iv and 8.1.d.v)</w:t>
      </w:r>
    </w:p>
  </w:footnote>
  <w:footnote w:id="37">
    <w:p w14:paraId="20829840" w14:textId="7669D03F"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paras. 3</w:t>
      </w:r>
      <w:r w:rsidRPr="003B2BFE">
        <w:rPr>
          <w:szCs w:val="16"/>
        </w:rPr>
        <w:noBreakHyphen/>
        <w:t xml:space="preserve">11 (referring, </w:t>
      </w:r>
      <w:r w:rsidRPr="003B2BFE">
        <w:rPr>
          <w:i/>
          <w:szCs w:val="16"/>
        </w:rPr>
        <w:t>inter alia</w:t>
      </w:r>
      <w:r w:rsidRPr="003B2BFE">
        <w:rPr>
          <w:szCs w:val="16"/>
        </w:rPr>
        <w:t>, to the Panel's finding in para. 7.43).</w:t>
      </w:r>
    </w:p>
  </w:footnote>
  <w:footnote w:id="38">
    <w:p w14:paraId="4D178ECA" w14:textId="546702F6"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paras. 12</w:t>
      </w:r>
      <w:r w:rsidRPr="003B2BFE">
        <w:rPr>
          <w:szCs w:val="16"/>
        </w:rPr>
        <w:noBreakHyphen/>
        <w:t xml:space="preserve">43 (referring, </w:t>
      </w:r>
      <w:r w:rsidRPr="003B2BFE">
        <w:rPr>
          <w:i/>
          <w:szCs w:val="16"/>
        </w:rPr>
        <w:t>inter alia</w:t>
      </w:r>
      <w:r w:rsidRPr="003B2BFE">
        <w:rPr>
          <w:szCs w:val="16"/>
        </w:rPr>
        <w:t>, to the Panel's finding in para. 7.104).</w:t>
      </w:r>
    </w:p>
  </w:footnote>
  <w:footnote w:id="39">
    <w:p w14:paraId="1BCDB66C" w14:textId="5D8CC5AA"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paras. 16, 37, 39, 69</w:t>
      </w:r>
      <w:r w:rsidRPr="003B2BFE">
        <w:rPr>
          <w:szCs w:val="16"/>
        </w:rPr>
        <w:noBreakHyphen/>
        <w:t>70, and 188.</w:t>
      </w:r>
    </w:p>
  </w:footnote>
  <w:footnote w:id="40">
    <w:p w14:paraId="3DDC1B4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paras. 16 and 19.</w:t>
      </w:r>
    </w:p>
  </w:footnote>
  <w:footnote w:id="41">
    <w:p w14:paraId="401089E1" w14:textId="4A68C644"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paras. 45</w:t>
      </w:r>
      <w:r w:rsidRPr="003B2BFE">
        <w:rPr>
          <w:szCs w:val="16"/>
        </w:rPr>
        <w:noBreakHyphen/>
        <w:t>47.</w:t>
      </w:r>
    </w:p>
  </w:footnote>
  <w:footnote w:id="42">
    <w:p w14:paraId="558650F5" w14:textId="12AD0C08"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7.2, 7.11</w:t>
      </w:r>
      <w:r w:rsidRPr="003B2BFE">
        <w:rPr>
          <w:szCs w:val="16"/>
        </w:rPr>
        <w:noBreakHyphen/>
        <w:t>7.12, and 7.87. In its request for a preliminary ruling, Russia raised four additional issues with regard to Ukraine's panel request and the obligation under Article 6.2 of the DSU to "present the problem clearly". Russia's appeal of the Panel's preliminary ruling does not extend to the Panel's findings concerning those additional allegations of error.</w:t>
      </w:r>
    </w:p>
  </w:footnote>
  <w:footnote w:id="43">
    <w:p w14:paraId="1CDCA724" w14:textId="57BBAF1B"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paras. 28 and 47.</w:t>
      </w:r>
    </w:p>
  </w:footnote>
  <w:footnote w:id="44">
    <w:p w14:paraId="5804C54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7.6. On the same day, the Panel's conclusions were also circulated to third parties for their information.</w:t>
      </w:r>
    </w:p>
  </w:footnote>
  <w:footnote w:id="45">
    <w:p w14:paraId="4A110D48" w14:textId="340043E1"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7.6</w:t>
      </w:r>
      <w:r w:rsidRPr="003B2BFE">
        <w:rPr>
          <w:szCs w:val="16"/>
        </w:rPr>
        <w:noBreakHyphen/>
        <w:t>7.7.</w:t>
      </w:r>
    </w:p>
  </w:footnote>
  <w:footnote w:id="46">
    <w:p w14:paraId="0B3770D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7.11.</w:t>
      </w:r>
    </w:p>
  </w:footnote>
  <w:footnote w:id="47">
    <w:p w14:paraId="68F13209" w14:textId="62D20F8F"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7.22 (quoting Appellate Body Report, </w:t>
      </w:r>
      <w:r w:rsidRPr="003B2BFE">
        <w:rPr>
          <w:i/>
          <w:szCs w:val="16"/>
        </w:rPr>
        <w:t>Thailand – H</w:t>
      </w:r>
      <w:r w:rsidRPr="003B2BFE">
        <w:rPr>
          <w:i/>
          <w:szCs w:val="16"/>
        </w:rPr>
        <w:noBreakHyphen/>
        <w:t>Beams</w:t>
      </w:r>
      <w:r w:rsidRPr="003B2BFE">
        <w:rPr>
          <w:szCs w:val="16"/>
        </w:rPr>
        <w:t xml:space="preserve">, para. 88; referring to Appellate Body Report, </w:t>
      </w:r>
      <w:r w:rsidRPr="003B2BFE">
        <w:rPr>
          <w:i/>
          <w:szCs w:val="16"/>
        </w:rPr>
        <w:t>EC – Selected Customs Matters</w:t>
      </w:r>
      <w:r w:rsidRPr="003B2BFE">
        <w:rPr>
          <w:szCs w:val="16"/>
        </w:rPr>
        <w:t>, para. 168).</w:t>
      </w:r>
    </w:p>
  </w:footnote>
  <w:footnote w:id="48">
    <w:p w14:paraId="0819711E" w14:textId="6B20EB5B"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7.22 (quoting Appellate Body Reports, </w:t>
      </w:r>
      <w:r w:rsidRPr="003B2BFE">
        <w:rPr>
          <w:i/>
          <w:szCs w:val="16"/>
        </w:rPr>
        <w:t>Argentina – Import Measures</w:t>
      </w:r>
      <w:r w:rsidRPr="003B2BFE">
        <w:rPr>
          <w:szCs w:val="16"/>
        </w:rPr>
        <w:t xml:space="preserve">, para. 5.39, in turn quoting Appellate Body Report, </w:t>
      </w:r>
      <w:r w:rsidRPr="003B2BFE">
        <w:rPr>
          <w:i/>
          <w:szCs w:val="16"/>
        </w:rPr>
        <w:t>US – Countervailing and Anti</w:t>
      </w:r>
      <w:r w:rsidRPr="003B2BFE">
        <w:rPr>
          <w:rFonts w:cs="Cambria Math"/>
          <w:i/>
          <w:szCs w:val="16"/>
        </w:rPr>
        <w:noBreakHyphen/>
      </w:r>
      <w:r w:rsidRPr="003B2BFE">
        <w:rPr>
          <w:i/>
          <w:szCs w:val="16"/>
        </w:rPr>
        <w:t>Dumping Measures (China)</w:t>
      </w:r>
      <w:r w:rsidRPr="003B2BFE">
        <w:rPr>
          <w:szCs w:val="16"/>
        </w:rPr>
        <w:t xml:space="preserve">, para. 4.8, in turn quoting Appellate Body Report, </w:t>
      </w:r>
      <w:r w:rsidRPr="003B2BFE">
        <w:rPr>
          <w:i/>
          <w:szCs w:val="16"/>
        </w:rPr>
        <w:t>US – Oil Country Tubular Goods Sunset Reviews</w:t>
      </w:r>
      <w:r w:rsidRPr="003B2BFE">
        <w:rPr>
          <w:szCs w:val="16"/>
        </w:rPr>
        <w:t>, para. 162).</w:t>
      </w:r>
    </w:p>
  </w:footnote>
  <w:footnote w:id="49">
    <w:p w14:paraId="53154A50" w14:textId="2BBEE6AA"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7.24 (referring to Ukraine's panel request).</w:t>
      </w:r>
    </w:p>
  </w:footnote>
  <w:footnote w:id="50">
    <w:p w14:paraId="72D0C4AA" w14:textId="443CD11F"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7.25 (referring to Ukraine's panel request, p. 2).</w:t>
      </w:r>
    </w:p>
  </w:footnote>
  <w:footnote w:id="51">
    <w:p w14:paraId="4E159349" w14:textId="24063BDA"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7.27</w:t>
      </w:r>
      <w:r w:rsidRPr="003B2BFE">
        <w:rPr>
          <w:szCs w:val="16"/>
        </w:rPr>
        <w:noBreakHyphen/>
        <w:t>7.29.</w:t>
      </w:r>
    </w:p>
  </w:footnote>
  <w:footnote w:id="52">
    <w:p w14:paraId="2CC03628" w14:textId="67D9123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7.30 (referring to Ukraine's panel request, p. 3).</w:t>
      </w:r>
    </w:p>
  </w:footnote>
  <w:footnote w:id="53">
    <w:p w14:paraId="64EA5FD1" w14:textId="4F2D50BF"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7.31</w:t>
      </w:r>
      <w:r w:rsidRPr="003B2BFE">
        <w:rPr>
          <w:szCs w:val="16"/>
        </w:rPr>
        <w:noBreakHyphen/>
        <w:t>7.38.</w:t>
      </w:r>
    </w:p>
  </w:footnote>
  <w:footnote w:id="54">
    <w:p w14:paraId="0E6AB31D" w14:textId="13723EC9"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7.39, table 1.</w:t>
      </w:r>
    </w:p>
  </w:footnote>
  <w:footnote w:id="55">
    <w:p w14:paraId="2E661F60" w14:textId="20DF6C4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7.2 and 7.87.</w:t>
      </w:r>
    </w:p>
  </w:footnote>
  <w:footnote w:id="56">
    <w:p w14:paraId="1ECE766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7.90 (referring to Appellate Body Reports, </w:t>
      </w:r>
      <w:r w:rsidRPr="003B2BFE">
        <w:rPr>
          <w:i/>
          <w:szCs w:val="16"/>
        </w:rPr>
        <w:t>Dominican Republic – Import and Sale of Cigarettes</w:t>
      </w:r>
      <w:r w:rsidRPr="003B2BFE">
        <w:rPr>
          <w:szCs w:val="16"/>
        </w:rPr>
        <w:t xml:space="preserve">, para. 120; </w:t>
      </w:r>
      <w:r w:rsidRPr="003B2BFE">
        <w:rPr>
          <w:i/>
          <w:szCs w:val="16"/>
        </w:rPr>
        <w:t>EC and certain member States – Large Civil Aircraft</w:t>
      </w:r>
      <w:r w:rsidRPr="003B2BFE">
        <w:rPr>
          <w:szCs w:val="16"/>
        </w:rPr>
        <w:t>, para. 790).</w:t>
      </w:r>
    </w:p>
  </w:footnote>
  <w:footnote w:id="57">
    <w:p w14:paraId="71A1F13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7.91 (quoting Appellate Body Report, </w:t>
      </w:r>
      <w:r w:rsidRPr="003B2BFE">
        <w:rPr>
          <w:i/>
          <w:szCs w:val="16"/>
        </w:rPr>
        <w:t>US – Continued Zeroing</w:t>
      </w:r>
      <w:r w:rsidRPr="003B2BFE">
        <w:rPr>
          <w:szCs w:val="16"/>
        </w:rPr>
        <w:t>, para. 168).</w:t>
      </w:r>
    </w:p>
  </w:footnote>
  <w:footnote w:id="58">
    <w:p w14:paraId="6CAEA41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7.91 (quoting Appellate Body Report, </w:t>
      </w:r>
      <w:r w:rsidRPr="003B2BFE">
        <w:rPr>
          <w:i/>
          <w:szCs w:val="16"/>
        </w:rPr>
        <w:t>US – Continued Zeroing</w:t>
      </w:r>
      <w:r w:rsidRPr="003B2BFE">
        <w:rPr>
          <w:szCs w:val="16"/>
        </w:rPr>
        <w:t>, para. 169).</w:t>
      </w:r>
    </w:p>
  </w:footnote>
  <w:footnote w:id="59">
    <w:p w14:paraId="02DAD91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7.92 (quoting Appellate Body Report, </w:t>
      </w:r>
      <w:r w:rsidRPr="003B2BFE">
        <w:rPr>
          <w:i/>
          <w:szCs w:val="16"/>
        </w:rPr>
        <w:t>US – Zeroing (Japan) (Article 21.5 – Japan)</w:t>
      </w:r>
      <w:r w:rsidRPr="003B2BFE">
        <w:rPr>
          <w:szCs w:val="16"/>
        </w:rPr>
        <w:t>, para. 116).</w:t>
      </w:r>
    </w:p>
  </w:footnote>
  <w:footnote w:id="60">
    <w:p w14:paraId="20C7C24B" w14:textId="4221E24E"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7.92 (quoting Appellate Body Report, </w:t>
      </w:r>
      <w:r w:rsidRPr="003B2BFE">
        <w:rPr>
          <w:i/>
          <w:szCs w:val="16"/>
        </w:rPr>
        <w:t>EC and certain member States – Large Civil Aircraft</w:t>
      </w:r>
      <w:r w:rsidRPr="003B2BFE">
        <w:rPr>
          <w:szCs w:val="16"/>
        </w:rPr>
        <w:t>, para. 641).</w:t>
      </w:r>
    </w:p>
  </w:footnote>
  <w:footnote w:id="61">
    <w:p w14:paraId="2A7576CA"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7.92.</w:t>
      </w:r>
    </w:p>
  </w:footnote>
  <w:footnote w:id="62">
    <w:p w14:paraId="775AEF0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7.93.</w:t>
      </w:r>
    </w:p>
  </w:footnote>
  <w:footnote w:id="63">
    <w:p w14:paraId="7691FDD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7.104.</w:t>
      </w:r>
    </w:p>
  </w:footnote>
  <w:footnote w:id="64">
    <w:p w14:paraId="59C3465E" w14:textId="4634B6C9"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paras. 3</w:t>
      </w:r>
      <w:r w:rsidRPr="003B2BFE">
        <w:rPr>
          <w:szCs w:val="16"/>
        </w:rPr>
        <w:noBreakHyphen/>
        <w:t xml:space="preserve">11 (referring, </w:t>
      </w:r>
      <w:r w:rsidRPr="003B2BFE">
        <w:rPr>
          <w:i/>
          <w:szCs w:val="16"/>
        </w:rPr>
        <w:t>inter alia</w:t>
      </w:r>
      <w:r w:rsidRPr="003B2BFE">
        <w:rPr>
          <w:szCs w:val="16"/>
        </w:rPr>
        <w:t>, to the Panel's finding in para. 7.43).</w:t>
      </w:r>
    </w:p>
  </w:footnote>
  <w:footnote w:id="65">
    <w:p w14:paraId="336F5F56" w14:textId="2F605BD4"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paras. 12</w:t>
      </w:r>
      <w:r w:rsidRPr="003B2BFE">
        <w:rPr>
          <w:szCs w:val="16"/>
        </w:rPr>
        <w:noBreakHyphen/>
        <w:t xml:space="preserve">43 (referring, </w:t>
      </w:r>
      <w:r w:rsidRPr="003B2BFE">
        <w:rPr>
          <w:i/>
          <w:szCs w:val="16"/>
        </w:rPr>
        <w:t>inter alia</w:t>
      </w:r>
      <w:r w:rsidRPr="003B2BFE">
        <w:rPr>
          <w:szCs w:val="16"/>
        </w:rPr>
        <w:t>, to the Panel's finding in para. 7.104).</w:t>
      </w:r>
    </w:p>
  </w:footnote>
  <w:footnote w:id="66">
    <w:p w14:paraId="52A94241" w14:textId="73F174C6"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8 (quoting Panel Report, para. 7.42).</w:t>
      </w:r>
    </w:p>
  </w:footnote>
  <w:footnote w:id="67">
    <w:p w14:paraId="425F938D" w14:textId="0B2DEF4F"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9 (quoting Panel Report, para. 7.32). (emphasis original)</w:t>
      </w:r>
    </w:p>
  </w:footnote>
  <w:footnote w:id="68">
    <w:p w14:paraId="67AC5D30" w14:textId="2039DA04"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9.</w:t>
      </w:r>
    </w:p>
  </w:footnote>
  <w:footnote w:id="69">
    <w:p w14:paraId="5A7FF9E4" w14:textId="15265A0B"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9.</w:t>
      </w:r>
    </w:p>
  </w:footnote>
  <w:footnote w:id="70">
    <w:p w14:paraId="7AA2788A" w14:textId="720D7F95"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6. (emphasis original)</w:t>
      </w:r>
    </w:p>
  </w:footnote>
  <w:footnote w:id="71">
    <w:p w14:paraId="445B5AB6" w14:textId="6366FE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14.</w:t>
      </w:r>
    </w:p>
  </w:footnote>
  <w:footnote w:id="72">
    <w:p w14:paraId="45F748BC" w14:textId="794F7D8A"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15.</w:t>
      </w:r>
    </w:p>
  </w:footnote>
  <w:footnote w:id="73">
    <w:p w14:paraId="3AAE1EDA" w14:textId="3649AFAB"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paras. 18</w:t>
      </w:r>
      <w:r w:rsidRPr="003B2BFE">
        <w:rPr>
          <w:szCs w:val="16"/>
        </w:rPr>
        <w:noBreakHyphen/>
        <w:t>19.</w:t>
      </w:r>
    </w:p>
  </w:footnote>
  <w:footnote w:id="74">
    <w:p w14:paraId="44E260C5" w14:textId="24F9514D"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21 (quoting Panel Report, para. 7.92).</w:t>
      </w:r>
    </w:p>
  </w:footnote>
  <w:footnote w:id="75">
    <w:p w14:paraId="3BA73BA9" w14:textId="430CE39C"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23 (quoting Appellate Body Report, </w:t>
      </w:r>
      <w:r w:rsidRPr="003B2BFE">
        <w:rPr>
          <w:i/>
          <w:szCs w:val="16"/>
        </w:rPr>
        <w:t>US – Carbon Steel</w:t>
      </w:r>
      <w:r w:rsidRPr="003B2BFE">
        <w:rPr>
          <w:szCs w:val="16"/>
        </w:rPr>
        <w:t xml:space="preserve">, para. 127; referring to Appellate Body Reports, </w:t>
      </w:r>
      <w:r w:rsidRPr="003B2BFE">
        <w:rPr>
          <w:i/>
          <w:szCs w:val="16"/>
        </w:rPr>
        <w:t>Korea – Dairy</w:t>
      </w:r>
      <w:r w:rsidRPr="003B2BFE">
        <w:rPr>
          <w:szCs w:val="16"/>
        </w:rPr>
        <w:t xml:space="preserve">, para. 127; </w:t>
      </w:r>
      <w:r w:rsidRPr="003B2BFE">
        <w:rPr>
          <w:i/>
          <w:szCs w:val="16"/>
        </w:rPr>
        <w:t>Thailand – H</w:t>
      </w:r>
      <w:r w:rsidRPr="003B2BFE">
        <w:rPr>
          <w:i/>
          <w:szCs w:val="16"/>
        </w:rPr>
        <w:noBreakHyphen/>
        <w:t>Beams</w:t>
      </w:r>
      <w:r w:rsidRPr="003B2BFE">
        <w:rPr>
          <w:szCs w:val="16"/>
        </w:rPr>
        <w:t>, para. 95).</w:t>
      </w:r>
    </w:p>
  </w:footnote>
  <w:footnote w:id="76">
    <w:p w14:paraId="19A890EC" w14:textId="190E0FD3"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27.</w:t>
      </w:r>
    </w:p>
  </w:footnote>
  <w:footnote w:id="77">
    <w:p w14:paraId="6EEFB787" w14:textId="74EB056C"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33 (referring to Panel Report, </w:t>
      </w:r>
      <w:r w:rsidRPr="003B2BFE">
        <w:rPr>
          <w:i/>
          <w:szCs w:val="16"/>
        </w:rPr>
        <w:t>Australia – Apples</w:t>
      </w:r>
      <w:r w:rsidRPr="003B2BFE">
        <w:rPr>
          <w:szCs w:val="16"/>
        </w:rPr>
        <w:t>, para. 7.1449).</w:t>
      </w:r>
    </w:p>
  </w:footnote>
  <w:footnote w:id="78">
    <w:p w14:paraId="72CC6EFF" w14:textId="3DFC84D5"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paras. 16, 37, 39, 69</w:t>
      </w:r>
      <w:r w:rsidRPr="003B2BFE">
        <w:rPr>
          <w:szCs w:val="16"/>
        </w:rPr>
        <w:noBreakHyphen/>
        <w:t>70, and 188.</w:t>
      </w:r>
    </w:p>
  </w:footnote>
  <w:footnote w:id="79">
    <w:p w14:paraId="27CB0E7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paras. 16 and 19.</w:t>
      </w:r>
    </w:p>
  </w:footnote>
  <w:footnote w:id="80">
    <w:p w14:paraId="33F7DA4E" w14:textId="0E0C4F2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20. See also ibid., paras. 21</w:t>
      </w:r>
      <w:r w:rsidRPr="003B2BFE">
        <w:rPr>
          <w:szCs w:val="16"/>
        </w:rPr>
        <w:noBreakHyphen/>
        <w:t>22 and 27</w:t>
      </w:r>
      <w:r w:rsidRPr="003B2BFE">
        <w:rPr>
          <w:szCs w:val="16"/>
        </w:rPr>
        <w:noBreakHyphen/>
        <w:t>28.</w:t>
      </w:r>
    </w:p>
  </w:footnote>
  <w:footnote w:id="81">
    <w:p w14:paraId="467EB6B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27.</w:t>
      </w:r>
    </w:p>
  </w:footnote>
  <w:footnote w:id="82">
    <w:p w14:paraId="0634057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28.</w:t>
      </w:r>
    </w:p>
  </w:footnote>
  <w:footnote w:id="83">
    <w:p w14:paraId="14C2533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36.</w:t>
      </w:r>
    </w:p>
  </w:footnote>
  <w:footnote w:id="84">
    <w:p w14:paraId="7DFE31A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29.</w:t>
      </w:r>
    </w:p>
  </w:footnote>
  <w:footnote w:id="85">
    <w:p w14:paraId="1BC4A08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30.</w:t>
      </w:r>
    </w:p>
  </w:footnote>
  <w:footnote w:id="86">
    <w:p w14:paraId="614E22A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45.</w:t>
      </w:r>
    </w:p>
  </w:footnote>
  <w:footnote w:id="87">
    <w:p w14:paraId="0D93ED1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46. (emphasis omitted)</w:t>
      </w:r>
    </w:p>
  </w:footnote>
  <w:footnote w:id="88">
    <w:p w14:paraId="7EFC047D" w14:textId="3BE3A346"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48 (quoting Appellate Body Report, </w:t>
      </w:r>
      <w:r w:rsidRPr="003B2BFE">
        <w:rPr>
          <w:i/>
          <w:szCs w:val="16"/>
        </w:rPr>
        <w:t>US – Carbon Steel</w:t>
      </w:r>
      <w:r w:rsidRPr="003B2BFE">
        <w:rPr>
          <w:szCs w:val="16"/>
        </w:rPr>
        <w:t xml:space="preserve">, para. 127, in turn referring to Appellate Body Reports, </w:t>
      </w:r>
      <w:r w:rsidRPr="003B2BFE">
        <w:rPr>
          <w:i/>
          <w:iCs/>
          <w:szCs w:val="16"/>
        </w:rPr>
        <w:t>Korea – Dairy</w:t>
      </w:r>
      <w:r w:rsidRPr="003B2BFE">
        <w:rPr>
          <w:szCs w:val="16"/>
        </w:rPr>
        <w:t xml:space="preserve">, para. 127; </w:t>
      </w:r>
      <w:r w:rsidRPr="003B2BFE">
        <w:rPr>
          <w:i/>
          <w:iCs/>
          <w:szCs w:val="16"/>
        </w:rPr>
        <w:t>Thailand – H</w:t>
      </w:r>
      <w:r w:rsidRPr="003B2BFE">
        <w:rPr>
          <w:i/>
          <w:iCs/>
          <w:szCs w:val="16"/>
        </w:rPr>
        <w:noBreakHyphen/>
        <w:t>Beams</w:t>
      </w:r>
      <w:r w:rsidRPr="003B2BFE">
        <w:rPr>
          <w:szCs w:val="16"/>
        </w:rPr>
        <w:t>, para. 95).</w:t>
      </w:r>
    </w:p>
  </w:footnote>
  <w:footnote w:id="89">
    <w:p w14:paraId="25452DE4"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49.</w:t>
      </w:r>
    </w:p>
  </w:footnote>
  <w:footnote w:id="90">
    <w:p w14:paraId="69FE4EA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51.</w:t>
      </w:r>
    </w:p>
  </w:footnote>
  <w:footnote w:id="91">
    <w:p w14:paraId="5C1D54A8"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54.</w:t>
      </w:r>
    </w:p>
  </w:footnote>
  <w:footnote w:id="92">
    <w:p w14:paraId="6C459D00" w14:textId="2F76C24E"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55. (emphasis original)</w:t>
      </w:r>
    </w:p>
  </w:footnote>
  <w:footnote w:id="93">
    <w:p w14:paraId="45A4FF63" w14:textId="7A090825"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paras. 65</w:t>
      </w:r>
      <w:r w:rsidRPr="003B2BFE">
        <w:rPr>
          <w:szCs w:val="16"/>
        </w:rPr>
        <w:noBreakHyphen/>
        <w:t>66.</w:t>
      </w:r>
    </w:p>
  </w:footnote>
  <w:footnote w:id="94">
    <w:p w14:paraId="65E65281" w14:textId="52208EEC"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68 (referring to Appellate Body Reports, </w:t>
      </w:r>
      <w:r w:rsidRPr="003B2BFE">
        <w:rPr>
          <w:i/>
          <w:szCs w:val="16"/>
        </w:rPr>
        <w:t>Argentina – Import Measures</w:t>
      </w:r>
      <w:r w:rsidRPr="003B2BFE">
        <w:rPr>
          <w:szCs w:val="16"/>
        </w:rPr>
        <w:t>, para. 5.10).</w:t>
      </w:r>
    </w:p>
  </w:footnote>
  <w:footnote w:id="95">
    <w:p w14:paraId="4FF7FB0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8.1.a.i.</w:t>
      </w:r>
    </w:p>
  </w:footnote>
  <w:footnote w:id="96">
    <w:p w14:paraId="7765FF0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Furthermore, Article 6.2 contains the additional requirements that the request must be made in writing and that it must indicate whether consultations were held. See also Appellate Body Report, </w:t>
      </w:r>
      <w:r w:rsidRPr="003B2BFE">
        <w:rPr>
          <w:i/>
          <w:szCs w:val="16"/>
        </w:rPr>
        <w:t>Korea – Dairy</w:t>
      </w:r>
      <w:r w:rsidRPr="003B2BFE">
        <w:rPr>
          <w:szCs w:val="16"/>
        </w:rPr>
        <w:t>, para. 120.</w:t>
      </w:r>
    </w:p>
  </w:footnote>
  <w:footnote w:id="97">
    <w:p w14:paraId="1EF688D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US – Carbon Steel</w:t>
      </w:r>
      <w:r w:rsidRPr="003B2BFE">
        <w:rPr>
          <w:szCs w:val="16"/>
        </w:rPr>
        <w:t>, para. 124.</w:t>
      </w:r>
    </w:p>
  </w:footnote>
  <w:footnote w:id="98">
    <w:p w14:paraId="72EB6D66" w14:textId="29788700"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EC and certain member States – Large Civil Aircraft</w:t>
      </w:r>
      <w:r w:rsidRPr="003B2BFE">
        <w:rPr>
          <w:szCs w:val="16"/>
        </w:rPr>
        <w:t>, paras. 639</w:t>
      </w:r>
      <w:r w:rsidRPr="003B2BFE">
        <w:rPr>
          <w:szCs w:val="16"/>
        </w:rPr>
        <w:noBreakHyphen/>
        <w:t xml:space="preserve">640 (referring to Appellate Body Report, </w:t>
      </w:r>
      <w:r w:rsidRPr="003B2BFE">
        <w:rPr>
          <w:i/>
          <w:iCs/>
          <w:szCs w:val="16"/>
        </w:rPr>
        <w:t>US – Carbon Steel</w:t>
      </w:r>
      <w:r w:rsidRPr="003B2BFE">
        <w:rPr>
          <w:szCs w:val="16"/>
        </w:rPr>
        <w:t xml:space="preserve">, para. 126, in turn referring to Appellate Body Report, </w:t>
      </w:r>
      <w:r w:rsidRPr="003B2BFE">
        <w:rPr>
          <w:i/>
          <w:iCs/>
          <w:szCs w:val="16"/>
        </w:rPr>
        <w:t>Brazil – Desiccated Coconut</w:t>
      </w:r>
      <w:r w:rsidRPr="003B2BFE">
        <w:rPr>
          <w:szCs w:val="16"/>
        </w:rPr>
        <w:t xml:space="preserve">, p. 22, DSR 1997:I, p. 186). See also Appellate Body Reports, </w:t>
      </w:r>
      <w:r w:rsidRPr="003B2BFE">
        <w:rPr>
          <w:i/>
          <w:iCs/>
          <w:szCs w:val="16"/>
        </w:rPr>
        <w:t>EC – Chicken Cuts</w:t>
      </w:r>
      <w:r w:rsidRPr="003B2BFE">
        <w:rPr>
          <w:szCs w:val="16"/>
        </w:rPr>
        <w:t xml:space="preserve">, para. 155; </w:t>
      </w:r>
      <w:r w:rsidRPr="003B2BFE">
        <w:rPr>
          <w:i/>
          <w:iCs/>
          <w:szCs w:val="16"/>
        </w:rPr>
        <w:t>US – Zeroing (Japan) (Article 21.5 – Japan)</w:t>
      </w:r>
      <w:r w:rsidRPr="003B2BFE">
        <w:rPr>
          <w:szCs w:val="16"/>
        </w:rPr>
        <w:t>, para. 108.</w:t>
      </w:r>
    </w:p>
  </w:footnote>
  <w:footnote w:id="99">
    <w:p w14:paraId="4CD0DA1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US – Oil Country Tubular Goods Sunset Reviews</w:t>
      </w:r>
      <w:r w:rsidRPr="003B2BFE">
        <w:rPr>
          <w:szCs w:val="16"/>
        </w:rPr>
        <w:t>, para. 162.</w:t>
      </w:r>
    </w:p>
  </w:footnote>
  <w:footnote w:id="100">
    <w:p w14:paraId="034B7DE6" w14:textId="1B2594FD"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iCs/>
          <w:szCs w:val="16"/>
        </w:rPr>
        <w:t>US – Oil Country Tubular Goods Sunset Reviews</w:t>
      </w:r>
      <w:r w:rsidRPr="003B2BFE">
        <w:rPr>
          <w:szCs w:val="16"/>
        </w:rPr>
        <w:t xml:space="preserve">, para. 162 (quoting Appellate Body Report, </w:t>
      </w:r>
      <w:r w:rsidRPr="003B2BFE">
        <w:rPr>
          <w:i/>
          <w:szCs w:val="16"/>
        </w:rPr>
        <w:t>Thailand – H</w:t>
      </w:r>
      <w:r w:rsidRPr="003B2BFE">
        <w:rPr>
          <w:i/>
          <w:szCs w:val="16"/>
        </w:rPr>
        <w:noBreakHyphen/>
        <w:t>Beams</w:t>
      </w:r>
      <w:r w:rsidRPr="003B2BFE">
        <w:rPr>
          <w:szCs w:val="16"/>
        </w:rPr>
        <w:t>, para. 88).</w:t>
      </w:r>
    </w:p>
  </w:footnote>
  <w:footnote w:id="101">
    <w:p w14:paraId="0229965B" w14:textId="42C75758"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Those panel requests listed 37 legal instruments as the measures at issue, alleging that they were inconsistent with 13 provisions of the covered agreements. However, it was unclear which allegations of error pertained to which particular measure identified in the panel requests. (Appellate Body Reports, </w:t>
      </w:r>
      <w:r w:rsidRPr="003B2BFE">
        <w:rPr>
          <w:i/>
          <w:szCs w:val="16"/>
        </w:rPr>
        <w:t>China – Raw Materials</w:t>
      </w:r>
      <w:r w:rsidRPr="003B2BFE">
        <w:rPr>
          <w:szCs w:val="16"/>
        </w:rPr>
        <w:t>, para. 227. See also ibid., para. 229)</w:t>
      </w:r>
    </w:p>
  </w:footnote>
  <w:footnote w:id="102">
    <w:p w14:paraId="1079E493" w14:textId="28922272"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Korea – Pneumatic Valves (Japan)</w:t>
      </w:r>
      <w:r w:rsidRPr="003B2BFE">
        <w:rPr>
          <w:szCs w:val="16"/>
        </w:rPr>
        <w:t xml:space="preserve">, para. 5.31 (quoting Appellate Body Reports, </w:t>
      </w:r>
      <w:r w:rsidRPr="003B2BFE">
        <w:rPr>
          <w:i/>
          <w:szCs w:val="16"/>
        </w:rPr>
        <w:t>China – HP</w:t>
      </w:r>
      <w:r w:rsidRPr="003B2BFE">
        <w:rPr>
          <w:i/>
          <w:szCs w:val="16"/>
        </w:rPr>
        <w:noBreakHyphen/>
        <w:t>SSST (Japan) / China – HP</w:t>
      </w:r>
      <w:r w:rsidRPr="003B2BFE">
        <w:rPr>
          <w:i/>
          <w:szCs w:val="16"/>
        </w:rPr>
        <w:noBreakHyphen/>
        <w:t>SSST (EU)</w:t>
      </w:r>
      <w:r w:rsidRPr="003B2BFE">
        <w:rPr>
          <w:szCs w:val="16"/>
        </w:rPr>
        <w:t xml:space="preserve">, para. 5.14, in turn quoting Appellate Body Report, </w:t>
      </w:r>
      <w:r w:rsidRPr="003B2BFE">
        <w:rPr>
          <w:i/>
          <w:szCs w:val="16"/>
        </w:rPr>
        <w:t>Korea – Dairy</w:t>
      </w:r>
      <w:r w:rsidRPr="003B2BFE">
        <w:rPr>
          <w:szCs w:val="16"/>
        </w:rPr>
        <w:t xml:space="preserve">, para. 139). See also ibid., para. 5.125; Appellate Body Report, </w:t>
      </w:r>
      <w:r w:rsidRPr="003B2BFE">
        <w:rPr>
          <w:i/>
          <w:szCs w:val="16"/>
        </w:rPr>
        <w:t>US – Countervailing Measures (China)</w:t>
      </w:r>
      <w:r w:rsidRPr="003B2BFE">
        <w:rPr>
          <w:szCs w:val="16"/>
        </w:rPr>
        <w:t>, para. 4.9.</w:t>
      </w:r>
    </w:p>
  </w:footnote>
  <w:footnote w:id="103">
    <w:p w14:paraId="2F4298C4" w14:textId="0BD175C5"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EC – Selected Customs Matters</w:t>
      </w:r>
      <w:r w:rsidRPr="003B2BFE">
        <w:rPr>
          <w:szCs w:val="16"/>
        </w:rPr>
        <w:t>, para. 130.</w:t>
      </w:r>
    </w:p>
  </w:footnote>
  <w:footnote w:id="104">
    <w:p w14:paraId="50B81698" w14:textId="72F70259"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Korea – Pneumatic Valves (Japan)</w:t>
      </w:r>
      <w:r w:rsidRPr="003B2BFE">
        <w:rPr>
          <w:szCs w:val="16"/>
        </w:rPr>
        <w:t xml:space="preserve">, para. 5.9 (quoting Appellate Body Reports, </w:t>
      </w:r>
      <w:r w:rsidRPr="003B2BFE">
        <w:rPr>
          <w:i/>
          <w:szCs w:val="16"/>
        </w:rPr>
        <w:t>China – HP</w:t>
      </w:r>
      <w:r w:rsidRPr="003B2BFE">
        <w:rPr>
          <w:i/>
          <w:szCs w:val="16"/>
        </w:rPr>
        <w:noBreakHyphen/>
        <w:t>SSST (Japan) / China – HP</w:t>
      </w:r>
      <w:r w:rsidRPr="003B2BFE">
        <w:rPr>
          <w:i/>
          <w:szCs w:val="16"/>
        </w:rPr>
        <w:noBreakHyphen/>
        <w:t>SSST (EU</w:t>
      </w:r>
      <w:r w:rsidRPr="003B2BFE">
        <w:rPr>
          <w:szCs w:val="16"/>
        </w:rPr>
        <w:t>),</w:t>
      </w:r>
      <w:r w:rsidRPr="003B2BFE">
        <w:rPr>
          <w:i/>
          <w:szCs w:val="16"/>
        </w:rPr>
        <w:t xml:space="preserve"> </w:t>
      </w:r>
      <w:r w:rsidRPr="003B2BFE">
        <w:rPr>
          <w:szCs w:val="16"/>
        </w:rPr>
        <w:t xml:space="preserve">para. 5.14, in turn quoting Appellate Body Report, </w:t>
      </w:r>
      <w:r w:rsidRPr="003B2BFE">
        <w:rPr>
          <w:i/>
          <w:szCs w:val="16"/>
        </w:rPr>
        <w:t>Korea – Dairy</w:t>
      </w:r>
      <w:r w:rsidRPr="003B2BFE">
        <w:rPr>
          <w:szCs w:val="16"/>
        </w:rPr>
        <w:t>, para. 124).</w:t>
      </w:r>
    </w:p>
  </w:footnote>
  <w:footnote w:id="105">
    <w:p w14:paraId="6395126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Reports, </w:t>
      </w:r>
      <w:r w:rsidRPr="003B2BFE">
        <w:rPr>
          <w:i/>
          <w:szCs w:val="16"/>
        </w:rPr>
        <w:t>EC – Bananas III</w:t>
      </w:r>
      <w:r w:rsidRPr="003B2BFE">
        <w:rPr>
          <w:szCs w:val="16"/>
        </w:rPr>
        <w:t xml:space="preserve">, para. 142; </w:t>
      </w:r>
      <w:r w:rsidRPr="003B2BFE">
        <w:rPr>
          <w:i/>
          <w:szCs w:val="16"/>
        </w:rPr>
        <w:t>EC and certain member States – Large Civil Aircraft</w:t>
      </w:r>
      <w:r w:rsidRPr="003B2BFE">
        <w:rPr>
          <w:szCs w:val="16"/>
        </w:rPr>
        <w:t xml:space="preserve">, para. 641; </w:t>
      </w:r>
      <w:r w:rsidRPr="003B2BFE">
        <w:rPr>
          <w:i/>
          <w:szCs w:val="16"/>
        </w:rPr>
        <w:t>US – Carbon Steel</w:t>
      </w:r>
      <w:r w:rsidRPr="003B2BFE">
        <w:rPr>
          <w:szCs w:val="16"/>
        </w:rPr>
        <w:t xml:space="preserve">, para. 127; </w:t>
      </w:r>
      <w:r w:rsidRPr="003B2BFE">
        <w:rPr>
          <w:i/>
          <w:szCs w:val="16"/>
        </w:rPr>
        <w:t>US – Continued Zeroing</w:t>
      </w:r>
      <w:r w:rsidRPr="003B2BFE">
        <w:rPr>
          <w:szCs w:val="16"/>
        </w:rPr>
        <w:t xml:space="preserve">, para. 161; </w:t>
      </w:r>
      <w:r w:rsidRPr="003B2BFE">
        <w:rPr>
          <w:i/>
          <w:szCs w:val="16"/>
        </w:rPr>
        <w:t>US – Countervailing Measures (China)</w:t>
      </w:r>
      <w:r w:rsidRPr="003B2BFE">
        <w:rPr>
          <w:szCs w:val="16"/>
        </w:rPr>
        <w:t xml:space="preserve">, para. 4.7; </w:t>
      </w:r>
      <w:r w:rsidRPr="003B2BFE">
        <w:rPr>
          <w:i/>
          <w:szCs w:val="16"/>
        </w:rPr>
        <w:t>EC – Fasteners (China)</w:t>
      </w:r>
      <w:r w:rsidRPr="003B2BFE">
        <w:rPr>
          <w:szCs w:val="16"/>
        </w:rPr>
        <w:t xml:space="preserve">, para. 562; </w:t>
      </w:r>
      <w:r w:rsidRPr="003B2BFE">
        <w:rPr>
          <w:i/>
          <w:szCs w:val="16"/>
        </w:rPr>
        <w:t>US – Oil Country Tubular Goods Sunset Reviews</w:t>
      </w:r>
      <w:r w:rsidRPr="003B2BFE">
        <w:rPr>
          <w:szCs w:val="16"/>
        </w:rPr>
        <w:t xml:space="preserve">, paras. 164 and 169; </w:t>
      </w:r>
      <w:r w:rsidRPr="003B2BFE">
        <w:rPr>
          <w:i/>
          <w:szCs w:val="16"/>
        </w:rPr>
        <w:t>US – Zeroing (Japan) (Article 21.5 – Japan)</w:t>
      </w:r>
      <w:r w:rsidRPr="003B2BFE">
        <w:rPr>
          <w:szCs w:val="16"/>
        </w:rPr>
        <w:t>, para. 108.</w:t>
      </w:r>
    </w:p>
  </w:footnote>
  <w:footnote w:id="106">
    <w:p w14:paraId="68EFA52D" w14:textId="1A9DCD6C"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color w:val="000000"/>
          <w:szCs w:val="16"/>
        </w:rPr>
        <w:t>Indonesia – Iron or Steel Products</w:t>
      </w:r>
      <w:r w:rsidRPr="003B2BFE">
        <w:rPr>
          <w:color w:val="000000"/>
          <w:szCs w:val="16"/>
        </w:rPr>
        <w:t xml:space="preserve">, para. 5.79 (referring to </w:t>
      </w:r>
      <w:r w:rsidRPr="003B2BFE">
        <w:rPr>
          <w:szCs w:val="16"/>
        </w:rPr>
        <w:t xml:space="preserve">Appellate Body Reports, </w:t>
      </w:r>
      <w:r w:rsidRPr="003B2BFE">
        <w:rPr>
          <w:i/>
          <w:szCs w:val="16"/>
        </w:rPr>
        <w:t>EC and certain member States – Large Civil Aircraft</w:t>
      </w:r>
      <w:r w:rsidRPr="003B2BFE">
        <w:rPr>
          <w:szCs w:val="16"/>
        </w:rPr>
        <w:t xml:space="preserve">, para. 787; </w:t>
      </w:r>
      <w:r w:rsidRPr="003B2BFE">
        <w:rPr>
          <w:i/>
          <w:szCs w:val="16"/>
        </w:rPr>
        <w:t>US – Continued Zeroing</w:t>
      </w:r>
      <w:r w:rsidRPr="003B2BFE">
        <w:rPr>
          <w:szCs w:val="16"/>
        </w:rPr>
        <w:t xml:space="preserve">, para. 161; </w:t>
      </w:r>
      <w:r w:rsidRPr="003B2BFE">
        <w:rPr>
          <w:i/>
          <w:szCs w:val="16"/>
        </w:rPr>
        <w:t>US – Carbon Steel</w:t>
      </w:r>
      <w:r w:rsidRPr="003B2BFE">
        <w:rPr>
          <w:szCs w:val="16"/>
        </w:rPr>
        <w:t xml:space="preserve">, para. 127; </w:t>
      </w:r>
      <w:r w:rsidRPr="003B2BFE">
        <w:rPr>
          <w:i/>
          <w:szCs w:val="16"/>
        </w:rPr>
        <w:t>China – HP</w:t>
      </w:r>
      <w:r w:rsidRPr="003B2BFE">
        <w:rPr>
          <w:i/>
          <w:szCs w:val="16"/>
        </w:rPr>
        <w:noBreakHyphen/>
        <w:t xml:space="preserve">SSST </w:t>
      </w:r>
      <w:r w:rsidRPr="003B2BFE">
        <w:rPr>
          <w:i/>
          <w:color w:val="000000"/>
          <w:szCs w:val="16"/>
        </w:rPr>
        <w:t>(Japan) / China – HP</w:t>
      </w:r>
      <w:r w:rsidRPr="003B2BFE">
        <w:rPr>
          <w:i/>
          <w:color w:val="000000"/>
          <w:szCs w:val="16"/>
        </w:rPr>
        <w:noBreakHyphen/>
        <w:t>SSST (EU)</w:t>
      </w:r>
      <w:r w:rsidRPr="003B2BFE">
        <w:rPr>
          <w:szCs w:val="16"/>
        </w:rPr>
        <w:t>, para. 5.13).</w:t>
      </w:r>
    </w:p>
  </w:footnote>
  <w:footnote w:id="107">
    <w:p w14:paraId="4CA08C2F" w14:textId="32DE605B"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color w:val="000000"/>
          <w:szCs w:val="16"/>
        </w:rPr>
        <w:t>Indonesia – Iron or Steel Products</w:t>
      </w:r>
      <w:r w:rsidRPr="003B2BFE">
        <w:rPr>
          <w:color w:val="000000"/>
          <w:szCs w:val="16"/>
        </w:rPr>
        <w:t xml:space="preserve">, para. 5.79 (referring to </w:t>
      </w:r>
      <w:r w:rsidRPr="003B2BFE">
        <w:rPr>
          <w:szCs w:val="16"/>
        </w:rPr>
        <w:t xml:space="preserve">Appellate Body Reports, </w:t>
      </w:r>
      <w:r w:rsidRPr="003B2BFE">
        <w:rPr>
          <w:i/>
          <w:szCs w:val="16"/>
        </w:rPr>
        <w:t>China – Raw Materials</w:t>
      </w:r>
      <w:r w:rsidRPr="003B2BFE">
        <w:rPr>
          <w:szCs w:val="16"/>
        </w:rPr>
        <w:t xml:space="preserve">, para. 220; </w:t>
      </w:r>
      <w:r w:rsidRPr="003B2BFE">
        <w:rPr>
          <w:i/>
          <w:szCs w:val="16"/>
        </w:rPr>
        <w:t>EC – Bananas III</w:t>
      </w:r>
      <w:r w:rsidRPr="003B2BFE">
        <w:rPr>
          <w:szCs w:val="16"/>
        </w:rPr>
        <w:t xml:space="preserve">, para. 143; </w:t>
      </w:r>
      <w:r w:rsidRPr="003B2BFE">
        <w:rPr>
          <w:i/>
          <w:szCs w:val="16"/>
        </w:rPr>
        <w:t>EC and certain member States – Large Civil Aircraft</w:t>
      </w:r>
      <w:r w:rsidRPr="003B2BFE">
        <w:rPr>
          <w:szCs w:val="16"/>
        </w:rPr>
        <w:t xml:space="preserve">, para. 787; </w:t>
      </w:r>
      <w:r w:rsidRPr="003B2BFE">
        <w:rPr>
          <w:i/>
          <w:szCs w:val="16"/>
        </w:rPr>
        <w:t>US – Carbon Steel</w:t>
      </w:r>
      <w:r w:rsidRPr="003B2BFE">
        <w:rPr>
          <w:szCs w:val="16"/>
        </w:rPr>
        <w:t>, para. 127</w:t>
      </w:r>
      <w:r w:rsidRPr="003B2BFE">
        <w:rPr>
          <w:i/>
          <w:szCs w:val="16"/>
        </w:rPr>
        <w:t>; US – Countervailing and Anti</w:t>
      </w:r>
      <w:r w:rsidRPr="003B2BFE">
        <w:rPr>
          <w:i/>
          <w:szCs w:val="16"/>
        </w:rPr>
        <w:noBreakHyphen/>
        <w:t>Dumping Measures (China)</w:t>
      </w:r>
      <w:r w:rsidRPr="003B2BFE">
        <w:rPr>
          <w:szCs w:val="16"/>
        </w:rPr>
        <w:t>, para. 4.9).</w:t>
      </w:r>
    </w:p>
  </w:footnote>
  <w:footnote w:id="108">
    <w:p w14:paraId="462EC2F0" w14:textId="494A065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color w:val="000000"/>
          <w:szCs w:val="16"/>
        </w:rPr>
        <w:t>Indonesia – Iron or Steel Products</w:t>
      </w:r>
      <w:r w:rsidRPr="003B2BFE">
        <w:rPr>
          <w:color w:val="000000"/>
          <w:szCs w:val="16"/>
        </w:rPr>
        <w:t xml:space="preserve">, para. 5.79 (referring to </w:t>
      </w:r>
      <w:r w:rsidRPr="003B2BFE">
        <w:rPr>
          <w:szCs w:val="16"/>
        </w:rPr>
        <w:t xml:space="preserve">Appellate Body Reports, </w:t>
      </w:r>
      <w:r w:rsidRPr="003B2BFE">
        <w:rPr>
          <w:i/>
          <w:szCs w:val="16"/>
        </w:rPr>
        <w:t>China – Raw Materials</w:t>
      </w:r>
      <w:r w:rsidRPr="003B2BFE">
        <w:rPr>
          <w:szCs w:val="16"/>
        </w:rPr>
        <w:t xml:space="preserve">, para. 220; </w:t>
      </w:r>
      <w:r w:rsidRPr="003B2BFE">
        <w:rPr>
          <w:i/>
          <w:szCs w:val="16"/>
        </w:rPr>
        <w:t>EC and certain member States – Large Civil Aircraft</w:t>
      </w:r>
      <w:r w:rsidRPr="003B2BFE">
        <w:rPr>
          <w:szCs w:val="16"/>
        </w:rPr>
        <w:t xml:space="preserve">, para. 642; </w:t>
      </w:r>
      <w:r w:rsidRPr="003B2BFE">
        <w:rPr>
          <w:i/>
          <w:szCs w:val="16"/>
        </w:rPr>
        <w:t>US – Carbon Steel</w:t>
      </w:r>
      <w:r w:rsidRPr="003B2BFE">
        <w:rPr>
          <w:szCs w:val="16"/>
        </w:rPr>
        <w:t xml:space="preserve">, para. 127; </w:t>
      </w:r>
      <w:r w:rsidRPr="003B2BFE">
        <w:rPr>
          <w:i/>
          <w:szCs w:val="16"/>
        </w:rPr>
        <w:t>US – Countervailing and Anti</w:t>
      </w:r>
      <w:r w:rsidRPr="003B2BFE">
        <w:rPr>
          <w:i/>
          <w:szCs w:val="16"/>
        </w:rPr>
        <w:noBreakHyphen/>
        <w:t>Dumping Measures (China)</w:t>
      </w:r>
      <w:r w:rsidRPr="003B2BFE">
        <w:rPr>
          <w:szCs w:val="16"/>
        </w:rPr>
        <w:t>, para. 4.9).</w:t>
      </w:r>
    </w:p>
  </w:footnote>
  <w:footnote w:id="109">
    <w:p w14:paraId="0AF93F31" w14:textId="795C1635"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7.23</w:t>
      </w:r>
      <w:r w:rsidRPr="003B2BFE">
        <w:rPr>
          <w:szCs w:val="16"/>
        </w:rPr>
        <w:noBreakHyphen/>
        <w:t>7.39.</w:t>
      </w:r>
    </w:p>
  </w:footnote>
  <w:footnote w:id="110">
    <w:p w14:paraId="16F9F1A7" w14:textId="3E0B01AB"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7.30</w:t>
      </w:r>
      <w:r w:rsidRPr="003B2BFE">
        <w:rPr>
          <w:szCs w:val="16"/>
        </w:rPr>
        <w:noBreakHyphen/>
        <w:t>7.39.</w:t>
      </w:r>
    </w:p>
  </w:footnote>
  <w:footnote w:id="111">
    <w:p w14:paraId="0DB845A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7.37.</w:t>
      </w:r>
    </w:p>
  </w:footnote>
  <w:footnote w:id="112">
    <w:p w14:paraId="7154AAB2" w14:textId="18235EC6"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7.39, table 1.</w:t>
      </w:r>
    </w:p>
  </w:footnote>
  <w:footnote w:id="113">
    <w:p w14:paraId="5825741C" w14:textId="30F842A4"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9.</w:t>
      </w:r>
    </w:p>
  </w:footnote>
  <w:footnote w:id="114">
    <w:p w14:paraId="2FE44358" w14:textId="3E1043EB"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paras. 7</w:t>
      </w:r>
      <w:r w:rsidRPr="003B2BFE">
        <w:rPr>
          <w:szCs w:val="16"/>
        </w:rPr>
        <w:noBreakHyphen/>
        <w:t>8.</w:t>
      </w:r>
    </w:p>
  </w:footnote>
  <w:footnote w:id="115">
    <w:p w14:paraId="3FC970F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7.40.</w:t>
      </w:r>
    </w:p>
  </w:footnote>
  <w:footnote w:id="116">
    <w:p w14:paraId="6BA42E05" w14:textId="519EC2ED"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7.41 (referring to Ukraine's panel request, pp. 2</w:t>
      </w:r>
      <w:r w:rsidRPr="003B2BFE">
        <w:rPr>
          <w:szCs w:val="16"/>
        </w:rPr>
        <w:noBreakHyphen/>
        <w:t>3).</w:t>
      </w:r>
    </w:p>
  </w:footnote>
  <w:footnote w:id="117">
    <w:p w14:paraId="148657FA" w14:textId="283DA9E9"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7.42 (referring to WT/DS394/7, pp. 6</w:t>
      </w:r>
      <w:r w:rsidRPr="003B2BFE">
        <w:rPr>
          <w:szCs w:val="16"/>
        </w:rPr>
        <w:noBreakHyphen/>
        <w:t>9; WT/DS395/7, pp. 6</w:t>
      </w:r>
      <w:r w:rsidRPr="003B2BFE">
        <w:rPr>
          <w:szCs w:val="16"/>
        </w:rPr>
        <w:noBreakHyphen/>
        <w:t>9; WT/DS398/6, pp. 6</w:t>
      </w:r>
      <w:r w:rsidRPr="003B2BFE">
        <w:rPr>
          <w:szCs w:val="16"/>
        </w:rPr>
        <w:noBreakHyphen/>
        <w:t>9).</w:t>
      </w:r>
    </w:p>
  </w:footnote>
  <w:footnote w:id="118">
    <w:p w14:paraId="00E9C380" w14:textId="3242E5EE"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7.42 (referring to Ukraine's panel request, pp. 3</w:t>
      </w:r>
      <w:r w:rsidRPr="003B2BFE">
        <w:rPr>
          <w:szCs w:val="16"/>
        </w:rPr>
        <w:noBreakHyphen/>
        <w:t>4).</w:t>
      </w:r>
    </w:p>
  </w:footnote>
  <w:footnote w:id="119">
    <w:p w14:paraId="22FDC96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7.104.</w:t>
      </w:r>
    </w:p>
  </w:footnote>
  <w:footnote w:id="120">
    <w:p w14:paraId="01834D0F" w14:textId="47E5FE2E"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14.</w:t>
      </w:r>
    </w:p>
  </w:footnote>
  <w:footnote w:id="121">
    <w:p w14:paraId="7D23A42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7.103.</w:t>
      </w:r>
    </w:p>
  </w:footnote>
  <w:footnote w:id="122">
    <w:p w14:paraId="5B5DFCB8" w14:textId="3E3F382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7.93 (referring to the text of section II of Ukraine's panel request as reproduced by the Panel in para. 7.139, table 2).</w:t>
      </w:r>
    </w:p>
  </w:footnote>
  <w:footnote w:id="123">
    <w:p w14:paraId="3FB5011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7.99 and 7.103.</w:t>
      </w:r>
    </w:p>
  </w:footnote>
  <w:footnote w:id="124">
    <w:p w14:paraId="1DF714C4"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Reports, </w:t>
      </w:r>
      <w:r w:rsidRPr="003B2BFE">
        <w:rPr>
          <w:i/>
          <w:szCs w:val="16"/>
        </w:rPr>
        <w:t>EC – Bananas III</w:t>
      </w:r>
      <w:r w:rsidRPr="003B2BFE">
        <w:rPr>
          <w:szCs w:val="16"/>
        </w:rPr>
        <w:t xml:space="preserve">, para. 142; </w:t>
      </w:r>
      <w:r w:rsidRPr="003B2BFE">
        <w:rPr>
          <w:i/>
          <w:szCs w:val="16"/>
        </w:rPr>
        <w:t>EC and certain member States – Large Civil Aircraft</w:t>
      </w:r>
      <w:r w:rsidRPr="003B2BFE">
        <w:rPr>
          <w:szCs w:val="16"/>
        </w:rPr>
        <w:t xml:space="preserve">, para. 641; </w:t>
      </w:r>
      <w:r w:rsidRPr="003B2BFE">
        <w:rPr>
          <w:i/>
          <w:szCs w:val="16"/>
        </w:rPr>
        <w:t>US – Carbon Steel</w:t>
      </w:r>
      <w:r w:rsidRPr="003B2BFE">
        <w:rPr>
          <w:szCs w:val="16"/>
        </w:rPr>
        <w:t xml:space="preserve">, para. 127; </w:t>
      </w:r>
      <w:r w:rsidRPr="003B2BFE">
        <w:rPr>
          <w:i/>
          <w:szCs w:val="16"/>
        </w:rPr>
        <w:t>US – Continued Zeroing</w:t>
      </w:r>
      <w:r w:rsidRPr="003B2BFE">
        <w:rPr>
          <w:szCs w:val="16"/>
        </w:rPr>
        <w:t xml:space="preserve">, para. 161; </w:t>
      </w:r>
      <w:r w:rsidRPr="003B2BFE">
        <w:rPr>
          <w:i/>
          <w:szCs w:val="16"/>
        </w:rPr>
        <w:t>US – Countervailing Measures (China)</w:t>
      </w:r>
      <w:r w:rsidRPr="003B2BFE">
        <w:rPr>
          <w:szCs w:val="16"/>
        </w:rPr>
        <w:t xml:space="preserve">, para. 4.7; </w:t>
      </w:r>
      <w:r w:rsidRPr="003B2BFE">
        <w:rPr>
          <w:i/>
          <w:szCs w:val="16"/>
        </w:rPr>
        <w:t>EC – Fasteners (China)</w:t>
      </w:r>
      <w:r w:rsidRPr="003B2BFE">
        <w:rPr>
          <w:szCs w:val="16"/>
        </w:rPr>
        <w:t xml:space="preserve">, para. 562; </w:t>
      </w:r>
      <w:r w:rsidRPr="003B2BFE">
        <w:rPr>
          <w:i/>
          <w:szCs w:val="16"/>
        </w:rPr>
        <w:t>US – Oil Country Tubular Goods Sunset Reviews</w:t>
      </w:r>
      <w:r w:rsidRPr="003B2BFE">
        <w:rPr>
          <w:szCs w:val="16"/>
        </w:rPr>
        <w:t>, paras. 164 and 169</w:t>
      </w:r>
      <w:r w:rsidRPr="003B2BFE">
        <w:rPr>
          <w:i/>
          <w:szCs w:val="16"/>
        </w:rPr>
        <w:t>; US – Zeroing (Japan) (Article 21.5 – Japan)</w:t>
      </w:r>
      <w:r w:rsidRPr="003B2BFE">
        <w:rPr>
          <w:szCs w:val="16"/>
        </w:rPr>
        <w:t>, para. 108.</w:t>
      </w:r>
    </w:p>
  </w:footnote>
  <w:footnote w:id="125">
    <w:p w14:paraId="2AE45508" w14:textId="77A8A2B9"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color w:val="000000"/>
          <w:szCs w:val="16"/>
        </w:rPr>
        <w:t>Indonesia – Iron or Steel Products</w:t>
      </w:r>
      <w:r w:rsidRPr="003B2BFE">
        <w:rPr>
          <w:color w:val="000000"/>
          <w:szCs w:val="16"/>
        </w:rPr>
        <w:t xml:space="preserve">, para. 5.79 (referring to </w:t>
      </w:r>
      <w:r w:rsidRPr="003B2BFE">
        <w:rPr>
          <w:szCs w:val="16"/>
        </w:rPr>
        <w:t xml:space="preserve">Appellate Body Reports, </w:t>
      </w:r>
      <w:r w:rsidRPr="003B2BFE">
        <w:rPr>
          <w:i/>
          <w:szCs w:val="16"/>
        </w:rPr>
        <w:t>EC and certain member States – Large Civil Aircraft</w:t>
      </w:r>
      <w:r w:rsidRPr="003B2BFE">
        <w:rPr>
          <w:szCs w:val="16"/>
        </w:rPr>
        <w:t xml:space="preserve">, para. 787; </w:t>
      </w:r>
      <w:r w:rsidRPr="003B2BFE">
        <w:rPr>
          <w:i/>
          <w:szCs w:val="16"/>
        </w:rPr>
        <w:t>US – Continued Zeroing</w:t>
      </w:r>
      <w:r w:rsidRPr="003B2BFE">
        <w:rPr>
          <w:szCs w:val="16"/>
        </w:rPr>
        <w:t>, para. 161</w:t>
      </w:r>
      <w:r w:rsidRPr="003B2BFE">
        <w:rPr>
          <w:i/>
          <w:szCs w:val="16"/>
        </w:rPr>
        <w:t>; US – Carbon Steel</w:t>
      </w:r>
      <w:r w:rsidRPr="003B2BFE">
        <w:rPr>
          <w:szCs w:val="16"/>
        </w:rPr>
        <w:t xml:space="preserve">, para. 127; </w:t>
      </w:r>
      <w:r w:rsidRPr="003B2BFE">
        <w:rPr>
          <w:i/>
          <w:szCs w:val="16"/>
        </w:rPr>
        <w:t>China – HP</w:t>
      </w:r>
      <w:r w:rsidRPr="003B2BFE">
        <w:rPr>
          <w:i/>
          <w:szCs w:val="16"/>
        </w:rPr>
        <w:noBreakHyphen/>
        <w:t xml:space="preserve">SSST </w:t>
      </w:r>
      <w:r w:rsidRPr="003B2BFE">
        <w:rPr>
          <w:i/>
          <w:color w:val="000000"/>
          <w:szCs w:val="16"/>
        </w:rPr>
        <w:t>(Japan) / China – HP</w:t>
      </w:r>
      <w:r w:rsidRPr="003B2BFE">
        <w:rPr>
          <w:i/>
          <w:color w:val="000000"/>
          <w:szCs w:val="16"/>
        </w:rPr>
        <w:noBreakHyphen/>
        <w:t>SSST (EU)</w:t>
      </w:r>
      <w:r w:rsidRPr="003B2BFE">
        <w:rPr>
          <w:szCs w:val="16"/>
        </w:rPr>
        <w:t>, para. 5.13).</w:t>
      </w:r>
    </w:p>
  </w:footnote>
  <w:footnote w:id="126">
    <w:p w14:paraId="149EE5B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7.93.</w:t>
      </w:r>
    </w:p>
  </w:footnote>
  <w:footnote w:id="127">
    <w:p w14:paraId="2EDFF7E6" w14:textId="2DCDF610"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7.94</w:t>
      </w:r>
      <w:r w:rsidRPr="003B2BFE">
        <w:rPr>
          <w:szCs w:val="16"/>
        </w:rPr>
        <w:noBreakHyphen/>
        <w:t>7.98.</w:t>
      </w:r>
    </w:p>
  </w:footnote>
  <w:footnote w:id="128">
    <w:p w14:paraId="6135F889" w14:textId="63465E7A"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18.</w:t>
      </w:r>
    </w:p>
  </w:footnote>
  <w:footnote w:id="129">
    <w:p w14:paraId="6E8C92A2" w14:textId="1DA34936"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19.</w:t>
      </w:r>
    </w:p>
  </w:footnote>
  <w:footnote w:id="130">
    <w:p w14:paraId="21E23C27" w14:textId="36F50B3C"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paras. 27-28.</w:t>
      </w:r>
    </w:p>
  </w:footnote>
  <w:footnote w:id="131">
    <w:p w14:paraId="7F2A5BD6" w14:textId="4BC8F3D0"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7.96.</w:t>
      </w:r>
    </w:p>
  </w:footnote>
  <w:footnote w:id="132">
    <w:p w14:paraId="17121F60" w14:textId="38F34F61"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21 (referring to Panel Report, para. 7.92).</w:t>
      </w:r>
    </w:p>
  </w:footnote>
  <w:footnote w:id="133">
    <w:p w14:paraId="2D4A5874"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51.</w:t>
      </w:r>
    </w:p>
  </w:footnote>
  <w:footnote w:id="134">
    <w:p w14:paraId="0A052FD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Reports,</w:t>
      </w:r>
      <w:r w:rsidRPr="003B2BFE">
        <w:rPr>
          <w:i/>
          <w:szCs w:val="16"/>
        </w:rPr>
        <w:t xml:space="preserve"> EC – Bananas III</w:t>
      </w:r>
      <w:r w:rsidRPr="003B2BFE">
        <w:rPr>
          <w:szCs w:val="16"/>
        </w:rPr>
        <w:t>, para. 142</w:t>
      </w:r>
      <w:r w:rsidRPr="003B2BFE">
        <w:rPr>
          <w:i/>
          <w:szCs w:val="16"/>
        </w:rPr>
        <w:t>; EC and certain member States – Large Civil Aircraft</w:t>
      </w:r>
      <w:r w:rsidRPr="003B2BFE">
        <w:rPr>
          <w:szCs w:val="16"/>
        </w:rPr>
        <w:t xml:space="preserve">, para. 641; </w:t>
      </w:r>
      <w:r w:rsidRPr="003B2BFE">
        <w:rPr>
          <w:i/>
          <w:szCs w:val="16"/>
        </w:rPr>
        <w:t>US – Carbon Steel</w:t>
      </w:r>
      <w:r w:rsidRPr="003B2BFE">
        <w:rPr>
          <w:szCs w:val="16"/>
        </w:rPr>
        <w:t xml:space="preserve">, para. 127; </w:t>
      </w:r>
      <w:r w:rsidRPr="003B2BFE">
        <w:rPr>
          <w:i/>
          <w:szCs w:val="16"/>
        </w:rPr>
        <w:t>US – Continued Zeroing</w:t>
      </w:r>
      <w:r w:rsidRPr="003B2BFE">
        <w:rPr>
          <w:szCs w:val="16"/>
        </w:rPr>
        <w:t xml:space="preserve">, para. 161; </w:t>
      </w:r>
      <w:r w:rsidRPr="003B2BFE">
        <w:rPr>
          <w:i/>
          <w:szCs w:val="16"/>
        </w:rPr>
        <w:t>US – Countervailing Measures (China)</w:t>
      </w:r>
      <w:r w:rsidRPr="003B2BFE">
        <w:rPr>
          <w:szCs w:val="16"/>
        </w:rPr>
        <w:t xml:space="preserve">, para. 4.7; </w:t>
      </w:r>
      <w:r w:rsidRPr="003B2BFE">
        <w:rPr>
          <w:i/>
          <w:szCs w:val="16"/>
        </w:rPr>
        <w:t>EC – Fasteners (China)</w:t>
      </w:r>
      <w:r w:rsidRPr="003B2BFE">
        <w:rPr>
          <w:szCs w:val="16"/>
        </w:rPr>
        <w:t xml:space="preserve">, para. 562; </w:t>
      </w:r>
      <w:r w:rsidRPr="003B2BFE">
        <w:rPr>
          <w:i/>
          <w:szCs w:val="16"/>
        </w:rPr>
        <w:t>US – Oil Country Tubular Goods Sunset Reviews</w:t>
      </w:r>
      <w:r w:rsidRPr="003B2BFE">
        <w:rPr>
          <w:szCs w:val="16"/>
        </w:rPr>
        <w:t xml:space="preserve">, paras. 164 and 169; </w:t>
      </w:r>
      <w:r w:rsidRPr="003B2BFE">
        <w:rPr>
          <w:i/>
          <w:szCs w:val="16"/>
        </w:rPr>
        <w:t>US – Zeroing (Japan) (Article 21.5 – Japan)</w:t>
      </w:r>
      <w:r w:rsidRPr="003B2BFE">
        <w:rPr>
          <w:szCs w:val="16"/>
        </w:rPr>
        <w:t>, para. 108.</w:t>
      </w:r>
    </w:p>
  </w:footnote>
  <w:footnote w:id="135">
    <w:p w14:paraId="040987EE" w14:textId="0BB8BB00"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panel request, section II(3). (emphasis added)</w:t>
      </w:r>
    </w:p>
  </w:footnote>
  <w:footnote w:id="136">
    <w:p w14:paraId="7CB05EB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7.93.</w:t>
      </w:r>
    </w:p>
  </w:footnote>
  <w:footnote w:id="137">
    <w:p w14:paraId="152FA273" w14:textId="48EA9E6E"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33 (referring to Panel Report, </w:t>
      </w:r>
      <w:r w:rsidRPr="003B2BFE">
        <w:rPr>
          <w:i/>
          <w:szCs w:val="16"/>
        </w:rPr>
        <w:t>Australia – Apples</w:t>
      </w:r>
      <w:r w:rsidRPr="003B2BFE">
        <w:rPr>
          <w:szCs w:val="16"/>
        </w:rPr>
        <w:t>, para. 7.1449).</w:t>
      </w:r>
    </w:p>
  </w:footnote>
  <w:footnote w:id="138">
    <w:p w14:paraId="5F77E054"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7.101 (referring to Panel Report, </w:t>
      </w:r>
      <w:r w:rsidRPr="003B2BFE">
        <w:rPr>
          <w:i/>
          <w:szCs w:val="16"/>
        </w:rPr>
        <w:t>Australia – Apples</w:t>
      </w:r>
      <w:r w:rsidRPr="003B2BFE">
        <w:rPr>
          <w:szCs w:val="16"/>
        </w:rPr>
        <w:t>, para. 7.1446).</w:t>
      </w:r>
    </w:p>
  </w:footnote>
  <w:footnote w:id="139">
    <w:p w14:paraId="14E5EC7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7.101 (referring to Panel Report, </w:t>
      </w:r>
      <w:r w:rsidRPr="003B2BFE">
        <w:rPr>
          <w:i/>
          <w:szCs w:val="16"/>
        </w:rPr>
        <w:t>Australia – Apples</w:t>
      </w:r>
      <w:r w:rsidRPr="003B2BFE">
        <w:rPr>
          <w:szCs w:val="16"/>
        </w:rPr>
        <w:t>, para. 7.1449).</w:t>
      </w:r>
    </w:p>
  </w:footnote>
  <w:footnote w:id="140">
    <w:p w14:paraId="53ACF43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7.101 (referring to Panel Report, </w:t>
      </w:r>
      <w:r w:rsidRPr="003B2BFE">
        <w:rPr>
          <w:i/>
          <w:szCs w:val="16"/>
        </w:rPr>
        <w:t>Australia – Apples</w:t>
      </w:r>
      <w:r w:rsidRPr="003B2BFE">
        <w:rPr>
          <w:szCs w:val="16"/>
        </w:rPr>
        <w:t>, para. 7.1449).</w:t>
      </w:r>
    </w:p>
  </w:footnote>
  <w:footnote w:id="141">
    <w:p w14:paraId="2D227053" w14:textId="73F1CCC1"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7.102.</w:t>
      </w:r>
    </w:p>
  </w:footnote>
  <w:footnote w:id="142">
    <w:p w14:paraId="1D43815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section 3.</w:t>
      </w:r>
    </w:p>
  </w:footnote>
  <w:footnote w:id="143">
    <w:p w14:paraId="41C6AF2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section 4.</w:t>
      </w:r>
    </w:p>
  </w:footnote>
  <w:footnote w:id="144">
    <w:p w14:paraId="7E3ACB0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section 5.</w:t>
      </w:r>
    </w:p>
  </w:footnote>
  <w:footnote w:id="145">
    <w:p w14:paraId="308CA809"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section 6.</w:t>
      </w:r>
    </w:p>
  </w:footnote>
  <w:footnote w:id="146">
    <w:p w14:paraId="1F1733EB" w14:textId="1E48FA3B"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7.811 (referring to Ukraine's first written submission to the Panel, para. 373). See also ibid., para. 7.808.</w:t>
      </w:r>
    </w:p>
  </w:footnote>
  <w:footnote w:id="147">
    <w:p w14:paraId="582F7F42" w14:textId="61D48D1D"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7.811 and 7.841. See also </w:t>
      </w:r>
      <w:r w:rsidRPr="003B2BFE">
        <w:rPr>
          <w:rFonts w:cs="Arial"/>
          <w:szCs w:val="16"/>
          <w:lang w:eastAsia="zh-CN"/>
        </w:rPr>
        <w:t xml:space="preserve">Letter from the Federal Agency for Railway Transport of the MOT to JSC </w:t>
      </w:r>
      <w:r w:rsidRPr="003B2BFE">
        <w:rPr>
          <w:b/>
          <w:szCs w:val="16"/>
        </w:rPr>
        <w:t>[BCI]</w:t>
      </w:r>
      <w:r w:rsidRPr="003B2BFE">
        <w:rPr>
          <w:rFonts w:cs="Arial"/>
          <w:szCs w:val="16"/>
          <w:lang w:eastAsia="zh-CN"/>
        </w:rPr>
        <w:t xml:space="preserve"> accompanied to Protocol No. A 4-3 of 20 January 2015 of the MOT regarding issuance by the certification authority of the CU of the certificates of conformity for products manufactured by third countries (</w:t>
      </w:r>
      <w:r w:rsidRPr="003B2BFE">
        <w:rPr>
          <w:szCs w:val="16"/>
        </w:rPr>
        <w:t>Panel Exhibit UKR</w:t>
      </w:r>
      <w:r w:rsidRPr="003B2BFE">
        <w:rPr>
          <w:szCs w:val="16"/>
        </w:rPr>
        <w:noBreakHyphen/>
        <w:t xml:space="preserve">48 (BCI)); </w:t>
      </w:r>
      <w:r w:rsidRPr="003B2BFE">
        <w:rPr>
          <w:rFonts w:cs="Arial"/>
          <w:szCs w:val="16"/>
          <w:lang w:eastAsia="zh-CN"/>
        </w:rPr>
        <w:t xml:space="preserve">Letter dated 4 February 2016 from the Federal Agency for Railway Transport to </w:t>
      </w:r>
      <w:r w:rsidRPr="003B2BFE">
        <w:rPr>
          <w:b/>
          <w:szCs w:val="16"/>
        </w:rPr>
        <w:t>[BCI]</w:t>
      </w:r>
      <w:r w:rsidRPr="003B2BFE">
        <w:rPr>
          <w:rFonts w:cs="Arial"/>
          <w:szCs w:val="16"/>
          <w:lang w:eastAsia="zh-CN"/>
        </w:rPr>
        <w:t xml:space="preserve"> on validity of certificates (Panel Exhibit</w:t>
      </w:r>
      <w:r w:rsidRPr="003B2BFE">
        <w:rPr>
          <w:szCs w:val="16"/>
        </w:rPr>
        <w:t xml:space="preserve"> UKR</w:t>
      </w:r>
      <w:r w:rsidRPr="003B2BFE">
        <w:rPr>
          <w:szCs w:val="16"/>
        </w:rPr>
        <w:noBreakHyphen/>
        <w:t xml:space="preserve">49 (BCI)); </w:t>
      </w:r>
      <w:r w:rsidRPr="003B2BFE">
        <w:rPr>
          <w:rFonts w:cs="Arial"/>
          <w:szCs w:val="16"/>
          <w:lang w:eastAsia="zh-CN"/>
        </w:rPr>
        <w:t xml:space="preserve">Letter dated 10 August 2016 from the Federal Agency for Railway Transport to JSC </w:t>
      </w:r>
      <w:r w:rsidRPr="003B2BFE">
        <w:rPr>
          <w:b/>
          <w:szCs w:val="16"/>
        </w:rPr>
        <w:t>[BCI]</w:t>
      </w:r>
      <w:r w:rsidRPr="003B2BFE">
        <w:rPr>
          <w:rFonts w:cs="Arial"/>
          <w:szCs w:val="16"/>
          <w:lang w:eastAsia="zh-CN"/>
        </w:rPr>
        <w:t xml:space="preserve"> on validity of certificates</w:t>
      </w:r>
      <w:r w:rsidRPr="003B2BFE">
        <w:rPr>
          <w:szCs w:val="16"/>
        </w:rPr>
        <w:t xml:space="preserve"> (Panel Exhibit UKR</w:t>
      </w:r>
      <w:r w:rsidRPr="003B2BFE">
        <w:rPr>
          <w:szCs w:val="16"/>
        </w:rPr>
        <w:noBreakHyphen/>
        <w:t>141 (BCI)). We refer to the translated English versions of the Panel exhibits.</w:t>
      </w:r>
    </w:p>
  </w:footnote>
  <w:footnote w:id="148">
    <w:p w14:paraId="3131EC5B" w14:textId="40FAE191"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7.841, table 7. See also </w:t>
      </w:r>
      <w:r w:rsidRPr="003B2BFE">
        <w:rPr>
          <w:rFonts w:cs="Arial"/>
          <w:szCs w:val="16"/>
          <w:lang w:eastAsia="zh-CN"/>
        </w:rPr>
        <w:t xml:space="preserve">Letter from the Federal Agency for Railway Transport of the MOT to JSC </w:t>
      </w:r>
      <w:r w:rsidRPr="003B2BFE">
        <w:rPr>
          <w:b/>
          <w:szCs w:val="16"/>
        </w:rPr>
        <w:t>[BCI]</w:t>
      </w:r>
      <w:r w:rsidRPr="003B2BFE">
        <w:rPr>
          <w:rFonts w:cs="Arial"/>
          <w:szCs w:val="16"/>
          <w:lang w:eastAsia="zh-CN"/>
        </w:rPr>
        <w:t xml:space="preserve"> accompanied to Protocol No. A 4-3 of 20 January 2015 of the MOT regarding issuance by the certification authority of the CU of the certificates of conformity for products manufactured by third countries (</w:t>
      </w:r>
      <w:r w:rsidRPr="003B2BFE">
        <w:rPr>
          <w:szCs w:val="16"/>
        </w:rPr>
        <w:t>Panel Exhibit UKR</w:t>
      </w:r>
      <w:r w:rsidRPr="003B2BFE">
        <w:rPr>
          <w:szCs w:val="16"/>
        </w:rPr>
        <w:noBreakHyphen/>
        <w:t xml:space="preserve">48 (BCI)); </w:t>
      </w:r>
      <w:r w:rsidRPr="003B2BFE">
        <w:rPr>
          <w:rFonts w:cs="Arial"/>
          <w:szCs w:val="16"/>
          <w:lang w:eastAsia="zh-CN"/>
        </w:rPr>
        <w:t xml:space="preserve">Letter dated 4 February 2016 from the Federal Agency for Railway Transport to </w:t>
      </w:r>
      <w:r w:rsidRPr="003B2BFE">
        <w:rPr>
          <w:b/>
          <w:szCs w:val="16"/>
        </w:rPr>
        <w:t>[BCI]</w:t>
      </w:r>
      <w:r w:rsidRPr="003B2BFE">
        <w:rPr>
          <w:rFonts w:cs="Arial"/>
          <w:szCs w:val="16"/>
          <w:lang w:eastAsia="zh-CN"/>
        </w:rPr>
        <w:t xml:space="preserve"> on validity of certificates</w:t>
      </w:r>
      <w:r w:rsidRPr="003B2BFE">
        <w:rPr>
          <w:szCs w:val="16"/>
        </w:rPr>
        <w:t xml:space="preserve"> (Panel Exhibit UKR</w:t>
      </w:r>
      <w:r w:rsidRPr="003B2BFE">
        <w:rPr>
          <w:szCs w:val="16"/>
        </w:rPr>
        <w:noBreakHyphen/>
        <w:t xml:space="preserve">49 (BCI)); </w:t>
      </w:r>
      <w:r w:rsidRPr="003B2BFE">
        <w:rPr>
          <w:rFonts w:cs="Arial"/>
          <w:szCs w:val="16"/>
          <w:lang w:eastAsia="zh-CN"/>
        </w:rPr>
        <w:t xml:space="preserve">Letter dated 10 August 2016 from the Federal Agency for Railway Transport to JSC </w:t>
      </w:r>
      <w:r w:rsidRPr="003B2BFE">
        <w:rPr>
          <w:b/>
          <w:szCs w:val="16"/>
        </w:rPr>
        <w:t>[BCI]</w:t>
      </w:r>
      <w:r w:rsidRPr="003B2BFE">
        <w:rPr>
          <w:rFonts w:cs="Arial"/>
          <w:szCs w:val="16"/>
          <w:lang w:eastAsia="zh-CN"/>
        </w:rPr>
        <w:t xml:space="preserve"> on validity of certificates</w:t>
      </w:r>
      <w:r w:rsidRPr="003B2BFE">
        <w:rPr>
          <w:szCs w:val="16"/>
        </w:rPr>
        <w:t xml:space="preserve"> (Panel Exhibit UKR</w:t>
      </w:r>
      <w:r w:rsidRPr="003B2BFE">
        <w:rPr>
          <w:szCs w:val="16"/>
        </w:rPr>
        <w:noBreakHyphen/>
        <w:t>141 (BCI)). The January 2015 letter (along with Protocol </w:t>
      </w:r>
      <w:r>
        <w:rPr>
          <w:szCs w:val="16"/>
        </w:rPr>
        <w:t>No. </w:t>
      </w:r>
      <w:r w:rsidRPr="003B2BFE">
        <w:rPr>
          <w:szCs w:val="16"/>
        </w:rPr>
        <w:t>A 4</w:t>
      </w:r>
      <w:r w:rsidRPr="003B2BFE">
        <w:rPr>
          <w:szCs w:val="16"/>
        </w:rPr>
        <w:noBreakHyphen/>
        <w:t>3) and the February 2016 letter were listed in Annex III to the panel request (see Ukraine's panel request, Annex III), whereas the August 2016 letter was submitted by Ukraine with its second written submission (see Ukraine's second written submission to the Panel, para. 444 and fn 462 thereto).</w:t>
      </w:r>
    </w:p>
  </w:footnote>
  <w:footnote w:id="149">
    <w:p w14:paraId="63452FA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7.812.</w:t>
      </w:r>
    </w:p>
  </w:footnote>
  <w:footnote w:id="150">
    <w:p w14:paraId="70431122" w14:textId="62DA6039"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7.813 (referring to Ukraine's first written submission to the Panel, paras. 375</w:t>
      </w:r>
      <w:r w:rsidRPr="003B2BFE">
        <w:rPr>
          <w:szCs w:val="16"/>
        </w:rPr>
        <w:noBreakHyphen/>
        <w:t>376; responses to Panel questions Nos. 23, 26, and 36).</w:t>
      </w:r>
    </w:p>
  </w:footnote>
  <w:footnote w:id="151">
    <w:p w14:paraId="57F526E8"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7.818.</w:t>
      </w:r>
    </w:p>
  </w:footnote>
  <w:footnote w:id="152">
    <w:p w14:paraId="72E27F4D" w14:textId="3ACE0F7F"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7.809 and 7.818</w:t>
      </w:r>
      <w:r w:rsidRPr="003B2BFE">
        <w:rPr>
          <w:szCs w:val="16"/>
        </w:rPr>
        <w:noBreakHyphen/>
        <w:t>7.819.</w:t>
      </w:r>
    </w:p>
  </w:footnote>
  <w:footnote w:id="153">
    <w:p w14:paraId="763A91D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7.819.</w:t>
      </w:r>
    </w:p>
  </w:footnote>
  <w:footnote w:id="154">
    <w:p w14:paraId="3FF9386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7.822.</w:t>
      </w:r>
    </w:p>
  </w:footnote>
  <w:footnote w:id="155">
    <w:p w14:paraId="7D761F1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7.823.</w:t>
      </w:r>
    </w:p>
  </w:footnote>
  <w:footnote w:id="156">
    <w:p w14:paraId="6131EDD4"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7.823 (referring to Ukraine's panel request, p. 2).</w:t>
      </w:r>
    </w:p>
  </w:footnote>
  <w:footnote w:id="157">
    <w:p w14:paraId="537DC651" w14:textId="3EAF005E"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7.823. See also ibid., para. 8.1.d.i.</w:t>
      </w:r>
    </w:p>
  </w:footnote>
  <w:footnote w:id="158">
    <w:p w14:paraId="1B2DE54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7.824.</w:t>
      </w:r>
    </w:p>
  </w:footnote>
  <w:footnote w:id="159">
    <w:p w14:paraId="794E620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7.825.</w:t>
      </w:r>
    </w:p>
  </w:footnote>
  <w:footnote w:id="160">
    <w:p w14:paraId="4F12E3B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7.827.</w:t>
      </w:r>
    </w:p>
  </w:footnote>
  <w:footnote w:id="161">
    <w:p w14:paraId="22B66FB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7.828.</w:t>
      </w:r>
    </w:p>
  </w:footnote>
  <w:footnote w:id="162">
    <w:p w14:paraId="164E3588"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7.828. (emphasis added)</w:t>
      </w:r>
    </w:p>
  </w:footnote>
  <w:footnote w:id="163">
    <w:p w14:paraId="51686C2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7.829.</w:t>
      </w:r>
    </w:p>
  </w:footnote>
  <w:footnote w:id="164">
    <w:p w14:paraId="2E094A5D" w14:textId="32AE9C44"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7.846. The Russian authorities stated in the January 2015 letter and the attached Protocol</w:t>
      </w:r>
      <w:r>
        <w:rPr>
          <w:szCs w:val="16"/>
        </w:rPr>
        <w:t xml:space="preserve"> No. </w:t>
      </w:r>
      <w:r w:rsidRPr="003B2BFE">
        <w:rPr>
          <w:szCs w:val="16"/>
        </w:rPr>
        <w:t>A 4</w:t>
      </w:r>
      <w:r w:rsidRPr="003B2BFE">
        <w:rPr>
          <w:szCs w:val="16"/>
        </w:rPr>
        <w:noBreakHyphen/>
        <w:t xml:space="preserve">3 that CU Technical Regulation 001/2011 applies to products manufactured in the territory of the CU. In the February 2016 letter and the August 2016 letter, the Russian authorities stated that Articles 1(1) and 6(9) of CU Technical Regulation 001/2011 provide for the local production condition and the local registration condition, respectively, and that certain certificates issued by the Belarusian authorities to Ukrainian imports were in violation of CU Technical Regulation 001/2011. For these reasons, the Russian authorities decided that the certificates at issue in all three letters were not valid within Russia's territory. (See Panel Report, para. 7.841 and table 7; </w:t>
      </w:r>
      <w:r w:rsidRPr="003B2BFE">
        <w:rPr>
          <w:rFonts w:cs="Arial"/>
          <w:szCs w:val="16"/>
          <w:lang w:eastAsia="zh-CN"/>
        </w:rPr>
        <w:t xml:space="preserve">Letter from the Federal Agency for Railway Transport of the MOT to JSC </w:t>
      </w:r>
      <w:r w:rsidRPr="003B2BFE">
        <w:rPr>
          <w:b/>
          <w:szCs w:val="16"/>
        </w:rPr>
        <w:t>[BCI]</w:t>
      </w:r>
      <w:r w:rsidRPr="003B2BFE">
        <w:rPr>
          <w:rFonts w:cs="Arial"/>
          <w:szCs w:val="16"/>
          <w:lang w:eastAsia="zh-CN"/>
        </w:rPr>
        <w:t xml:space="preserve"> accompanied to Protocol No. A 4-3 of 20 January 2015 of the MOT regarding issuance by the certification authority of the CU of the certificates of conformity for products manufactured by third countries (</w:t>
      </w:r>
      <w:r w:rsidRPr="003B2BFE">
        <w:rPr>
          <w:szCs w:val="16"/>
        </w:rPr>
        <w:t>Panel Exhibit UKR</w:t>
      </w:r>
      <w:r w:rsidRPr="003B2BFE">
        <w:rPr>
          <w:szCs w:val="16"/>
        </w:rPr>
        <w:noBreakHyphen/>
        <w:t xml:space="preserve">48 (BCI)); </w:t>
      </w:r>
      <w:r w:rsidRPr="003B2BFE">
        <w:rPr>
          <w:rFonts w:cs="Arial"/>
          <w:szCs w:val="16"/>
          <w:lang w:eastAsia="zh-CN"/>
        </w:rPr>
        <w:t xml:space="preserve">Letter dated 4 February 2016 from the Federal Agency for Railway Transport to </w:t>
      </w:r>
      <w:r w:rsidRPr="003B2BFE">
        <w:rPr>
          <w:b/>
          <w:szCs w:val="16"/>
        </w:rPr>
        <w:t>[BCI]</w:t>
      </w:r>
      <w:r w:rsidRPr="003B2BFE">
        <w:rPr>
          <w:rFonts w:cs="Arial"/>
          <w:szCs w:val="16"/>
          <w:lang w:eastAsia="zh-CN"/>
        </w:rPr>
        <w:t xml:space="preserve"> on validity of certificates</w:t>
      </w:r>
      <w:r w:rsidRPr="003B2BFE">
        <w:rPr>
          <w:szCs w:val="16"/>
        </w:rPr>
        <w:t xml:space="preserve"> (Panel Exhibit UKR</w:t>
      </w:r>
      <w:r w:rsidRPr="003B2BFE">
        <w:rPr>
          <w:szCs w:val="16"/>
        </w:rPr>
        <w:noBreakHyphen/>
        <w:t xml:space="preserve">49 (BCI)); </w:t>
      </w:r>
      <w:r w:rsidRPr="003B2BFE">
        <w:rPr>
          <w:rFonts w:cs="Arial"/>
          <w:szCs w:val="16"/>
          <w:lang w:eastAsia="zh-CN"/>
        </w:rPr>
        <w:t xml:space="preserve">Letter dated 10 August 2016 from the Federal Agency for Railway Transport to JSC </w:t>
      </w:r>
      <w:r w:rsidRPr="003B2BFE">
        <w:rPr>
          <w:b/>
          <w:szCs w:val="16"/>
        </w:rPr>
        <w:t>[BCI]</w:t>
      </w:r>
      <w:r w:rsidRPr="003B2BFE">
        <w:rPr>
          <w:rFonts w:cs="Arial"/>
          <w:szCs w:val="16"/>
          <w:lang w:eastAsia="zh-CN"/>
        </w:rPr>
        <w:t xml:space="preserve"> on validity of certificates (Panel Exhibit</w:t>
      </w:r>
      <w:r w:rsidRPr="003B2BFE">
        <w:rPr>
          <w:szCs w:val="16"/>
        </w:rPr>
        <w:t xml:space="preserve"> UKR</w:t>
      </w:r>
      <w:r w:rsidRPr="003B2BFE">
        <w:rPr>
          <w:szCs w:val="16"/>
        </w:rPr>
        <w:noBreakHyphen/>
        <w:t>141 (BCI)))</w:t>
      </w:r>
    </w:p>
  </w:footnote>
  <w:footnote w:id="165">
    <w:p w14:paraId="3576AED9" w14:textId="6FAA44A6"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7.846</w:t>
      </w:r>
      <w:r w:rsidRPr="003B2BFE">
        <w:rPr>
          <w:szCs w:val="16"/>
        </w:rPr>
        <w:noBreakHyphen/>
        <w:t>7.847.</w:t>
      </w:r>
    </w:p>
  </w:footnote>
  <w:footnote w:id="166">
    <w:p w14:paraId="251E853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7.847.</w:t>
      </w:r>
    </w:p>
  </w:footnote>
  <w:footnote w:id="167">
    <w:p w14:paraId="1EEA36C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7.854.</w:t>
      </w:r>
    </w:p>
  </w:footnote>
  <w:footnote w:id="168">
    <w:p w14:paraId="6647F93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7.843.</w:t>
      </w:r>
    </w:p>
  </w:footnote>
  <w:footnote w:id="169">
    <w:p w14:paraId="722F951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7.851. See also ibid., para. 7.845.</w:t>
      </w:r>
    </w:p>
  </w:footnote>
  <w:footnote w:id="170">
    <w:p w14:paraId="26781184"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7.850.</w:t>
      </w:r>
    </w:p>
  </w:footnote>
  <w:footnote w:id="171">
    <w:p w14:paraId="6744AD39"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7.850.</w:t>
      </w:r>
    </w:p>
  </w:footnote>
  <w:footnote w:id="172">
    <w:p w14:paraId="50B64D5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7.850.</w:t>
      </w:r>
    </w:p>
  </w:footnote>
  <w:footnote w:id="173">
    <w:p w14:paraId="7CC27A3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7.853.</w:t>
      </w:r>
    </w:p>
  </w:footnote>
  <w:footnote w:id="174">
    <w:p w14:paraId="4BD882BA"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7.856.</w:t>
      </w:r>
    </w:p>
  </w:footnote>
  <w:footnote w:id="175">
    <w:p w14:paraId="0CDA79C4" w14:textId="65218D73"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7.861.</w:t>
      </w:r>
    </w:p>
  </w:footnote>
  <w:footnote w:id="176">
    <w:p w14:paraId="4C1BEA1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7.861.</w:t>
      </w:r>
    </w:p>
  </w:footnote>
  <w:footnote w:id="177">
    <w:p w14:paraId="65F164DA"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7.862.</w:t>
      </w:r>
    </w:p>
  </w:footnote>
  <w:footnote w:id="178">
    <w:p w14:paraId="78B6E4D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159 (referring to Panel Report, para. 7.861).</w:t>
      </w:r>
    </w:p>
  </w:footnote>
  <w:footnote w:id="179">
    <w:p w14:paraId="1B772B8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149.</w:t>
      </w:r>
    </w:p>
  </w:footnote>
  <w:footnote w:id="180">
    <w:p w14:paraId="45CCF4AA"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paras. 154 and 157.</w:t>
      </w:r>
    </w:p>
  </w:footnote>
  <w:footnote w:id="181">
    <w:p w14:paraId="62D300D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133.</w:t>
      </w:r>
    </w:p>
  </w:footnote>
  <w:footnote w:id="182">
    <w:p w14:paraId="53D30A59" w14:textId="5DD1A21B"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148. (emphasis omitted)</w:t>
      </w:r>
    </w:p>
  </w:footnote>
  <w:footnote w:id="183">
    <w:p w14:paraId="6240C98D" w14:textId="3262CC58"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151. Specifically, Russia argues that, according to Article 53 of the EAEU Treaty, products that are subject to technical regulations of the CU are put into circulation within the territory of the whole CU after completion of the necessary conformity assessment procedure and that CU countries must ensure the circulation of the products that conform to CU technical regulations within their respective territories without introducing any requirements additional to those set out in the CU technical regulations or any additional conformity assessment procedures. (Ibid.)</w:t>
      </w:r>
    </w:p>
  </w:footnote>
  <w:footnote w:id="184">
    <w:p w14:paraId="6A81228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155 (referring to Panel Report, para. 7.851).</w:t>
      </w:r>
    </w:p>
  </w:footnote>
  <w:footnote w:id="185">
    <w:p w14:paraId="77167BFE" w14:textId="0AB47222"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paras. 176</w:t>
      </w:r>
      <w:r w:rsidRPr="003B2BFE">
        <w:rPr>
          <w:szCs w:val="16"/>
        </w:rPr>
        <w:noBreakHyphen/>
        <w:t>177 and 186</w:t>
      </w:r>
      <w:r w:rsidRPr="003B2BFE">
        <w:rPr>
          <w:szCs w:val="16"/>
        </w:rPr>
        <w:noBreakHyphen/>
        <w:t>187.</w:t>
      </w:r>
    </w:p>
  </w:footnote>
  <w:footnote w:id="186">
    <w:p w14:paraId="349FAF24" w14:textId="452C3A34"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paras. 167</w:t>
      </w:r>
      <w:r w:rsidRPr="003B2BFE">
        <w:rPr>
          <w:szCs w:val="16"/>
        </w:rPr>
        <w:noBreakHyphen/>
        <w:t>168.</w:t>
      </w:r>
    </w:p>
  </w:footnote>
  <w:footnote w:id="187">
    <w:p w14:paraId="6D0ED94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171.</w:t>
      </w:r>
    </w:p>
  </w:footnote>
  <w:footnote w:id="188">
    <w:p w14:paraId="6DB1A95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172.</w:t>
      </w:r>
    </w:p>
  </w:footnote>
  <w:footnote w:id="189">
    <w:p w14:paraId="53BB66AB" w14:textId="4EBAD8AE"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170 (referring to Panel Report, paras. 7.592</w:t>
      </w:r>
      <w:r w:rsidRPr="003B2BFE">
        <w:rPr>
          <w:szCs w:val="16"/>
        </w:rPr>
        <w:noBreakHyphen/>
        <w:t xml:space="preserve">7.595 </w:t>
      </w:r>
      <w:r w:rsidRPr="003B2BFE">
        <w:rPr>
          <w:szCs w:val="16"/>
        </w:rPr>
        <w:br/>
        <w:t>and 7.619).</w:t>
      </w:r>
    </w:p>
  </w:footnote>
  <w:footnote w:id="190">
    <w:p w14:paraId="575EA12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180.</w:t>
      </w:r>
    </w:p>
  </w:footnote>
  <w:footnote w:id="191">
    <w:p w14:paraId="64588E9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181.</w:t>
      </w:r>
    </w:p>
  </w:footnote>
  <w:footnote w:id="192">
    <w:p w14:paraId="3462E649" w14:textId="55068935"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iCs/>
          <w:szCs w:val="16"/>
        </w:rPr>
        <w:t>US – Large Civil Aircraft (2</w:t>
      </w:r>
      <w:r w:rsidRPr="003B2BFE">
        <w:rPr>
          <w:i/>
          <w:iCs/>
          <w:szCs w:val="16"/>
          <w:vertAlign w:val="superscript"/>
        </w:rPr>
        <w:t>nd</w:t>
      </w:r>
      <w:r w:rsidRPr="003B2BFE">
        <w:rPr>
          <w:i/>
          <w:iCs/>
          <w:szCs w:val="16"/>
        </w:rPr>
        <w:t xml:space="preserve"> complaint)</w:t>
      </w:r>
      <w:r w:rsidRPr="003B2BFE">
        <w:rPr>
          <w:szCs w:val="16"/>
        </w:rPr>
        <w:t xml:space="preserve">, para. 586 (quoting Appellate Body Reports, </w:t>
      </w:r>
      <w:r w:rsidRPr="003B2BFE">
        <w:rPr>
          <w:i/>
          <w:szCs w:val="16"/>
        </w:rPr>
        <w:t>China – Auto Parts</w:t>
      </w:r>
      <w:r w:rsidRPr="003B2BFE">
        <w:rPr>
          <w:szCs w:val="16"/>
        </w:rPr>
        <w:t>, para. 171).</w:t>
      </w:r>
    </w:p>
  </w:footnote>
  <w:footnote w:id="193">
    <w:p w14:paraId="51295789" w14:textId="4BAEA682"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iCs/>
          <w:szCs w:val="16"/>
        </w:rPr>
        <w:t>US – Large Civil Aircraft (2</w:t>
      </w:r>
      <w:r w:rsidRPr="003B2BFE">
        <w:rPr>
          <w:i/>
          <w:iCs/>
          <w:szCs w:val="16"/>
          <w:vertAlign w:val="superscript"/>
        </w:rPr>
        <w:t>nd</w:t>
      </w:r>
      <w:r w:rsidRPr="003B2BFE">
        <w:rPr>
          <w:i/>
          <w:iCs/>
          <w:szCs w:val="16"/>
        </w:rPr>
        <w:t xml:space="preserve"> complaint)</w:t>
      </w:r>
      <w:r w:rsidRPr="003B2BFE">
        <w:rPr>
          <w:szCs w:val="16"/>
        </w:rPr>
        <w:t xml:space="preserve">, para. 586 (quoting Appellate Body Reports, </w:t>
      </w:r>
      <w:r w:rsidRPr="003B2BFE">
        <w:rPr>
          <w:i/>
          <w:szCs w:val="16"/>
        </w:rPr>
        <w:t>China – Auto Parts</w:t>
      </w:r>
      <w:r w:rsidRPr="003B2BFE">
        <w:rPr>
          <w:szCs w:val="16"/>
        </w:rPr>
        <w:t xml:space="preserve">, para. 171). (emphasis original) See also e.g. Appellate Body Report, </w:t>
      </w:r>
      <w:r>
        <w:rPr>
          <w:szCs w:val="16"/>
        </w:rPr>
        <w:br/>
      </w:r>
      <w:r w:rsidRPr="003B2BFE">
        <w:rPr>
          <w:i/>
          <w:szCs w:val="16"/>
        </w:rPr>
        <w:t>EU – Biodiesel (Argentina)</w:t>
      </w:r>
      <w:r w:rsidRPr="003B2BFE">
        <w:rPr>
          <w:szCs w:val="16"/>
        </w:rPr>
        <w:t>, para. 6.156.</w:t>
      </w:r>
    </w:p>
  </w:footnote>
  <w:footnote w:id="194">
    <w:p w14:paraId="3A0FF484" w14:textId="6F314A5C"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US – Carbon Steel</w:t>
      </w:r>
      <w:r w:rsidRPr="003B2BFE">
        <w:rPr>
          <w:szCs w:val="16"/>
        </w:rPr>
        <w:t xml:space="preserve">, para. 157. See also e.g. Appellate Body Reports, </w:t>
      </w:r>
      <w:r w:rsidRPr="003B2BFE">
        <w:rPr>
          <w:i/>
          <w:szCs w:val="16"/>
        </w:rPr>
        <w:t>Argentina – Import Measures</w:t>
      </w:r>
      <w:r w:rsidRPr="003B2BFE">
        <w:rPr>
          <w:szCs w:val="16"/>
        </w:rPr>
        <w:t>, para. 5.110.</w:t>
      </w:r>
    </w:p>
  </w:footnote>
  <w:footnote w:id="195">
    <w:p w14:paraId="11244C50" w14:textId="0636B14E"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Colombia – Textiles</w:t>
      </w:r>
      <w:r w:rsidRPr="003B2BFE">
        <w:rPr>
          <w:szCs w:val="16"/>
        </w:rPr>
        <w:t xml:space="preserve">, para. 5.20 (quoting Appellate Body Report, </w:t>
      </w:r>
      <w:r>
        <w:rPr>
          <w:szCs w:val="16"/>
        </w:rPr>
        <w:br/>
      </w:r>
      <w:r w:rsidRPr="003B2BFE">
        <w:rPr>
          <w:i/>
          <w:szCs w:val="16"/>
        </w:rPr>
        <w:t>Canada – Wheat Exports and Grain Imports</w:t>
      </w:r>
      <w:r w:rsidRPr="003B2BFE">
        <w:rPr>
          <w:szCs w:val="16"/>
        </w:rPr>
        <w:t>, para. 127).</w:t>
      </w:r>
    </w:p>
  </w:footnote>
  <w:footnote w:id="196">
    <w:p w14:paraId="3890632B" w14:textId="37C7A298"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US – Large Civil Aircraft (2</w:t>
      </w:r>
      <w:r w:rsidRPr="003B2BFE">
        <w:rPr>
          <w:i/>
          <w:szCs w:val="16"/>
          <w:vertAlign w:val="superscript"/>
        </w:rPr>
        <w:t>nd</w:t>
      </w:r>
      <w:r w:rsidRPr="003B2BFE">
        <w:rPr>
          <w:i/>
          <w:szCs w:val="16"/>
        </w:rPr>
        <w:t xml:space="preserve"> complaint)</w:t>
      </w:r>
      <w:r w:rsidRPr="003B2BFE">
        <w:rPr>
          <w:szCs w:val="16"/>
        </w:rPr>
        <w:t xml:space="preserve">, para. 713 (quoting Appellate Body Report, </w:t>
      </w:r>
      <w:r w:rsidRPr="003B2BFE">
        <w:rPr>
          <w:i/>
          <w:iCs/>
          <w:szCs w:val="16"/>
        </w:rPr>
        <w:t>US – Upland Cotton (Article 21.5 – Brazil)</w:t>
      </w:r>
      <w:r w:rsidRPr="003B2BFE">
        <w:rPr>
          <w:szCs w:val="16"/>
        </w:rPr>
        <w:t xml:space="preserve">, fn 618 to para. 293). See also e.g. Appellate Body Report, </w:t>
      </w:r>
      <w:r w:rsidRPr="003B2BFE">
        <w:rPr>
          <w:i/>
          <w:szCs w:val="16"/>
        </w:rPr>
        <w:t>Russia – Commercial Vehicles</w:t>
      </w:r>
      <w:r w:rsidRPr="003B2BFE">
        <w:rPr>
          <w:szCs w:val="16"/>
        </w:rPr>
        <w:t>, paras. 5.76</w:t>
      </w:r>
      <w:r w:rsidRPr="003B2BFE">
        <w:rPr>
          <w:szCs w:val="16"/>
        </w:rPr>
        <w:noBreakHyphen/>
        <w:t>5.77.</w:t>
      </w:r>
    </w:p>
  </w:footnote>
  <w:footnote w:id="197">
    <w:p w14:paraId="163934C0" w14:textId="62C89DA6"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US – Large Civil Aircraft (2</w:t>
      </w:r>
      <w:r w:rsidRPr="003B2BFE">
        <w:rPr>
          <w:i/>
          <w:szCs w:val="16"/>
          <w:vertAlign w:val="superscript"/>
        </w:rPr>
        <w:t>nd</w:t>
      </w:r>
      <w:r w:rsidRPr="003B2BFE">
        <w:rPr>
          <w:i/>
          <w:szCs w:val="16"/>
        </w:rPr>
        <w:t xml:space="preserve"> complaint)</w:t>
      </w:r>
      <w:r w:rsidRPr="003B2BFE">
        <w:rPr>
          <w:szCs w:val="16"/>
        </w:rPr>
        <w:t>, para. 713. See also e.g. Appellate Body Report,</w:t>
      </w:r>
      <w:r w:rsidRPr="003B2BFE">
        <w:rPr>
          <w:i/>
          <w:iCs/>
          <w:szCs w:val="16"/>
        </w:rPr>
        <w:t xml:space="preserve"> US – Carbon Steel</w:t>
      </w:r>
      <w:r w:rsidRPr="003B2BFE">
        <w:rPr>
          <w:szCs w:val="16"/>
        </w:rPr>
        <w:t>, para. 142.</w:t>
      </w:r>
    </w:p>
  </w:footnote>
  <w:footnote w:id="198">
    <w:p w14:paraId="2BA9723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US – Large Civil Aircraft (2</w:t>
      </w:r>
      <w:r w:rsidRPr="003B2BFE">
        <w:rPr>
          <w:i/>
          <w:szCs w:val="16"/>
          <w:vertAlign w:val="superscript"/>
        </w:rPr>
        <w:t>nd</w:t>
      </w:r>
      <w:r w:rsidRPr="003B2BFE">
        <w:rPr>
          <w:i/>
          <w:szCs w:val="16"/>
        </w:rPr>
        <w:t xml:space="preserve"> complaint)</w:t>
      </w:r>
      <w:r w:rsidRPr="003B2BFE">
        <w:rPr>
          <w:szCs w:val="16"/>
        </w:rPr>
        <w:t xml:space="preserve">, para. 713 (quoting Appellate Body Report, </w:t>
      </w:r>
      <w:r w:rsidRPr="003B2BFE">
        <w:rPr>
          <w:i/>
          <w:iCs/>
          <w:szCs w:val="16"/>
        </w:rPr>
        <w:t>US – Upland Cotton (Article 21.5 – Brazil)</w:t>
      </w:r>
      <w:r w:rsidRPr="003B2BFE">
        <w:rPr>
          <w:szCs w:val="16"/>
        </w:rPr>
        <w:t>, para. 292).</w:t>
      </w:r>
    </w:p>
  </w:footnote>
  <w:footnote w:id="199">
    <w:p w14:paraId="1E8F2789"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EU – Biodiesel (Argentina)</w:t>
      </w:r>
      <w:r w:rsidRPr="003B2BFE">
        <w:rPr>
          <w:szCs w:val="16"/>
        </w:rPr>
        <w:t>, para. 6.156.</w:t>
      </w:r>
    </w:p>
  </w:footnote>
  <w:footnote w:id="200">
    <w:p w14:paraId="74EC62CC" w14:textId="3562A926"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EC and certain member States – Large Civil Aircraft</w:t>
      </w:r>
      <w:r w:rsidRPr="003B2BFE">
        <w:rPr>
          <w:szCs w:val="16"/>
        </w:rPr>
        <w:t xml:space="preserve">, para. 1317 (referring to Appellate Body Reports, </w:t>
      </w:r>
      <w:r w:rsidRPr="003B2BFE">
        <w:rPr>
          <w:i/>
          <w:szCs w:val="16"/>
        </w:rPr>
        <w:t>US – Wheat Gluten</w:t>
      </w:r>
      <w:r w:rsidRPr="003B2BFE">
        <w:rPr>
          <w:szCs w:val="16"/>
        </w:rPr>
        <w:t xml:space="preserve">, para. 151; </w:t>
      </w:r>
      <w:r w:rsidRPr="003B2BFE">
        <w:rPr>
          <w:i/>
          <w:szCs w:val="16"/>
        </w:rPr>
        <w:t>EC – Sardines</w:t>
      </w:r>
      <w:r w:rsidRPr="003B2BFE">
        <w:rPr>
          <w:szCs w:val="16"/>
        </w:rPr>
        <w:t xml:space="preserve">, para. 299; </w:t>
      </w:r>
      <w:r w:rsidRPr="003B2BFE">
        <w:rPr>
          <w:i/>
          <w:szCs w:val="16"/>
        </w:rPr>
        <w:t>US – Carbon Steel</w:t>
      </w:r>
      <w:r w:rsidRPr="003B2BFE">
        <w:rPr>
          <w:szCs w:val="16"/>
        </w:rPr>
        <w:t xml:space="preserve">, para. 142; quoting Appellate Body Report, </w:t>
      </w:r>
      <w:r w:rsidRPr="003B2BFE">
        <w:rPr>
          <w:i/>
          <w:szCs w:val="16"/>
        </w:rPr>
        <w:t>US – Wheat Gluten</w:t>
      </w:r>
      <w:r w:rsidRPr="003B2BFE">
        <w:rPr>
          <w:szCs w:val="16"/>
        </w:rPr>
        <w:t>, para. 151).</w:t>
      </w:r>
    </w:p>
  </w:footnote>
  <w:footnote w:id="201">
    <w:p w14:paraId="2B971682" w14:textId="65F3C601"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Reports, </w:t>
      </w:r>
      <w:r w:rsidRPr="003B2BFE">
        <w:rPr>
          <w:i/>
          <w:szCs w:val="16"/>
        </w:rPr>
        <w:t>US – Large Civil Aircraft (2</w:t>
      </w:r>
      <w:r w:rsidRPr="003B2BFE">
        <w:rPr>
          <w:i/>
          <w:szCs w:val="16"/>
          <w:vertAlign w:val="superscript"/>
        </w:rPr>
        <w:t>nd</w:t>
      </w:r>
      <w:r w:rsidRPr="003B2BFE">
        <w:rPr>
          <w:i/>
          <w:szCs w:val="16"/>
        </w:rPr>
        <w:t xml:space="preserve"> complaint)</w:t>
      </w:r>
      <w:r w:rsidRPr="003B2BFE">
        <w:rPr>
          <w:szCs w:val="16"/>
        </w:rPr>
        <w:t xml:space="preserve">, para. 992; </w:t>
      </w:r>
      <w:r w:rsidRPr="003B2BFE">
        <w:rPr>
          <w:i/>
          <w:szCs w:val="16"/>
        </w:rPr>
        <w:t>China – Rare Earths</w:t>
      </w:r>
      <w:r w:rsidRPr="003B2BFE">
        <w:rPr>
          <w:szCs w:val="16"/>
        </w:rPr>
        <w:t>, paras. 5.178</w:t>
      </w:r>
      <w:r w:rsidRPr="003B2BFE">
        <w:rPr>
          <w:szCs w:val="16"/>
        </w:rPr>
        <w:noBreakHyphen/>
        <w:t>5.179.</w:t>
      </w:r>
    </w:p>
  </w:footnote>
  <w:footnote w:id="202">
    <w:p w14:paraId="5E47505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EC and certain member States – Large Civil Aircraft</w:t>
      </w:r>
      <w:r w:rsidRPr="003B2BFE">
        <w:rPr>
          <w:szCs w:val="16"/>
        </w:rPr>
        <w:t>, para. 1318.</w:t>
      </w:r>
    </w:p>
  </w:footnote>
  <w:footnote w:id="203">
    <w:p w14:paraId="70E3098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134. (emphasis original)</w:t>
      </w:r>
    </w:p>
  </w:footnote>
  <w:footnote w:id="204">
    <w:p w14:paraId="50F06E28" w14:textId="127CBB70"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For example, in advancing this argument, Russia stresses that "the [p]anel [r]equest specifies the matter as CU Technical Regulation 001/2011." (Russia's other appellant's submission, para. 134)</w:t>
      </w:r>
    </w:p>
  </w:footnote>
  <w:footnote w:id="205">
    <w:p w14:paraId="32BEDBB5" w14:textId="1E8439FE"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7.811</w:t>
      </w:r>
      <w:r w:rsidRPr="003B2BFE">
        <w:rPr>
          <w:szCs w:val="16"/>
        </w:rPr>
        <w:noBreakHyphen/>
        <w:t>7.813.</w:t>
      </w:r>
    </w:p>
  </w:footnote>
  <w:footnote w:id="206">
    <w:p w14:paraId="0CD7590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7.847.</w:t>
      </w:r>
    </w:p>
  </w:footnote>
  <w:footnote w:id="207">
    <w:p w14:paraId="3C7E3F8C" w14:textId="5CE5F2CF"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7.828 and 7.846</w:t>
      </w:r>
      <w:r w:rsidRPr="003B2BFE">
        <w:rPr>
          <w:szCs w:val="16"/>
        </w:rPr>
        <w:noBreakHyphen/>
        <w:t>7.847.</w:t>
      </w:r>
    </w:p>
  </w:footnote>
  <w:footnote w:id="208">
    <w:p w14:paraId="5258C2F0" w14:textId="491923A0"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See para.</w:t>
      </w:r>
      <w:r w:rsidR="0093034E">
        <w:rPr>
          <w:szCs w:val="16"/>
        </w:rPr>
        <w:t xml:space="preserve"> 5.60 </w:t>
      </w:r>
      <w:r w:rsidRPr="003B2BFE">
        <w:rPr>
          <w:szCs w:val="16"/>
          <w:lang w:val="en-US"/>
        </w:rPr>
        <w:t>above.</w:t>
      </w:r>
    </w:p>
  </w:footnote>
  <w:footnote w:id="209">
    <w:p w14:paraId="323B4C4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151.</w:t>
      </w:r>
    </w:p>
  </w:footnote>
  <w:footnote w:id="210">
    <w:p w14:paraId="27EAFB05" w14:textId="6B77535E"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w:t>
      </w:r>
      <w:r w:rsidRPr="003B2BFE">
        <w:rPr>
          <w:szCs w:val="16"/>
          <w:lang w:val="en-US"/>
        </w:rPr>
        <w:t> 7.846</w:t>
      </w:r>
      <w:r w:rsidRPr="003B2BFE">
        <w:rPr>
          <w:szCs w:val="16"/>
          <w:lang w:val="en-US"/>
        </w:rPr>
        <w:noBreakHyphen/>
        <w:t>7.847.</w:t>
      </w:r>
    </w:p>
  </w:footnote>
  <w:footnote w:id="211">
    <w:p w14:paraId="7CACA882" w14:textId="48190EC9"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155.</w:t>
      </w:r>
    </w:p>
  </w:footnote>
  <w:footnote w:id="212">
    <w:p w14:paraId="06C97E3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7.851.</w:t>
      </w:r>
    </w:p>
  </w:footnote>
  <w:footnote w:id="213">
    <w:p w14:paraId="7AFAADC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7.851.</w:t>
      </w:r>
    </w:p>
  </w:footnote>
  <w:footnote w:id="214">
    <w:p w14:paraId="7DE8DFC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7.851.</w:t>
      </w:r>
    </w:p>
  </w:footnote>
  <w:footnote w:id="215">
    <w:p w14:paraId="69DD387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7.851.</w:t>
      </w:r>
    </w:p>
  </w:footnote>
  <w:footnote w:id="216">
    <w:p w14:paraId="66CB49F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150.</w:t>
      </w:r>
    </w:p>
  </w:footnote>
  <w:footnote w:id="217">
    <w:p w14:paraId="1FE0D5A2" w14:textId="5C131B22"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paras. 149</w:t>
      </w:r>
      <w:r w:rsidRPr="003B2BFE">
        <w:rPr>
          <w:szCs w:val="16"/>
        </w:rPr>
        <w:noBreakHyphen/>
        <w:t>150.</w:t>
      </w:r>
    </w:p>
  </w:footnote>
  <w:footnote w:id="218">
    <w:p w14:paraId="0F705FFA"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7.829.</w:t>
      </w:r>
    </w:p>
  </w:footnote>
  <w:footnote w:id="219">
    <w:p w14:paraId="651EAF2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7.829.</w:t>
      </w:r>
    </w:p>
  </w:footnote>
  <w:footnote w:id="220">
    <w:p w14:paraId="6532EB0C" w14:textId="234F20EF"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149 (referring to Russia's response to Panel question No. 107).</w:t>
      </w:r>
    </w:p>
  </w:footnote>
  <w:footnote w:id="221">
    <w:p w14:paraId="6D7010C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7.856.</w:t>
      </w:r>
    </w:p>
  </w:footnote>
  <w:footnote w:id="222">
    <w:p w14:paraId="7F41D32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7.856.</w:t>
      </w:r>
    </w:p>
  </w:footnote>
  <w:footnote w:id="223">
    <w:p w14:paraId="1B4E660C" w14:textId="2A28B049"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paras. 112</w:t>
      </w:r>
      <w:r w:rsidRPr="003B2BFE">
        <w:rPr>
          <w:szCs w:val="16"/>
        </w:rPr>
        <w:noBreakHyphen/>
        <w:t>113. (emphasis omitted)</w:t>
      </w:r>
    </w:p>
  </w:footnote>
  <w:footnote w:id="224">
    <w:p w14:paraId="29AD9CF9" w14:textId="711763B3"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108 (quoting Appellate Body Reports, </w:t>
      </w:r>
      <w:r w:rsidRPr="003B2BFE">
        <w:rPr>
          <w:szCs w:val="16"/>
        </w:rPr>
        <w:br/>
      </w:r>
      <w:r w:rsidRPr="003B2BFE">
        <w:rPr>
          <w:i/>
          <w:szCs w:val="16"/>
        </w:rPr>
        <w:t>Argentina – Import Measures</w:t>
      </w:r>
      <w:r w:rsidRPr="003B2BFE">
        <w:rPr>
          <w:szCs w:val="16"/>
        </w:rPr>
        <w:t>, para. 5.108).</w:t>
      </w:r>
    </w:p>
  </w:footnote>
  <w:footnote w:id="225">
    <w:p w14:paraId="046BC24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112.</w:t>
      </w:r>
    </w:p>
  </w:footnote>
  <w:footnote w:id="226">
    <w:p w14:paraId="350975D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114.</w:t>
      </w:r>
    </w:p>
  </w:footnote>
  <w:footnote w:id="227">
    <w:p w14:paraId="46F979BD" w14:textId="6E7D8E84"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paras. 115</w:t>
      </w:r>
      <w:r w:rsidRPr="003B2BFE">
        <w:rPr>
          <w:szCs w:val="16"/>
        </w:rPr>
        <w:noBreakHyphen/>
        <w:t>116.</w:t>
      </w:r>
    </w:p>
  </w:footnote>
  <w:footnote w:id="228">
    <w:p w14:paraId="6BC024F2" w14:textId="11966C09"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154 (referring to Ukraine's first written submission to the Panel, paras. 351</w:t>
      </w:r>
      <w:r w:rsidRPr="003B2BFE">
        <w:rPr>
          <w:szCs w:val="16"/>
        </w:rPr>
        <w:noBreakHyphen/>
        <w:t>378; second written submission to the Panel, paras. 320</w:t>
      </w:r>
      <w:r w:rsidRPr="003B2BFE">
        <w:rPr>
          <w:szCs w:val="16"/>
        </w:rPr>
        <w:noBreakHyphen/>
        <w:t>381).</w:t>
      </w:r>
    </w:p>
  </w:footnote>
  <w:footnote w:id="229">
    <w:p w14:paraId="45563739" w14:textId="52BB404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155 (referring to Ukraine's first written submission to the Panel, para. 373).</w:t>
      </w:r>
    </w:p>
  </w:footnote>
  <w:footnote w:id="230">
    <w:p w14:paraId="17916159"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162.</w:t>
      </w:r>
    </w:p>
  </w:footnote>
  <w:footnote w:id="231">
    <w:p w14:paraId="3F504C6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163.</w:t>
      </w:r>
    </w:p>
  </w:footnote>
  <w:footnote w:id="232">
    <w:p w14:paraId="0690DB2D" w14:textId="71C78712"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iCs/>
          <w:szCs w:val="16"/>
        </w:rPr>
        <w:t>US – Corrosion</w:t>
      </w:r>
      <w:r w:rsidRPr="003B2BFE">
        <w:rPr>
          <w:i/>
          <w:iCs/>
          <w:szCs w:val="16"/>
        </w:rPr>
        <w:noBreakHyphen/>
        <w:t>Resistant Steel Sunset Review</w:t>
      </w:r>
      <w:r w:rsidRPr="003B2BFE">
        <w:rPr>
          <w:szCs w:val="16"/>
        </w:rPr>
        <w:t xml:space="preserve">, para. 81. See also e.g. Appellate Body Report, </w:t>
      </w:r>
      <w:r w:rsidRPr="003B2BFE">
        <w:rPr>
          <w:i/>
          <w:szCs w:val="16"/>
        </w:rPr>
        <w:t>Australia – Apples</w:t>
      </w:r>
      <w:r w:rsidRPr="003B2BFE">
        <w:rPr>
          <w:szCs w:val="16"/>
        </w:rPr>
        <w:t>, para. 171.</w:t>
      </w:r>
    </w:p>
  </w:footnote>
  <w:footnote w:id="233">
    <w:p w14:paraId="7E34FE33" w14:textId="75BD53FF" w:rsidR="009D6585" w:rsidRPr="003B2BFE" w:rsidRDefault="009D6585" w:rsidP="003B2BFE">
      <w:pPr>
        <w:pStyle w:val="FootnoteText"/>
        <w:rPr>
          <w:szCs w:val="16"/>
          <w:lang w:val="en-CA"/>
        </w:rPr>
      </w:pPr>
      <w:r w:rsidRPr="003B2BFE">
        <w:rPr>
          <w:rStyle w:val="FootnoteReference"/>
          <w:szCs w:val="16"/>
        </w:rPr>
        <w:footnoteRef/>
      </w:r>
      <w:r w:rsidRPr="003B2BFE">
        <w:rPr>
          <w:szCs w:val="16"/>
        </w:rPr>
        <w:t xml:space="preserve"> Appellate Body Report, </w:t>
      </w:r>
      <w:r w:rsidRPr="003B2BFE">
        <w:rPr>
          <w:i/>
          <w:iCs/>
          <w:szCs w:val="16"/>
        </w:rPr>
        <w:t>US – Large Civil Aircraft (2</w:t>
      </w:r>
      <w:r w:rsidRPr="003B2BFE">
        <w:rPr>
          <w:i/>
          <w:iCs/>
          <w:szCs w:val="16"/>
          <w:vertAlign w:val="superscript"/>
        </w:rPr>
        <w:t>nd</w:t>
      </w:r>
      <w:r w:rsidRPr="003B2BFE">
        <w:rPr>
          <w:i/>
          <w:iCs/>
          <w:szCs w:val="16"/>
        </w:rPr>
        <w:t xml:space="preserve"> complaint)</w:t>
      </w:r>
      <w:r w:rsidRPr="003B2BFE">
        <w:rPr>
          <w:szCs w:val="16"/>
        </w:rPr>
        <w:t xml:space="preserve">, para. 586 (quoting Appellate Body Reports, </w:t>
      </w:r>
      <w:r w:rsidRPr="003B2BFE">
        <w:rPr>
          <w:i/>
          <w:szCs w:val="16"/>
        </w:rPr>
        <w:t>China – Auto Parts</w:t>
      </w:r>
      <w:r w:rsidRPr="003B2BFE">
        <w:rPr>
          <w:szCs w:val="16"/>
        </w:rPr>
        <w:t>, para. 171).</w:t>
      </w:r>
    </w:p>
  </w:footnote>
  <w:footnote w:id="234">
    <w:p w14:paraId="5208D4DA" w14:textId="77777777" w:rsidR="009D6585" w:rsidRPr="003B2BFE" w:rsidRDefault="009D6585" w:rsidP="003B2BFE">
      <w:pPr>
        <w:pStyle w:val="FootnoteText"/>
        <w:rPr>
          <w:szCs w:val="16"/>
          <w:lang w:val="en-CA"/>
        </w:rPr>
      </w:pPr>
      <w:r w:rsidRPr="003B2BFE">
        <w:rPr>
          <w:rStyle w:val="FootnoteReference"/>
          <w:szCs w:val="16"/>
        </w:rPr>
        <w:footnoteRef/>
      </w:r>
      <w:r w:rsidRPr="003B2BFE">
        <w:rPr>
          <w:szCs w:val="16"/>
        </w:rPr>
        <w:t xml:space="preserve"> Appellate Body Report, </w:t>
      </w:r>
      <w:r w:rsidRPr="003B2BFE">
        <w:rPr>
          <w:i/>
          <w:szCs w:val="16"/>
        </w:rPr>
        <w:t>US – Carbon Steel</w:t>
      </w:r>
      <w:r w:rsidRPr="003B2BFE">
        <w:rPr>
          <w:szCs w:val="16"/>
        </w:rPr>
        <w:t xml:space="preserve">, para. 157. See also e.g. Appellate Body Reports, </w:t>
      </w:r>
      <w:r w:rsidRPr="003B2BFE">
        <w:rPr>
          <w:i/>
          <w:szCs w:val="16"/>
        </w:rPr>
        <w:t>Argentina – Import Measures</w:t>
      </w:r>
      <w:r w:rsidRPr="003B2BFE">
        <w:rPr>
          <w:szCs w:val="16"/>
        </w:rPr>
        <w:t>, para. 5.110.</w:t>
      </w:r>
    </w:p>
  </w:footnote>
  <w:footnote w:id="235">
    <w:p w14:paraId="37DA7F72" w14:textId="72AB9218"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CA"/>
        </w:rPr>
        <w:t xml:space="preserve">Appellate Body Report, </w:t>
      </w:r>
      <w:r w:rsidRPr="003B2BFE">
        <w:rPr>
          <w:i/>
          <w:szCs w:val="16"/>
          <w:lang w:val="en-CA"/>
        </w:rPr>
        <w:t>US – Large Civil Aircraft (2</w:t>
      </w:r>
      <w:r w:rsidRPr="003B2BFE">
        <w:rPr>
          <w:i/>
          <w:szCs w:val="16"/>
          <w:vertAlign w:val="superscript"/>
          <w:lang w:val="en-CA"/>
        </w:rPr>
        <w:t>nd</w:t>
      </w:r>
      <w:r w:rsidRPr="003B2BFE">
        <w:rPr>
          <w:i/>
          <w:szCs w:val="16"/>
          <w:lang w:val="en-CA"/>
        </w:rPr>
        <w:t xml:space="preserve"> complaint)</w:t>
      </w:r>
      <w:r w:rsidRPr="003B2BFE">
        <w:rPr>
          <w:szCs w:val="16"/>
          <w:lang w:val="en-CA"/>
        </w:rPr>
        <w:t xml:space="preserve">, para. 713. See also e.g. Appellate Body Report, </w:t>
      </w:r>
      <w:r w:rsidRPr="003B2BFE">
        <w:rPr>
          <w:i/>
          <w:szCs w:val="16"/>
          <w:lang w:val="en-CA"/>
        </w:rPr>
        <w:t>US – Wheat Gluten</w:t>
      </w:r>
      <w:r w:rsidRPr="003B2BFE">
        <w:rPr>
          <w:szCs w:val="16"/>
          <w:lang w:val="en-CA"/>
        </w:rPr>
        <w:t>, para. 151.</w:t>
      </w:r>
    </w:p>
  </w:footnote>
  <w:footnote w:id="236">
    <w:p w14:paraId="5458007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Canada – Dairy (Article 21.5 – New Zealand and US II)</w:t>
      </w:r>
      <w:r w:rsidRPr="003B2BFE">
        <w:rPr>
          <w:szCs w:val="16"/>
        </w:rPr>
        <w:t xml:space="preserve">, para. 66. See also e.g. Appellate Body Report, </w:t>
      </w:r>
      <w:r w:rsidRPr="003B2BFE">
        <w:rPr>
          <w:i/>
          <w:szCs w:val="16"/>
        </w:rPr>
        <w:t>Chile – Price Band System (Article 21.5 – Argentina)</w:t>
      </w:r>
      <w:r w:rsidRPr="003B2BFE">
        <w:rPr>
          <w:szCs w:val="16"/>
        </w:rPr>
        <w:t>, para. 134.</w:t>
      </w:r>
    </w:p>
  </w:footnote>
  <w:footnote w:id="237">
    <w:p w14:paraId="60C3D6D2" w14:textId="63D81E36"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7.811</w:t>
      </w:r>
      <w:r w:rsidRPr="003B2BFE">
        <w:rPr>
          <w:szCs w:val="16"/>
        </w:rPr>
        <w:noBreakHyphen/>
        <w:t>7.812 (referring to Ukraine's first written submission to the Panel, paras. 4, 315, 373, 377, and 398; second written submission to the Panel, para. 339).</w:t>
      </w:r>
    </w:p>
  </w:footnote>
  <w:footnote w:id="238">
    <w:p w14:paraId="54151ED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7.846.</w:t>
      </w:r>
    </w:p>
  </w:footnote>
  <w:footnote w:id="239">
    <w:p w14:paraId="494BFA5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7.847.</w:t>
      </w:r>
    </w:p>
  </w:footnote>
  <w:footnote w:id="240">
    <w:p w14:paraId="02CEA65C" w14:textId="0EFB8173"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109 (referring to Panel Reports, </w:t>
      </w:r>
      <w:r w:rsidRPr="003B2BFE">
        <w:rPr>
          <w:i/>
          <w:szCs w:val="16"/>
        </w:rPr>
        <w:t>US – COOL</w:t>
      </w:r>
      <w:r w:rsidRPr="003B2BFE">
        <w:rPr>
          <w:szCs w:val="16"/>
        </w:rPr>
        <w:t>, para. 7.50); opening statement at the oral hearing.</w:t>
      </w:r>
    </w:p>
  </w:footnote>
  <w:footnote w:id="241">
    <w:p w14:paraId="4CD0BBF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Reports, </w:t>
      </w:r>
      <w:r w:rsidRPr="003B2BFE">
        <w:rPr>
          <w:i/>
          <w:szCs w:val="16"/>
        </w:rPr>
        <w:t>US – COOL</w:t>
      </w:r>
      <w:r w:rsidRPr="003B2BFE">
        <w:rPr>
          <w:szCs w:val="16"/>
        </w:rPr>
        <w:t>, para. 7.50.</w:t>
      </w:r>
    </w:p>
  </w:footnote>
  <w:footnote w:id="242">
    <w:p w14:paraId="7EC8A4F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Reports, </w:t>
      </w:r>
      <w:r w:rsidRPr="003B2BFE">
        <w:rPr>
          <w:i/>
          <w:szCs w:val="16"/>
        </w:rPr>
        <w:t>US – COOL</w:t>
      </w:r>
      <w:r w:rsidRPr="003B2BFE">
        <w:rPr>
          <w:szCs w:val="16"/>
        </w:rPr>
        <w:t>, para. 7.50.</w:t>
      </w:r>
    </w:p>
  </w:footnote>
  <w:footnote w:id="243">
    <w:p w14:paraId="726D7038"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44.</w:t>
      </w:r>
    </w:p>
  </w:footnote>
  <w:footnote w:id="244">
    <w:p w14:paraId="6B77021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69.</w:t>
      </w:r>
    </w:p>
  </w:footnote>
  <w:footnote w:id="245">
    <w:p w14:paraId="4F98F06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paras. 61 and 65.</w:t>
      </w:r>
    </w:p>
  </w:footnote>
  <w:footnote w:id="246">
    <w:p w14:paraId="394C29A4"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77. See also ibid., para. 70.</w:t>
      </w:r>
    </w:p>
  </w:footnote>
  <w:footnote w:id="247">
    <w:p w14:paraId="39E63A3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70. (emphasis added)</w:t>
      </w:r>
    </w:p>
  </w:footnote>
  <w:footnote w:id="248">
    <w:p w14:paraId="50542E5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71.</w:t>
      </w:r>
    </w:p>
  </w:footnote>
  <w:footnote w:id="249">
    <w:p w14:paraId="4881A73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72.</w:t>
      </w:r>
    </w:p>
  </w:footnote>
  <w:footnote w:id="250">
    <w:p w14:paraId="30F83E3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73.</w:t>
      </w:r>
    </w:p>
  </w:footnote>
  <w:footnote w:id="251">
    <w:p w14:paraId="166D6A1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85.</w:t>
      </w:r>
    </w:p>
  </w:footnote>
  <w:footnote w:id="252">
    <w:p w14:paraId="72D06B48"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87. (emphasis original)</w:t>
      </w:r>
    </w:p>
  </w:footnote>
  <w:footnote w:id="253">
    <w:p w14:paraId="40B092C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87.</w:t>
      </w:r>
    </w:p>
  </w:footnote>
  <w:footnote w:id="254">
    <w:p w14:paraId="50FCC72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92.</w:t>
      </w:r>
    </w:p>
  </w:footnote>
  <w:footnote w:id="255">
    <w:p w14:paraId="0C71B0C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121.</w:t>
      </w:r>
    </w:p>
  </w:footnote>
  <w:footnote w:id="256">
    <w:p w14:paraId="0096F12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74.</w:t>
      </w:r>
    </w:p>
  </w:footnote>
  <w:footnote w:id="257">
    <w:p w14:paraId="39ADFD2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74.</w:t>
      </w:r>
    </w:p>
  </w:footnote>
  <w:footnote w:id="258">
    <w:p w14:paraId="62D5531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81 (referring to Panel Report, para. 7.92).</w:t>
      </w:r>
    </w:p>
  </w:footnote>
  <w:footnote w:id="259">
    <w:p w14:paraId="2CE0F504" w14:textId="6424405A"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paras. 80</w:t>
      </w:r>
      <w:r w:rsidRPr="003B2BFE">
        <w:rPr>
          <w:szCs w:val="16"/>
        </w:rPr>
        <w:noBreakHyphen/>
        <w:t>81.</w:t>
      </w:r>
    </w:p>
  </w:footnote>
  <w:footnote w:id="260">
    <w:p w14:paraId="4D24709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82.</w:t>
      </w:r>
    </w:p>
  </w:footnote>
  <w:footnote w:id="261">
    <w:p w14:paraId="0A01594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84.</w:t>
      </w:r>
    </w:p>
  </w:footnote>
  <w:footnote w:id="262">
    <w:p w14:paraId="70C9F61E" w14:textId="07053B0B"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83 (referring to Appellate Body Report, </w:t>
      </w:r>
      <w:r w:rsidRPr="003B2BFE">
        <w:rPr>
          <w:i/>
          <w:szCs w:val="16"/>
        </w:rPr>
        <w:t>US – Wheat Gluten</w:t>
      </w:r>
      <w:r w:rsidRPr="003B2BFE">
        <w:rPr>
          <w:szCs w:val="16"/>
        </w:rPr>
        <w:t>, para. 151).</w:t>
      </w:r>
    </w:p>
  </w:footnote>
  <w:footnote w:id="263">
    <w:p w14:paraId="0EF3BF2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85.</w:t>
      </w:r>
    </w:p>
  </w:footnote>
  <w:footnote w:id="264">
    <w:p w14:paraId="37F833E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95. (emphasis original)</w:t>
      </w:r>
    </w:p>
  </w:footnote>
  <w:footnote w:id="265">
    <w:p w14:paraId="47ECC3E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97.</w:t>
      </w:r>
    </w:p>
  </w:footnote>
  <w:footnote w:id="266">
    <w:p w14:paraId="6123F5E4" w14:textId="164BA01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paras. 106</w:t>
      </w:r>
      <w:r w:rsidRPr="003B2BFE">
        <w:rPr>
          <w:szCs w:val="16"/>
        </w:rPr>
        <w:noBreakHyphen/>
        <w:t>107.</w:t>
      </w:r>
    </w:p>
  </w:footnote>
  <w:footnote w:id="267">
    <w:p w14:paraId="3B9D1388" w14:textId="1DAEBC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paras. 117</w:t>
      </w:r>
      <w:r w:rsidRPr="003B2BFE">
        <w:rPr>
          <w:szCs w:val="16"/>
        </w:rPr>
        <w:noBreakHyphen/>
        <w:t>119.</w:t>
      </w:r>
    </w:p>
  </w:footnote>
  <w:footnote w:id="268">
    <w:p w14:paraId="14030ADF" w14:textId="2AF8050E"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115. </w:t>
      </w:r>
    </w:p>
  </w:footnote>
  <w:footnote w:id="269">
    <w:p w14:paraId="53C4C4E8"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116.</w:t>
      </w:r>
    </w:p>
  </w:footnote>
  <w:footnote w:id="270">
    <w:p w14:paraId="3EC2E574"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124.</w:t>
      </w:r>
    </w:p>
  </w:footnote>
  <w:footnote w:id="271">
    <w:p w14:paraId="55E95F91" w14:textId="51AE3E28"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paras. 124</w:t>
      </w:r>
      <w:r w:rsidRPr="003B2BFE">
        <w:rPr>
          <w:szCs w:val="16"/>
        </w:rPr>
        <w:noBreakHyphen/>
        <w:t>125.</w:t>
      </w:r>
    </w:p>
  </w:footnote>
  <w:footnote w:id="272">
    <w:p w14:paraId="7504220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127.</w:t>
      </w:r>
    </w:p>
  </w:footnote>
  <w:footnote w:id="273">
    <w:p w14:paraId="3A99628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7.103.</w:t>
      </w:r>
    </w:p>
  </w:footnote>
  <w:footnote w:id="274">
    <w:p w14:paraId="2965605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7.861.</w:t>
      </w:r>
    </w:p>
  </w:footnote>
  <w:footnote w:id="275">
    <w:p w14:paraId="312E6D4F" w14:textId="249359CD"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70 (quoting Ukraine's panel request, p. 2).</w:t>
      </w:r>
    </w:p>
  </w:footnote>
  <w:footnote w:id="276">
    <w:p w14:paraId="5D2438E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7.103.</w:t>
      </w:r>
    </w:p>
  </w:footnote>
  <w:footnote w:id="277">
    <w:p w14:paraId="51A7E184" w14:textId="7CEDB933"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paras. 105</w:t>
      </w:r>
      <w:r w:rsidRPr="003B2BFE">
        <w:rPr>
          <w:szCs w:val="16"/>
        </w:rPr>
        <w:noBreakHyphen/>
        <w:t>106. According to Russia, these "findings" are contained in paragraphs 7.847, 7.849</w:t>
      </w:r>
      <w:r w:rsidRPr="003B2BFE">
        <w:rPr>
          <w:szCs w:val="16"/>
        </w:rPr>
        <w:noBreakHyphen/>
        <w:t>7.850 (third and fourth sentences), 7.853</w:t>
      </w:r>
      <w:r w:rsidRPr="003B2BFE">
        <w:rPr>
          <w:szCs w:val="16"/>
        </w:rPr>
        <w:noBreakHyphen/>
        <w:t>7.854, 7.861, 7.897, 7.899, 7.917, and 7.926 of the Panel Report. (Ibid., para. 106)</w:t>
      </w:r>
    </w:p>
  </w:footnote>
  <w:footnote w:id="278">
    <w:p w14:paraId="3083588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102 (quoting Panel Report, para. 7.825).</w:t>
      </w:r>
    </w:p>
  </w:footnote>
  <w:footnote w:id="279">
    <w:p w14:paraId="39E6EE48"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101.</w:t>
      </w:r>
    </w:p>
  </w:footnote>
  <w:footnote w:id="280">
    <w:p w14:paraId="6B501A71" w14:textId="61710039"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 150.</w:t>
      </w:r>
    </w:p>
  </w:footnote>
  <w:footnote w:id="281">
    <w:p w14:paraId="7B135C88"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appellee's submission, paras. 147 and 149.</w:t>
      </w:r>
    </w:p>
  </w:footnote>
  <w:footnote w:id="282">
    <w:p w14:paraId="30D1B46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other appellant's submission, para. 105.</w:t>
      </w:r>
    </w:p>
  </w:footnote>
  <w:footnote w:id="283">
    <w:p w14:paraId="7803D6DE" w14:textId="35B40B60"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Korea – Radionuclides</w:t>
      </w:r>
      <w:r w:rsidRPr="003B2BFE">
        <w:rPr>
          <w:szCs w:val="16"/>
        </w:rPr>
        <w:t xml:space="preserve">, para. 5.113 (referring to Appellate Body Reports, </w:t>
      </w:r>
      <w:r w:rsidRPr="003B2BFE">
        <w:rPr>
          <w:i/>
          <w:szCs w:val="16"/>
        </w:rPr>
        <w:t>Guatemala – Cement I</w:t>
      </w:r>
      <w:r w:rsidRPr="003B2BFE">
        <w:rPr>
          <w:szCs w:val="16"/>
        </w:rPr>
        <w:t>, paras. 72</w:t>
      </w:r>
      <w:r w:rsidRPr="003B2BFE">
        <w:rPr>
          <w:szCs w:val="16"/>
        </w:rPr>
        <w:noBreakHyphen/>
        <w:t xml:space="preserve">73; </w:t>
      </w:r>
      <w:r w:rsidRPr="003B2BFE">
        <w:rPr>
          <w:i/>
          <w:szCs w:val="16"/>
        </w:rPr>
        <w:t>US – Carbon Steel</w:t>
      </w:r>
      <w:r w:rsidRPr="003B2BFE">
        <w:rPr>
          <w:szCs w:val="16"/>
        </w:rPr>
        <w:t xml:space="preserve">, para. 125; </w:t>
      </w:r>
      <w:r w:rsidRPr="003B2BFE">
        <w:rPr>
          <w:i/>
          <w:szCs w:val="16"/>
        </w:rPr>
        <w:t>Australia – Apples</w:t>
      </w:r>
      <w:r w:rsidRPr="003B2BFE">
        <w:rPr>
          <w:szCs w:val="16"/>
        </w:rPr>
        <w:t xml:space="preserve">, para. 416; </w:t>
      </w:r>
      <w:r w:rsidRPr="003B2BFE">
        <w:rPr>
          <w:szCs w:val="16"/>
        </w:rPr>
        <w:br/>
      </w:r>
      <w:r w:rsidRPr="003B2BFE">
        <w:rPr>
          <w:i/>
          <w:szCs w:val="16"/>
        </w:rPr>
        <w:t>China – Raw Materials</w:t>
      </w:r>
      <w:r w:rsidRPr="003B2BFE">
        <w:rPr>
          <w:szCs w:val="16"/>
        </w:rPr>
        <w:t>, para. 219).</w:t>
      </w:r>
    </w:p>
  </w:footnote>
  <w:footnote w:id="284">
    <w:p w14:paraId="46570CF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Korea – Radionuclides</w:t>
      </w:r>
      <w:r w:rsidRPr="003B2BFE">
        <w:rPr>
          <w:szCs w:val="16"/>
        </w:rPr>
        <w:t>, para. 5.113.</w:t>
      </w:r>
    </w:p>
  </w:footnote>
  <w:footnote w:id="285">
    <w:p w14:paraId="14994590" w14:textId="433304D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EC – Chicken Cuts</w:t>
      </w:r>
      <w:r w:rsidRPr="003B2BFE">
        <w:rPr>
          <w:szCs w:val="16"/>
        </w:rPr>
        <w:t>, paras. 185</w:t>
      </w:r>
      <w:r w:rsidRPr="003B2BFE">
        <w:rPr>
          <w:szCs w:val="16"/>
        </w:rPr>
        <w:noBreakHyphen/>
        <w:t>186.</w:t>
      </w:r>
    </w:p>
  </w:footnote>
  <w:footnote w:id="286">
    <w:p w14:paraId="570E5305" w14:textId="14D61E0E"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US – Large Civil Aircraft (2</w:t>
      </w:r>
      <w:r w:rsidRPr="003B2BFE">
        <w:rPr>
          <w:i/>
          <w:szCs w:val="16"/>
          <w:vertAlign w:val="superscript"/>
        </w:rPr>
        <w:t>nd</w:t>
      </w:r>
      <w:r w:rsidRPr="003B2BFE">
        <w:rPr>
          <w:i/>
          <w:szCs w:val="16"/>
        </w:rPr>
        <w:t xml:space="preserve"> complaint)</w:t>
      </w:r>
      <w:r w:rsidRPr="003B2BFE">
        <w:rPr>
          <w:szCs w:val="16"/>
        </w:rPr>
        <w:t xml:space="preserve">, para. 992 (quoting Appellate Body Reports, </w:t>
      </w:r>
      <w:r w:rsidRPr="003B2BFE">
        <w:rPr>
          <w:i/>
          <w:szCs w:val="16"/>
        </w:rPr>
        <w:t>EC – Fasteners (China)</w:t>
      </w:r>
      <w:r w:rsidRPr="003B2BFE">
        <w:rPr>
          <w:szCs w:val="16"/>
        </w:rPr>
        <w:t xml:space="preserve">, para. 499; </w:t>
      </w:r>
      <w:r w:rsidRPr="003B2BFE">
        <w:rPr>
          <w:i/>
          <w:szCs w:val="16"/>
        </w:rPr>
        <w:t>EC and certain member States – Large Civil Aircraft</w:t>
      </w:r>
      <w:r w:rsidRPr="003B2BFE">
        <w:rPr>
          <w:szCs w:val="16"/>
        </w:rPr>
        <w:t xml:space="preserve">, para. 1318). See also Appellate Body Reports, </w:t>
      </w:r>
      <w:r w:rsidRPr="003B2BFE">
        <w:rPr>
          <w:i/>
          <w:szCs w:val="16"/>
        </w:rPr>
        <w:t>China – Rare Earths</w:t>
      </w:r>
      <w:r w:rsidRPr="003B2BFE">
        <w:rPr>
          <w:szCs w:val="16"/>
        </w:rPr>
        <w:t>, paras. 5.178</w:t>
      </w:r>
      <w:r w:rsidRPr="003B2BFE">
        <w:rPr>
          <w:szCs w:val="16"/>
        </w:rPr>
        <w:noBreakHyphen/>
        <w:t>5.179.</w:t>
      </w:r>
    </w:p>
  </w:footnote>
  <w:footnote w:id="287">
    <w:p w14:paraId="5B93B903" w14:textId="330B1E58"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Reports, </w:t>
      </w:r>
      <w:r w:rsidRPr="003B2BFE">
        <w:rPr>
          <w:i/>
          <w:szCs w:val="16"/>
        </w:rPr>
        <w:t>Australia – Salmon</w:t>
      </w:r>
      <w:r w:rsidRPr="003B2BFE">
        <w:rPr>
          <w:szCs w:val="16"/>
        </w:rPr>
        <w:t xml:space="preserve">, para. 110; </w:t>
      </w:r>
      <w:r w:rsidRPr="003B2BFE">
        <w:rPr>
          <w:i/>
          <w:szCs w:val="16"/>
        </w:rPr>
        <w:t>US – Wool Shirts and Blouses</w:t>
      </w:r>
      <w:r w:rsidRPr="003B2BFE">
        <w:rPr>
          <w:szCs w:val="16"/>
        </w:rPr>
        <w:t xml:space="preserve">, p. 17, </w:t>
      </w:r>
      <w:r w:rsidRPr="003B2BFE">
        <w:rPr>
          <w:spacing w:val="-2"/>
          <w:szCs w:val="16"/>
        </w:rPr>
        <w:t>DSR 1997:I, p. 338</w:t>
      </w:r>
      <w:r w:rsidRPr="003B2BFE">
        <w:rPr>
          <w:szCs w:val="16"/>
        </w:rPr>
        <w:t>.</w:t>
      </w:r>
    </w:p>
  </w:footnote>
  <w:footnote w:id="288">
    <w:p w14:paraId="4D2D8BE5" w14:textId="6EB6CBFE"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The Panel found that the "third measure ha[d] been demonstrated to exist" on the basis that the evidence supported the conclusion that the relevant Russian authorities "applied a general non</w:t>
      </w:r>
      <w:r w:rsidRPr="003B2BFE">
        <w:rPr>
          <w:szCs w:val="16"/>
        </w:rPr>
        <w:noBreakHyphen/>
        <w:t>recognition requirement, which these authorities considered to flow from CU Technical Regulation 001/2011 as they interpreted it". Subsequently, the Panel clarified that the third measure within its terms of reference concerns only the local production condition. (Panel Report, paras. 7.861</w:t>
      </w:r>
      <w:r w:rsidRPr="003B2BFE">
        <w:rPr>
          <w:szCs w:val="16"/>
        </w:rPr>
        <w:noBreakHyphen/>
        <w:t>7.862)</w:t>
      </w:r>
    </w:p>
  </w:footnote>
  <w:footnote w:id="289">
    <w:p w14:paraId="675CA7E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7.862.</w:t>
      </w:r>
    </w:p>
  </w:footnote>
  <w:footnote w:id="290">
    <w:p w14:paraId="68A34A3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7.896.</w:t>
      </w:r>
    </w:p>
  </w:footnote>
  <w:footnote w:id="291">
    <w:p w14:paraId="5B626037" w14:textId="77777777" w:rsidR="009D6585" w:rsidRPr="003B2BFE" w:rsidRDefault="009D6585" w:rsidP="003B2BFE">
      <w:pPr>
        <w:pStyle w:val="FootnoteQuotation"/>
        <w:rPr>
          <w:szCs w:val="16"/>
        </w:rPr>
      </w:pPr>
      <w:r w:rsidRPr="003B2BFE">
        <w:rPr>
          <w:rStyle w:val="FootnoteReference"/>
          <w:szCs w:val="16"/>
        </w:rPr>
        <w:footnoteRef/>
      </w:r>
      <w:r w:rsidRPr="003B2BFE">
        <w:rPr>
          <w:szCs w:val="16"/>
        </w:rPr>
        <w:t xml:space="preserve"> The Panel recalled that such situations would arise where:</w:t>
      </w:r>
    </w:p>
    <w:p w14:paraId="68120814" w14:textId="7B5F450B" w:rsidR="009D6585" w:rsidRPr="003B2BFE" w:rsidRDefault="009D6585" w:rsidP="003B2BFE">
      <w:pPr>
        <w:pStyle w:val="FootnoteQuotation"/>
        <w:rPr>
          <w:szCs w:val="16"/>
        </w:rPr>
      </w:pPr>
      <w:r w:rsidRPr="003B2BFE">
        <w:rPr>
          <w:szCs w:val="16"/>
        </w:rPr>
        <w:t xml:space="preserve">[T]wo imported railway products have been certified in a CU country; one was produced in the CU, the other was produced outside the CU; and the applicant in each case was registered in the CU country where it applied for the certificate. </w:t>
      </w:r>
    </w:p>
    <w:p w14:paraId="16CCC8E6" w14:textId="4A8C9411" w:rsidR="009D6585" w:rsidRPr="003B2BFE" w:rsidRDefault="009D6585" w:rsidP="003B2BFE">
      <w:pPr>
        <w:pStyle w:val="FootnoteText"/>
        <w:ind w:firstLine="0"/>
        <w:rPr>
          <w:szCs w:val="16"/>
        </w:rPr>
      </w:pPr>
      <w:r w:rsidRPr="003B2BFE">
        <w:rPr>
          <w:szCs w:val="16"/>
        </w:rPr>
        <w:t>(Panel Report, para. 7.899)</w:t>
      </w:r>
    </w:p>
  </w:footnote>
  <w:footnote w:id="292">
    <w:p w14:paraId="1243C5F6" w14:textId="419AF22C"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7.926.</w:t>
      </w:r>
    </w:p>
  </w:footnote>
  <w:footnote w:id="293">
    <w:p w14:paraId="713EF0E3"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Ukraine's appellant's submission, paras. 175 and 258.</w:t>
      </w:r>
    </w:p>
  </w:footnote>
  <w:footnote w:id="294">
    <w:p w14:paraId="16AC345F"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w:t>
      </w:r>
      <w:r w:rsidRPr="003B2BFE">
        <w:rPr>
          <w:szCs w:val="16"/>
          <w:lang w:val="en-US"/>
        </w:rPr>
        <w:t>Panel Report, para. 7.248.</w:t>
      </w:r>
    </w:p>
  </w:footnote>
  <w:footnote w:id="295">
    <w:p w14:paraId="6761D662"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w:t>
      </w:r>
      <w:r w:rsidRPr="003B2BFE">
        <w:rPr>
          <w:szCs w:val="16"/>
          <w:lang w:val="en-US"/>
        </w:rPr>
        <w:t>Panel Report, para. 7.251.</w:t>
      </w:r>
    </w:p>
  </w:footnote>
  <w:footnote w:id="296">
    <w:p w14:paraId="2F6A5E72"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w:t>
      </w:r>
      <w:r w:rsidRPr="003B2BFE">
        <w:rPr>
          <w:szCs w:val="16"/>
          <w:lang w:val="en-US"/>
        </w:rPr>
        <w:t>Panel Report, para. 7.254.</w:t>
      </w:r>
    </w:p>
  </w:footnote>
  <w:footnote w:id="297">
    <w:p w14:paraId="1EB60406"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w:t>
      </w:r>
      <w:r w:rsidRPr="003B2BFE">
        <w:rPr>
          <w:szCs w:val="16"/>
          <w:lang w:val="en-US"/>
        </w:rPr>
        <w:t>Panel Report, para. 7.260.</w:t>
      </w:r>
    </w:p>
  </w:footnote>
  <w:footnote w:id="298">
    <w:p w14:paraId="47C50E08"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w:t>
      </w:r>
      <w:r w:rsidRPr="003B2BFE">
        <w:rPr>
          <w:szCs w:val="16"/>
          <w:lang w:val="en-US"/>
        </w:rPr>
        <w:t>Panel Report, para. 7.261.</w:t>
      </w:r>
    </w:p>
  </w:footnote>
  <w:footnote w:id="299">
    <w:p w14:paraId="6DB8170E"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w:t>
      </w:r>
      <w:r w:rsidRPr="003B2BFE">
        <w:rPr>
          <w:szCs w:val="16"/>
          <w:lang w:val="en-US"/>
        </w:rPr>
        <w:t>Panel Report, para. 7.261.</w:t>
      </w:r>
    </w:p>
  </w:footnote>
  <w:footnote w:id="300">
    <w:p w14:paraId="4A595F3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7.271.</w:t>
      </w:r>
    </w:p>
  </w:footnote>
  <w:footnote w:id="301">
    <w:p w14:paraId="61A7510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7.272.</w:t>
      </w:r>
    </w:p>
  </w:footnote>
  <w:footnote w:id="302">
    <w:p w14:paraId="6ADD017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7.273.</w:t>
      </w:r>
    </w:p>
  </w:footnote>
  <w:footnote w:id="303">
    <w:p w14:paraId="3B8D1BDA"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Panel Report, para. 7.282. (fn omitted)</w:t>
      </w:r>
    </w:p>
  </w:footnote>
  <w:footnote w:id="304">
    <w:p w14:paraId="2F723EE8"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Panel Report, para. 7.282.</w:t>
      </w:r>
    </w:p>
  </w:footnote>
  <w:footnote w:id="305">
    <w:p w14:paraId="4CE41369"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w:t>
      </w:r>
      <w:r w:rsidRPr="003B2BFE">
        <w:rPr>
          <w:szCs w:val="16"/>
          <w:lang w:val="en-US"/>
        </w:rPr>
        <w:t>Panel Report, para. 7.283.</w:t>
      </w:r>
    </w:p>
  </w:footnote>
  <w:footnote w:id="306">
    <w:p w14:paraId="64C987C5"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Panel Report, paras. 7.286-7.287.</w:t>
      </w:r>
    </w:p>
  </w:footnote>
  <w:footnote w:id="307">
    <w:p w14:paraId="226A8E99"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Panel Report, para. 7.292.</w:t>
      </w:r>
    </w:p>
  </w:footnote>
  <w:footnote w:id="308">
    <w:p w14:paraId="6CED4AFC"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Panel Report, para. 7.298.</w:t>
      </w:r>
    </w:p>
  </w:footnote>
  <w:footnote w:id="309">
    <w:p w14:paraId="6662A9B8"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Panel Report, para. 7.301.</w:t>
      </w:r>
    </w:p>
  </w:footnote>
  <w:footnote w:id="310">
    <w:p w14:paraId="7215E191"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Panel Report, para. 7.302.</w:t>
      </w:r>
    </w:p>
  </w:footnote>
  <w:footnote w:id="311">
    <w:p w14:paraId="4C7B5CD4"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w:t>
      </w:r>
      <w:r w:rsidRPr="003B2BFE">
        <w:rPr>
          <w:szCs w:val="16"/>
          <w:lang w:val="en-US"/>
        </w:rPr>
        <w:t>Panel Report, para. 7.305.</w:t>
      </w:r>
    </w:p>
  </w:footnote>
  <w:footnote w:id="312">
    <w:p w14:paraId="33A5133F"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Panel Report, para. 7.306.</w:t>
      </w:r>
    </w:p>
  </w:footnote>
  <w:footnote w:id="313">
    <w:p w14:paraId="5EE036BF"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w:t>
      </w:r>
      <w:r w:rsidRPr="003B2BFE">
        <w:rPr>
          <w:szCs w:val="16"/>
          <w:lang w:val="en-US"/>
        </w:rPr>
        <w:t>Panel Report, para. 7.314.</w:t>
      </w:r>
    </w:p>
  </w:footnote>
  <w:footnote w:id="314">
    <w:p w14:paraId="5AA11593"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Panel Report, paras. 7.374-7.375.</w:t>
      </w:r>
    </w:p>
  </w:footnote>
  <w:footnote w:id="315">
    <w:p w14:paraId="70C5A096"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w:t>
      </w:r>
      <w:r w:rsidRPr="003B2BFE">
        <w:rPr>
          <w:szCs w:val="16"/>
          <w:lang w:val="en-US"/>
        </w:rPr>
        <w:t>Panel Report, para. 7.376.</w:t>
      </w:r>
    </w:p>
  </w:footnote>
  <w:footnote w:id="316">
    <w:p w14:paraId="68AE81D1"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Panel Report, para. 7.380.</w:t>
      </w:r>
    </w:p>
  </w:footnote>
  <w:footnote w:id="317">
    <w:p w14:paraId="09B71B5A"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Panel Report, para. 7.384.</w:t>
      </w:r>
    </w:p>
  </w:footnote>
  <w:footnote w:id="318">
    <w:p w14:paraId="50A0F8CD" w14:textId="77777777"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Panel Report, para. 7.387.</w:t>
      </w:r>
    </w:p>
  </w:footnote>
  <w:footnote w:id="319">
    <w:p w14:paraId="4A75B7A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7.387.</w:t>
      </w:r>
    </w:p>
  </w:footnote>
  <w:footnote w:id="320">
    <w:p w14:paraId="211339B7" w14:textId="507761E4" w:rsidR="009D6585" w:rsidRPr="003B2BFE" w:rsidRDefault="009D6585" w:rsidP="003B2BFE">
      <w:pPr>
        <w:pStyle w:val="FootnoteText"/>
        <w:jc w:val="both"/>
        <w:rPr>
          <w:szCs w:val="16"/>
        </w:rPr>
      </w:pPr>
      <w:r w:rsidRPr="003B2BFE">
        <w:rPr>
          <w:rStyle w:val="FootnoteReference"/>
          <w:szCs w:val="16"/>
        </w:rPr>
        <w:footnoteRef/>
      </w:r>
      <w:r w:rsidRPr="003B2BFE">
        <w:rPr>
          <w:szCs w:val="16"/>
        </w:rPr>
        <w:t xml:space="preserve"> Ukraine's appellant's submission, paras. 175 and 258 (referring to Panel Report, paras. 7.387, 7.393</w:t>
      </w:r>
      <w:r w:rsidRPr="003B2BFE">
        <w:rPr>
          <w:szCs w:val="16"/>
        </w:rPr>
        <w:noBreakHyphen/>
        <w:t>7.394, 8.1.b.i, and 8.1.c.i).</w:t>
      </w:r>
    </w:p>
  </w:footnote>
  <w:footnote w:id="321">
    <w:p w14:paraId="7999F639"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paras. 236 and 257. See also Ukraine's opening statement at the oral hearing, para. 4.</w:t>
      </w:r>
    </w:p>
  </w:footnote>
  <w:footnote w:id="322">
    <w:p w14:paraId="2287D342" w14:textId="4F1E4770" w:rsidR="009D6585" w:rsidRPr="003B2BFE" w:rsidRDefault="009D6585" w:rsidP="003B2BFE">
      <w:pPr>
        <w:pStyle w:val="FootnoteText"/>
        <w:rPr>
          <w:szCs w:val="16"/>
          <w:lang w:val="en-US"/>
        </w:rPr>
      </w:pPr>
      <w:r w:rsidRPr="003B2BFE">
        <w:rPr>
          <w:rStyle w:val="FootnoteReference"/>
          <w:szCs w:val="16"/>
        </w:rPr>
        <w:footnoteRef/>
      </w:r>
      <w:r w:rsidRPr="003B2BFE">
        <w:rPr>
          <w:szCs w:val="16"/>
        </w:rPr>
        <w:t xml:space="preserve"> </w:t>
      </w:r>
      <w:r w:rsidRPr="003B2BFE">
        <w:rPr>
          <w:szCs w:val="16"/>
          <w:lang w:val="en-US"/>
        </w:rPr>
        <w:t>Ukraine's appellant's submission, paras. 247-248 and 255 (referring to Panel Report, paras. 7.283</w:t>
      </w:r>
      <w:r w:rsidRPr="003B2BFE">
        <w:rPr>
          <w:szCs w:val="16"/>
          <w:lang w:val="en-US"/>
        </w:rPr>
        <w:noBreakHyphen/>
        <w:t xml:space="preserve">7.284). </w:t>
      </w:r>
    </w:p>
  </w:footnote>
  <w:footnote w:id="323">
    <w:p w14:paraId="4FC049D7" w14:textId="77777777" w:rsidR="009D6585" w:rsidRPr="003B2BFE" w:rsidRDefault="009D6585" w:rsidP="003B2BFE">
      <w:pPr>
        <w:pStyle w:val="FootnoteText"/>
        <w:rPr>
          <w:szCs w:val="16"/>
          <w:lang w:val="bg-BG"/>
        </w:rPr>
      </w:pPr>
      <w:r w:rsidRPr="003B2BFE">
        <w:rPr>
          <w:rStyle w:val="FootnoteReference"/>
          <w:szCs w:val="16"/>
        </w:rPr>
        <w:footnoteRef/>
      </w:r>
      <w:r w:rsidRPr="003B2BFE">
        <w:rPr>
          <w:szCs w:val="16"/>
        </w:rPr>
        <w:t xml:space="preserve"> </w:t>
      </w:r>
      <w:r w:rsidRPr="003B2BFE">
        <w:rPr>
          <w:szCs w:val="16"/>
          <w:lang w:val="en-US"/>
        </w:rPr>
        <w:t xml:space="preserve">Ukraine's appellant's submission, paras. 252-254. See also </w:t>
      </w:r>
      <w:r w:rsidRPr="003B2BFE">
        <w:rPr>
          <w:szCs w:val="16"/>
        </w:rPr>
        <w:t>Ukraine's opening statement at the oral hearing, para. 20.</w:t>
      </w:r>
    </w:p>
  </w:footnote>
  <w:footnote w:id="324">
    <w:p w14:paraId="383C1955" w14:textId="5667DB1E" w:rsidR="009D6585" w:rsidRPr="003B2BFE" w:rsidRDefault="009D6585" w:rsidP="003B2BFE">
      <w:pPr>
        <w:pStyle w:val="FootnoteText"/>
        <w:rPr>
          <w:szCs w:val="16"/>
          <w:lang w:val="en-US"/>
        </w:rPr>
      </w:pPr>
      <w:r w:rsidRPr="003B2BFE">
        <w:rPr>
          <w:rStyle w:val="FootnoteReference"/>
          <w:szCs w:val="16"/>
        </w:rPr>
        <w:footnoteRef/>
      </w:r>
      <w:r w:rsidRPr="003B2BFE">
        <w:rPr>
          <w:szCs w:val="16"/>
        </w:rPr>
        <w:t xml:space="preserve"> Russia's appellee's submission, para. 218 (referring to Panel Report, paras. 7.387, 8.1.b.i, and 8.1.c.i).</w:t>
      </w:r>
    </w:p>
  </w:footnote>
  <w:footnote w:id="325">
    <w:p w14:paraId="74A4B2A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203.</w:t>
      </w:r>
    </w:p>
  </w:footnote>
  <w:footnote w:id="326">
    <w:p w14:paraId="6D67D77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213 (referring to Ukraine's appellant's submission, paras. 240 and 242).</w:t>
      </w:r>
    </w:p>
  </w:footnote>
  <w:footnote w:id="327">
    <w:p w14:paraId="43C2B04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215 (quoting Panel Report, para. 7.283).</w:t>
      </w:r>
    </w:p>
  </w:footnote>
  <w:footnote w:id="328">
    <w:p w14:paraId="1EF0590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216 (quoting Panel Report, para. 7.387).</w:t>
      </w:r>
    </w:p>
  </w:footnote>
  <w:footnote w:id="329">
    <w:p w14:paraId="05930F0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210.</w:t>
      </w:r>
    </w:p>
  </w:footnote>
  <w:footnote w:id="330">
    <w:p w14:paraId="75B316B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211.</w:t>
      </w:r>
    </w:p>
  </w:footnote>
  <w:footnote w:id="331">
    <w:p w14:paraId="727C432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See, for Article 2.1 of the TBT Agreement, Appellate Body Report, </w:t>
      </w:r>
      <w:r w:rsidRPr="003B2BFE">
        <w:rPr>
          <w:i/>
          <w:szCs w:val="16"/>
        </w:rPr>
        <w:t>US – Clove Cigarettes</w:t>
      </w:r>
      <w:r w:rsidRPr="003B2BFE">
        <w:rPr>
          <w:szCs w:val="16"/>
        </w:rPr>
        <w:t>, para. 120.</w:t>
      </w:r>
    </w:p>
  </w:footnote>
  <w:footnote w:id="332">
    <w:p w14:paraId="2428F7A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Similarly to Article I:1 of the GATT 1994, Article 5.1.1 extends the non</w:t>
      </w:r>
      <w:r w:rsidRPr="003B2BFE">
        <w:rPr>
          <w:szCs w:val="16"/>
          <w:lang w:val="en-US"/>
        </w:rPr>
        <w:noBreakHyphen/>
        <w:t>discrimination requirement to granting access under conditions no less favourable between suppliers from a WTO Member and suppliers of like products from "any other country".</w:t>
      </w:r>
    </w:p>
  </w:footnote>
  <w:footnote w:id="333">
    <w:p w14:paraId="52B0817A"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See, for Article III:4 of the GATT 1994, Appellate Body Report, </w:t>
      </w:r>
      <w:r w:rsidRPr="003B2BFE">
        <w:rPr>
          <w:i/>
          <w:szCs w:val="16"/>
        </w:rPr>
        <w:t>Korea – Various Measures on Beef</w:t>
      </w:r>
      <w:r w:rsidRPr="003B2BFE">
        <w:rPr>
          <w:szCs w:val="16"/>
        </w:rPr>
        <w:t>, para. 137.</w:t>
      </w:r>
    </w:p>
  </w:footnote>
  <w:footnote w:id="334">
    <w:p w14:paraId="586402AE" w14:textId="34285AE5" w:rsidR="009D6585" w:rsidRPr="003B2BFE" w:rsidRDefault="009D6585" w:rsidP="003B2BFE">
      <w:pPr>
        <w:pStyle w:val="FootnoteText"/>
        <w:rPr>
          <w:szCs w:val="16"/>
          <w:lang w:val="en"/>
        </w:rPr>
      </w:pPr>
      <w:r w:rsidRPr="003B2BFE">
        <w:rPr>
          <w:rStyle w:val="FootnoteReference"/>
          <w:szCs w:val="16"/>
        </w:rPr>
        <w:footnoteRef/>
      </w:r>
      <w:r w:rsidRPr="003B2BFE">
        <w:rPr>
          <w:szCs w:val="16"/>
        </w:rPr>
        <w:t xml:space="preserve"> Oxford English Dictionary online, definition of "comparable", https://www.oed.com/view/Entry/37424.</w:t>
      </w:r>
    </w:p>
  </w:footnote>
  <w:footnote w:id="335">
    <w:p w14:paraId="0FC7B37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US – Anti-Dumping and Countervailing Duties (China)</w:t>
      </w:r>
      <w:r w:rsidRPr="003B2BFE">
        <w:rPr>
          <w:szCs w:val="16"/>
        </w:rPr>
        <w:t>, para. 476.</w:t>
      </w:r>
    </w:p>
  </w:footnote>
  <w:footnote w:id="336">
    <w:p w14:paraId="7B3D99E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In the context of the </w:t>
      </w:r>
      <w:r w:rsidRPr="003B2BFE">
        <w:rPr>
          <w:i/>
          <w:szCs w:val="16"/>
        </w:rPr>
        <w:t>chapeau</w:t>
      </w:r>
      <w:r w:rsidRPr="003B2BFE">
        <w:rPr>
          <w:szCs w:val="16"/>
        </w:rPr>
        <w:t xml:space="preserve"> of Article XX of the GATT 1994, the Appellate Body similarly observed that while the term "conditions" could "potentially encompass a number of circumstances facing a country", in the specific context in which that term appears in the </w:t>
      </w:r>
      <w:r w:rsidRPr="003B2BFE">
        <w:rPr>
          <w:i/>
          <w:szCs w:val="16"/>
        </w:rPr>
        <w:t>chapeau</w:t>
      </w:r>
      <w:r w:rsidRPr="003B2BFE">
        <w:rPr>
          <w:szCs w:val="16"/>
        </w:rPr>
        <w:t xml:space="preserve"> "only 'conditions' that are </w:t>
      </w:r>
      <w:r w:rsidRPr="003B2BFE">
        <w:rPr>
          <w:i/>
          <w:szCs w:val="16"/>
        </w:rPr>
        <w:t>relevant</w:t>
      </w:r>
      <w:r w:rsidRPr="003B2BFE">
        <w:rPr>
          <w:szCs w:val="16"/>
        </w:rPr>
        <w:t xml:space="preserve"> for the purpose of establishing arbitrary or unjustifiable discrimination in the light of the specific character of the measure at issue and the circumstances of a particular case should be considered". (Appellate Body Reports, </w:t>
      </w:r>
      <w:r w:rsidRPr="003B2BFE">
        <w:rPr>
          <w:i/>
          <w:szCs w:val="16"/>
        </w:rPr>
        <w:t>EC – Seal Products</w:t>
      </w:r>
      <w:r w:rsidRPr="003B2BFE">
        <w:rPr>
          <w:szCs w:val="16"/>
        </w:rPr>
        <w:t>, para. 5.299 (italics original; bold omitted))</w:t>
      </w:r>
    </w:p>
  </w:footnote>
  <w:footnote w:id="337">
    <w:p w14:paraId="0546F8E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Emphasis added.</w:t>
      </w:r>
    </w:p>
  </w:footnote>
  <w:footnote w:id="338">
    <w:p w14:paraId="0EC8A89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We note that, differently from technical regulations or standards, which may pursue various legitimate objectives, the function</w:t>
      </w:r>
      <w:r w:rsidRPr="003B2BFE">
        <w:rPr>
          <w:szCs w:val="16"/>
          <w:lang w:val="en-US"/>
        </w:rPr>
        <w:t xml:space="preserve"> of conformity assessment procedures is to ensure that the underlying technical regulations or standards are complied with. That the function of conformity assessment procedures is limited to ensuring compliance is also confirmed by Article 5.1.2 of the TBT Agreement, which requires that conformity assessment procedures not be more strict or applied more strictly than is necessary "to give the importing Member adequate confidence that products conform with the applicable technical regulations or standards".</w:t>
      </w:r>
    </w:p>
  </w:footnote>
  <w:footnote w:id="339">
    <w:p w14:paraId="42F8726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Emphasis added.</w:t>
      </w:r>
    </w:p>
  </w:footnote>
  <w:footnote w:id="340">
    <w:p w14:paraId="504AF46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Emphasis added.</w:t>
      </w:r>
    </w:p>
  </w:footnote>
  <w:footnote w:id="341">
    <w:p w14:paraId="668ED25B" w14:textId="0EF34C29"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We further note that, while Article 5.1.1 of the TBT Agreement imposes affirmative obligations on Members with respect to conformity assessment procedures, </w:t>
      </w:r>
      <w:r w:rsidRPr="003B2BFE">
        <w:rPr>
          <w:szCs w:val="16"/>
          <w:lang w:val="en-CA"/>
        </w:rPr>
        <w:t xml:space="preserve">Article XX of the GATT 1994 </w:t>
      </w:r>
      <w:r w:rsidRPr="003B2BFE">
        <w:rPr>
          <w:szCs w:val="16"/>
        </w:rPr>
        <w:t>establishes exceptions to obligations under the GATT 1994.</w:t>
      </w:r>
    </w:p>
  </w:footnote>
  <w:footnote w:id="342">
    <w:p w14:paraId="1028DD14"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213 (referring to Ukraine's appellant's submission, paras. 240 and 242). </w:t>
      </w:r>
    </w:p>
  </w:footnote>
  <w:footnote w:id="343">
    <w:p w14:paraId="0AB610F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paras. 158-159. (fn omitted)</w:t>
      </w:r>
    </w:p>
  </w:footnote>
  <w:footnote w:id="344">
    <w:p w14:paraId="05B4F51A"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159.</w:t>
      </w:r>
    </w:p>
  </w:footnote>
  <w:footnote w:id="345">
    <w:p w14:paraId="0A2B8A1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160.</w:t>
      </w:r>
    </w:p>
  </w:footnote>
  <w:footnote w:id="346">
    <w:p w14:paraId="435E3FB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Emphasis added.</w:t>
      </w:r>
    </w:p>
  </w:footnote>
  <w:footnote w:id="347">
    <w:p w14:paraId="11BE5C3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paras. 236 and 257. See also Ukraine's opening statement at the oral hearing, para. 4.</w:t>
      </w:r>
    </w:p>
  </w:footnote>
  <w:footnote w:id="348">
    <w:p w14:paraId="4EE5826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7.248.</w:t>
      </w:r>
    </w:p>
  </w:footnote>
  <w:footnote w:id="349">
    <w:p w14:paraId="55C9698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7.254.</w:t>
      </w:r>
    </w:p>
  </w:footnote>
  <w:footnote w:id="350">
    <w:p w14:paraId="2AE19F3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7.260.</w:t>
      </w:r>
    </w:p>
  </w:footnote>
  <w:footnote w:id="351">
    <w:p w14:paraId="2CA66FB4"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7.261.</w:t>
      </w:r>
    </w:p>
  </w:footnote>
  <w:footnote w:id="352">
    <w:p w14:paraId="08181AF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7.261.</w:t>
      </w:r>
    </w:p>
  </w:footnote>
  <w:footnote w:id="353">
    <w:p w14:paraId="1FD04A8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7.282.</w:t>
      </w:r>
    </w:p>
  </w:footnote>
  <w:footnote w:id="354">
    <w:p w14:paraId="14C7149A"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7.283.</w:t>
      </w:r>
    </w:p>
  </w:footnote>
  <w:footnote w:id="355">
    <w:p w14:paraId="346E145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See, for Article III:4 of the GATT 1994, Appellate Body Report, </w:t>
      </w:r>
      <w:r w:rsidRPr="003B2BFE">
        <w:rPr>
          <w:i/>
          <w:szCs w:val="16"/>
        </w:rPr>
        <w:t>Korea – Various Measures on Beef</w:t>
      </w:r>
      <w:r w:rsidRPr="003B2BFE">
        <w:rPr>
          <w:szCs w:val="16"/>
        </w:rPr>
        <w:t>, para. 137.</w:t>
      </w:r>
    </w:p>
  </w:footnote>
  <w:footnote w:id="356">
    <w:p w14:paraId="7E0F108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7.282.</w:t>
      </w:r>
    </w:p>
  </w:footnote>
  <w:footnote w:id="357">
    <w:p w14:paraId="22F979A9"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7.283. (fn omitted)</w:t>
      </w:r>
    </w:p>
  </w:footnote>
  <w:footnote w:id="358">
    <w:p w14:paraId="57BD1CD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7.283.</w:t>
      </w:r>
    </w:p>
  </w:footnote>
  <w:footnote w:id="359">
    <w:p w14:paraId="0D0832C9"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7.283.</w:t>
      </w:r>
    </w:p>
  </w:footnote>
  <w:footnote w:id="360">
    <w:p w14:paraId="0E90F1D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Ukraine's appellant's submission, para. 242 (quoting Panel Report, para. 7.276).</w:t>
      </w:r>
    </w:p>
  </w:footnote>
  <w:footnote w:id="361">
    <w:p w14:paraId="699B382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In </w:t>
      </w:r>
      <w:r w:rsidRPr="003B2BFE">
        <w:rPr>
          <w:i/>
          <w:szCs w:val="16"/>
        </w:rPr>
        <w:t>EC – Hormones</w:t>
      </w:r>
      <w:r w:rsidRPr="003B2BFE">
        <w:rPr>
          <w:szCs w:val="16"/>
        </w:rPr>
        <w:t xml:space="preserve">, the Appellate Body observed that "[t]he situations exhibiting differing levels of protection cannot … be compared unless they are comparable, that is, unless they present some common element or elements sufficient to render them comparable", and that "[i]f the situations proposed to be examined are </w:t>
      </w:r>
      <w:r w:rsidRPr="003B2BFE">
        <w:rPr>
          <w:i/>
          <w:iCs/>
          <w:szCs w:val="16"/>
        </w:rPr>
        <w:t xml:space="preserve">totally </w:t>
      </w:r>
      <w:r w:rsidRPr="003B2BFE">
        <w:rPr>
          <w:szCs w:val="16"/>
        </w:rPr>
        <w:t xml:space="preserve">different from one another, they would not be rationally comparable and the differences in levels of protection cannot be examined for arbitrariness." (Appellate Body Report, </w:t>
      </w:r>
      <w:r w:rsidRPr="003B2BFE">
        <w:rPr>
          <w:i/>
          <w:szCs w:val="16"/>
        </w:rPr>
        <w:t>EC – Hormones</w:t>
      </w:r>
      <w:r w:rsidRPr="003B2BFE">
        <w:rPr>
          <w:szCs w:val="16"/>
        </w:rPr>
        <w:t>, para. 217 (emphasis original))</w:t>
      </w:r>
    </w:p>
  </w:footnote>
  <w:footnote w:id="362">
    <w:p w14:paraId="02C6D31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EC – Hormones</w:t>
      </w:r>
      <w:r w:rsidRPr="003B2BFE">
        <w:rPr>
          <w:szCs w:val="16"/>
        </w:rPr>
        <w:t>, para. 217. (emphasis original)</w:t>
      </w:r>
    </w:p>
  </w:footnote>
  <w:footnote w:id="363">
    <w:p w14:paraId="209DE54A"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The first sentence of Article 5.5 of the SPS Agreement provides that "[w]ith the objective of achieving consistency in the application of the concept of appropriate level of sanitary or phytosanitary protection against risks to human life or health, or to animal and plant life or health, each Member shall avoid arbitrary or unjustifiable distinctions in the levels it considers to be appropriate in different situations, if such distinctions result in discrimination or a disguised restriction on international trade."</w:t>
      </w:r>
    </w:p>
  </w:footnote>
  <w:footnote w:id="364">
    <w:p w14:paraId="647214F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7.283.</w:t>
      </w:r>
    </w:p>
  </w:footnote>
  <w:footnote w:id="365">
    <w:p w14:paraId="079BF4D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Ukraine's appellant's submission, para. 255.</w:t>
      </w:r>
    </w:p>
  </w:footnote>
  <w:footnote w:id="366">
    <w:p w14:paraId="050DC304"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Ukraine's appellant's submission, para. 257.</w:t>
      </w:r>
    </w:p>
  </w:footnote>
  <w:footnote w:id="367">
    <w:p w14:paraId="7BFF262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Ukraine's appellant's submission, paras. 247-248 and 255. See also Ukraine's opening statement at the oral hearing, para. 8.</w:t>
      </w:r>
    </w:p>
  </w:footnote>
  <w:footnote w:id="368">
    <w:p w14:paraId="06686F42" w14:textId="03C50898"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paras. 247-248. </w:t>
      </w:r>
    </w:p>
  </w:footnote>
  <w:footnote w:id="369">
    <w:p w14:paraId="6F80E17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Ukraine's opening statement at the oral hearing, para. 8.</w:t>
      </w:r>
    </w:p>
  </w:footnote>
  <w:footnote w:id="370">
    <w:p w14:paraId="3E56455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 xml:space="preserve">Ukraine's appellant's submission, paras. 252-254. See also </w:t>
      </w:r>
      <w:r w:rsidRPr="003B2BFE">
        <w:rPr>
          <w:szCs w:val="16"/>
        </w:rPr>
        <w:t>Ukraine's opening statement at the oral hearing, para. 20.</w:t>
      </w:r>
    </w:p>
  </w:footnote>
  <w:footnote w:id="371">
    <w:p w14:paraId="0EAEA33A"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7.314.</w:t>
      </w:r>
    </w:p>
  </w:footnote>
  <w:footnote w:id="372">
    <w:p w14:paraId="5CB89746" w14:textId="73942AA9"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section 7.3.2.2.4.2. The Panel further considered Russia's arguments regarding the existence of restrictions on Russian citizens entering Ukraine (i.e. automatic prosecution in Ukraine of Russian citizens who visited Crimea after April 2014 and restriction on the entry to Ukraine of Russian male citizens aged between 16 and 60). (</w:t>
      </w:r>
      <w:r w:rsidR="00CA7510">
        <w:rPr>
          <w:szCs w:val="16"/>
          <w:lang w:val="en-US"/>
        </w:rPr>
        <w:t>Ibid.</w:t>
      </w:r>
      <w:r w:rsidRPr="003B2BFE">
        <w:rPr>
          <w:szCs w:val="16"/>
          <w:lang w:val="en-US"/>
        </w:rPr>
        <w:t>, section 7.3.2.2.4.3) However, the Panel found that the evidence before it did not confirm the existence of such restrictions. (Ibid., paras. 7.361 and 7.369)</w:t>
      </w:r>
    </w:p>
  </w:footnote>
  <w:footnote w:id="373">
    <w:p w14:paraId="309042E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7.387.</w:t>
      </w:r>
    </w:p>
  </w:footnote>
  <w:footnote w:id="374">
    <w:p w14:paraId="29637608"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Emphasis added.</w:t>
      </w:r>
    </w:p>
  </w:footnote>
  <w:footnote w:id="375">
    <w:p w14:paraId="67B3C9C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7.283.</w:t>
      </w:r>
    </w:p>
  </w:footnote>
  <w:footnote w:id="376">
    <w:p w14:paraId="7750ABF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See Panel Report, paras. 7.329-7.331 and 7.335.</w:t>
      </w:r>
    </w:p>
  </w:footnote>
  <w:footnote w:id="377">
    <w:p w14:paraId="6CE1DFF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7.336.</w:t>
      </w:r>
    </w:p>
  </w:footnote>
  <w:footnote w:id="378">
    <w:p w14:paraId="3059303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See Panel Report, paras. 7.337-7.356.</w:t>
      </w:r>
    </w:p>
  </w:footnote>
  <w:footnote w:id="379">
    <w:p w14:paraId="689A833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7.283.</w:t>
      </w:r>
    </w:p>
  </w:footnote>
  <w:footnote w:id="380">
    <w:p w14:paraId="0AA8D6C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7.375.</w:t>
      </w:r>
    </w:p>
  </w:footnote>
  <w:footnote w:id="381">
    <w:p w14:paraId="0A439B09"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7.376. (emphasis added)</w:t>
      </w:r>
    </w:p>
  </w:footnote>
  <w:footnote w:id="382">
    <w:p w14:paraId="5E9F517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7.376.</w:t>
      </w:r>
    </w:p>
  </w:footnote>
  <w:footnote w:id="383">
    <w:p w14:paraId="2105B1C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See Panel Report, paras. 7.376 and 7.383.</w:t>
      </w:r>
    </w:p>
  </w:footnote>
  <w:footnote w:id="384">
    <w:p w14:paraId="7281EDD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7.383.</w:t>
      </w:r>
    </w:p>
  </w:footnote>
  <w:footnote w:id="385">
    <w:p w14:paraId="7D8D528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paras. 7.376 and 7.383-7.384.</w:t>
      </w:r>
    </w:p>
  </w:footnote>
  <w:footnote w:id="386">
    <w:p w14:paraId="31A4CD28"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7.384.</w:t>
      </w:r>
    </w:p>
  </w:footnote>
  <w:footnote w:id="387">
    <w:p w14:paraId="1A5F3A98"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7.380.</w:t>
      </w:r>
    </w:p>
  </w:footnote>
  <w:footnote w:id="388">
    <w:p w14:paraId="5257A27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7.380. (emphasis added)</w:t>
      </w:r>
    </w:p>
  </w:footnote>
  <w:footnote w:id="389">
    <w:p w14:paraId="0701D4B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7.381.</w:t>
      </w:r>
    </w:p>
  </w:footnote>
  <w:footnote w:id="390">
    <w:p w14:paraId="6C49CCD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7.382.</w:t>
      </w:r>
    </w:p>
  </w:footnote>
  <w:footnote w:id="391">
    <w:p w14:paraId="66433614"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7.384.</w:t>
      </w:r>
    </w:p>
  </w:footnote>
  <w:footnote w:id="392">
    <w:p w14:paraId="3B7E9A79"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paras. 7.337-7.339.</w:t>
      </w:r>
    </w:p>
  </w:footnote>
  <w:footnote w:id="393">
    <w:p w14:paraId="02F8DB7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7.346-7.350.</w:t>
      </w:r>
    </w:p>
  </w:footnote>
  <w:footnote w:id="394">
    <w:p w14:paraId="20073C78"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paras. 7.340-7.342.</w:t>
      </w:r>
    </w:p>
  </w:footnote>
  <w:footnote w:id="395">
    <w:p w14:paraId="50A786D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7.345.</w:t>
      </w:r>
    </w:p>
  </w:footnote>
  <w:footnote w:id="396">
    <w:p w14:paraId="45EC95E9" w14:textId="01A73C56"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We note that at the oral hearing Ukraine raised concerns with respect to the relevant time period the Panel chose for its assessment of evidence on the record. In Ukraine's view, since the dates of the 14 instructions suspending certificates were between April 2014 and August 2015, the Panel should not have extended this period until the date of the Panel's establishment on 16 December 2016. The Panel explained its decision with the fact that there was no evidence before it that up until the date of the Panel's establishment the FBO issued instructions determining that the conditions for suspending certificates were no longer present. (Panel Report, para. 7.377) </w:t>
      </w:r>
      <w:r w:rsidRPr="003B2BFE">
        <w:rPr>
          <w:szCs w:val="16"/>
          <w:lang w:val="en-US"/>
        </w:rPr>
        <w:t>In our view</w:t>
      </w:r>
      <w:r w:rsidRPr="003B2BFE">
        <w:rPr>
          <w:szCs w:val="16"/>
        </w:rPr>
        <w:t>, independently of the precise time period, the Panel had to establish whether the situation concerning the relevant producers of Ukrainian railway products was or was not comparable to the situation concerning producers of other countries both: (i) at the time the suspensions were made; and (ii) in the period following the suspensions.</w:t>
      </w:r>
    </w:p>
  </w:footnote>
  <w:footnote w:id="397">
    <w:p w14:paraId="203FE124" w14:textId="1FCACA2F"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Reports, </w:t>
      </w:r>
      <w:r w:rsidRPr="003B2BFE">
        <w:rPr>
          <w:i/>
          <w:iCs/>
          <w:szCs w:val="16"/>
        </w:rPr>
        <w:t>Canada – Periodicals</w:t>
      </w:r>
      <w:r w:rsidRPr="003B2BFE">
        <w:rPr>
          <w:szCs w:val="16"/>
        </w:rPr>
        <w:t>,</w:t>
      </w:r>
      <w:r w:rsidRPr="003B2BFE" w:rsidDel="00D20EC4">
        <w:rPr>
          <w:szCs w:val="16"/>
        </w:rPr>
        <w:t xml:space="preserve"> </w:t>
      </w:r>
      <w:r w:rsidRPr="003B2BFE">
        <w:rPr>
          <w:szCs w:val="16"/>
        </w:rPr>
        <w:t xml:space="preserve">p. 24, DSR 1997:I, p. 469; </w:t>
      </w:r>
      <w:r w:rsidRPr="003B2BFE">
        <w:rPr>
          <w:i/>
          <w:szCs w:val="16"/>
        </w:rPr>
        <w:t>Australia – Salmon</w:t>
      </w:r>
      <w:r w:rsidRPr="003B2BFE">
        <w:rPr>
          <w:szCs w:val="16"/>
        </w:rPr>
        <w:t xml:space="preserve">, paras. 117-119; </w:t>
      </w:r>
      <w:r w:rsidRPr="003B2BFE">
        <w:rPr>
          <w:i/>
          <w:szCs w:val="16"/>
        </w:rPr>
        <w:t>US – Large Civil Aircraft (2</w:t>
      </w:r>
      <w:r w:rsidRPr="003B2BFE">
        <w:rPr>
          <w:i/>
          <w:szCs w:val="16"/>
          <w:vertAlign w:val="superscript"/>
        </w:rPr>
        <w:t>nd</w:t>
      </w:r>
      <w:r w:rsidRPr="003B2BFE">
        <w:rPr>
          <w:i/>
          <w:szCs w:val="16"/>
        </w:rPr>
        <w:t> complaint)</w:t>
      </w:r>
      <w:r w:rsidRPr="003B2BFE">
        <w:rPr>
          <w:szCs w:val="16"/>
        </w:rPr>
        <w:t>, para. 1250.</w:t>
      </w:r>
    </w:p>
  </w:footnote>
  <w:footnote w:id="398">
    <w:p w14:paraId="4DACDF38" w14:textId="31A79E19"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Reports, </w:t>
      </w:r>
      <w:r w:rsidRPr="003B2BFE">
        <w:rPr>
          <w:i/>
          <w:szCs w:val="16"/>
        </w:rPr>
        <w:t>US – Lamb</w:t>
      </w:r>
      <w:r w:rsidRPr="003B2BFE">
        <w:rPr>
          <w:szCs w:val="16"/>
        </w:rPr>
        <w:t xml:space="preserve">, paras. 150 and 172; </w:t>
      </w:r>
      <w:r w:rsidRPr="003B2BFE">
        <w:rPr>
          <w:i/>
          <w:szCs w:val="16"/>
        </w:rPr>
        <w:t>US – Section 211 Appropriations Act</w:t>
      </w:r>
      <w:r w:rsidRPr="003B2BFE">
        <w:rPr>
          <w:szCs w:val="16"/>
        </w:rPr>
        <w:t xml:space="preserve">, paras. 343-345; </w:t>
      </w:r>
      <w:r w:rsidRPr="003B2BFE">
        <w:rPr>
          <w:i/>
          <w:szCs w:val="16"/>
        </w:rPr>
        <w:t>EC and certain member States – Large Civil Aircraft</w:t>
      </w:r>
      <w:r w:rsidRPr="003B2BFE">
        <w:rPr>
          <w:szCs w:val="16"/>
        </w:rPr>
        <w:t xml:space="preserve">, para. 1178; </w:t>
      </w:r>
      <w:r w:rsidRPr="003B2BFE">
        <w:rPr>
          <w:i/>
          <w:szCs w:val="16"/>
        </w:rPr>
        <w:t>US – Large Civil Aircraft (2</w:t>
      </w:r>
      <w:r w:rsidRPr="003B2BFE">
        <w:rPr>
          <w:i/>
          <w:szCs w:val="16"/>
          <w:vertAlign w:val="superscript"/>
        </w:rPr>
        <w:t>nd</w:t>
      </w:r>
      <w:r w:rsidRPr="003B2BFE">
        <w:rPr>
          <w:i/>
          <w:szCs w:val="16"/>
        </w:rPr>
        <w:t> complaint)</w:t>
      </w:r>
      <w:r w:rsidRPr="003B2BFE">
        <w:rPr>
          <w:szCs w:val="16"/>
        </w:rPr>
        <w:t>, paras. 1250-1251.</w:t>
      </w:r>
    </w:p>
  </w:footnote>
  <w:footnote w:id="399">
    <w:p w14:paraId="7BFC499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Reports, </w:t>
      </w:r>
      <w:r w:rsidRPr="003B2BFE">
        <w:rPr>
          <w:i/>
          <w:szCs w:val="16"/>
        </w:rPr>
        <w:t>Colombia – Textiles</w:t>
      </w:r>
      <w:r w:rsidRPr="003B2BFE">
        <w:rPr>
          <w:szCs w:val="16"/>
        </w:rPr>
        <w:t xml:space="preserve">, para. 5.30; </w:t>
      </w:r>
      <w:r w:rsidRPr="003B2BFE">
        <w:rPr>
          <w:i/>
          <w:szCs w:val="16"/>
        </w:rPr>
        <w:t>US – Anti-Dumping Methodologies (China)</w:t>
      </w:r>
      <w:r w:rsidRPr="003B2BFE">
        <w:rPr>
          <w:szCs w:val="16"/>
        </w:rPr>
        <w:t xml:space="preserve">, para. 5.146; </w:t>
      </w:r>
      <w:r w:rsidRPr="003B2BFE">
        <w:rPr>
          <w:i/>
          <w:szCs w:val="16"/>
        </w:rPr>
        <w:t>Russia – Pigs (EU)</w:t>
      </w:r>
      <w:r w:rsidRPr="003B2BFE">
        <w:rPr>
          <w:szCs w:val="16"/>
        </w:rPr>
        <w:t xml:space="preserve">, para. 5.141; </w:t>
      </w:r>
      <w:r w:rsidRPr="003B2BFE">
        <w:rPr>
          <w:i/>
          <w:iCs/>
          <w:szCs w:val="16"/>
        </w:rPr>
        <w:t xml:space="preserve">EC and certain member States – Large Civil Aircraft </w:t>
      </w:r>
      <w:r w:rsidRPr="003B2BFE">
        <w:rPr>
          <w:i/>
          <w:szCs w:val="16"/>
        </w:rPr>
        <w:t>(Article 21.5 – US)</w:t>
      </w:r>
      <w:r w:rsidRPr="003B2BFE">
        <w:rPr>
          <w:szCs w:val="16"/>
        </w:rPr>
        <w:t>, para. 5.745.</w:t>
      </w:r>
    </w:p>
  </w:footnote>
  <w:footnote w:id="400">
    <w:p w14:paraId="16A1751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paras. 177 and 226.</w:t>
      </w:r>
    </w:p>
  </w:footnote>
  <w:footnote w:id="401">
    <w:p w14:paraId="4B14F27A"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190.</w:t>
      </w:r>
    </w:p>
  </w:footnote>
  <w:footnote w:id="402">
    <w:p w14:paraId="7DA7225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7.402.</w:t>
      </w:r>
    </w:p>
  </w:footnote>
  <w:footnote w:id="403">
    <w:p w14:paraId="0FDD2C4A"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7.412.</w:t>
      </w:r>
    </w:p>
  </w:footnote>
  <w:footnote w:id="404">
    <w:p w14:paraId="32F8CDDA"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7.413.</w:t>
      </w:r>
    </w:p>
  </w:footnote>
  <w:footnote w:id="405">
    <w:p w14:paraId="0DFDFC2A"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7.418.</w:t>
      </w:r>
    </w:p>
  </w:footnote>
  <w:footnote w:id="406">
    <w:p w14:paraId="63BF942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7.420.</w:t>
      </w:r>
    </w:p>
  </w:footnote>
  <w:footnote w:id="407">
    <w:p w14:paraId="47A44FA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7.422.</w:t>
      </w:r>
    </w:p>
  </w:footnote>
  <w:footnote w:id="408">
    <w:p w14:paraId="059164B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7.422.</w:t>
      </w:r>
    </w:p>
  </w:footnote>
  <w:footnote w:id="409">
    <w:p w14:paraId="35D14AD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7.423.</w:t>
      </w:r>
    </w:p>
  </w:footnote>
  <w:footnote w:id="410">
    <w:p w14:paraId="393036A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7.428.</w:t>
      </w:r>
    </w:p>
  </w:footnote>
  <w:footnote w:id="411">
    <w:p w14:paraId="09AE6344"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7.432.</w:t>
      </w:r>
    </w:p>
  </w:footnote>
  <w:footnote w:id="412">
    <w:p w14:paraId="0222E81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7.433.</w:t>
      </w:r>
    </w:p>
  </w:footnote>
  <w:footnote w:id="413">
    <w:p w14:paraId="102DAF24"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7.450.</w:t>
      </w:r>
    </w:p>
  </w:footnote>
  <w:footnote w:id="414">
    <w:p w14:paraId="43A4BF3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7.453-7.454.</w:t>
      </w:r>
    </w:p>
  </w:footnote>
  <w:footnote w:id="415">
    <w:p w14:paraId="22476D6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7.457.</w:t>
      </w:r>
    </w:p>
  </w:footnote>
  <w:footnote w:id="416">
    <w:p w14:paraId="293BED05" w14:textId="03A0CD16"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7.468. In this regard, the Panel referred to the Appellate Body Report in </w:t>
      </w:r>
      <w:r w:rsidRPr="003B2BFE">
        <w:rPr>
          <w:szCs w:val="16"/>
        </w:rPr>
        <w:br/>
      </w:r>
      <w:r w:rsidRPr="003B2BFE">
        <w:rPr>
          <w:i/>
          <w:szCs w:val="16"/>
        </w:rPr>
        <w:t>US – Gambling</w:t>
      </w:r>
      <w:r w:rsidRPr="003B2BFE">
        <w:rPr>
          <w:szCs w:val="16"/>
        </w:rPr>
        <w:t>, in which the Appellate Body reversed the panel's finding that, before imposing a WTO</w:t>
      </w:r>
      <w:r w:rsidRPr="003B2BFE">
        <w:rPr>
          <w:szCs w:val="16"/>
        </w:rPr>
        <w:noBreakHyphen/>
        <w:t xml:space="preserve">inconsistent measure, the responding party could have entered into consultations with the complaining party to find alternatives. The Appellate Body noted that negotiations are by definition a process, the results of which are uncertain. (Ibid., para. 7.467 (referring to Appellate Body Report, </w:t>
      </w:r>
      <w:r w:rsidRPr="003B2BFE">
        <w:rPr>
          <w:i/>
          <w:szCs w:val="16"/>
        </w:rPr>
        <w:t>US – Gambling</w:t>
      </w:r>
      <w:r w:rsidRPr="003B2BFE">
        <w:rPr>
          <w:szCs w:val="16"/>
        </w:rPr>
        <w:t>, paras. 315-317 and 321))</w:t>
      </w:r>
    </w:p>
  </w:footnote>
  <w:footnote w:id="417">
    <w:p w14:paraId="7B0096EE" w14:textId="05E86095"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7.468 (referring to </w:t>
      </w:r>
      <w:r w:rsidRPr="003B2BFE">
        <w:rPr>
          <w:szCs w:val="16"/>
          <w:lang w:eastAsia="zh-CN"/>
        </w:rPr>
        <w:t xml:space="preserve">Letter </w:t>
      </w:r>
      <w:r w:rsidRPr="003B2BFE">
        <w:rPr>
          <w:b/>
          <w:szCs w:val="16"/>
        </w:rPr>
        <w:t>[BCI]</w:t>
      </w:r>
      <w:r w:rsidRPr="003B2BFE">
        <w:rPr>
          <w:szCs w:val="16"/>
          <w:lang w:eastAsia="zh-CN"/>
        </w:rPr>
        <w:t xml:space="preserve"> from PJSC </w:t>
      </w:r>
      <w:r w:rsidRPr="003B2BFE">
        <w:rPr>
          <w:b/>
          <w:szCs w:val="16"/>
        </w:rPr>
        <w:t>[BCI]</w:t>
      </w:r>
      <w:r w:rsidRPr="003B2BFE">
        <w:rPr>
          <w:szCs w:val="16"/>
        </w:rPr>
        <w:t xml:space="preserve"> </w:t>
      </w:r>
      <w:r w:rsidRPr="003B2BFE">
        <w:rPr>
          <w:szCs w:val="16"/>
          <w:lang w:eastAsia="zh-CN"/>
        </w:rPr>
        <w:t xml:space="preserve">to FBO </w:t>
      </w:r>
      <w:r w:rsidRPr="003B2BFE">
        <w:rPr>
          <w:szCs w:val="16"/>
        </w:rPr>
        <w:t>(Panel Exhibit UKR</w:t>
      </w:r>
      <w:r w:rsidRPr="003B2BFE">
        <w:rPr>
          <w:szCs w:val="16"/>
        </w:rPr>
        <w:noBreakHyphen/>
        <w:t>18 (BCI))).</w:t>
      </w:r>
    </w:p>
  </w:footnote>
  <w:footnote w:id="418">
    <w:p w14:paraId="60AB188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7.469.</w:t>
      </w:r>
    </w:p>
  </w:footnote>
  <w:footnote w:id="419">
    <w:p w14:paraId="1ED9CF3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7.470.</w:t>
      </w:r>
    </w:p>
  </w:footnote>
  <w:footnote w:id="420">
    <w:p w14:paraId="24F00DD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7.474.</w:t>
      </w:r>
    </w:p>
  </w:footnote>
  <w:footnote w:id="421">
    <w:p w14:paraId="28507B54"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7.476.</w:t>
      </w:r>
    </w:p>
  </w:footnote>
  <w:footnote w:id="422">
    <w:p w14:paraId="3298072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7.477 and 7.480.</w:t>
      </w:r>
    </w:p>
  </w:footnote>
  <w:footnote w:id="423">
    <w:p w14:paraId="0D57418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7.480.</w:t>
      </w:r>
    </w:p>
  </w:footnote>
  <w:footnote w:id="424">
    <w:p w14:paraId="6778BFA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7.480.</w:t>
      </w:r>
    </w:p>
  </w:footnote>
  <w:footnote w:id="425">
    <w:p w14:paraId="1E5CBEE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7.482.</w:t>
      </w:r>
    </w:p>
  </w:footnote>
  <w:footnote w:id="426">
    <w:p w14:paraId="6713C8C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7.496.</w:t>
      </w:r>
    </w:p>
  </w:footnote>
  <w:footnote w:id="427">
    <w:p w14:paraId="7D0B6578"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7.499 and 7.501.</w:t>
      </w:r>
    </w:p>
  </w:footnote>
  <w:footnote w:id="428">
    <w:p w14:paraId="3940963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7.513. The other possibilities considered by the Panel were to read the condition at issue as: (i) covering non</w:t>
      </w:r>
      <w:r w:rsidRPr="003B2BFE">
        <w:rPr>
          <w:szCs w:val="16"/>
        </w:rPr>
        <w:noBreakHyphen/>
        <w:t>conformities identified in the immediately prior inspection control concerning any railway product of the producer, including railway products not covered by the upcoming inspection control; (ii) applying to a non</w:t>
      </w:r>
      <w:r w:rsidRPr="003B2BFE">
        <w:rPr>
          <w:szCs w:val="16"/>
        </w:rPr>
        <w:noBreakHyphen/>
        <w:t>conformity identified in the most recent inspection control for any of the railway products covered by the upcoming inspection control (which may not be the most recent inspection control of the relevant producer); and (iii) applying also to non</w:t>
      </w:r>
      <w:r w:rsidRPr="003B2BFE">
        <w:rPr>
          <w:szCs w:val="16"/>
        </w:rPr>
        <w:noBreakHyphen/>
        <w:t>conformities relating to the production process rather than to the specific products produced. (Ibid., paras. 7.509-7.512)</w:t>
      </w:r>
    </w:p>
  </w:footnote>
  <w:footnote w:id="429">
    <w:p w14:paraId="7DD0A6D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7.519.</w:t>
      </w:r>
    </w:p>
  </w:footnote>
  <w:footnote w:id="430">
    <w:p w14:paraId="489E13B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7.520-7.534.</w:t>
      </w:r>
    </w:p>
  </w:footnote>
  <w:footnote w:id="431">
    <w:p w14:paraId="7366827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7.535.</w:t>
      </w:r>
    </w:p>
  </w:footnote>
  <w:footnote w:id="432">
    <w:p w14:paraId="3EA89B5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7.544.</w:t>
      </w:r>
    </w:p>
  </w:footnote>
  <w:footnote w:id="433">
    <w:p w14:paraId="655B95B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paras. 177 and 226.</w:t>
      </w:r>
    </w:p>
  </w:footnote>
  <w:footnote w:id="434">
    <w:p w14:paraId="058A9FA4"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190.</w:t>
      </w:r>
    </w:p>
  </w:footnote>
  <w:footnote w:id="435">
    <w:p w14:paraId="321AFF1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195.</w:t>
      </w:r>
    </w:p>
  </w:footnote>
  <w:footnote w:id="436">
    <w:p w14:paraId="50B9DFA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195.</w:t>
      </w:r>
    </w:p>
  </w:footnote>
  <w:footnote w:id="437">
    <w:p w14:paraId="05C563D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198.</w:t>
      </w:r>
    </w:p>
  </w:footnote>
  <w:footnote w:id="438">
    <w:p w14:paraId="0093A04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bookmarkStart w:id="196" w:name="_Hlk30574072"/>
      <w:r w:rsidRPr="003B2BFE">
        <w:rPr>
          <w:szCs w:val="16"/>
        </w:rPr>
        <w:t>Ukraine's appellant's submission, para. 199 (referring to Panel Report, para. 7.469).</w:t>
      </w:r>
    </w:p>
    <w:bookmarkEnd w:id="196"/>
  </w:footnote>
  <w:footnote w:id="439">
    <w:p w14:paraId="3A78524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paras. 203-204 and 206.</w:t>
      </w:r>
    </w:p>
  </w:footnote>
  <w:footnote w:id="440">
    <w:p w14:paraId="34F863A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bookmarkStart w:id="197" w:name="_Hlk13678568"/>
      <w:r w:rsidRPr="003B2BFE">
        <w:rPr>
          <w:szCs w:val="16"/>
        </w:rPr>
        <w:t>Ukraine's appellant's submission, para. 209.</w:t>
      </w:r>
      <w:bookmarkEnd w:id="197"/>
    </w:p>
  </w:footnote>
  <w:footnote w:id="441">
    <w:p w14:paraId="3812D88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210.</w:t>
      </w:r>
    </w:p>
  </w:footnote>
  <w:footnote w:id="442">
    <w:p w14:paraId="46097FF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paras. 212 and 216.</w:t>
      </w:r>
    </w:p>
  </w:footnote>
  <w:footnote w:id="443">
    <w:p w14:paraId="75802204"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215 (referring to Panel Report, para. 7.480).</w:t>
      </w:r>
    </w:p>
  </w:footnote>
  <w:footnote w:id="444">
    <w:p w14:paraId="4FA5DF2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paras. 221 and 224.</w:t>
      </w:r>
    </w:p>
  </w:footnote>
  <w:footnote w:id="445">
    <w:p w14:paraId="296DA937" w14:textId="1DBE62AD"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220 (referring to Panel Report, paras. 7.494 and 7.519).</w:t>
      </w:r>
    </w:p>
  </w:footnote>
  <w:footnote w:id="446">
    <w:p w14:paraId="6F016D9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222.</w:t>
      </w:r>
    </w:p>
  </w:footnote>
  <w:footnote w:id="447">
    <w:p w14:paraId="24D6D03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86.</w:t>
      </w:r>
    </w:p>
  </w:footnote>
  <w:footnote w:id="448">
    <w:p w14:paraId="5FFEA00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89.</w:t>
      </w:r>
    </w:p>
  </w:footnote>
  <w:footnote w:id="449">
    <w:p w14:paraId="39BF562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105.</w:t>
      </w:r>
    </w:p>
  </w:footnote>
  <w:footnote w:id="450">
    <w:p w14:paraId="7C57FD9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92.</w:t>
      </w:r>
    </w:p>
  </w:footnote>
  <w:footnote w:id="451">
    <w:p w14:paraId="7BBADB8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paras. 97-98 (referring to Panel Report, paras. 7.468</w:t>
      </w:r>
      <w:r w:rsidRPr="003B2BFE">
        <w:rPr>
          <w:szCs w:val="16"/>
        </w:rPr>
        <w:noBreakHyphen/>
        <w:t>7.469).</w:t>
      </w:r>
    </w:p>
  </w:footnote>
  <w:footnote w:id="452">
    <w:p w14:paraId="4A85E98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103 (referring to Panel Report, para. 7.464).</w:t>
      </w:r>
    </w:p>
  </w:footnote>
  <w:footnote w:id="453">
    <w:p w14:paraId="0E5C74C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115.</w:t>
      </w:r>
    </w:p>
  </w:footnote>
  <w:footnote w:id="454">
    <w:p w14:paraId="01E2FA2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113.</w:t>
      </w:r>
    </w:p>
  </w:footnote>
  <w:footnote w:id="455">
    <w:p w14:paraId="26CA53F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119.</w:t>
      </w:r>
    </w:p>
  </w:footnote>
  <w:footnote w:id="456">
    <w:p w14:paraId="4F093934"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123.</w:t>
      </w:r>
    </w:p>
  </w:footnote>
  <w:footnote w:id="457">
    <w:p w14:paraId="2FE45C4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127.</w:t>
      </w:r>
    </w:p>
  </w:footnote>
  <w:footnote w:id="458">
    <w:p w14:paraId="66B4E83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129.</w:t>
      </w:r>
    </w:p>
  </w:footnote>
  <w:footnote w:id="459">
    <w:p w14:paraId="453D1FF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130.</w:t>
      </w:r>
    </w:p>
  </w:footnote>
  <w:footnote w:id="460">
    <w:p w14:paraId="5500BB2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See Ukraine's appellant's submission, paras. 194, 202, 214, and 221.</w:t>
      </w:r>
    </w:p>
  </w:footnote>
  <w:footnote w:id="461">
    <w:p w14:paraId="181867EA"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US – Tuna II (Mexico)</w:t>
      </w:r>
      <w:r w:rsidRPr="003B2BFE">
        <w:rPr>
          <w:szCs w:val="16"/>
        </w:rPr>
        <w:t xml:space="preserve">, para. 318 (referring to </w:t>
      </w:r>
      <w:r w:rsidRPr="003B2BFE" w:rsidDel="00D41E78">
        <w:rPr>
          <w:szCs w:val="16"/>
        </w:rPr>
        <w:t xml:space="preserve">Appellate Body Report, </w:t>
      </w:r>
      <w:r w:rsidRPr="003B2BFE" w:rsidDel="00D41E78">
        <w:rPr>
          <w:i/>
          <w:szCs w:val="16"/>
        </w:rPr>
        <w:t>Korea</w:t>
      </w:r>
      <w:r w:rsidRPr="003B2BFE">
        <w:rPr>
          <w:i/>
          <w:szCs w:val="16"/>
        </w:rPr>
        <w:t> </w:t>
      </w:r>
      <w:r w:rsidRPr="003B2BFE" w:rsidDel="00D41E78">
        <w:rPr>
          <w:i/>
          <w:szCs w:val="16"/>
        </w:rPr>
        <w:t>– Various Measures on Beef</w:t>
      </w:r>
      <w:r w:rsidRPr="003B2BFE" w:rsidDel="00D41E78">
        <w:rPr>
          <w:szCs w:val="16"/>
        </w:rPr>
        <w:t>, para. 161</w:t>
      </w:r>
      <w:r w:rsidRPr="003B2BFE">
        <w:rPr>
          <w:szCs w:val="16"/>
        </w:rPr>
        <w:t>)</w:t>
      </w:r>
      <w:r w:rsidRPr="003B2BFE" w:rsidDel="00D41E78">
        <w:rPr>
          <w:szCs w:val="16"/>
        </w:rPr>
        <w:t>.</w:t>
      </w:r>
    </w:p>
  </w:footnote>
  <w:footnote w:id="462">
    <w:p w14:paraId="7B573DF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7.406-7.413.</w:t>
      </w:r>
    </w:p>
  </w:footnote>
  <w:footnote w:id="463">
    <w:p w14:paraId="5CF040C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Article 2.2 of the TBT Agreement provides: "</w:t>
      </w:r>
      <w:r w:rsidRPr="003B2BFE">
        <w:rPr>
          <w:szCs w:val="16"/>
        </w:rPr>
        <w:t>Members shall ensure that technical regulations are not prepared, adopted or applied with a view to or with the effect of creating unnecessary obstacles to international trade. For this purpose, technical regulations shall not be more trade-restrictive than necessary to fulfil a legitimate objective, taking account of the risks non-fulfilment would create."</w:t>
      </w:r>
    </w:p>
  </w:footnote>
  <w:footnote w:id="464">
    <w:p w14:paraId="07F13636" w14:textId="609FFBB0" w:rsidR="009D6585" w:rsidRPr="003B2BFE" w:rsidRDefault="009D6585" w:rsidP="003B2BFE">
      <w:pPr>
        <w:pStyle w:val="FootnoteText"/>
        <w:rPr>
          <w:szCs w:val="16"/>
          <w:lang w:val="es-ES"/>
        </w:rPr>
      </w:pPr>
      <w:r w:rsidRPr="003B2BFE">
        <w:rPr>
          <w:rStyle w:val="FootnoteReference"/>
          <w:szCs w:val="16"/>
        </w:rPr>
        <w:footnoteRef/>
      </w:r>
      <w:r w:rsidRPr="003B2BFE">
        <w:rPr>
          <w:szCs w:val="16"/>
        </w:rPr>
        <w:t xml:space="preserve"> The Appellate Body has stated that an assessment of whether a technical regulation is "more trade</w:t>
      </w:r>
      <w:r w:rsidRPr="003B2BFE">
        <w:rPr>
          <w:szCs w:val="16"/>
        </w:rPr>
        <w:noBreakHyphen/>
        <w:t>restrictive than necessary" within the meaning of Article 2.2 of the TBT Agreement involves an evaluation of a number of factors. A panel should begin by considering factors that include: (i) the degree of contribution made by the measure to the legitimate objective at issue; (ii) the trade restrictiveness of the measure; and (iii) the nature of the risks at issue and the gravity of consequences that would arise from non-fulfilment of the objective(s) pursued by the Member through the measure. In most cases, a comparison of the challenged measure and possible alternative measures should be undertaken. In particular, it may be relevant for the purpose of this comparison to consider whether the proposed alternative is less trade-restrictive, whether it would make an equivalent contribution to the relevant legitimate objective (taking account of the risks non</w:t>
      </w:r>
      <w:r w:rsidRPr="003B2BFE">
        <w:rPr>
          <w:szCs w:val="16"/>
        </w:rPr>
        <w:noBreakHyphen/>
        <w:t xml:space="preserve">fulfilment would create), and whether it is reasonably available. </w:t>
      </w:r>
      <w:r w:rsidRPr="003B2BFE">
        <w:rPr>
          <w:szCs w:val="16"/>
          <w:lang w:val="es-ES"/>
        </w:rPr>
        <w:t xml:space="preserve">(Appellate Body Report, </w:t>
      </w:r>
      <w:r w:rsidRPr="003B2BFE">
        <w:rPr>
          <w:i/>
          <w:szCs w:val="16"/>
          <w:lang w:val="es-ES"/>
        </w:rPr>
        <w:t>US – Tuna II (Mexico)</w:t>
      </w:r>
      <w:r w:rsidRPr="003B2BFE">
        <w:rPr>
          <w:szCs w:val="16"/>
          <w:lang w:val="es-ES"/>
        </w:rPr>
        <w:t>, para. 322)</w:t>
      </w:r>
    </w:p>
  </w:footnote>
  <w:footnote w:id="465">
    <w:p w14:paraId="4BB96007" w14:textId="77777777" w:rsidR="009D6585" w:rsidRPr="003B2BFE" w:rsidRDefault="009D6585" w:rsidP="003B2BFE">
      <w:pPr>
        <w:pStyle w:val="FootnoteText"/>
        <w:rPr>
          <w:szCs w:val="16"/>
        </w:rPr>
      </w:pPr>
      <w:r w:rsidRPr="003B2BFE">
        <w:rPr>
          <w:rStyle w:val="FootnoteReference"/>
          <w:szCs w:val="16"/>
        </w:rPr>
        <w:footnoteRef/>
      </w:r>
      <w:r w:rsidRPr="003B2BFE">
        <w:rPr>
          <w:szCs w:val="16"/>
          <w:lang w:val="es-ES"/>
        </w:rPr>
        <w:t xml:space="preserve"> Appellate Body Report, </w:t>
      </w:r>
      <w:r w:rsidRPr="003B2BFE">
        <w:rPr>
          <w:i/>
          <w:szCs w:val="16"/>
          <w:lang w:val="es-ES"/>
        </w:rPr>
        <w:t>US – Tuna II (Mexico)</w:t>
      </w:r>
      <w:r w:rsidRPr="003B2BFE">
        <w:rPr>
          <w:szCs w:val="16"/>
          <w:lang w:val="es-ES"/>
        </w:rPr>
        <w:t>, para. </w:t>
      </w:r>
      <w:r w:rsidRPr="003B2BFE">
        <w:rPr>
          <w:szCs w:val="16"/>
        </w:rPr>
        <w:t>320.</w:t>
      </w:r>
    </w:p>
  </w:footnote>
  <w:footnote w:id="466">
    <w:p w14:paraId="21A5BF0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Reports, </w:t>
      </w:r>
      <w:r w:rsidRPr="003B2BFE">
        <w:rPr>
          <w:i/>
          <w:szCs w:val="16"/>
        </w:rPr>
        <w:t>US – COOL (Article 21.5 – Canada and Mexico)</w:t>
      </w:r>
      <w:r w:rsidRPr="003B2BFE">
        <w:rPr>
          <w:szCs w:val="16"/>
        </w:rPr>
        <w:t>, para. 5.211.</w:t>
      </w:r>
    </w:p>
  </w:footnote>
  <w:footnote w:id="467">
    <w:p w14:paraId="6E9EBBF2" w14:textId="7A69C629"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iCs/>
          <w:szCs w:val="16"/>
        </w:rPr>
        <w:t>US – Wool Shirts and Blouses</w:t>
      </w:r>
      <w:r w:rsidRPr="003B2BFE">
        <w:rPr>
          <w:szCs w:val="16"/>
        </w:rPr>
        <w:t>, p. 14, DSR 1997:I, p. 335.</w:t>
      </w:r>
    </w:p>
  </w:footnote>
  <w:footnote w:id="468">
    <w:p w14:paraId="5A9D2088" w14:textId="24DEDF93"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iCs/>
          <w:szCs w:val="16"/>
        </w:rPr>
        <w:t>US – Wool Shirts and Blouses</w:t>
      </w:r>
      <w:r w:rsidRPr="003B2BFE">
        <w:rPr>
          <w:szCs w:val="16"/>
        </w:rPr>
        <w:t>, p. 14, DSR 1997:I, p. 335.</w:t>
      </w:r>
    </w:p>
  </w:footnote>
  <w:footnote w:id="469">
    <w:p w14:paraId="58F5F7B8"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US – Clove Cigarettes</w:t>
      </w:r>
      <w:r w:rsidRPr="003B2BFE">
        <w:rPr>
          <w:szCs w:val="16"/>
        </w:rPr>
        <w:t>, para. 286. (emphasis omitted)</w:t>
      </w:r>
    </w:p>
  </w:footnote>
  <w:footnote w:id="470">
    <w:p w14:paraId="6F2D206A"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See Appellate Body Reports, </w:t>
      </w:r>
      <w:r w:rsidRPr="003B2BFE">
        <w:rPr>
          <w:i/>
          <w:szCs w:val="16"/>
        </w:rPr>
        <w:t>US – COOL (Article 21.5 – Canada and Mexico)</w:t>
      </w:r>
      <w:r w:rsidRPr="003B2BFE">
        <w:rPr>
          <w:szCs w:val="16"/>
        </w:rPr>
        <w:t>, para. 5.328.</w:t>
      </w:r>
    </w:p>
  </w:footnote>
  <w:footnote w:id="471">
    <w:p w14:paraId="314162CB" w14:textId="74878326"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See, for Article 2.2 of the TBT Agreement, Appellate Body Report, </w:t>
      </w:r>
      <w:r w:rsidRPr="003B2BFE">
        <w:rPr>
          <w:i/>
          <w:szCs w:val="16"/>
        </w:rPr>
        <w:t>US – Tuna II (Mexico)</w:t>
      </w:r>
      <w:r w:rsidRPr="003B2BFE">
        <w:rPr>
          <w:szCs w:val="16"/>
        </w:rPr>
        <w:t>, para. 323.</w:t>
      </w:r>
    </w:p>
  </w:footnote>
  <w:footnote w:id="472">
    <w:p w14:paraId="3477C8F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US – Clove Cigarettes</w:t>
      </w:r>
      <w:r w:rsidRPr="003B2BFE">
        <w:rPr>
          <w:szCs w:val="16"/>
        </w:rPr>
        <w:t>, para. 286. (emphasis omitted)</w:t>
      </w:r>
    </w:p>
  </w:footnote>
  <w:footnote w:id="473">
    <w:p w14:paraId="72653638" w14:textId="05363DE1"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Reports, </w:t>
      </w:r>
      <w:r w:rsidRPr="003B2BFE">
        <w:rPr>
          <w:i/>
          <w:szCs w:val="16"/>
        </w:rPr>
        <w:t>US – COOL (Article 21.5 – Canada and Mexico)</w:t>
      </w:r>
      <w:r w:rsidRPr="003B2BFE">
        <w:rPr>
          <w:szCs w:val="16"/>
        </w:rPr>
        <w:t>, para. 5.333.</w:t>
      </w:r>
    </w:p>
  </w:footnote>
  <w:footnote w:id="474">
    <w:p w14:paraId="2FDDECAB" w14:textId="04C0702A"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Reports, </w:t>
      </w:r>
      <w:r w:rsidRPr="003B2BFE">
        <w:rPr>
          <w:i/>
          <w:szCs w:val="16"/>
        </w:rPr>
        <w:t>US – COOL (Article 21.5 – Canada and Mexico)</w:t>
      </w:r>
      <w:r w:rsidRPr="003B2BFE">
        <w:rPr>
          <w:szCs w:val="16"/>
        </w:rPr>
        <w:t>, para. 5.334.</w:t>
      </w:r>
    </w:p>
  </w:footnote>
  <w:footnote w:id="475">
    <w:p w14:paraId="6FCD2C5E" w14:textId="210C8E2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Reports, </w:t>
      </w:r>
      <w:r w:rsidRPr="003B2BFE">
        <w:rPr>
          <w:i/>
          <w:szCs w:val="16"/>
        </w:rPr>
        <w:t>US – COOL (Article 21.5 – Canada and Mexico)</w:t>
      </w:r>
      <w:r w:rsidRPr="003B2BFE">
        <w:rPr>
          <w:szCs w:val="16"/>
        </w:rPr>
        <w:t>, para. 5.334.</w:t>
      </w:r>
    </w:p>
  </w:footnote>
  <w:footnote w:id="476">
    <w:p w14:paraId="2D2C0098" w14:textId="378175DD"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Reports, </w:t>
      </w:r>
      <w:r w:rsidRPr="003B2BFE">
        <w:rPr>
          <w:i/>
          <w:szCs w:val="16"/>
        </w:rPr>
        <w:t>US – COOL (Article 21.5 – Canada and Mexico)</w:t>
      </w:r>
      <w:r w:rsidRPr="003B2BFE">
        <w:rPr>
          <w:szCs w:val="16"/>
        </w:rPr>
        <w:t>, para. 5.338.</w:t>
      </w:r>
    </w:p>
  </w:footnote>
  <w:footnote w:id="477">
    <w:p w14:paraId="0C1F972C" w14:textId="42108C58"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176.</w:t>
      </w:r>
    </w:p>
  </w:footnote>
  <w:footnote w:id="478">
    <w:p w14:paraId="32F71F31" w14:textId="0FE4EA75"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7.459.</w:t>
      </w:r>
    </w:p>
  </w:footnote>
  <w:footnote w:id="479">
    <w:p w14:paraId="4D747B15" w14:textId="5C033FDA"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221.</w:t>
      </w:r>
    </w:p>
  </w:footnote>
  <w:footnote w:id="480">
    <w:p w14:paraId="08A2BE2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paras. 221 and 224.</w:t>
      </w:r>
    </w:p>
  </w:footnote>
  <w:footnote w:id="481">
    <w:p w14:paraId="6664C83C" w14:textId="5AAD770E"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222 (referring to Panel Report, paras. 7.519 and 7.521).</w:t>
      </w:r>
    </w:p>
  </w:footnote>
  <w:footnote w:id="482">
    <w:p w14:paraId="4362943E" w14:textId="14CC8068"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 xml:space="preserve">Panel Report, para. 7.484 (referring to </w:t>
      </w:r>
      <w:r w:rsidRPr="003B2BFE">
        <w:rPr>
          <w:rFonts w:cs="Arial"/>
          <w:szCs w:val="16"/>
          <w:lang w:eastAsia="zh-CN"/>
        </w:rPr>
        <w:t xml:space="preserve">Rules </w:t>
      </w:r>
      <w:r w:rsidRPr="003B2BFE">
        <w:rPr>
          <w:rFonts w:cs="Arial"/>
          <w:szCs w:val="16"/>
          <w:lang w:val="en-US" w:eastAsia="zh-CN"/>
        </w:rPr>
        <w:t>of the Certification System for Federal Railway Transport. Procedure for organizing and conducting an inspection control. (</w:t>
      </w:r>
      <w:r w:rsidRPr="003B2BFE">
        <w:rPr>
          <w:rFonts w:cs="Arial"/>
          <w:szCs w:val="16"/>
          <w:lang w:eastAsia="zh-CN"/>
        </w:rPr>
        <w:t xml:space="preserve">CS FRT </w:t>
      </w:r>
      <w:r w:rsidRPr="003B2BFE">
        <w:rPr>
          <w:rFonts w:cs="Arial"/>
          <w:szCs w:val="16"/>
          <w:lang w:val="en-US" w:eastAsia="zh-CN"/>
        </w:rPr>
        <w:t>12</w:t>
      </w:r>
      <w:r w:rsidRPr="003B2BFE">
        <w:rPr>
          <w:rFonts w:cs="Arial"/>
          <w:szCs w:val="16"/>
          <w:lang w:val="en-US" w:eastAsia="zh-CN"/>
        </w:rPr>
        <w:noBreakHyphen/>
        <w:t>2003) (</w:t>
      </w:r>
      <w:r w:rsidRPr="003B2BFE">
        <w:rPr>
          <w:szCs w:val="16"/>
          <w:lang w:val="en-US"/>
        </w:rPr>
        <w:t>Panel Exhibit UKR</w:t>
      </w:r>
      <w:r w:rsidRPr="003B2BFE">
        <w:rPr>
          <w:szCs w:val="16"/>
          <w:lang w:val="en-US"/>
        </w:rPr>
        <w:noBreakHyphen/>
        <w:t>3)).</w:t>
      </w:r>
    </w:p>
  </w:footnote>
  <w:footnote w:id="483">
    <w:p w14:paraId="37DDDE53" w14:textId="176F326B"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 xml:space="preserve">Panel Report, para. 7.487 (referring to </w:t>
      </w:r>
      <w:r w:rsidRPr="003B2BFE">
        <w:rPr>
          <w:rFonts w:eastAsia="Verdana" w:cs="Verdana"/>
          <w:szCs w:val="16"/>
        </w:rPr>
        <w:t>PC</w:t>
      </w:r>
      <w:r w:rsidRPr="003B2BFE">
        <w:rPr>
          <w:rFonts w:eastAsia="Verdana" w:cs="Verdana"/>
          <w:szCs w:val="16"/>
        </w:rPr>
        <w:noBreakHyphen/>
        <w:t>FZT 08</w:t>
      </w:r>
      <w:r w:rsidRPr="003B2BFE">
        <w:rPr>
          <w:rFonts w:eastAsia="Verdana" w:cs="Verdana"/>
          <w:szCs w:val="16"/>
        </w:rPr>
        <w:noBreakHyphen/>
        <w:t xml:space="preserve">2013 </w:t>
      </w:r>
      <w:r w:rsidRPr="003B2BFE">
        <w:rPr>
          <w:szCs w:val="16"/>
          <w:lang w:val="en-US"/>
        </w:rPr>
        <w:t>(Panel Exhibit RUS</w:t>
      </w:r>
      <w:r w:rsidRPr="003B2BFE">
        <w:rPr>
          <w:szCs w:val="16"/>
          <w:lang w:val="en-US"/>
        </w:rPr>
        <w:noBreakHyphen/>
        <w:t>23)).</w:t>
      </w:r>
    </w:p>
  </w:footnote>
  <w:footnote w:id="484">
    <w:p w14:paraId="55A6DAC9"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7.499 and 7.501.</w:t>
      </w:r>
    </w:p>
  </w:footnote>
  <w:footnote w:id="485">
    <w:p w14:paraId="7D24398B" w14:textId="11145458"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7.516. See also Panel Report, paras. 7.484 (referring to </w:t>
      </w:r>
      <w:r w:rsidRPr="003B2BFE">
        <w:rPr>
          <w:rFonts w:cs="Arial"/>
          <w:szCs w:val="16"/>
          <w:lang w:eastAsia="zh-CN"/>
        </w:rPr>
        <w:t xml:space="preserve">Rules </w:t>
      </w:r>
      <w:r w:rsidRPr="003B2BFE">
        <w:rPr>
          <w:rFonts w:cs="Arial"/>
          <w:szCs w:val="16"/>
          <w:lang w:val="en-US" w:eastAsia="zh-CN"/>
        </w:rPr>
        <w:t>of the Certification System for Federal Railway Transport. Procedure for organizing and conducting an inspection control. (</w:t>
      </w:r>
      <w:r w:rsidRPr="003B2BFE">
        <w:rPr>
          <w:rFonts w:cs="Arial"/>
          <w:szCs w:val="16"/>
          <w:lang w:eastAsia="zh-CN"/>
        </w:rPr>
        <w:t>CS FRT </w:t>
      </w:r>
      <w:r w:rsidRPr="003B2BFE">
        <w:rPr>
          <w:rFonts w:cs="Arial"/>
          <w:szCs w:val="16"/>
          <w:lang w:val="en-US" w:eastAsia="zh-CN"/>
        </w:rPr>
        <w:t>12-2003) (</w:t>
      </w:r>
      <w:r w:rsidRPr="003B2BFE">
        <w:rPr>
          <w:szCs w:val="16"/>
        </w:rPr>
        <w:t>Panel Exhibit UKR</w:t>
      </w:r>
      <w:r w:rsidRPr="003B2BFE">
        <w:rPr>
          <w:szCs w:val="16"/>
        </w:rPr>
        <w:noBreakHyphen/>
        <w:t>3)) and 7.488 (referring to Ukraine's second submission to the Panel, paras. 215-219 and 221-227; opening statement at the second Panel meeting, para. 63).</w:t>
      </w:r>
    </w:p>
  </w:footnote>
  <w:footnote w:id="486">
    <w:p w14:paraId="71C0723E" w14:textId="2AACB3FD" w:rsidR="009D6585" w:rsidRPr="003B2BFE" w:rsidRDefault="009D6585" w:rsidP="003B2BFE">
      <w:pPr>
        <w:pStyle w:val="FootnoteText"/>
        <w:rPr>
          <w:szCs w:val="16"/>
        </w:rPr>
      </w:pPr>
      <w:bookmarkStart w:id="205" w:name="_Hlk30665223"/>
      <w:r w:rsidRPr="003B2BFE">
        <w:rPr>
          <w:rStyle w:val="FootnoteReference"/>
          <w:szCs w:val="16"/>
        </w:rPr>
        <w:footnoteRef/>
      </w:r>
      <w:r w:rsidRPr="003B2BFE">
        <w:rPr>
          <w:szCs w:val="16"/>
        </w:rPr>
        <w:t xml:space="preserve"> </w:t>
      </w:r>
      <w:bookmarkStart w:id="206" w:name="_Hlk30660626"/>
      <w:r w:rsidRPr="003B2BFE">
        <w:rPr>
          <w:szCs w:val="16"/>
        </w:rPr>
        <w:t xml:space="preserve">Panel Report, para. 7.517. Russia submitted evidence of non-conformities or consumer complaints for some of the 73 certificates suspended through the 14 instructions, and Ukraine submitted evidence of previous inspection controls in relation to some of the remaining suspended certificates. (Panel Report, para. 7.518. See also </w:t>
      </w:r>
      <w:r>
        <w:rPr>
          <w:szCs w:val="16"/>
        </w:rPr>
        <w:t>ibid.</w:t>
      </w:r>
      <w:r w:rsidRPr="003B2BFE">
        <w:rPr>
          <w:szCs w:val="16"/>
        </w:rPr>
        <w:t>, para. 7.516 (referring to evidence provided by Ukraine, including inspection acts of certified products (</w:t>
      </w:r>
      <w:bookmarkStart w:id="207" w:name="_Hlk26875212"/>
      <w:r w:rsidRPr="003B2BFE">
        <w:rPr>
          <w:rFonts w:cs="Arial"/>
          <w:szCs w:val="16"/>
          <w:lang w:eastAsia="zh-CN"/>
        </w:rPr>
        <w:t xml:space="preserve">Act of inspection dated 23 January 2014 </w:t>
      </w:r>
      <w:r>
        <w:rPr>
          <w:rFonts w:cs="Arial"/>
          <w:szCs w:val="16"/>
          <w:lang w:eastAsia="zh-CN"/>
        </w:rPr>
        <w:t xml:space="preserve">of certified products produced by PJSC </w:t>
      </w:r>
      <w:r w:rsidRPr="003B2BFE">
        <w:rPr>
          <w:b/>
          <w:szCs w:val="16"/>
        </w:rPr>
        <w:t>[BCI]</w:t>
      </w:r>
      <w:r w:rsidRPr="003B2BFE">
        <w:rPr>
          <w:rFonts w:cs="Arial"/>
          <w:szCs w:val="16"/>
          <w:lang w:eastAsia="zh-CN"/>
        </w:rPr>
        <w:t xml:space="preserve"> </w:t>
      </w:r>
      <w:r w:rsidRPr="003B2BFE">
        <w:rPr>
          <w:szCs w:val="16"/>
        </w:rPr>
        <w:t>(Panel Exhibit UKR</w:t>
      </w:r>
      <w:r w:rsidRPr="003B2BFE">
        <w:rPr>
          <w:szCs w:val="16"/>
        </w:rPr>
        <w:noBreakHyphen/>
        <w:t>151 (BCI</w:t>
      </w:r>
      <w:r w:rsidRPr="003B2BFE">
        <w:rPr>
          <w:rFonts w:cs="Arial"/>
          <w:szCs w:val="16"/>
          <w:lang w:eastAsia="zh-CN"/>
        </w:rPr>
        <w:t>)); Act of inspection dated 24 January 2014 of certified product</w:t>
      </w:r>
      <w:r w:rsidRPr="003B2BFE">
        <w:rPr>
          <w:rFonts w:cs="Arial"/>
          <w:szCs w:val="16"/>
        </w:rPr>
        <w:t xml:space="preserve">s produced by PJSC </w:t>
      </w:r>
      <w:r w:rsidRPr="003B2BFE">
        <w:rPr>
          <w:b/>
          <w:szCs w:val="16"/>
        </w:rPr>
        <w:t xml:space="preserve">[BCI] </w:t>
      </w:r>
      <w:r w:rsidRPr="003B2BFE">
        <w:rPr>
          <w:szCs w:val="16"/>
        </w:rPr>
        <w:t>(Panel Exhibit UKR</w:t>
      </w:r>
      <w:r w:rsidRPr="003B2BFE">
        <w:rPr>
          <w:szCs w:val="16"/>
        </w:rPr>
        <w:noBreakHyphen/>
        <w:t xml:space="preserve">152 (BCI))); </w:t>
      </w:r>
      <w:bookmarkEnd w:id="207"/>
      <w:r w:rsidRPr="003B2BFE">
        <w:rPr>
          <w:szCs w:val="16"/>
        </w:rPr>
        <w:t xml:space="preserve">evidence provided by Russia, including </w:t>
      </w:r>
      <w:r w:rsidRPr="003B2BFE">
        <w:rPr>
          <w:szCs w:val="16"/>
          <w:lang w:val="en-US"/>
        </w:rPr>
        <w:t>documents of the FBO providing for inconsistencies of certified products (</w:t>
      </w:r>
      <w:bookmarkStart w:id="208" w:name="_Hlk26875226"/>
      <w:r w:rsidRPr="003B2BFE">
        <w:rPr>
          <w:szCs w:val="16"/>
        </w:rPr>
        <w:t xml:space="preserve">Documents of the FBO providing for the inconsistencies of the certified products of PJSC </w:t>
      </w:r>
      <w:r w:rsidRPr="003B2BFE">
        <w:rPr>
          <w:b/>
          <w:szCs w:val="16"/>
        </w:rPr>
        <w:t xml:space="preserve">[BCI] </w:t>
      </w:r>
      <w:r w:rsidRPr="003B2BFE">
        <w:rPr>
          <w:szCs w:val="16"/>
        </w:rPr>
        <w:t>(</w:t>
      </w:r>
      <w:r w:rsidRPr="003B2BFE">
        <w:rPr>
          <w:szCs w:val="16"/>
          <w:lang w:val="en-US"/>
        </w:rPr>
        <w:t>Panel Exhibits RUS</w:t>
      </w:r>
      <w:r w:rsidRPr="003B2BFE">
        <w:rPr>
          <w:szCs w:val="16"/>
          <w:lang w:val="en-US"/>
        </w:rPr>
        <w:noBreakHyphen/>
        <w:t>62 (BCI),</w:t>
      </w:r>
      <w:r w:rsidRPr="003B2BFE">
        <w:rPr>
          <w:b/>
          <w:szCs w:val="16"/>
        </w:rPr>
        <w:t xml:space="preserve"> </w:t>
      </w:r>
      <w:r w:rsidRPr="003B2BFE">
        <w:rPr>
          <w:szCs w:val="16"/>
          <w:lang w:val="en-US"/>
        </w:rPr>
        <w:t>RUS</w:t>
      </w:r>
      <w:r w:rsidRPr="003B2BFE">
        <w:rPr>
          <w:szCs w:val="16"/>
          <w:lang w:val="en-US"/>
        </w:rPr>
        <w:noBreakHyphen/>
        <w:t>63 (BCI), RUS</w:t>
      </w:r>
      <w:r w:rsidRPr="003B2BFE">
        <w:rPr>
          <w:szCs w:val="16"/>
          <w:lang w:val="en-US"/>
        </w:rPr>
        <w:noBreakHyphen/>
        <w:t>64 (BCI), RUS</w:t>
      </w:r>
      <w:r w:rsidRPr="003B2BFE">
        <w:rPr>
          <w:szCs w:val="16"/>
          <w:lang w:val="en-US"/>
        </w:rPr>
        <w:noBreakHyphen/>
        <w:t>65 (BCI), and RUS</w:t>
      </w:r>
      <w:r w:rsidRPr="003B2BFE">
        <w:rPr>
          <w:szCs w:val="16"/>
          <w:lang w:val="en-US"/>
        </w:rPr>
        <w:noBreakHyphen/>
        <w:t xml:space="preserve">66 (BCI)); </w:t>
      </w:r>
      <w:bookmarkEnd w:id="208"/>
      <w:r w:rsidRPr="003B2BFE">
        <w:rPr>
          <w:szCs w:val="16"/>
          <w:lang w:val="en-US"/>
        </w:rPr>
        <w:t xml:space="preserve">Letter dated 23 May 2016 from </w:t>
      </w:r>
      <w:r w:rsidRPr="003B2BFE">
        <w:rPr>
          <w:b/>
          <w:szCs w:val="16"/>
        </w:rPr>
        <w:t xml:space="preserve">[BCI] </w:t>
      </w:r>
      <w:r w:rsidRPr="003B2BFE">
        <w:rPr>
          <w:szCs w:val="16"/>
          <w:lang w:val="en-US"/>
        </w:rPr>
        <w:t>to the FBO</w:t>
      </w:r>
      <w:r w:rsidRPr="003B2BFE" w:rsidDel="007A076E">
        <w:rPr>
          <w:szCs w:val="16"/>
          <w:lang w:val="en-US"/>
        </w:rPr>
        <w:t xml:space="preserve"> </w:t>
      </w:r>
      <w:r w:rsidRPr="003B2BFE">
        <w:rPr>
          <w:szCs w:val="16"/>
        </w:rPr>
        <w:t>(</w:t>
      </w:r>
      <w:bookmarkStart w:id="209" w:name="_Hlk26875234"/>
      <w:r w:rsidRPr="003B2BFE">
        <w:rPr>
          <w:szCs w:val="16"/>
        </w:rPr>
        <w:t>Panel Exhibit RUS</w:t>
      </w:r>
      <w:r w:rsidRPr="003B2BFE">
        <w:rPr>
          <w:szCs w:val="16"/>
        </w:rPr>
        <w:noBreakHyphen/>
        <w:t xml:space="preserve">67 (BCI)); </w:t>
      </w:r>
      <w:r w:rsidRPr="003B2BFE">
        <w:rPr>
          <w:szCs w:val="16"/>
          <w:lang w:val="en-US"/>
        </w:rPr>
        <w:t xml:space="preserve">Letter dated 13 June 2013 from </w:t>
      </w:r>
      <w:r w:rsidRPr="003B2BFE">
        <w:rPr>
          <w:b/>
          <w:szCs w:val="16"/>
        </w:rPr>
        <w:t xml:space="preserve">[BCI] </w:t>
      </w:r>
      <w:r w:rsidRPr="003B2BFE">
        <w:rPr>
          <w:szCs w:val="16"/>
          <w:lang w:val="en-US"/>
        </w:rPr>
        <w:t>to the Deputy Minister of the MOT</w:t>
      </w:r>
      <w:r w:rsidRPr="003B2BFE">
        <w:rPr>
          <w:szCs w:val="16"/>
        </w:rPr>
        <w:t xml:space="preserve"> (Panel </w:t>
      </w:r>
      <w:r w:rsidRPr="003B2BFE">
        <w:rPr>
          <w:szCs w:val="16"/>
          <w:lang w:val="en-US"/>
        </w:rPr>
        <w:t>Exhibit RUS</w:t>
      </w:r>
      <w:r w:rsidRPr="003B2BFE">
        <w:rPr>
          <w:szCs w:val="16"/>
          <w:lang w:val="en-US"/>
        </w:rPr>
        <w:noBreakHyphen/>
        <w:t>68 (BCI))</w:t>
      </w:r>
      <w:r>
        <w:rPr>
          <w:szCs w:val="16"/>
          <w:lang w:val="en-US"/>
        </w:rPr>
        <w:t xml:space="preserve">; </w:t>
      </w:r>
      <w:r w:rsidRPr="003B2BFE">
        <w:rPr>
          <w:szCs w:val="16"/>
          <w:lang w:val="en-US"/>
        </w:rPr>
        <w:t xml:space="preserve">Letter dated 3 December 2015 from </w:t>
      </w:r>
      <w:r w:rsidRPr="003B2BFE">
        <w:rPr>
          <w:b/>
          <w:szCs w:val="16"/>
        </w:rPr>
        <w:t xml:space="preserve">[BCI] </w:t>
      </w:r>
      <w:r w:rsidRPr="003B2BFE">
        <w:rPr>
          <w:szCs w:val="16"/>
          <w:lang w:val="en-US"/>
        </w:rPr>
        <w:t xml:space="preserve">to the FBO (Panel Exhibit </w:t>
      </w:r>
      <w:r w:rsidRPr="003B2BFE">
        <w:rPr>
          <w:szCs w:val="16"/>
        </w:rPr>
        <w:t>RUS</w:t>
      </w:r>
      <w:r w:rsidRPr="003B2BFE">
        <w:rPr>
          <w:szCs w:val="16"/>
        </w:rPr>
        <w:noBreakHyphen/>
        <w:t xml:space="preserve">69 (BCI)); </w:t>
      </w:r>
      <w:r w:rsidRPr="003B2BFE">
        <w:rPr>
          <w:szCs w:val="16"/>
          <w:lang w:val="en-US"/>
        </w:rPr>
        <w:t xml:space="preserve">Letter dated 17 February 2013 from </w:t>
      </w:r>
      <w:r w:rsidRPr="003B2BFE">
        <w:rPr>
          <w:b/>
          <w:szCs w:val="16"/>
        </w:rPr>
        <w:t xml:space="preserve">[BCI] </w:t>
      </w:r>
      <w:r w:rsidRPr="003B2BFE">
        <w:rPr>
          <w:szCs w:val="16"/>
          <w:lang w:val="en-US"/>
        </w:rPr>
        <w:t xml:space="preserve">to the FBO </w:t>
      </w:r>
      <w:r w:rsidRPr="003B2BFE">
        <w:rPr>
          <w:szCs w:val="16"/>
        </w:rPr>
        <w:t>(Panel Exhibit RUS</w:t>
      </w:r>
      <w:r w:rsidRPr="003B2BFE">
        <w:rPr>
          <w:szCs w:val="16"/>
        </w:rPr>
        <w:noBreakHyphen/>
        <w:t>70 (BCI))</w:t>
      </w:r>
      <w:bookmarkStart w:id="210" w:name="_Hlk26875241"/>
      <w:bookmarkEnd w:id="209"/>
      <w:r w:rsidRPr="003B2BFE">
        <w:rPr>
          <w:szCs w:val="16"/>
        </w:rPr>
        <w:t>)</w:t>
      </w:r>
      <w:bookmarkEnd w:id="210"/>
      <w:r w:rsidRPr="003B2BFE">
        <w:rPr>
          <w:szCs w:val="16"/>
        </w:rPr>
        <w:t>))</w:t>
      </w:r>
      <w:bookmarkEnd w:id="206"/>
    </w:p>
    <w:bookmarkEnd w:id="205"/>
  </w:footnote>
  <w:footnote w:id="487">
    <w:p w14:paraId="7EEBB25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7.519.</w:t>
      </w:r>
    </w:p>
  </w:footnote>
  <w:footnote w:id="488">
    <w:p w14:paraId="3325197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7.520-7.534.</w:t>
      </w:r>
    </w:p>
  </w:footnote>
  <w:footnote w:id="489">
    <w:p w14:paraId="314E685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7.535.</w:t>
      </w:r>
    </w:p>
  </w:footnote>
  <w:footnote w:id="490">
    <w:p w14:paraId="2806568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See Panel Report, paras. 7.521-7.534.</w:t>
      </w:r>
    </w:p>
  </w:footnote>
  <w:footnote w:id="491">
    <w:p w14:paraId="16317ED6" w14:textId="20584B4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7.483 (referring to </w:t>
      </w:r>
      <w:r w:rsidRPr="003B2BFE">
        <w:rPr>
          <w:rFonts w:cs="Arial"/>
          <w:szCs w:val="16"/>
          <w:lang w:eastAsia="zh-CN"/>
        </w:rPr>
        <w:t xml:space="preserve">Rules </w:t>
      </w:r>
      <w:r w:rsidRPr="003B2BFE">
        <w:rPr>
          <w:rFonts w:cs="Arial"/>
          <w:szCs w:val="16"/>
          <w:lang w:val="en-US" w:eastAsia="zh-CN"/>
        </w:rPr>
        <w:t>of the Certification System for Federal Railway Transport. Procedure for organizing and conducting an inspection control. (</w:t>
      </w:r>
      <w:r w:rsidRPr="003B2BFE">
        <w:rPr>
          <w:rFonts w:cs="Arial"/>
          <w:szCs w:val="16"/>
          <w:lang w:eastAsia="zh-CN"/>
        </w:rPr>
        <w:t xml:space="preserve">CS FRT </w:t>
      </w:r>
      <w:r w:rsidRPr="003B2BFE">
        <w:rPr>
          <w:rFonts w:cs="Arial"/>
          <w:szCs w:val="16"/>
          <w:lang w:val="en-US" w:eastAsia="zh-CN"/>
        </w:rPr>
        <w:t>12</w:t>
      </w:r>
      <w:r w:rsidRPr="003B2BFE">
        <w:rPr>
          <w:rFonts w:cs="Arial"/>
          <w:szCs w:val="16"/>
          <w:lang w:val="en-US" w:eastAsia="zh-CN"/>
        </w:rPr>
        <w:noBreakHyphen/>
        <w:t>2003) (</w:t>
      </w:r>
      <w:r w:rsidRPr="003B2BFE">
        <w:rPr>
          <w:szCs w:val="16"/>
        </w:rPr>
        <w:t>Panel</w:t>
      </w:r>
      <w:r w:rsidRPr="003B2BFE">
        <w:rPr>
          <w:rFonts w:cs="Arial"/>
          <w:szCs w:val="16"/>
          <w:lang w:eastAsia="zh-CN"/>
        </w:rPr>
        <w:t xml:space="preserve"> </w:t>
      </w:r>
      <w:r w:rsidRPr="003B2BFE">
        <w:rPr>
          <w:rFonts w:cs="Arial"/>
          <w:szCs w:val="16"/>
          <w:lang w:val="en-US" w:eastAsia="zh-CN"/>
        </w:rPr>
        <w:t>Exhibit UKR</w:t>
      </w:r>
      <w:r w:rsidRPr="003B2BFE">
        <w:rPr>
          <w:rFonts w:cs="Arial"/>
          <w:szCs w:val="16"/>
          <w:lang w:val="en-US" w:eastAsia="zh-CN"/>
        </w:rPr>
        <w:noBreakHyphen/>
        <w:t>3)).</w:t>
      </w:r>
    </w:p>
  </w:footnote>
  <w:footnote w:id="492">
    <w:p w14:paraId="03DBA7C5" w14:textId="0DE4D292"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 xml:space="preserve">Panel Report, para. 7.487 (referring to </w:t>
      </w:r>
      <w:r w:rsidRPr="003B2BFE">
        <w:rPr>
          <w:rFonts w:eastAsia="Verdana" w:cs="Verdana"/>
          <w:szCs w:val="16"/>
        </w:rPr>
        <w:t>PC</w:t>
      </w:r>
      <w:r w:rsidRPr="003B2BFE">
        <w:rPr>
          <w:rFonts w:eastAsia="Verdana" w:cs="Verdana"/>
          <w:szCs w:val="16"/>
        </w:rPr>
        <w:noBreakHyphen/>
        <w:t>FZT 08</w:t>
      </w:r>
      <w:r w:rsidRPr="003B2BFE">
        <w:rPr>
          <w:rFonts w:eastAsia="Verdana" w:cs="Verdana"/>
          <w:szCs w:val="16"/>
        </w:rPr>
        <w:noBreakHyphen/>
        <w:t xml:space="preserve">2013 </w:t>
      </w:r>
      <w:r w:rsidRPr="003B2BFE">
        <w:rPr>
          <w:szCs w:val="16"/>
        </w:rPr>
        <w:t>(</w:t>
      </w:r>
      <w:r w:rsidRPr="003B2BFE">
        <w:rPr>
          <w:szCs w:val="16"/>
          <w:lang w:val="en-US"/>
        </w:rPr>
        <w:t>Panel Exhibit RUS</w:t>
      </w:r>
      <w:r w:rsidRPr="003B2BFE">
        <w:rPr>
          <w:szCs w:val="16"/>
          <w:lang w:val="en-US"/>
        </w:rPr>
        <w:noBreakHyphen/>
        <w:t>23)).</w:t>
      </w:r>
    </w:p>
  </w:footnote>
  <w:footnote w:id="493">
    <w:p w14:paraId="1CBFE3B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7.488.</w:t>
      </w:r>
    </w:p>
  </w:footnote>
  <w:footnote w:id="494">
    <w:p w14:paraId="0890CC30" w14:textId="73F559E1"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 xml:space="preserve">Appellate Body Reports, </w:t>
      </w:r>
      <w:r w:rsidRPr="003B2BFE">
        <w:rPr>
          <w:i/>
          <w:szCs w:val="16"/>
        </w:rPr>
        <w:t>US – COOL (Article 21.5 – Canada and Mexico)</w:t>
      </w:r>
      <w:r w:rsidRPr="003B2BFE">
        <w:rPr>
          <w:szCs w:val="16"/>
        </w:rPr>
        <w:t>, para. 5.328.</w:t>
      </w:r>
    </w:p>
  </w:footnote>
  <w:footnote w:id="495">
    <w:p w14:paraId="35F610F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 xml:space="preserve">See </w:t>
      </w:r>
      <w:r w:rsidRPr="003B2BFE">
        <w:rPr>
          <w:szCs w:val="16"/>
        </w:rPr>
        <w:t xml:space="preserve">Appellate Body Reports, </w:t>
      </w:r>
      <w:r w:rsidRPr="003B2BFE">
        <w:rPr>
          <w:i/>
          <w:szCs w:val="16"/>
        </w:rPr>
        <w:t>US – COOL (Article 21.5 – Canada and Mexico)</w:t>
      </w:r>
      <w:r w:rsidRPr="003B2BFE">
        <w:rPr>
          <w:szCs w:val="16"/>
        </w:rPr>
        <w:t>, para. 5.339.</w:t>
      </w:r>
    </w:p>
  </w:footnote>
  <w:footnote w:id="496">
    <w:p w14:paraId="3BF5070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7.519.</w:t>
      </w:r>
    </w:p>
  </w:footnote>
  <w:footnote w:id="497">
    <w:p w14:paraId="421A8B34"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7.519.</w:t>
      </w:r>
    </w:p>
  </w:footnote>
  <w:footnote w:id="498">
    <w:p w14:paraId="0F5B1B9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7.519.</w:t>
      </w:r>
    </w:p>
  </w:footnote>
  <w:footnote w:id="499">
    <w:p w14:paraId="353D3CB4"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7.521-7.534.</w:t>
      </w:r>
    </w:p>
  </w:footnote>
  <w:footnote w:id="500">
    <w:p w14:paraId="094E939F" w14:textId="155A4343"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7.521, 7.523, and 7.527</w:t>
      </w:r>
      <w:r w:rsidRPr="003B2BFE">
        <w:rPr>
          <w:szCs w:val="16"/>
        </w:rPr>
        <w:noBreakHyphen/>
        <w:t>7.528.</w:t>
      </w:r>
    </w:p>
  </w:footnote>
  <w:footnote w:id="501">
    <w:p w14:paraId="2681E02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7.524.</w:t>
      </w:r>
    </w:p>
  </w:footnote>
  <w:footnote w:id="502">
    <w:p w14:paraId="5F81042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226.</w:t>
      </w:r>
    </w:p>
  </w:footnote>
  <w:footnote w:id="503">
    <w:p w14:paraId="7388E05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89.</w:t>
      </w:r>
    </w:p>
  </w:footnote>
  <w:footnote w:id="504">
    <w:p w14:paraId="6512A4A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89.</w:t>
      </w:r>
    </w:p>
  </w:footnote>
  <w:footnote w:id="505">
    <w:p w14:paraId="1744302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7.592.</w:t>
      </w:r>
    </w:p>
  </w:footnote>
  <w:footnote w:id="506">
    <w:p w14:paraId="2DF72D1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paras. 7.688 and 7.691.</w:t>
      </w:r>
    </w:p>
  </w:footnote>
  <w:footnote w:id="507">
    <w:p w14:paraId="7E88BF29"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7.697.</w:t>
      </w:r>
    </w:p>
  </w:footnote>
  <w:footnote w:id="508">
    <w:p w14:paraId="5F1A8DD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7.699.</w:t>
      </w:r>
    </w:p>
  </w:footnote>
  <w:footnote w:id="509">
    <w:p w14:paraId="18C14EC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See e.g. Panel Report, paras. 7.521, 7.523, and 7.527</w:t>
      </w:r>
      <w:r w:rsidRPr="003B2BFE">
        <w:rPr>
          <w:szCs w:val="16"/>
          <w:lang w:val="en-US"/>
        </w:rPr>
        <w:noBreakHyphen/>
        <w:t>7.528.</w:t>
      </w:r>
    </w:p>
  </w:footnote>
  <w:footnote w:id="510">
    <w:p w14:paraId="4AF8B715" w14:textId="0D13DCBC"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7.539.</w:t>
      </w:r>
    </w:p>
  </w:footnote>
  <w:footnote w:id="511">
    <w:p w14:paraId="5D5D54E2" w14:textId="6E1952BD"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See, for Article 2.2 of the TBT Agreement, Appellate Body Reports, </w:t>
      </w:r>
      <w:r w:rsidRPr="003B2BFE">
        <w:rPr>
          <w:i/>
          <w:szCs w:val="16"/>
        </w:rPr>
        <w:t xml:space="preserve">US – COOL </w:t>
      </w:r>
      <w:r w:rsidRPr="003B2BFE">
        <w:rPr>
          <w:i/>
          <w:szCs w:val="16"/>
        </w:rPr>
        <w:br/>
        <w:t>(Article 21.5 – Canada and Mexico)</w:t>
      </w:r>
      <w:r w:rsidRPr="003B2BFE">
        <w:rPr>
          <w:szCs w:val="16"/>
        </w:rPr>
        <w:t>, para. 5.339.</w:t>
      </w:r>
    </w:p>
  </w:footnote>
  <w:footnote w:id="512">
    <w:p w14:paraId="608E48CA"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7.477 and 7.480.</w:t>
      </w:r>
    </w:p>
  </w:footnote>
  <w:footnote w:id="513">
    <w:p w14:paraId="4D8B581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7.480.</w:t>
      </w:r>
    </w:p>
  </w:footnote>
  <w:footnote w:id="514">
    <w:p w14:paraId="75BEEA47" w14:textId="1D044C62"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7.478.</w:t>
      </w:r>
    </w:p>
  </w:footnote>
  <w:footnote w:id="515">
    <w:p w14:paraId="382E9F0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paras. 203-205.</w:t>
      </w:r>
    </w:p>
  </w:footnote>
  <w:footnote w:id="516">
    <w:p w14:paraId="6F97A57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7.474.</w:t>
      </w:r>
    </w:p>
  </w:footnote>
  <w:footnote w:id="517">
    <w:p w14:paraId="27B46D0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 xml:space="preserve">See Ukraine's </w:t>
      </w:r>
      <w:r w:rsidRPr="003B2BFE">
        <w:rPr>
          <w:szCs w:val="16"/>
        </w:rPr>
        <w:t>appellant's submission, para. 208 (referring to Panel Report, paras. 7.927</w:t>
      </w:r>
      <w:r w:rsidRPr="003B2BFE">
        <w:rPr>
          <w:szCs w:val="16"/>
        </w:rPr>
        <w:noBreakHyphen/>
        <w:t>7.928).</w:t>
      </w:r>
    </w:p>
  </w:footnote>
  <w:footnote w:id="518">
    <w:p w14:paraId="4FC662A7" w14:textId="16B17625"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 xml:space="preserve">In reaching these conclusions, the Panel relied on the Appellate Body's reasoning in </w:t>
      </w:r>
      <w:r w:rsidRPr="003B2BFE">
        <w:rPr>
          <w:i/>
          <w:szCs w:val="16"/>
          <w:lang w:val="en-US"/>
        </w:rPr>
        <w:t xml:space="preserve">US – Gambling </w:t>
      </w:r>
      <w:r w:rsidRPr="003B2BFE">
        <w:rPr>
          <w:szCs w:val="16"/>
          <w:lang w:val="en-US"/>
        </w:rPr>
        <w:t xml:space="preserve">that </w:t>
      </w:r>
      <w:r w:rsidRPr="003B2BFE">
        <w:rPr>
          <w:szCs w:val="16"/>
        </w:rPr>
        <w:t xml:space="preserve">consultations are by definition a process, the results of which are uncertain and therefore not capable of comparison with the measures at issue in that case. (Panel Report, para. 7.467 (referring to Appellate Body Report, </w:t>
      </w:r>
      <w:r w:rsidRPr="003B2BFE">
        <w:rPr>
          <w:i/>
          <w:szCs w:val="16"/>
        </w:rPr>
        <w:t>US – Gambling</w:t>
      </w:r>
      <w:r w:rsidRPr="003B2BFE">
        <w:rPr>
          <w:szCs w:val="16"/>
        </w:rPr>
        <w:t>, para. 317))</w:t>
      </w:r>
    </w:p>
  </w:footnote>
  <w:footnote w:id="519">
    <w:p w14:paraId="08C38FB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7.468.</w:t>
      </w:r>
    </w:p>
  </w:footnote>
  <w:footnote w:id="520">
    <w:p w14:paraId="516D1A4C" w14:textId="310E1713"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paras. 22-23 and 60.</w:t>
      </w:r>
    </w:p>
  </w:footnote>
  <w:footnote w:id="521">
    <w:p w14:paraId="6196C60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7.941.</w:t>
      </w:r>
    </w:p>
  </w:footnote>
  <w:footnote w:id="522">
    <w:p w14:paraId="7036D985" w14:textId="0B4BA08E"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7.946.</w:t>
      </w:r>
    </w:p>
  </w:footnote>
  <w:footnote w:id="523">
    <w:p w14:paraId="0343B643" w14:textId="683C1B86"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 xml:space="preserve">Panel Report, para. 7.946 (referring to </w:t>
      </w:r>
      <w:r w:rsidRPr="003B2BFE">
        <w:rPr>
          <w:szCs w:val="16"/>
        </w:rPr>
        <w:t xml:space="preserve">Appellate Body Reports, </w:t>
      </w:r>
      <w:r w:rsidRPr="003B2BFE">
        <w:rPr>
          <w:i/>
          <w:szCs w:val="16"/>
        </w:rPr>
        <w:t>Argentina – Import Measures</w:t>
      </w:r>
      <w:r w:rsidRPr="003B2BFE">
        <w:rPr>
          <w:szCs w:val="16"/>
        </w:rPr>
        <w:t xml:space="preserve">, paras. 5.104 and 5.108; </w:t>
      </w:r>
      <w:r w:rsidRPr="003B2BFE">
        <w:rPr>
          <w:i/>
          <w:szCs w:val="16"/>
        </w:rPr>
        <w:t>US – Zeroing (EC)</w:t>
      </w:r>
      <w:r w:rsidRPr="003B2BFE">
        <w:rPr>
          <w:szCs w:val="16"/>
        </w:rPr>
        <w:t xml:space="preserve">, para. 198; Panel Reports, </w:t>
      </w:r>
      <w:r w:rsidRPr="003B2BFE">
        <w:rPr>
          <w:i/>
          <w:szCs w:val="16"/>
        </w:rPr>
        <w:t>Indonesia – Chicken</w:t>
      </w:r>
      <w:r w:rsidRPr="003B2BFE">
        <w:rPr>
          <w:szCs w:val="16"/>
        </w:rPr>
        <w:t xml:space="preserve">, paras. 7.616 and 7.656; </w:t>
      </w:r>
      <w:r w:rsidRPr="003B2BFE">
        <w:rPr>
          <w:i/>
          <w:szCs w:val="16"/>
        </w:rPr>
        <w:t>Russia – Tariff Treatment</w:t>
      </w:r>
      <w:r w:rsidRPr="003B2BFE">
        <w:rPr>
          <w:szCs w:val="16"/>
        </w:rPr>
        <w:t>, paras. 7.283, 7.338, and 7.341</w:t>
      </w:r>
      <w:r w:rsidRPr="003B2BFE">
        <w:rPr>
          <w:szCs w:val="16"/>
          <w:lang w:val="en-US"/>
        </w:rPr>
        <w:t>).</w:t>
      </w:r>
    </w:p>
  </w:footnote>
  <w:footnote w:id="524">
    <w:p w14:paraId="57B3CE0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7.947.</w:t>
      </w:r>
    </w:p>
  </w:footnote>
  <w:footnote w:id="525">
    <w:p w14:paraId="27F3CA6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7.947 (referring to Appellate Body Reports, </w:t>
      </w:r>
      <w:r w:rsidRPr="003B2BFE">
        <w:rPr>
          <w:i/>
          <w:szCs w:val="16"/>
        </w:rPr>
        <w:t>Argentina – Import Measures</w:t>
      </w:r>
      <w:r w:rsidRPr="003B2BFE">
        <w:rPr>
          <w:szCs w:val="16"/>
        </w:rPr>
        <w:t xml:space="preserve">, para. 5.142; Panel Report, </w:t>
      </w:r>
      <w:r w:rsidRPr="003B2BFE">
        <w:rPr>
          <w:i/>
          <w:szCs w:val="16"/>
        </w:rPr>
        <w:t>Russia – Tariff Treatment</w:t>
      </w:r>
      <w:r w:rsidRPr="003B2BFE">
        <w:rPr>
          <w:szCs w:val="16"/>
        </w:rPr>
        <w:t>, paras. 7.302-7.311).</w:t>
      </w:r>
    </w:p>
  </w:footnote>
  <w:footnote w:id="526">
    <w:p w14:paraId="4EA86C18"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7.989.</w:t>
      </w:r>
    </w:p>
  </w:footnote>
  <w:footnote w:id="527">
    <w:p w14:paraId="2E47A1A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7.959.</w:t>
      </w:r>
    </w:p>
  </w:footnote>
  <w:footnote w:id="528">
    <w:p w14:paraId="0D120BD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7.960.</w:t>
      </w:r>
    </w:p>
  </w:footnote>
  <w:footnote w:id="529">
    <w:p w14:paraId="085E08F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7.962-7.963.</w:t>
      </w:r>
    </w:p>
  </w:footnote>
  <w:footnote w:id="530">
    <w:p w14:paraId="1A8A798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7.964.</w:t>
      </w:r>
    </w:p>
  </w:footnote>
  <w:footnote w:id="531">
    <w:p w14:paraId="4D64A6FA"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7.965. </w:t>
      </w:r>
    </w:p>
  </w:footnote>
  <w:footnote w:id="532">
    <w:p w14:paraId="29669F7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7.969.</w:t>
      </w:r>
    </w:p>
  </w:footnote>
  <w:footnote w:id="533">
    <w:p w14:paraId="04A7715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7.970.</w:t>
      </w:r>
    </w:p>
  </w:footnote>
  <w:footnote w:id="534">
    <w:p w14:paraId="26B4CF22" w14:textId="4764355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7.972.</w:t>
      </w:r>
    </w:p>
  </w:footnote>
  <w:footnote w:id="535">
    <w:p w14:paraId="017B16BC" w14:textId="70CF528E"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paras. 7.967 and 7.973.</w:t>
      </w:r>
    </w:p>
  </w:footnote>
  <w:footnote w:id="536">
    <w:p w14:paraId="7B73187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7.974.</w:t>
      </w:r>
    </w:p>
  </w:footnote>
  <w:footnote w:id="537">
    <w:p w14:paraId="097DD1E4" w14:textId="2A9EE240"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7.990.</w:t>
      </w:r>
    </w:p>
  </w:footnote>
  <w:footnote w:id="538">
    <w:p w14:paraId="3AE9D0B3" w14:textId="53D15116"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7.991.</w:t>
      </w:r>
    </w:p>
  </w:footnote>
  <w:footnote w:id="539">
    <w:p w14:paraId="36F837B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7.992.</w:t>
      </w:r>
    </w:p>
  </w:footnote>
  <w:footnote w:id="540">
    <w:p w14:paraId="6B7D8B3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30.</w:t>
      </w:r>
    </w:p>
  </w:footnote>
  <w:footnote w:id="541">
    <w:p w14:paraId="4A53B2B9" w14:textId="0E47645F"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31 (referring to Panel Report, para. 2.2).</w:t>
      </w:r>
    </w:p>
  </w:footnote>
  <w:footnote w:id="542">
    <w:p w14:paraId="07FC3DF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34.</w:t>
      </w:r>
    </w:p>
  </w:footnote>
  <w:footnote w:id="543">
    <w:p w14:paraId="72E1457A" w14:textId="69A70AAD"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35 (referring to Panel Report, paras. 7.946</w:t>
      </w:r>
      <w:r w:rsidRPr="003B2BFE">
        <w:rPr>
          <w:szCs w:val="16"/>
        </w:rPr>
        <w:noBreakHyphen/>
        <w:t>7.947).</w:t>
      </w:r>
    </w:p>
  </w:footnote>
  <w:footnote w:id="544">
    <w:p w14:paraId="47334DFC" w14:textId="485170C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paras. 36</w:t>
      </w:r>
      <w:r w:rsidRPr="003B2BFE">
        <w:rPr>
          <w:szCs w:val="16"/>
        </w:rPr>
        <w:noBreakHyphen/>
        <w:t>37.</w:t>
      </w:r>
    </w:p>
  </w:footnote>
  <w:footnote w:id="545">
    <w:p w14:paraId="16438F58" w14:textId="0BC56472"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paras. 39-40 (referring to Panel Report, paras. 7.972</w:t>
      </w:r>
      <w:r w:rsidRPr="003B2BFE">
        <w:rPr>
          <w:szCs w:val="16"/>
        </w:rPr>
        <w:noBreakHyphen/>
        <w:t>7.973 and 7.976).</w:t>
      </w:r>
    </w:p>
  </w:footnote>
  <w:footnote w:id="546">
    <w:p w14:paraId="38DEF1CB" w14:textId="490E5B41"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40.</w:t>
      </w:r>
    </w:p>
  </w:footnote>
  <w:footnote w:id="547">
    <w:p w14:paraId="5BEED5E1" w14:textId="3707A0AC"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43.</w:t>
      </w:r>
    </w:p>
  </w:footnote>
  <w:footnote w:id="548">
    <w:p w14:paraId="74901079" w14:textId="25C7521C"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paras. 48-50 (referring to Panel Report, para. 7.960).</w:t>
      </w:r>
    </w:p>
  </w:footnote>
  <w:footnote w:id="549">
    <w:p w14:paraId="55D4D5D6" w14:textId="52F21174"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50 (referring to Panel Report, para. 7.960).</w:t>
      </w:r>
    </w:p>
  </w:footnote>
  <w:footnote w:id="550">
    <w:p w14:paraId="611C5186" w14:textId="2B946EAD"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paras. 51-52 (referring to Panel Report, para. 7.960).</w:t>
      </w:r>
    </w:p>
  </w:footnote>
  <w:footnote w:id="551">
    <w:p w14:paraId="16707945" w14:textId="7866AD06"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51.</w:t>
      </w:r>
    </w:p>
  </w:footnote>
  <w:footnote w:id="552">
    <w:p w14:paraId="73E8FBA5" w14:textId="5B00C7BB"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54 (referring to Panel Report, para</w:t>
      </w:r>
      <w:r w:rsidR="007442E0">
        <w:rPr>
          <w:szCs w:val="16"/>
        </w:rPr>
        <w:t>s</w:t>
      </w:r>
      <w:r w:rsidRPr="003B2BFE">
        <w:rPr>
          <w:szCs w:val="16"/>
        </w:rPr>
        <w:t>. 7.969</w:t>
      </w:r>
      <w:r w:rsidRPr="003B2BFE">
        <w:rPr>
          <w:szCs w:val="16"/>
        </w:rPr>
        <w:noBreakHyphen/>
        <w:t>7.972).</w:t>
      </w:r>
    </w:p>
  </w:footnote>
  <w:footnote w:id="553">
    <w:p w14:paraId="4C0ACFE4" w14:textId="1608B8A4"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54 (quoting Panel Report, para. 7.970).</w:t>
      </w:r>
    </w:p>
  </w:footnote>
  <w:footnote w:id="554">
    <w:p w14:paraId="55D64DD8" w14:textId="075DD089"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55 (quoting Panel Report, para. 7.970).</w:t>
      </w:r>
    </w:p>
  </w:footnote>
  <w:footnote w:id="555">
    <w:p w14:paraId="19754684" w14:textId="3515C028"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55.</w:t>
      </w:r>
    </w:p>
  </w:footnote>
  <w:footnote w:id="556">
    <w:p w14:paraId="431EF0C6" w14:textId="6405587E"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56 (referring to Panel Report, paras. 7.377, 7.480, 7.521</w:t>
      </w:r>
      <w:r w:rsidRPr="003B2BFE">
        <w:rPr>
          <w:szCs w:val="16"/>
        </w:rPr>
        <w:noBreakHyphen/>
        <w:t>7.524, 7.675, 7.711, 7.960, 7.962, and 7.970).</w:t>
      </w:r>
    </w:p>
  </w:footnote>
  <w:footnote w:id="557">
    <w:p w14:paraId="1507A5F6" w14:textId="77320DD1"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paras. 56 and 58.</w:t>
      </w:r>
    </w:p>
  </w:footnote>
  <w:footnote w:id="558">
    <w:p w14:paraId="6176938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section 2.2.</w:t>
      </w:r>
    </w:p>
  </w:footnote>
  <w:footnote w:id="559">
    <w:p w14:paraId="1D066E9F" w14:textId="6F169F2C"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sections 2.2.1.1 and 2.2.1.2.</w:t>
      </w:r>
    </w:p>
  </w:footnote>
  <w:footnote w:id="560">
    <w:p w14:paraId="6398C31F" w14:textId="0A5F648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22.</w:t>
      </w:r>
    </w:p>
  </w:footnote>
  <w:footnote w:id="561">
    <w:p w14:paraId="768277E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23.</w:t>
      </w:r>
    </w:p>
  </w:footnote>
  <w:footnote w:id="562">
    <w:p w14:paraId="063E71C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25.</w:t>
      </w:r>
    </w:p>
  </w:footnote>
  <w:footnote w:id="563">
    <w:p w14:paraId="24A05E47" w14:textId="08A03AE1"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26 (referring to Panel Report, paras. 7.990</w:t>
      </w:r>
      <w:r w:rsidRPr="003B2BFE">
        <w:rPr>
          <w:szCs w:val="16"/>
        </w:rPr>
        <w:noBreakHyphen/>
        <w:t>7.991).</w:t>
      </w:r>
    </w:p>
  </w:footnote>
  <w:footnote w:id="564">
    <w:p w14:paraId="374D81F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27.</w:t>
      </w:r>
    </w:p>
  </w:footnote>
  <w:footnote w:id="565">
    <w:p w14:paraId="3380A998" w14:textId="05FF872F"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34 (referring to Panel Report, paras. 7.973-7.974).</w:t>
      </w:r>
    </w:p>
  </w:footnote>
  <w:footnote w:id="566">
    <w:p w14:paraId="69F6E829" w14:textId="36F1C774"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39. </w:t>
      </w:r>
    </w:p>
  </w:footnote>
  <w:footnote w:id="567">
    <w:p w14:paraId="403552B9" w14:textId="44EF1810"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40 (quoting Appellate Body Report, </w:t>
      </w:r>
      <w:r w:rsidRPr="003B2BFE">
        <w:rPr>
          <w:i/>
          <w:szCs w:val="16"/>
        </w:rPr>
        <w:t>EC – Sardines</w:t>
      </w:r>
      <w:r w:rsidRPr="003B2BFE">
        <w:rPr>
          <w:szCs w:val="16"/>
        </w:rPr>
        <w:t>, para. 281).</w:t>
      </w:r>
    </w:p>
  </w:footnote>
  <w:footnote w:id="568">
    <w:p w14:paraId="58B35747" w14:textId="237AF3FB"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45.</w:t>
      </w:r>
    </w:p>
  </w:footnote>
  <w:footnote w:id="569">
    <w:p w14:paraId="732810F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85.</w:t>
      </w:r>
    </w:p>
  </w:footnote>
  <w:footnote w:id="570">
    <w:p w14:paraId="63209DB6" w14:textId="51A0B8AF"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paras. 54-55 (referring to Panel Report, paras. 7.595 and 7.960).</w:t>
      </w:r>
    </w:p>
  </w:footnote>
  <w:footnote w:id="571">
    <w:p w14:paraId="754F4D38" w14:textId="6C21E18C"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62 (quoting Panel Report, para. 7.960).</w:t>
      </w:r>
    </w:p>
  </w:footnote>
  <w:footnote w:id="572">
    <w:p w14:paraId="7E525214" w14:textId="6AD697C4"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paras. 63-64.</w:t>
      </w:r>
    </w:p>
  </w:footnote>
  <w:footnote w:id="573">
    <w:p w14:paraId="3723C978" w14:textId="45892739"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67 (quoting Panel Report, para. 7.972).</w:t>
      </w:r>
    </w:p>
  </w:footnote>
  <w:footnote w:id="574">
    <w:p w14:paraId="72F4D256" w14:textId="39B29AA3"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69.</w:t>
      </w:r>
    </w:p>
  </w:footnote>
  <w:footnote w:id="575">
    <w:p w14:paraId="353633F7" w14:textId="2A7BF460"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 xml:space="preserve">Russia's appellee's submission, para. 71 (quoting </w:t>
      </w:r>
      <w:r w:rsidRPr="003B2BFE">
        <w:rPr>
          <w:szCs w:val="16"/>
        </w:rPr>
        <w:t xml:space="preserve">Appellate Body Report, </w:t>
      </w:r>
      <w:r w:rsidRPr="003B2BFE">
        <w:rPr>
          <w:i/>
          <w:szCs w:val="16"/>
        </w:rPr>
        <w:t>Japan – Agricultural Products II</w:t>
      </w:r>
      <w:r w:rsidRPr="003B2BFE">
        <w:rPr>
          <w:szCs w:val="16"/>
        </w:rPr>
        <w:t>, para. 129).</w:t>
      </w:r>
    </w:p>
  </w:footnote>
  <w:footnote w:id="576">
    <w:p w14:paraId="7B7454F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72.</w:t>
      </w:r>
    </w:p>
  </w:footnote>
  <w:footnote w:id="577">
    <w:p w14:paraId="38ED219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paras. 74 and 84.</w:t>
      </w:r>
    </w:p>
  </w:footnote>
  <w:footnote w:id="578">
    <w:p w14:paraId="7C2F4465" w14:textId="2E9FE3C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76.</w:t>
      </w:r>
    </w:p>
  </w:footnote>
  <w:footnote w:id="579">
    <w:p w14:paraId="3C5FD805" w14:textId="46F22082"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 78 (referring to Panel Report, para. 7.965).</w:t>
      </w:r>
    </w:p>
  </w:footnote>
  <w:footnote w:id="580">
    <w:p w14:paraId="43EEFF13" w14:textId="51D6058D"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Russia's appellee's submission, paras. 80-83.</w:t>
      </w:r>
    </w:p>
  </w:footnote>
  <w:footnote w:id="581">
    <w:p w14:paraId="42BC4BC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paras. 34-40 and 48-55.</w:t>
      </w:r>
    </w:p>
  </w:footnote>
  <w:footnote w:id="582">
    <w:p w14:paraId="4CB3DCE5" w14:textId="3DFEF656"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 xml:space="preserve">Ukraine's appellant's submission, paras. 42-43. </w:t>
      </w:r>
    </w:p>
  </w:footnote>
  <w:footnote w:id="583">
    <w:p w14:paraId="2B2E2199" w14:textId="793D28B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7.941 (referring to Ukraine's first written submission to the Panel, paras. 187</w:t>
      </w:r>
      <w:r w:rsidRPr="003B2BFE">
        <w:rPr>
          <w:szCs w:val="16"/>
        </w:rPr>
        <w:noBreakHyphen/>
        <w:t>188).</w:t>
      </w:r>
    </w:p>
  </w:footnote>
  <w:footnote w:id="584">
    <w:p w14:paraId="23CBAD58" w14:textId="774C13CE"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7.946 (referring to Appellate Body Reports, </w:t>
      </w:r>
      <w:r w:rsidRPr="003B2BFE">
        <w:rPr>
          <w:i/>
          <w:szCs w:val="16"/>
        </w:rPr>
        <w:t>Argentina – Import Measures</w:t>
      </w:r>
      <w:r w:rsidRPr="003B2BFE">
        <w:rPr>
          <w:szCs w:val="16"/>
        </w:rPr>
        <w:t xml:space="preserve">, paras. 5.104 and 5.108; </w:t>
      </w:r>
      <w:r w:rsidRPr="003B2BFE">
        <w:rPr>
          <w:i/>
          <w:szCs w:val="16"/>
        </w:rPr>
        <w:t>US – Zeroing (EC)</w:t>
      </w:r>
      <w:r w:rsidRPr="003B2BFE">
        <w:rPr>
          <w:szCs w:val="16"/>
        </w:rPr>
        <w:t xml:space="preserve">, para. 198; Panel Reports, </w:t>
      </w:r>
      <w:r w:rsidRPr="003B2BFE">
        <w:rPr>
          <w:i/>
          <w:szCs w:val="16"/>
        </w:rPr>
        <w:t>Indonesia – Chicken</w:t>
      </w:r>
      <w:r w:rsidRPr="003B2BFE">
        <w:rPr>
          <w:szCs w:val="16"/>
        </w:rPr>
        <w:t xml:space="preserve">, paras. 7.616 and 7.656; </w:t>
      </w:r>
      <w:r w:rsidRPr="003B2BFE">
        <w:rPr>
          <w:i/>
          <w:szCs w:val="16"/>
        </w:rPr>
        <w:t>Russia – Tariff Treatment</w:t>
      </w:r>
      <w:r w:rsidRPr="003B2BFE">
        <w:rPr>
          <w:szCs w:val="16"/>
        </w:rPr>
        <w:t>, paras. 7.283, 7.338, and 7.341).</w:t>
      </w:r>
    </w:p>
  </w:footnote>
  <w:footnote w:id="585">
    <w:p w14:paraId="57C5DCB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7.947 (referring to Appellate Body Reports, </w:t>
      </w:r>
      <w:r w:rsidRPr="003B2BFE">
        <w:rPr>
          <w:i/>
          <w:szCs w:val="16"/>
        </w:rPr>
        <w:t>Argentina – Import Measures</w:t>
      </w:r>
      <w:r w:rsidRPr="003B2BFE">
        <w:rPr>
          <w:szCs w:val="16"/>
        </w:rPr>
        <w:t xml:space="preserve">, para. 5.142; Panel Report, </w:t>
      </w:r>
      <w:r w:rsidRPr="003B2BFE">
        <w:rPr>
          <w:i/>
          <w:szCs w:val="16"/>
        </w:rPr>
        <w:t>Russia – Tariff Treatment</w:t>
      </w:r>
      <w:r w:rsidRPr="003B2BFE">
        <w:rPr>
          <w:szCs w:val="16"/>
        </w:rPr>
        <w:t>, paras. 7.302-7.311).</w:t>
      </w:r>
    </w:p>
  </w:footnote>
  <w:footnote w:id="586">
    <w:p w14:paraId="5CB21B58"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7.957.</w:t>
      </w:r>
    </w:p>
  </w:footnote>
  <w:footnote w:id="587">
    <w:p w14:paraId="37CFF34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7.965.</w:t>
      </w:r>
    </w:p>
  </w:footnote>
  <w:footnote w:id="588">
    <w:p w14:paraId="3FB40138"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paras. 7.972 and 7.974.</w:t>
      </w:r>
    </w:p>
  </w:footnote>
  <w:footnote w:id="589">
    <w:p w14:paraId="779F9DC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7.975.</w:t>
      </w:r>
    </w:p>
  </w:footnote>
  <w:footnote w:id="590">
    <w:p w14:paraId="4175C738"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7.993.</w:t>
      </w:r>
    </w:p>
  </w:footnote>
  <w:footnote w:id="591">
    <w:p w14:paraId="5E68920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US – Corrosion-Resistant Steel Sunset Review</w:t>
      </w:r>
      <w:r w:rsidRPr="003B2BFE">
        <w:rPr>
          <w:szCs w:val="16"/>
        </w:rPr>
        <w:t>, para. 81.</w:t>
      </w:r>
    </w:p>
  </w:footnote>
  <w:footnote w:id="592">
    <w:p w14:paraId="6CB6D27C" w14:textId="705AD8C5"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US – Corrosion-Resistant Steel Sunset Review</w:t>
      </w:r>
      <w:r w:rsidRPr="003B2BFE">
        <w:rPr>
          <w:szCs w:val="16"/>
        </w:rPr>
        <w:t>, para. 82. Thus, whereas a claim against a measure "as such" concerns a rule or norm intended to have general and prospective application, a claim against a measure "as applied" targets the application of a measure in specific instances.</w:t>
      </w:r>
    </w:p>
  </w:footnote>
  <w:footnote w:id="593">
    <w:p w14:paraId="3CB5C4E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US – Zeroing (EC)</w:t>
      </w:r>
      <w:r w:rsidRPr="003B2BFE">
        <w:rPr>
          <w:szCs w:val="16"/>
        </w:rPr>
        <w:t>, para. 194.</w:t>
      </w:r>
    </w:p>
  </w:footnote>
  <w:footnote w:id="594">
    <w:p w14:paraId="244E998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US – Zeroing (EC)</w:t>
      </w:r>
      <w:r w:rsidRPr="003B2BFE">
        <w:rPr>
          <w:szCs w:val="16"/>
        </w:rPr>
        <w:t>, para. 196.</w:t>
      </w:r>
    </w:p>
  </w:footnote>
  <w:footnote w:id="595">
    <w:p w14:paraId="76645C7A" w14:textId="5FAEEC45"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 xml:space="preserve">In </w:t>
      </w:r>
      <w:r w:rsidRPr="003B2BFE">
        <w:rPr>
          <w:i/>
          <w:szCs w:val="16"/>
        </w:rPr>
        <w:t>US – Zeroing (EC)</w:t>
      </w:r>
      <w:r w:rsidRPr="003B2BFE">
        <w:rPr>
          <w:szCs w:val="16"/>
        </w:rPr>
        <w:t xml:space="preserve">, the Appellate Body explained that, when an unwritten measure is challenged "as such", the complainant must clearly establish that the alleged "rule or norm" is attributable to the responding Member, its precise content, and that it has general and prospective application. (Appellate Body Report, </w:t>
      </w:r>
      <w:r w:rsidRPr="003B2BFE">
        <w:rPr>
          <w:i/>
          <w:szCs w:val="16"/>
        </w:rPr>
        <w:t>US – Zeroing (EC)</w:t>
      </w:r>
      <w:r w:rsidRPr="003B2BFE">
        <w:rPr>
          <w:szCs w:val="16"/>
        </w:rPr>
        <w:t xml:space="preserve">, para. 198) In </w:t>
      </w:r>
      <w:r w:rsidRPr="003B2BFE">
        <w:rPr>
          <w:i/>
          <w:szCs w:val="16"/>
        </w:rPr>
        <w:t>Argentina – Import Measures</w:t>
      </w:r>
      <w:r w:rsidRPr="003B2BFE">
        <w:rPr>
          <w:szCs w:val="16"/>
        </w:rPr>
        <w:t xml:space="preserve">, the Appellate Body clarified that "the notion of measure of general and prospective application" cannot be considered as setting forth a general legal standard. Specifically, "[w]hen an unwritten measure that is not a rule or norm is challenged in WTO dispute settlement, a complainant need not demonstrate its existence based on the same criteria that apply when rules or norms of general and prospective application are challenged." (Appellate Body Reports, </w:t>
      </w:r>
      <w:r w:rsidRPr="003B2BFE">
        <w:rPr>
          <w:i/>
          <w:szCs w:val="16"/>
        </w:rPr>
        <w:t>Argentina – Import Measures</w:t>
      </w:r>
      <w:r w:rsidRPr="003B2BFE">
        <w:rPr>
          <w:szCs w:val="16"/>
        </w:rPr>
        <w:t>, para. 5.107)</w:t>
      </w:r>
    </w:p>
  </w:footnote>
  <w:footnote w:id="596">
    <w:p w14:paraId="033CBA5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Reports, </w:t>
      </w:r>
      <w:r w:rsidRPr="003B2BFE">
        <w:rPr>
          <w:i/>
          <w:szCs w:val="16"/>
        </w:rPr>
        <w:t>Argentina – Import Measures</w:t>
      </w:r>
      <w:r w:rsidRPr="003B2BFE">
        <w:rPr>
          <w:szCs w:val="16"/>
        </w:rPr>
        <w:t>, para. 5.108.</w:t>
      </w:r>
    </w:p>
  </w:footnote>
  <w:footnote w:id="597">
    <w:p w14:paraId="4BC6805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In this regard, panels need not "apply rigid legal standards or criteria … based on the nature of the challenge". (Appellate Body Reports, </w:t>
      </w:r>
      <w:r w:rsidRPr="003B2BFE">
        <w:rPr>
          <w:i/>
          <w:szCs w:val="16"/>
        </w:rPr>
        <w:t>Argentina – Import Measures</w:t>
      </w:r>
      <w:r w:rsidRPr="003B2BFE">
        <w:rPr>
          <w:szCs w:val="16"/>
        </w:rPr>
        <w:t>, para. 5.110)</w:t>
      </w:r>
    </w:p>
  </w:footnote>
  <w:footnote w:id="598">
    <w:p w14:paraId="19365B6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Reports, </w:t>
      </w:r>
      <w:r w:rsidRPr="003B2BFE">
        <w:rPr>
          <w:i/>
          <w:szCs w:val="16"/>
        </w:rPr>
        <w:t>Argentina – Import Measures</w:t>
      </w:r>
      <w:r w:rsidRPr="003B2BFE">
        <w:rPr>
          <w:szCs w:val="16"/>
        </w:rPr>
        <w:t>, paras. 5.124-5.126.</w:t>
      </w:r>
    </w:p>
  </w:footnote>
  <w:footnote w:id="599">
    <w:p w14:paraId="555E62ED" w14:textId="3CA0BE65"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 xml:space="preserve">See, for Article 2.2 of the TBT Agreement, Appellate Body Reports, </w:t>
      </w:r>
      <w:r w:rsidRPr="003B2BFE">
        <w:rPr>
          <w:i/>
          <w:szCs w:val="16"/>
          <w:lang w:val="en-US"/>
        </w:rPr>
        <w:t xml:space="preserve">US – COOL </w:t>
      </w:r>
      <w:r w:rsidRPr="003B2BFE">
        <w:rPr>
          <w:i/>
          <w:szCs w:val="16"/>
          <w:lang w:val="en-US"/>
        </w:rPr>
        <w:br/>
        <w:t>(Article 21.5 – Canada and Mexico)</w:t>
      </w:r>
      <w:r w:rsidRPr="003B2BFE">
        <w:rPr>
          <w:szCs w:val="16"/>
          <w:lang w:val="en-US"/>
        </w:rPr>
        <w:t>, para. 5.205.</w:t>
      </w:r>
    </w:p>
  </w:footnote>
  <w:footnote w:id="600">
    <w:p w14:paraId="2106016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Colombia – Textiles</w:t>
      </w:r>
      <w:r w:rsidRPr="003B2BFE">
        <w:rPr>
          <w:szCs w:val="16"/>
        </w:rPr>
        <w:t xml:space="preserve">, para. 5.20 (quoting Appellate Body Report, </w:t>
      </w:r>
      <w:r w:rsidRPr="003B2BFE">
        <w:rPr>
          <w:i/>
          <w:szCs w:val="16"/>
        </w:rPr>
        <w:t>Canada – Wheat Exports and Grain Imports</w:t>
      </w:r>
      <w:r w:rsidRPr="003B2BFE">
        <w:rPr>
          <w:szCs w:val="16"/>
        </w:rPr>
        <w:t>, para. 127).</w:t>
      </w:r>
    </w:p>
  </w:footnote>
  <w:footnote w:id="601">
    <w:p w14:paraId="7E6FB39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US – Large Civil Aircraft (2</w:t>
      </w:r>
      <w:r w:rsidRPr="003B2BFE">
        <w:rPr>
          <w:i/>
          <w:szCs w:val="16"/>
          <w:vertAlign w:val="superscript"/>
        </w:rPr>
        <w:t>nd</w:t>
      </w:r>
      <w:r w:rsidRPr="003B2BFE">
        <w:rPr>
          <w:i/>
          <w:szCs w:val="16"/>
        </w:rPr>
        <w:t xml:space="preserve"> complaint)</w:t>
      </w:r>
      <w:r w:rsidRPr="003B2BFE">
        <w:rPr>
          <w:szCs w:val="16"/>
        </w:rPr>
        <w:t xml:space="preserve">, para. 713. See also e.g. Appellate Body Report, </w:t>
      </w:r>
      <w:r w:rsidRPr="003B2BFE">
        <w:rPr>
          <w:i/>
          <w:iCs/>
          <w:szCs w:val="16"/>
        </w:rPr>
        <w:t>US – Upland Cotton (Article 21.5 – Brazil)</w:t>
      </w:r>
      <w:r w:rsidRPr="003B2BFE">
        <w:rPr>
          <w:szCs w:val="16"/>
        </w:rPr>
        <w:t>, fn 618 to para. 293.</w:t>
      </w:r>
    </w:p>
  </w:footnote>
  <w:footnote w:id="602">
    <w:p w14:paraId="1E48868A"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US – Large Civil Aircraft (2</w:t>
      </w:r>
      <w:r w:rsidRPr="003B2BFE">
        <w:rPr>
          <w:i/>
          <w:szCs w:val="16"/>
          <w:vertAlign w:val="superscript"/>
        </w:rPr>
        <w:t>nd</w:t>
      </w:r>
      <w:r w:rsidRPr="003B2BFE">
        <w:rPr>
          <w:i/>
          <w:szCs w:val="16"/>
        </w:rPr>
        <w:t xml:space="preserve"> complaint)</w:t>
      </w:r>
      <w:r w:rsidRPr="003B2BFE">
        <w:rPr>
          <w:szCs w:val="16"/>
        </w:rPr>
        <w:t>, para. 713. See also e.g. Appellate Body Report,</w:t>
      </w:r>
      <w:r w:rsidRPr="003B2BFE">
        <w:rPr>
          <w:i/>
          <w:iCs/>
          <w:szCs w:val="16"/>
        </w:rPr>
        <w:t xml:space="preserve"> US – Carbon Steel</w:t>
      </w:r>
      <w:r w:rsidRPr="003B2BFE">
        <w:rPr>
          <w:szCs w:val="16"/>
        </w:rPr>
        <w:t>, para. 142.</w:t>
      </w:r>
    </w:p>
  </w:footnote>
  <w:footnote w:id="603">
    <w:p w14:paraId="5F5E0CE9"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 xml:space="preserve">Appellate Body Reports, </w:t>
      </w:r>
      <w:r w:rsidRPr="003B2BFE">
        <w:rPr>
          <w:i/>
          <w:szCs w:val="16"/>
          <w:lang w:val="en-US"/>
        </w:rPr>
        <w:t>US – COOL (Article 21.5 – Canada and Mexico)</w:t>
      </w:r>
      <w:r w:rsidRPr="003B2BFE">
        <w:rPr>
          <w:szCs w:val="16"/>
          <w:lang w:val="en-US"/>
        </w:rPr>
        <w:t>, para. 5.206 (referring to Appellate</w:t>
      </w:r>
      <w:r w:rsidRPr="003B2BFE">
        <w:rPr>
          <w:szCs w:val="16"/>
        </w:rPr>
        <w:t xml:space="preserve"> Body Reports, </w:t>
      </w:r>
      <w:r w:rsidRPr="003B2BFE">
        <w:rPr>
          <w:i/>
          <w:szCs w:val="16"/>
        </w:rPr>
        <w:t>Brazil – Retreaded Tyres</w:t>
      </w:r>
      <w:r w:rsidRPr="003B2BFE">
        <w:rPr>
          <w:szCs w:val="16"/>
        </w:rPr>
        <w:t xml:space="preserve">, para. 145; </w:t>
      </w:r>
      <w:r w:rsidRPr="003B2BFE">
        <w:rPr>
          <w:i/>
          <w:szCs w:val="16"/>
        </w:rPr>
        <w:t>EC – Seal Products</w:t>
      </w:r>
      <w:r w:rsidRPr="003B2BFE">
        <w:rPr>
          <w:szCs w:val="16"/>
        </w:rPr>
        <w:t>, para. 5.211</w:t>
      </w:r>
      <w:r w:rsidRPr="003B2BFE">
        <w:rPr>
          <w:szCs w:val="16"/>
          <w:lang w:val="en-US"/>
        </w:rPr>
        <w:t>).</w:t>
      </w:r>
    </w:p>
  </w:footnote>
  <w:footnote w:id="604">
    <w:p w14:paraId="36222A0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 xml:space="preserve">Appellate Body Reports, </w:t>
      </w:r>
      <w:r w:rsidRPr="003B2BFE">
        <w:rPr>
          <w:i/>
          <w:szCs w:val="16"/>
          <w:lang w:val="en-US"/>
        </w:rPr>
        <w:t>US – COOL (Article 21.5 – Canada and Mexico)</w:t>
      </w:r>
      <w:r w:rsidRPr="003B2BFE">
        <w:rPr>
          <w:szCs w:val="16"/>
          <w:lang w:val="en-US"/>
        </w:rPr>
        <w:t>, para. 5.206.</w:t>
      </w:r>
    </w:p>
  </w:footnote>
  <w:footnote w:id="605">
    <w:p w14:paraId="57B2164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Ukraine's appellant's submission, para. 36.</w:t>
      </w:r>
    </w:p>
  </w:footnote>
  <w:footnote w:id="606">
    <w:p w14:paraId="660E2258"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7.956.</w:t>
      </w:r>
    </w:p>
  </w:footnote>
  <w:footnote w:id="607">
    <w:p w14:paraId="474887C6"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See Appellate Body Reports, </w:t>
      </w:r>
      <w:r w:rsidRPr="003B2BFE">
        <w:rPr>
          <w:i/>
          <w:szCs w:val="16"/>
        </w:rPr>
        <w:t>Argentina – Import Measures</w:t>
      </w:r>
      <w:r w:rsidRPr="003B2BFE">
        <w:rPr>
          <w:szCs w:val="16"/>
        </w:rPr>
        <w:t>, para. 5.108.</w:t>
      </w:r>
    </w:p>
  </w:footnote>
  <w:footnote w:id="608">
    <w:p w14:paraId="448D8FCB"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7.958.</w:t>
      </w:r>
    </w:p>
  </w:footnote>
  <w:footnote w:id="609">
    <w:p w14:paraId="05D248EC"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fn 742 to para. 7.957.</w:t>
      </w:r>
    </w:p>
  </w:footnote>
  <w:footnote w:id="610">
    <w:p w14:paraId="6F4447F8"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7.964.</w:t>
      </w:r>
    </w:p>
  </w:footnote>
  <w:footnote w:id="611">
    <w:p w14:paraId="2989E4D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7.964.</w:t>
      </w:r>
    </w:p>
  </w:footnote>
  <w:footnote w:id="612">
    <w:p w14:paraId="2A1BD2C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Ukraine's appellant's submission, para. 43.</w:t>
      </w:r>
    </w:p>
  </w:footnote>
  <w:footnote w:id="613">
    <w:p w14:paraId="08732179" w14:textId="54A0C180"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7.950 (referring to Ukraine's first written submission to the Panel, para. 147; second written submission to the Panel, paras. 13 and 18; opening statement at the second Panel meeting, paras. 30 and 38-39; response to Panel question No. 143). (emphasis added)</w:t>
      </w:r>
    </w:p>
  </w:footnote>
  <w:footnote w:id="614">
    <w:p w14:paraId="43D7E35E" w14:textId="30AD0C99"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7.951 (referring to Ukraine's first written submission to the Panel, paras. 132</w:t>
      </w:r>
      <w:r w:rsidRPr="003B2BFE">
        <w:rPr>
          <w:szCs w:val="16"/>
        </w:rPr>
        <w:noBreakHyphen/>
        <w:t>141 and 150-159; second written submission to the Panel, paras. 19-20 and 38-56; opening statement at the second Panel meeting, para. 40). (emphasis added)</w:t>
      </w:r>
    </w:p>
  </w:footnote>
  <w:footnote w:id="615">
    <w:p w14:paraId="4C3A60C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Russia's first written submission to the Panel, paras. 22-24; second written submission to the Panel, paras. 34-35.</w:t>
      </w:r>
    </w:p>
  </w:footnote>
  <w:footnote w:id="616">
    <w:p w14:paraId="769F3450"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Ukraine's second written submission to the Panel, para. 20.</w:t>
      </w:r>
    </w:p>
  </w:footnote>
  <w:footnote w:id="617">
    <w:p w14:paraId="54A6DD98" w14:textId="578EAE6A"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Reports, </w:t>
      </w:r>
      <w:r w:rsidRPr="003B2BFE">
        <w:rPr>
          <w:i/>
          <w:szCs w:val="16"/>
        </w:rPr>
        <w:t>Argentina – Import Measures</w:t>
      </w:r>
      <w:r w:rsidRPr="003B2BFE">
        <w:rPr>
          <w:szCs w:val="16"/>
        </w:rPr>
        <w:t xml:space="preserve">, para. 5.108 (referring to Panel Reports, </w:t>
      </w:r>
      <w:r w:rsidRPr="003B2BFE">
        <w:rPr>
          <w:i/>
          <w:szCs w:val="16"/>
        </w:rPr>
        <w:t>US – COOL</w:t>
      </w:r>
      <w:r w:rsidRPr="003B2BFE">
        <w:rPr>
          <w:szCs w:val="16"/>
        </w:rPr>
        <w:t xml:space="preserve">, para. 7.50). In </w:t>
      </w:r>
      <w:r w:rsidRPr="003B2BFE">
        <w:rPr>
          <w:i/>
          <w:szCs w:val="16"/>
        </w:rPr>
        <w:t>Argentina – Import Measures</w:t>
      </w:r>
      <w:r w:rsidRPr="003B2BFE">
        <w:rPr>
          <w:szCs w:val="16"/>
        </w:rPr>
        <w:t>, the panel found that "the combined application and operation of the individual TRRs is an important part of the TRRs measure with distinct content", "the content of the single measure consists of the combined operation of the individual TRRs as one of the tools that Argentina uses to implement the 'managed trade' policy", and "[t]his content is distinct both from that of each TRR – which, taken individually, may not be apt to implement the 'managed trade' policy – and from the content of the 'managed trade' policy itself." (Ibid., para. 5.130)</w:t>
      </w:r>
    </w:p>
  </w:footnote>
  <w:footnote w:id="618">
    <w:p w14:paraId="208FE5D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7.960.</w:t>
      </w:r>
    </w:p>
  </w:footnote>
  <w:footnote w:id="619">
    <w:p w14:paraId="4B721A5D"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7.964.</w:t>
      </w:r>
    </w:p>
  </w:footnote>
  <w:footnote w:id="620">
    <w:p w14:paraId="736A3BC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7.964.</w:t>
      </w:r>
    </w:p>
  </w:footnote>
  <w:footnote w:id="621">
    <w:p w14:paraId="4D83FA8A"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7.965.</w:t>
      </w:r>
    </w:p>
  </w:footnote>
  <w:footnote w:id="622">
    <w:p w14:paraId="5B2F5147"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Reports, </w:t>
      </w:r>
      <w:r w:rsidRPr="003B2BFE">
        <w:rPr>
          <w:i/>
          <w:szCs w:val="16"/>
        </w:rPr>
        <w:t>Argentina – Import Measures</w:t>
      </w:r>
      <w:r w:rsidRPr="003B2BFE">
        <w:rPr>
          <w:szCs w:val="16"/>
        </w:rPr>
        <w:t>, para. 5.131.</w:t>
      </w:r>
    </w:p>
  </w:footnote>
  <w:footnote w:id="623">
    <w:p w14:paraId="414E0622"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Reports, </w:t>
      </w:r>
      <w:r w:rsidRPr="003B2BFE">
        <w:rPr>
          <w:i/>
          <w:szCs w:val="16"/>
        </w:rPr>
        <w:t>Argentina – Import Measures</w:t>
      </w:r>
      <w:r w:rsidRPr="003B2BFE">
        <w:rPr>
          <w:szCs w:val="16"/>
        </w:rPr>
        <w:t xml:space="preserve">, para. 5.131 (referring to Panel Reports, </w:t>
      </w:r>
      <w:r w:rsidRPr="003B2BFE">
        <w:rPr>
          <w:i/>
          <w:szCs w:val="16"/>
        </w:rPr>
        <w:t>Argentina – Import Measures</w:t>
      </w:r>
      <w:r w:rsidRPr="003B2BFE">
        <w:rPr>
          <w:szCs w:val="16"/>
        </w:rPr>
        <w:t>, paras. 6.162 and 6.230).</w:t>
      </w:r>
    </w:p>
  </w:footnote>
  <w:footnote w:id="624">
    <w:p w14:paraId="694E0B0F"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7.974.</w:t>
      </w:r>
    </w:p>
  </w:footnote>
  <w:footnote w:id="625">
    <w:p w14:paraId="720B2DF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Panel Report, para. 7.974.</w:t>
      </w:r>
    </w:p>
  </w:footnote>
  <w:footnote w:id="626">
    <w:p w14:paraId="31EE5B2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40.</w:t>
      </w:r>
    </w:p>
  </w:footnote>
  <w:footnote w:id="627">
    <w:p w14:paraId="202CCB74" w14:textId="36ABEB9E"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Ukraine's appellant's submission, para. 41 (quoting </w:t>
      </w:r>
      <w:r w:rsidRPr="003B2BFE">
        <w:rPr>
          <w:rFonts w:eastAsia="Verdana" w:cs="Verdana"/>
          <w:szCs w:val="16"/>
        </w:rPr>
        <w:t xml:space="preserve">Panel Reports, </w:t>
      </w:r>
      <w:r w:rsidRPr="003B2BFE">
        <w:rPr>
          <w:rFonts w:eastAsia="Verdana" w:cs="Verdana"/>
          <w:i/>
          <w:iCs/>
          <w:szCs w:val="16"/>
        </w:rPr>
        <w:t>Argentina – Import Measures</w:t>
      </w:r>
      <w:r w:rsidRPr="003B2BFE">
        <w:rPr>
          <w:rFonts w:eastAsia="Verdana" w:cs="Verdana"/>
          <w:iCs/>
          <w:szCs w:val="16"/>
        </w:rPr>
        <w:t>,</w:t>
      </w:r>
      <w:r w:rsidRPr="003B2BFE">
        <w:rPr>
          <w:rFonts w:eastAsia="Verdana" w:cs="Verdana"/>
          <w:i/>
          <w:iCs/>
          <w:szCs w:val="16"/>
        </w:rPr>
        <w:t xml:space="preserve"> </w:t>
      </w:r>
      <w:r w:rsidRPr="003B2BFE">
        <w:rPr>
          <w:rFonts w:eastAsia="Verdana" w:cs="Verdana"/>
          <w:iCs/>
          <w:szCs w:val="16"/>
        </w:rPr>
        <w:t>paras.</w:t>
      </w:r>
      <w:r w:rsidRPr="003B2BFE">
        <w:rPr>
          <w:rFonts w:eastAsia="Verdana" w:cs="Verdana"/>
          <w:i/>
          <w:iCs/>
          <w:szCs w:val="16"/>
        </w:rPr>
        <w:t> </w:t>
      </w:r>
      <w:r w:rsidRPr="003B2BFE">
        <w:rPr>
          <w:rFonts w:eastAsia="Verdana" w:cs="Verdana"/>
          <w:szCs w:val="16"/>
        </w:rPr>
        <w:t>6.70-6.71</w:t>
      </w:r>
      <w:r w:rsidRPr="003B2BFE">
        <w:rPr>
          <w:szCs w:val="16"/>
        </w:rPr>
        <w:t>). Ukraine highlights the panel's statements that "[n]ewspapers or magazine articles … can be useful sources of information, particularly when dealing with unwritten measures and when corroborating facts asserted through other forms of evidence", and that "[a] panel must assess the credibility and persuasiveness of newspapers or magazine articles submitted as evidence, taking into account that the articles may reflect personal opinions, and assess the information contained in those articles contrasting it with the other evidence on the record." (Ibid.)</w:t>
      </w:r>
    </w:p>
  </w:footnote>
  <w:footnote w:id="628">
    <w:p w14:paraId="7185EF83"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paras. 7.975-7.988.</w:t>
      </w:r>
    </w:p>
  </w:footnote>
  <w:footnote w:id="629">
    <w:p w14:paraId="3A4274A5"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 7.992.</w:t>
      </w:r>
    </w:p>
  </w:footnote>
  <w:footnote w:id="630">
    <w:p w14:paraId="2281A1C1"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w:t>
      </w:r>
      <w:r w:rsidRPr="003B2BFE">
        <w:rPr>
          <w:szCs w:val="16"/>
          <w:lang w:val="en-US"/>
        </w:rPr>
        <w:t>Panel Report, paras. 7.990-7.992. (emphasis added)</w:t>
      </w:r>
    </w:p>
  </w:footnote>
  <w:footnote w:id="631">
    <w:p w14:paraId="62272B59"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iCs/>
          <w:szCs w:val="16"/>
        </w:rPr>
        <w:t>China – Publications and Audiovisual Products</w:t>
      </w:r>
      <w:r w:rsidRPr="003B2BFE">
        <w:rPr>
          <w:szCs w:val="16"/>
        </w:rPr>
        <w:t xml:space="preserve">, para. 177. See also e.g. Appellate Body Reports, </w:t>
      </w:r>
      <w:r w:rsidRPr="003B2BFE">
        <w:rPr>
          <w:i/>
          <w:iCs/>
          <w:szCs w:val="16"/>
        </w:rPr>
        <w:t>US – Wheat Gluten</w:t>
      </w:r>
      <w:r w:rsidRPr="003B2BFE">
        <w:rPr>
          <w:szCs w:val="16"/>
        </w:rPr>
        <w:t xml:space="preserve">, para. 151; </w:t>
      </w:r>
      <w:r w:rsidRPr="003B2BFE">
        <w:rPr>
          <w:i/>
          <w:iCs/>
          <w:szCs w:val="16"/>
        </w:rPr>
        <w:t>US – Carbon Steel</w:t>
      </w:r>
      <w:r w:rsidRPr="003B2BFE">
        <w:rPr>
          <w:szCs w:val="16"/>
        </w:rPr>
        <w:t xml:space="preserve">, para. 142; </w:t>
      </w:r>
      <w:r w:rsidRPr="003B2BFE">
        <w:rPr>
          <w:i/>
          <w:iCs/>
          <w:szCs w:val="16"/>
        </w:rPr>
        <w:t>US – Upland Cotton</w:t>
      </w:r>
      <w:r w:rsidRPr="003B2BFE">
        <w:rPr>
          <w:szCs w:val="16"/>
        </w:rPr>
        <w:t>, para. 399.</w:t>
      </w:r>
    </w:p>
  </w:footnote>
  <w:footnote w:id="632">
    <w:p w14:paraId="13B6E50E" w14:textId="77777777" w:rsidR="009D6585" w:rsidRPr="003B2BFE" w:rsidRDefault="009D6585" w:rsidP="003B2BFE">
      <w:pPr>
        <w:pStyle w:val="FootnoteText"/>
        <w:rPr>
          <w:szCs w:val="16"/>
        </w:rPr>
      </w:pPr>
      <w:r w:rsidRPr="003B2BFE">
        <w:rPr>
          <w:rStyle w:val="FootnoteReference"/>
          <w:szCs w:val="16"/>
        </w:rPr>
        <w:footnoteRef/>
      </w:r>
      <w:r w:rsidRPr="003B2BFE">
        <w:rPr>
          <w:szCs w:val="16"/>
        </w:rPr>
        <w:t xml:space="preserve"> Appellate Body Report, </w:t>
      </w:r>
      <w:r w:rsidRPr="003B2BFE">
        <w:rPr>
          <w:i/>
          <w:szCs w:val="16"/>
        </w:rPr>
        <w:t>US – Large Civil Aircraft (2</w:t>
      </w:r>
      <w:r w:rsidRPr="003B2BFE">
        <w:rPr>
          <w:i/>
          <w:szCs w:val="16"/>
          <w:vertAlign w:val="superscript"/>
        </w:rPr>
        <w:t>nd</w:t>
      </w:r>
      <w:r w:rsidRPr="003B2BFE">
        <w:rPr>
          <w:i/>
          <w:szCs w:val="16"/>
        </w:rPr>
        <w:t xml:space="preserve"> complaint)</w:t>
      </w:r>
      <w:r w:rsidRPr="003B2BFE">
        <w:rPr>
          <w:szCs w:val="16"/>
        </w:rPr>
        <w:t xml:space="preserve">, para. 713. See also e.g. Appellate Body Report, </w:t>
      </w:r>
      <w:r w:rsidRPr="003B2BFE">
        <w:rPr>
          <w:i/>
          <w:szCs w:val="16"/>
        </w:rPr>
        <w:t>US – Wheat Gluten</w:t>
      </w:r>
      <w:r w:rsidRPr="003B2BFE">
        <w:rPr>
          <w:szCs w:val="16"/>
        </w:rPr>
        <w:t>, para. 151.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4254D" w14:textId="77777777" w:rsidR="009D6585" w:rsidRPr="001A5E89" w:rsidRDefault="009D6585" w:rsidP="001A5E89">
    <w:pPr>
      <w:pStyle w:val="Header"/>
      <w:pBdr>
        <w:bottom w:val="single" w:sz="4" w:space="1" w:color="auto"/>
      </w:pBdr>
      <w:tabs>
        <w:tab w:val="clear" w:pos="4513"/>
        <w:tab w:val="clear" w:pos="9027"/>
      </w:tabs>
      <w:jc w:val="center"/>
    </w:pPr>
    <w:r w:rsidRPr="001A5E89">
      <w:t>WT/DS499/AB/R</w:t>
    </w:r>
  </w:p>
  <w:p w14:paraId="3C47B438" w14:textId="77777777" w:rsidR="009D6585" w:rsidRPr="001A5E89" w:rsidRDefault="009D6585" w:rsidP="001A5E89">
    <w:pPr>
      <w:pStyle w:val="Header"/>
      <w:pBdr>
        <w:bottom w:val="single" w:sz="4" w:space="1" w:color="auto"/>
      </w:pBdr>
      <w:tabs>
        <w:tab w:val="clear" w:pos="4513"/>
        <w:tab w:val="clear" w:pos="9027"/>
      </w:tabs>
      <w:jc w:val="center"/>
    </w:pPr>
  </w:p>
  <w:p w14:paraId="25D9997E" w14:textId="2C5EA3C1" w:rsidR="009D6585" w:rsidRPr="001A5E89" w:rsidRDefault="009D6585" w:rsidP="001A5E89">
    <w:pPr>
      <w:pStyle w:val="Header"/>
      <w:pBdr>
        <w:bottom w:val="single" w:sz="4" w:space="1" w:color="auto"/>
      </w:pBdr>
      <w:tabs>
        <w:tab w:val="clear" w:pos="4513"/>
        <w:tab w:val="clear" w:pos="9027"/>
      </w:tabs>
      <w:jc w:val="center"/>
    </w:pPr>
    <w:r>
      <w:noBreakHyphen/>
    </w:r>
    <w:r w:rsidRPr="001A5E89">
      <w:t xml:space="preserve"> </w:t>
    </w:r>
    <w:r w:rsidRPr="001A5E89">
      <w:fldChar w:fldCharType="begin"/>
    </w:r>
    <w:r w:rsidRPr="001A5E89">
      <w:instrText xml:space="preserve"> PAGE </w:instrText>
    </w:r>
    <w:r w:rsidRPr="001A5E89">
      <w:fldChar w:fldCharType="separate"/>
    </w:r>
    <w:r w:rsidRPr="001A5E89">
      <w:rPr>
        <w:noProof/>
      </w:rPr>
      <w:t>2</w:t>
    </w:r>
    <w:r w:rsidRPr="001A5E89">
      <w:fldChar w:fldCharType="end"/>
    </w:r>
    <w:r w:rsidRPr="001A5E89">
      <w:t xml:space="preserve"> </w:t>
    </w:r>
    <w:r>
      <w:noBreakHyphen/>
    </w:r>
  </w:p>
  <w:p w14:paraId="27E245C0" w14:textId="77777777" w:rsidR="009D6585" w:rsidRPr="001A5E89" w:rsidRDefault="009D6585" w:rsidP="001A5E8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C6FE" w14:textId="246D72B3" w:rsidR="009D6585" w:rsidRPr="001A5E89" w:rsidRDefault="009D6585" w:rsidP="001A5E89">
    <w:pPr>
      <w:pStyle w:val="Header"/>
      <w:pBdr>
        <w:bottom w:val="single" w:sz="4" w:space="1" w:color="auto"/>
      </w:pBdr>
      <w:tabs>
        <w:tab w:val="clear" w:pos="4513"/>
        <w:tab w:val="clear" w:pos="9027"/>
      </w:tabs>
      <w:jc w:val="center"/>
    </w:pPr>
    <w:r w:rsidRPr="001A5E89">
      <w:t>WT/DS499/AB/R</w:t>
    </w:r>
  </w:p>
  <w:p w14:paraId="5BC10944" w14:textId="77777777" w:rsidR="009D6585" w:rsidRPr="001A5E89" w:rsidRDefault="009D6585" w:rsidP="001A5E89">
    <w:pPr>
      <w:pStyle w:val="Header"/>
      <w:pBdr>
        <w:bottom w:val="single" w:sz="4" w:space="1" w:color="auto"/>
      </w:pBdr>
      <w:tabs>
        <w:tab w:val="clear" w:pos="4513"/>
        <w:tab w:val="clear" w:pos="9027"/>
      </w:tabs>
      <w:jc w:val="center"/>
    </w:pPr>
  </w:p>
  <w:p w14:paraId="178D4D72" w14:textId="7DAA1FF6" w:rsidR="009D6585" w:rsidRPr="001A5E89" w:rsidRDefault="009D6585" w:rsidP="001A5E89">
    <w:pPr>
      <w:pStyle w:val="Header"/>
      <w:pBdr>
        <w:bottom w:val="single" w:sz="4" w:space="1" w:color="auto"/>
      </w:pBdr>
      <w:tabs>
        <w:tab w:val="clear" w:pos="4513"/>
        <w:tab w:val="clear" w:pos="9027"/>
      </w:tabs>
      <w:jc w:val="center"/>
    </w:pPr>
    <w:r>
      <w:noBreakHyphen/>
    </w:r>
    <w:r w:rsidRPr="001A5E89">
      <w:t xml:space="preserve"> </w:t>
    </w:r>
    <w:r w:rsidRPr="001A5E89">
      <w:fldChar w:fldCharType="begin"/>
    </w:r>
    <w:r w:rsidRPr="001A5E89">
      <w:instrText xml:space="preserve"> PAGE </w:instrText>
    </w:r>
    <w:r w:rsidRPr="001A5E89">
      <w:fldChar w:fldCharType="separate"/>
    </w:r>
    <w:r w:rsidRPr="001A5E89">
      <w:rPr>
        <w:noProof/>
      </w:rPr>
      <w:t>3</w:t>
    </w:r>
    <w:r w:rsidRPr="001A5E89">
      <w:fldChar w:fldCharType="end"/>
    </w:r>
    <w:r w:rsidRPr="001A5E89">
      <w:t xml:space="preserve"> </w:t>
    </w:r>
    <w:r>
      <w:noBreakHyphen/>
    </w:r>
  </w:p>
  <w:p w14:paraId="22E0DCCB" w14:textId="77777777" w:rsidR="009D6585" w:rsidRPr="001A5E89" w:rsidRDefault="009D6585" w:rsidP="001A5E8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D6585" w:rsidRPr="00EF273A" w14:paraId="2F87563D" w14:textId="77777777" w:rsidTr="00590D3F">
      <w:trPr>
        <w:trHeight w:val="240"/>
        <w:jc w:val="center"/>
      </w:trPr>
      <w:tc>
        <w:tcPr>
          <w:tcW w:w="3794" w:type="dxa"/>
          <w:shd w:val="clear" w:color="auto" w:fill="FFFFFF"/>
          <w:tcMar>
            <w:left w:w="108" w:type="dxa"/>
            <w:right w:w="108" w:type="dxa"/>
          </w:tcMar>
          <w:vAlign w:val="center"/>
        </w:tcPr>
        <w:p w14:paraId="36DCAEF6" w14:textId="77777777" w:rsidR="009D6585" w:rsidRPr="00EF273A" w:rsidRDefault="009D6585" w:rsidP="00632EC6">
          <w:pPr>
            <w:rPr>
              <w:noProof/>
              <w:lang w:eastAsia="en-GB"/>
            </w:rPr>
          </w:pPr>
          <w:bookmarkStart w:id="3" w:name="bmkRestricted" w:colFirst="1" w:colLast="1"/>
        </w:p>
      </w:tc>
      <w:tc>
        <w:tcPr>
          <w:tcW w:w="5448" w:type="dxa"/>
          <w:gridSpan w:val="2"/>
          <w:shd w:val="clear" w:color="auto" w:fill="FFFFFF"/>
          <w:tcMar>
            <w:left w:w="108" w:type="dxa"/>
            <w:right w:w="108" w:type="dxa"/>
          </w:tcMar>
          <w:vAlign w:val="center"/>
        </w:tcPr>
        <w:p w14:paraId="4B30F081" w14:textId="77777777" w:rsidR="009D6585" w:rsidRPr="00EF273A" w:rsidRDefault="009D6585" w:rsidP="00632EC6">
          <w:pPr>
            <w:jc w:val="right"/>
            <w:rPr>
              <w:b/>
              <w:color w:val="FF0000"/>
              <w:szCs w:val="16"/>
            </w:rPr>
          </w:pPr>
        </w:p>
      </w:tc>
    </w:tr>
    <w:bookmarkEnd w:id="3"/>
    <w:tr w:rsidR="009D6585" w:rsidRPr="00EF273A" w14:paraId="0F7B4E35" w14:textId="77777777" w:rsidTr="00590D3F">
      <w:trPr>
        <w:trHeight w:val="213"/>
        <w:jc w:val="center"/>
      </w:trPr>
      <w:tc>
        <w:tcPr>
          <w:tcW w:w="3794" w:type="dxa"/>
          <w:vMerge w:val="restart"/>
          <w:shd w:val="clear" w:color="auto" w:fill="FFFFFF"/>
          <w:tcMar>
            <w:left w:w="0" w:type="dxa"/>
            <w:right w:w="0" w:type="dxa"/>
          </w:tcMar>
        </w:tcPr>
        <w:p w14:paraId="76041FAC" w14:textId="77777777" w:rsidR="009D6585" w:rsidRPr="00EF273A" w:rsidRDefault="009D6585" w:rsidP="00632EC6">
          <w:pPr>
            <w:jc w:val="left"/>
          </w:pPr>
          <w:r>
            <w:rPr>
              <w:noProof/>
              <w:lang w:eastAsia="en-GB"/>
            </w:rPr>
            <w:drawing>
              <wp:inline distT="0" distB="0" distL="0" distR="0" wp14:anchorId="665759BA" wp14:editId="401A33F3">
                <wp:extent cx="240030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7400E8F" w14:textId="77777777" w:rsidR="009D6585" w:rsidRPr="00EF273A" w:rsidRDefault="009D6585" w:rsidP="00632EC6">
          <w:pPr>
            <w:jc w:val="right"/>
            <w:rPr>
              <w:b/>
              <w:szCs w:val="16"/>
            </w:rPr>
          </w:pPr>
        </w:p>
      </w:tc>
    </w:tr>
    <w:tr w:rsidR="009D6585" w:rsidRPr="00EF273A" w14:paraId="125929DD" w14:textId="77777777" w:rsidTr="00590D3F">
      <w:trPr>
        <w:trHeight w:val="868"/>
        <w:jc w:val="center"/>
      </w:trPr>
      <w:tc>
        <w:tcPr>
          <w:tcW w:w="3794" w:type="dxa"/>
          <w:vMerge/>
          <w:shd w:val="clear" w:color="auto" w:fill="FFFFFF"/>
          <w:tcMar>
            <w:left w:w="108" w:type="dxa"/>
            <w:right w:w="108" w:type="dxa"/>
          </w:tcMar>
        </w:tcPr>
        <w:p w14:paraId="0873FAF5" w14:textId="77777777" w:rsidR="009D6585" w:rsidRPr="00EF273A" w:rsidRDefault="009D6585" w:rsidP="00632EC6">
          <w:pPr>
            <w:jc w:val="left"/>
            <w:rPr>
              <w:noProof/>
              <w:lang w:eastAsia="en-GB"/>
            </w:rPr>
          </w:pPr>
        </w:p>
      </w:tc>
      <w:tc>
        <w:tcPr>
          <w:tcW w:w="5448" w:type="dxa"/>
          <w:gridSpan w:val="2"/>
          <w:shd w:val="clear" w:color="auto" w:fill="FFFFFF"/>
          <w:tcMar>
            <w:left w:w="108" w:type="dxa"/>
            <w:right w:w="108" w:type="dxa"/>
          </w:tcMar>
        </w:tcPr>
        <w:p w14:paraId="646F4937" w14:textId="77777777" w:rsidR="009D6585" w:rsidRDefault="009D6585" w:rsidP="00632EC6">
          <w:pPr>
            <w:jc w:val="right"/>
            <w:rPr>
              <w:b/>
              <w:szCs w:val="16"/>
            </w:rPr>
          </w:pPr>
          <w:bookmarkStart w:id="4" w:name="bmkSymbols"/>
          <w:r>
            <w:rPr>
              <w:b/>
              <w:szCs w:val="16"/>
            </w:rPr>
            <w:t>WT/DS499/AB/R</w:t>
          </w:r>
        </w:p>
        <w:bookmarkEnd w:id="4"/>
        <w:p w14:paraId="1C58B65F" w14:textId="77777777" w:rsidR="009D6585" w:rsidRPr="00EF273A" w:rsidRDefault="009D6585" w:rsidP="00632EC6">
          <w:pPr>
            <w:jc w:val="right"/>
            <w:rPr>
              <w:b/>
              <w:szCs w:val="16"/>
            </w:rPr>
          </w:pPr>
        </w:p>
      </w:tc>
    </w:tr>
    <w:tr w:rsidR="009D6585" w:rsidRPr="00EF273A" w14:paraId="7343B4F8" w14:textId="77777777" w:rsidTr="00590D3F">
      <w:trPr>
        <w:trHeight w:val="240"/>
        <w:jc w:val="center"/>
      </w:trPr>
      <w:tc>
        <w:tcPr>
          <w:tcW w:w="3794" w:type="dxa"/>
          <w:vMerge/>
          <w:shd w:val="clear" w:color="auto" w:fill="FFFFFF"/>
          <w:tcMar>
            <w:left w:w="108" w:type="dxa"/>
            <w:right w:w="108" w:type="dxa"/>
          </w:tcMar>
          <w:vAlign w:val="center"/>
        </w:tcPr>
        <w:p w14:paraId="01A7C47A" w14:textId="77777777" w:rsidR="009D6585" w:rsidRPr="00EF273A" w:rsidRDefault="009D6585" w:rsidP="00632EC6"/>
      </w:tc>
      <w:tc>
        <w:tcPr>
          <w:tcW w:w="5448" w:type="dxa"/>
          <w:gridSpan w:val="2"/>
          <w:shd w:val="clear" w:color="auto" w:fill="FFFFFF"/>
          <w:tcMar>
            <w:left w:w="108" w:type="dxa"/>
            <w:right w:w="108" w:type="dxa"/>
          </w:tcMar>
          <w:vAlign w:val="center"/>
        </w:tcPr>
        <w:p w14:paraId="1C2930D9" w14:textId="4E9CE0BB" w:rsidR="009D6585" w:rsidRPr="00EF273A" w:rsidRDefault="009D6585" w:rsidP="00632EC6">
          <w:pPr>
            <w:jc w:val="right"/>
            <w:rPr>
              <w:szCs w:val="16"/>
            </w:rPr>
          </w:pPr>
          <w:r w:rsidRPr="00FA1AB0">
            <w:rPr>
              <w:szCs w:val="16"/>
            </w:rPr>
            <w:t>4 February 2020</w:t>
          </w:r>
        </w:p>
      </w:tc>
    </w:tr>
    <w:tr w:rsidR="009D6585" w:rsidRPr="00EF273A" w14:paraId="2BB7FD6F" w14:textId="77777777" w:rsidTr="00590D3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828605" w14:textId="0C2FC35E" w:rsidR="009D6585" w:rsidRPr="00EF273A" w:rsidRDefault="009D6585" w:rsidP="00632EC6">
          <w:pPr>
            <w:jc w:val="left"/>
            <w:rPr>
              <w:b/>
            </w:rPr>
          </w:pPr>
          <w:bookmarkStart w:id="5" w:name="bmkSerial" w:colFirst="0" w:colLast="0"/>
          <w:r w:rsidRPr="00EF273A">
            <w:rPr>
              <w:color w:val="FF0000"/>
              <w:szCs w:val="16"/>
            </w:rPr>
            <w:t>(</w:t>
          </w:r>
          <w:r w:rsidR="00EE6407">
            <w:rPr>
              <w:color w:val="FF0000"/>
              <w:szCs w:val="16"/>
            </w:rPr>
            <w:t>20</w:t>
          </w:r>
          <w:r>
            <w:rPr>
              <w:color w:val="FF0000"/>
              <w:szCs w:val="16"/>
            </w:rPr>
            <w:noBreakHyphen/>
          </w:r>
          <w:r w:rsidR="00EE6407">
            <w:rPr>
              <w:color w:val="FF0000"/>
              <w:szCs w:val="16"/>
            </w:rPr>
            <w:t>0831</w:t>
          </w:r>
          <w:r w:rsidRPr="00EF273A">
            <w:rPr>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55C29AF" w14:textId="77777777" w:rsidR="009D6585" w:rsidRPr="00EF273A" w:rsidRDefault="009D6585" w:rsidP="00632EC6">
          <w:pPr>
            <w:jc w:val="right"/>
            <w:rPr>
              <w:szCs w:val="16"/>
            </w:rPr>
          </w:pPr>
          <w:bookmarkStart w:id="6" w:name="bmkTotPages"/>
          <w:r w:rsidRPr="00EF273A">
            <w:rPr>
              <w:bCs/>
              <w:szCs w:val="16"/>
            </w:rPr>
            <w:t xml:space="preserve">Page: </w:t>
          </w:r>
          <w:r w:rsidRPr="00EF273A">
            <w:rPr>
              <w:bCs/>
              <w:szCs w:val="16"/>
            </w:rPr>
            <w:fldChar w:fldCharType="begin"/>
          </w:r>
          <w:r w:rsidRPr="00EF273A">
            <w:rPr>
              <w:bCs/>
              <w:szCs w:val="16"/>
            </w:rPr>
            <w:instrText xml:space="preserve"> PAGE  \* Arabic  \* MERGEFORMAT </w:instrText>
          </w:r>
          <w:r w:rsidRPr="00EF273A">
            <w:rPr>
              <w:bCs/>
              <w:szCs w:val="16"/>
            </w:rPr>
            <w:fldChar w:fldCharType="separate"/>
          </w:r>
          <w:r>
            <w:rPr>
              <w:bCs/>
              <w:noProof/>
              <w:szCs w:val="16"/>
            </w:rPr>
            <w:t>1</w:t>
          </w:r>
          <w:r w:rsidRPr="00EF273A">
            <w:rPr>
              <w:bCs/>
              <w:szCs w:val="16"/>
            </w:rPr>
            <w:fldChar w:fldCharType="end"/>
          </w:r>
          <w:r w:rsidRPr="00EF273A">
            <w:rPr>
              <w:bCs/>
              <w:szCs w:val="16"/>
            </w:rPr>
            <w:t>/</w:t>
          </w:r>
          <w:r w:rsidRPr="00EF273A">
            <w:rPr>
              <w:bCs/>
              <w:szCs w:val="16"/>
            </w:rPr>
            <w:fldChar w:fldCharType="begin"/>
          </w:r>
          <w:r w:rsidRPr="00EF273A">
            <w:rPr>
              <w:bCs/>
              <w:szCs w:val="16"/>
            </w:rPr>
            <w:instrText xml:space="preserve"> NUMPAGES  \* Arabic  \* MERGEFORMAT </w:instrText>
          </w:r>
          <w:r w:rsidRPr="00EF273A">
            <w:rPr>
              <w:bCs/>
              <w:szCs w:val="16"/>
            </w:rPr>
            <w:fldChar w:fldCharType="separate"/>
          </w:r>
          <w:r>
            <w:rPr>
              <w:bCs/>
              <w:noProof/>
              <w:szCs w:val="16"/>
            </w:rPr>
            <w:t>2</w:t>
          </w:r>
          <w:r w:rsidRPr="00EF273A">
            <w:rPr>
              <w:bCs/>
              <w:szCs w:val="16"/>
            </w:rPr>
            <w:fldChar w:fldCharType="end"/>
          </w:r>
          <w:bookmarkEnd w:id="6"/>
        </w:p>
      </w:tc>
    </w:tr>
    <w:tr w:rsidR="009D6585" w:rsidRPr="00EF273A" w14:paraId="7F2EE341" w14:textId="77777777" w:rsidTr="00590D3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826384" w14:textId="77777777" w:rsidR="009D6585" w:rsidRPr="00EF273A" w:rsidRDefault="009D6585" w:rsidP="00632EC6">
          <w:pPr>
            <w:jc w:val="left"/>
            <w:rPr>
              <w:sz w:val="14"/>
              <w:szCs w:val="16"/>
            </w:rPr>
          </w:pPr>
          <w:bookmarkStart w:id="7" w:name="bmkCommittee"/>
          <w:bookmarkStart w:id="8" w:name="bmkLanguage" w:colFirst="1" w:colLast="1"/>
          <w:bookmarkEnd w:id="5"/>
          <w:r w:rsidRPr="00EF273A">
            <w:rPr>
              <w:b/>
            </w:rPr>
            <w:t xml:space="preserve"> </w:t>
          </w:r>
          <w:bookmarkEnd w:id="7"/>
        </w:p>
      </w:tc>
      <w:tc>
        <w:tcPr>
          <w:tcW w:w="3325" w:type="dxa"/>
          <w:tcBorders>
            <w:top w:val="single" w:sz="4" w:space="0" w:color="auto"/>
          </w:tcBorders>
          <w:tcMar>
            <w:top w:w="113" w:type="dxa"/>
            <w:left w:w="108" w:type="dxa"/>
            <w:bottom w:w="57" w:type="dxa"/>
            <w:right w:w="108" w:type="dxa"/>
          </w:tcMar>
          <w:vAlign w:val="center"/>
        </w:tcPr>
        <w:p w14:paraId="413090C6" w14:textId="77777777" w:rsidR="009D6585" w:rsidRPr="00EF273A" w:rsidRDefault="009D6585" w:rsidP="00632EC6">
          <w:pPr>
            <w:jc w:val="right"/>
            <w:rPr>
              <w:bCs/>
              <w:szCs w:val="18"/>
            </w:rPr>
          </w:pPr>
          <w:r>
            <w:rPr>
              <w:szCs w:val="18"/>
            </w:rPr>
            <w:t>Original: English</w:t>
          </w:r>
        </w:p>
      </w:tc>
    </w:tr>
    <w:bookmarkEnd w:id="8"/>
  </w:tbl>
  <w:p w14:paraId="44D120F6" w14:textId="77777777" w:rsidR="009D6585" w:rsidRDefault="009D65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D96BD" w14:textId="77777777" w:rsidR="001B0167" w:rsidRPr="001A5E89" w:rsidRDefault="001B0167" w:rsidP="001A5E89">
    <w:pPr>
      <w:pStyle w:val="Header"/>
      <w:pBdr>
        <w:bottom w:val="single" w:sz="4" w:space="1" w:color="auto"/>
      </w:pBdr>
      <w:tabs>
        <w:tab w:val="clear" w:pos="4513"/>
        <w:tab w:val="clear" w:pos="9027"/>
      </w:tabs>
      <w:jc w:val="center"/>
    </w:pPr>
    <w:r w:rsidRPr="001A5E89">
      <w:t>WT/DS499/AB/R</w:t>
    </w:r>
  </w:p>
  <w:p w14:paraId="04ECA003" w14:textId="77777777" w:rsidR="001B0167" w:rsidRPr="001A5E89" w:rsidRDefault="001B0167" w:rsidP="001A5E89">
    <w:pPr>
      <w:pStyle w:val="Header"/>
      <w:pBdr>
        <w:bottom w:val="single" w:sz="4" w:space="1" w:color="auto"/>
      </w:pBdr>
      <w:tabs>
        <w:tab w:val="clear" w:pos="4513"/>
        <w:tab w:val="clear" w:pos="9027"/>
      </w:tabs>
      <w:jc w:val="center"/>
    </w:pPr>
  </w:p>
  <w:p w14:paraId="04C35448" w14:textId="77777777" w:rsidR="001B0167" w:rsidRPr="001A5E89" w:rsidRDefault="001B0167" w:rsidP="001A5E89">
    <w:pPr>
      <w:pStyle w:val="Header"/>
      <w:pBdr>
        <w:bottom w:val="single" w:sz="4" w:space="1" w:color="auto"/>
      </w:pBdr>
      <w:tabs>
        <w:tab w:val="clear" w:pos="4513"/>
        <w:tab w:val="clear" w:pos="9027"/>
      </w:tabs>
      <w:jc w:val="center"/>
    </w:pPr>
    <w:r>
      <w:noBreakHyphen/>
    </w:r>
    <w:r w:rsidRPr="001A5E89">
      <w:t xml:space="preserve"> </w:t>
    </w:r>
    <w:r w:rsidRPr="001A5E89">
      <w:fldChar w:fldCharType="begin"/>
    </w:r>
    <w:r w:rsidRPr="001A5E89">
      <w:instrText xml:space="preserve"> PAGE </w:instrText>
    </w:r>
    <w:r w:rsidRPr="001A5E89">
      <w:fldChar w:fldCharType="separate"/>
    </w:r>
    <w:r w:rsidRPr="001A5E89">
      <w:rPr>
        <w:noProof/>
      </w:rPr>
      <w:t>2</w:t>
    </w:r>
    <w:r w:rsidRPr="001A5E89">
      <w:fldChar w:fldCharType="end"/>
    </w:r>
    <w:r w:rsidRPr="001A5E89">
      <w:t xml:space="preserve"> </w:t>
    </w:r>
    <w:r>
      <w:noBreakHyphen/>
    </w:r>
  </w:p>
  <w:p w14:paraId="548502AE" w14:textId="77777777" w:rsidR="001B0167" w:rsidRPr="001A5E89" w:rsidRDefault="001B0167" w:rsidP="001A5E89">
    <w:pPr>
      <w:pStyle w:val="Header"/>
      <w:tabs>
        <w:tab w:val="clear" w:pos="4513"/>
        <w:tab w:val="clear" w:pos="9027"/>
      </w:tabs>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FD1B3" w14:textId="6F2F52C3" w:rsidR="001B0167" w:rsidRPr="001A5E89" w:rsidRDefault="001B0167" w:rsidP="001A5E89">
    <w:pPr>
      <w:pStyle w:val="Header"/>
      <w:pBdr>
        <w:bottom w:val="single" w:sz="4" w:space="1" w:color="auto"/>
      </w:pBdr>
      <w:tabs>
        <w:tab w:val="clear" w:pos="4513"/>
        <w:tab w:val="clear" w:pos="9027"/>
      </w:tabs>
      <w:jc w:val="center"/>
    </w:pPr>
    <w:r w:rsidRPr="001A5E89">
      <w:t>WT/DS499/AB/R</w:t>
    </w:r>
  </w:p>
  <w:p w14:paraId="534CB943" w14:textId="77777777" w:rsidR="001B0167" w:rsidRPr="001A5E89" w:rsidRDefault="001B0167" w:rsidP="001A5E89">
    <w:pPr>
      <w:pStyle w:val="Header"/>
      <w:pBdr>
        <w:bottom w:val="single" w:sz="4" w:space="1" w:color="auto"/>
      </w:pBdr>
      <w:tabs>
        <w:tab w:val="clear" w:pos="4513"/>
        <w:tab w:val="clear" w:pos="9027"/>
      </w:tabs>
      <w:jc w:val="center"/>
    </w:pPr>
  </w:p>
  <w:p w14:paraId="416C1522" w14:textId="77777777" w:rsidR="001B0167" w:rsidRPr="001A5E89" w:rsidRDefault="001B0167" w:rsidP="001A5E89">
    <w:pPr>
      <w:pStyle w:val="Header"/>
      <w:pBdr>
        <w:bottom w:val="single" w:sz="4" w:space="1" w:color="auto"/>
      </w:pBdr>
      <w:tabs>
        <w:tab w:val="clear" w:pos="4513"/>
        <w:tab w:val="clear" w:pos="9027"/>
      </w:tabs>
      <w:jc w:val="center"/>
    </w:pPr>
    <w:r>
      <w:noBreakHyphen/>
    </w:r>
    <w:r w:rsidRPr="001A5E89">
      <w:t xml:space="preserve"> </w:t>
    </w:r>
    <w:r w:rsidRPr="001A5E89">
      <w:fldChar w:fldCharType="begin"/>
    </w:r>
    <w:r w:rsidRPr="001A5E89">
      <w:instrText xml:space="preserve"> PAGE </w:instrText>
    </w:r>
    <w:r w:rsidRPr="001A5E89">
      <w:fldChar w:fldCharType="separate"/>
    </w:r>
    <w:r w:rsidRPr="001A5E89">
      <w:rPr>
        <w:noProof/>
      </w:rPr>
      <w:t>3</w:t>
    </w:r>
    <w:r w:rsidRPr="001A5E89">
      <w:fldChar w:fldCharType="end"/>
    </w:r>
    <w:r w:rsidRPr="001A5E89">
      <w:t xml:space="preserve"> </w:t>
    </w:r>
    <w:r>
      <w:noBreakHyphen/>
    </w:r>
  </w:p>
  <w:p w14:paraId="6A73925D" w14:textId="77777777" w:rsidR="001B0167" w:rsidRPr="001A5E89" w:rsidRDefault="001B0167" w:rsidP="001A5E89">
    <w:pPr>
      <w:pStyle w:val="Header"/>
      <w:tabs>
        <w:tab w:val="clear" w:pos="4513"/>
        <w:tab w:val="clear" w:pos="9027"/>
      </w:tabs>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B0167" w:rsidRPr="00EF273A" w14:paraId="079B1DD9" w14:textId="77777777" w:rsidTr="00590D3F">
      <w:trPr>
        <w:trHeight w:val="240"/>
        <w:jc w:val="center"/>
      </w:trPr>
      <w:tc>
        <w:tcPr>
          <w:tcW w:w="3794" w:type="dxa"/>
          <w:shd w:val="clear" w:color="auto" w:fill="FFFFFF"/>
          <w:tcMar>
            <w:left w:w="108" w:type="dxa"/>
            <w:right w:w="108" w:type="dxa"/>
          </w:tcMar>
          <w:vAlign w:val="center"/>
        </w:tcPr>
        <w:p w14:paraId="7D20FD0E" w14:textId="77777777" w:rsidR="001B0167" w:rsidRPr="00EF273A" w:rsidRDefault="001B0167" w:rsidP="00632EC6">
          <w:pPr>
            <w:rPr>
              <w:noProof/>
              <w:lang w:eastAsia="en-GB"/>
            </w:rPr>
          </w:pPr>
        </w:p>
      </w:tc>
      <w:tc>
        <w:tcPr>
          <w:tcW w:w="5448" w:type="dxa"/>
          <w:gridSpan w:val="2"/>
          <w:shd w:val="clear" w:color="auto" w:fill="FFFFFF"/>
          <w:tcMar>
            <w:left w:w="108" w:type="dxa"/>
            <w:right w:w="108" w:type="dxa"/>
          </w:tcMar>
          <w:vAlign w:val="center"/>
        </w:tcPr>
        <w:p w14:paraId="7598F27A" w14:textId="77777777" w:rsidR="001B0167" w:rsidRPr="00EF273A" w:rsidRDefault="001B0167" w:rsidP="00632EC6">
          <w:pPr>
            <w:jc w:val="right"/>
            <w:rPr>
              <w:b/>
              <w:color w:val="FF0000"/>
              <w:szCs w:val="16"/>
            </w:rPr>
          </w:pPr>
        </w:p>
      </w:tc>
    </w:tr>
    <w:tr w:rsidR="001B0167" w:rsidRPr="00EF273A" w14:paraId="081FDA26" w14:textId="77777777" w:rsidTr="00590D3F">
      <w:trPr>
        <w:trHeight w:val="213"/>
        <w:jc w:val="center"/>
      </w:trPr>
      <w:tc>
        <w:tcPr>
          <w:tcW w:w="3794" w:type="dxa"/>
          <w:vMerge w:val="restart"/>
          <w:shd w:val="clear" w:color="auto" w:fill="FFFFFF"/>
          <w:tcMar>
            <w:left w:w="0" w:type="dxa"/>
            <w:right w:w="0" w:type="dxa"/>
          </w:tcMar>
        </w:tcPr>
        <w:p w14:paraId="64D4B41E" w14:textId="77777777" w:rsidR="001B0167" w:rsidRPr="00EF273A" w:rsidRDefault="001B0167" w:rsidP="00632EC6">
          <w:pPr>
            <w:jc w:val="left"/>
          </w:pPr>
          <w:r>
            <w:rPr>
              <w:noProof/>
              <w:lang w:eastAsia="en-GB"/>
            </w:rPr>
            <w:drawing>
              <wp:inline distT="0" distB="0" distL="0" distR="0" wp14:anchorId="7C3BC4AB" wp14:editId="1BF4CCD5">
                <wp:extent cx="2400300" cy="714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0EDC22" w14:textId="77777777" w:rsidR="001B0167" w:rsidRPr="00EF273A" w:rsidRDefault="001B0167" w:rsidP="00632EC6">
          <w:pPr>
            <w:jc w:val="right"/>
            <w:rPr>
              <w:b/>
              <w:szCs w:val="16"/>
            </w:rPr>
          </w:pPr>
        </w:p>
      </w:tc>
    </w:tr>
    <w:tr w:rsidR="001B0167" w:rsidRPr="00EF273A" w14:paraId="2570FDC7" w14:textId="77777777" w:rsidTr="00590D3F">
      <w:trPr>
        <w:trHeight w:val="868"/>
        <w:jc w:val="center"/>
      </w:trPr>
      <w:tc>
        <w:tcPr>
          <w:tcW w:w="3794" w:type="dxa"/>
          <w:vMerge/>
          <w:shd w:val="clear" w:color="auto" w:fill="FFFFFF"/>
          <w:tcMar>
            <w:left w:w="108" w:type="dxa"/>
            <w:right w:w="108" w:type="dxa"/>
          </w:tcMar>
        </w:tcPr>
        <w:p w14:paraId="49009675" w14:textId="77777777" w:rsidR="001B0167" w:rsidRPr="00EF273A" w:rsidRDefault="001B0167" w:rsidP="00632EC6">
          <w:pPr>
            <w:jc w:val="left"/>
            <w:rPr>
              <w:noProof/>
              <w:lang w:eastAsia="en-GB"/>
            </w:rPr>
          </w:pPr>
        </w:p>
      </w:tc>
      <w:tc>
        <w:tcPr>
          <w:tcW w:w="5448" w:type="dxa"/>
          <w:gridSpan w:val="2"/>
          <w:shd w:val="clear" w:color="auto" w:fill="FFFFFF"/>
          <w:tcMar>
            <w:left w:w="108" w:type="dxa"/>
            <w:right w:w="108" w:type="dxa"/>
          </w:tcMar>
        </w:tcPr>
        <w:p w14:paraId="3698D840" w14:textId="77777777" w:rsidR="001B0167" w:rsidRDefault="001B0167" w:rsidP="00632EC6">
          <w:pPr>
            <w:jc w:val="right"/>
            <w:rPr>
              <w:b/>
              <w:szCs w:val="16"/>
            </w:rPr>
          </w:pPr>
          <w:r>
            <w:rPr>
              <w:b/>
              <w:szCs w:val="16"/>
            </w:rPr>
            <w:t>WT/DS499/AB/R</w:t>
          </w:r>
        </w:p>
        <w:p w14:paraId="20ACEF9C" w14:textId="77777777" w:rsidR="001B0167" w:rsidRPr="00EF273A" w:rsidRDefault="001B0167" w:rsidP="00632EC6">
          <w:pPr>
            <w:jc w:val="right"/>
            <w:rPr>
              <w:b/>
              <w:szCs w:val="16"/>
            </w:rPr>
          </w:pPr>
        </w:p>
      </w:tc>
    </w:tr>
    <w:tr w:rsidR="001B0167" w:rsidRPr="00EF273A" w14:paraId="76500CA6" w14:textId="77777777" w:rsidTr="00590D3F">
      <w:trPr>
        <w:trHeight w:val="240"/>
        <w:jc w:val="center"/>
      </w:trPr>
      <w:tc>
        <w:tcPr>
          <w:tcW w:w="3794" w:type="dxa"/>
          <w:vMerge/>
          <w:shd w:val="clear" w:color="auto" w:fill="FFFFFF"/>
          <w:tcMar>
            <w:left w:w="108" w:type="dxa"/>
            <w:right w:w="108" w:type="dxa"/>
          </w:tcMar>
          <w:vAlign w:val="center"/>
        </w:tcPr>
        <w:p w14:paraId="7AC4876B" w14:textId="77777777" w:rsidR="001B0167" w:rsidRPr="00EF273A" w:rsidRDefault="001B0167" w:rsidP="00632EC6"/>
      </w:tc>
      <w:tc>
        <w:tcPr>
          <w:tcW w:w="5448" w:type="dxa"/>
          <w:gridSpan w:val="2"/>
          <w:shd w:val="clear" w:color="auto" w:fill="FFFFFF"/>
          <w:tcMar>
            <w:left w:w="108" w:type="dxa"/>
            <w:right w:w="108" w:type="dxa"/>
          </w:tcMar>
          <w:vAlign w:val="center"/>
        </w:tcPr>
        <w:p w14:paraId="608C02B0" w14:textId="77777777" w:rsidR="001B0167" w:rsidRPr="00EF273A" w:rsidRDefault="001B0167" w:rsidP="00632EC6">
          <w:pPr>
            <w:jc w:val="right"/>
            <w:rPr>
              <w:szCs w:val="16"/>
            </w:rPr>
          </w:pPr>
          <w:r w:rsidRPr="00FA1AB0">
            <w:rPr>
              <w:szCs w:val="16"/>
            </w:rPr>
            <w:t>4 February 2020</w:t>
          </w:r>
        </w:p>
      </w:tc>
    </w:tr>
    <w:tr w:rsidR="001B0167" w:rsidRPr="00EF273A" w14:paraId="243339A0" w14:textId="77777777" w:rsidTr="00590D3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024007" w14:textId="77777777" w:rsidR="001B0167" w:rsidRPr="00EF273A" w:rsidRDefault="001B0167" w:rsidP="00632EC6">
          <w:pPr>
            <w:jc w:val="left"/>
            <w:rPr>
              <w:b/>
            </w:rPr>
          </w:pPr>
          <w:r w:rsidRPr="00EF273A">
            <w:rPr>
              <w:color w:val="FF0000"/>
              <w:szCs w:val="16"/>
            </w:rPr>
            <w:t>(00</w:t>
          </w:r>
          <w:r>
            <w:rPr>
              <w:color w:val="FF0000"/>
              <w:szCs w:val="16"/>
            </w:rPr>
            <w:noBreakHyphen/>
          </w:r>
          <w:r w:rsidRPr="00EF273A">
            <w:rPr>
              <w:color w:val="FF0000"/>
              <w:szCs w:val="16"/>
            </w:rPr>
            <w:t>0000)</w:t>
          </w:r>
        </w:p>
      </w:tc>
      <w:tc>
        <w:tcPr>
          <w:tcW w:w="3325" w:type="dxa"/>
          <w:tcBorders>
            <w:bottom w:val="single" w:sz="4" w:space="0" w:color="auto"/>
          </w:tcBorders>
          <w:tcMar>
            <w:top w:w="0" w:type="dxa"/>
            <w:left w:w="108" w:type="dxa"/>
            <w:bottom w:w="57" w:type="dxa"/>
            <w:right w:w="108" w:type="dxa"/>
          </w:tcMar>
          <w:vAlign w:val="bottom"/>
        </w:tcPr>
        <w:p w14:paraId="095F32F9" w14:textId="77777777" w:rsidR="001B0167" w:rsidRPr="00EF273A" w:rsidRDefault="001B0167" w:rsidP="00632EC6">
          <w:pPr>
            <w:jc w:val="right"/>
            <w:rPr>
              <w:szCs w:val="16"/>
            </w:rPr>
          </w:pPr>
          <w:r w:rsidRPr="00EF273A">
            <w:rPr>
              <w:bCs/>
              <w:szCs w:val="16"/>
            </w:rPr>
            <w:t xml:space="preserve">Page: </w:t>
          </w:r>
          <w:r w:rsidRPr="00EF273A">
            <w:rPr>
              <w:bCs/>
              <w:szCs w:val="16"/>
            </w:rPr>
            <w:fldChar w:fldCharType="begin"/>
          </w:r>
          <w:r w:rsidRPr="00EF273A">
            <w:rPr>
              <w:bCs/>
              <w:szCs w:val="16"/>
            </w:rPr>
            <w:instrText xml:space="preserve"> PAGE  \* Arabic  \* MERGEFORMAT </w:instrText>
          </w:r>
          <w:r w:rsidRPr="00EF273A">
            <w:rPr>
              <w:bCs/>
              <w:szCs w:val="16"/>
            </w:rPr>
            <w:fldChar w:fldCharType="separate"/>
          </w:r>
          <w:r>
            <w:rPr>
              <w:bCs/>
              <w:noProof/>
              <w:szCs w:val="16"/>
            </w:rPr>
            <w:t>1</w:t>
          </w:r>
          <w:r w:rsidRPr="00EF273A">
            <w:rPr>
              <w:bCs/>
              <w:szCs w:val="16"/>
            </w:rPr>
            <w:fldChar w:fldCharType="end"/>
          </w:r>
          <w:r w:rsidRPr="00EF273A">
            <w:rPr>
              <w:bCs/>
              <w:szCs w:val="16"/>
            </w:rPr>
            <w:t>/</w:t>
          </w:r>
          <w:r w:rsidRPr="00EF273A">
            <w:rPr>
              <w:bCs/>
              <w:szCs w:val="16"/>
            </w:rPr>
            <w:fldChar w:fldCharType="begin"/>
          </w:r>
          <w:r w:rsidRPr="00EF273A">
            <w:rPr>
              <w:bCs/>
              <w:szCs w:val="16"/>
            </w:rPr>
            <w:instrText xml:space="preserve"> NUMPAGES  \* Arabic  \* MERGEFORMAT </w:instrText>
          </w:r>
          <w:r w:rsidRPr="00EF273A">
            <w:rPr>
              <w:bCs/>
              <w:szCs w:val="16"/>
            </w:rPr>
            <w:fldChar w:fldCharType="separate"/>
          </w:r>
          <w:r>
            <w:rPr>
              <w:bCs/>
              <w:noProof/>
              <w:szCs w:val="16"/>
            </w:rPr>
            <w:t>2</w:t>
          </w:r>
          <w:r w:rsidRPr="00EF273A">
            <w:rPr>
              <w:bCs/>
              <w:szCs w:val="16"/>
            </w:rPr>
            <w:fldChar w:fldCharType="end"/>
          </w:r>
        </w:p>
      </w:tc>
    </w:tr>
    <w:tr w:rsidR="001B0167" w:rsidRPr="00EF273A" w14:paraId="198DB8E7" w14:textId="77777777" w:rsidTr="00590D3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366752" w14:textId="77777777" w:rsidR="001B0167" w:rsidRPr="00EF273A" w:rsidRDefault="001B0167" w:rsidP="00632EC6">
          <w:pPr>
            <w:jc w:val="left"/>
            <w:rPr>
              <w:sz w:val="14"/>
              <w:szCs w:val="16"/>
            </w:rPr>
          </w:pPr>
          <w:r w:rsidRPr="00EF273A">
            <w:rPr>
              <w:b/>
            </w:rPr>
            <w:t xml:space="preserve"> </w:t>
          </w:r>
        </w:p>
      </w:tc>
      <w:tc>
        <w:tcPr>
          <w:tcW w:w="3325" w:type="dxa"/>
          <w:tcBorders>
            <w:top w:val="single" w:sz="4" w:space="0" w:color="auto"/>
          </w:tcBorders>
          <w:tcMar>
            <w:top w:w="113" w:type="dxa"/>
            <w:left w:w="108" w:type="dxa"/>
            <w:bottom w:w="57" w:type="dxa"/>
            <w:right w:w="108" w:type="dxa"/>
          </w:tcMar>
          <w:vAlign w:val="center"/>
        </w:tcPr>
        <w:p w14:paraId="2E269779" w14:textId="77777777" w:rsidR="001B0167" w:rsidRPr="00EF273A" w:rsidRDefault="001B0167" w:rsidP="00632EC6">
          <w:pPr>
            <w:jc w:val="right"/>
            <w:rPr>
              <w:bCs/>
              <w:szCs w:val="18"/>
            </w:rPr>
          </w:pPr>
          <w:r>
            <w:rPr>
              <w:szCs w:val="18"/>
            </w:rPr>
            <w:t>Original: English</w:t>
          </w:r>
        </w:p>
      </w:tc>
    </w:tr>
  </w:tbl>
  <w:p w14:paraId="6CFB3561" w14:textId="77777777" w:rsidR="001B0167" w:rsidRDefault="001B016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D9138" w14:textId="77777777" w:rsidR="001B0167" w:rsidRPr="001A5E89" w:rsidRDefault="001B0167" w:rsidP="001A5E89">
    <w:pPr>
      <w:pStyle w:val="Header"/>
      <w:pBdr>
        <w:bottom w:val="single" w:sz="4" w:space="1" w:color="auto"/>
      </w:pBdr>
      <w:tabs>
        <w:tab w:val="clear" w:pos="4513"/>
        <w:tab w:val="clear" w:pos="9027"/>
      </w:tabs>
      <w:jc w:val="center"/>
    </w:pPr>
    <w:r w:rsidRPr="001A5E89">
      <w:t>WT/DS499/AB/R</w:t>
    </w:r>
  </w:p>
  <w:p w14:paraId="63D8C591" w14:textId="77777777" w:rsidR="001B0167" w:rsidRPr="001A5E89" w:rsidRDefault="001B0167" w:rsidP="001A5E89">
    <w:pPr>
      <w:pStyle w:val="Header"/>
      <w:pBdr>
        <w:bottom w:val="single" w:sz="4" w:space="1" w:color="auto"/>
      </w:pBdr>
      <w:tabs>
        <w:tab w:val="clear" w:pos="4513"/>
        <w:tab w:val="clear" w:pos="9027"/>
      </w:tabs>
      <w:jc w:val="center"/>
    </w:pPr>
  </w:p>
  <w:p w14:paraId="0E203CAC" w14:textId="77777777" w:rsidR="001B0167" w:rsidRPr="001A5E89" w:rsidRDefault="001B0167" w:rsidP="001A5E89">
    <w:pPr>
      <w:pStyle w:val="Header"/>
      <w:pBdr>
        <w:bottom w:val="single" w:sz="4" w:space="1" w:color="auto"/>
      </w:pBdr>
      <w:tabs>
        <w:tab w:val="clear" w:pos="4513"/>
        <w:tab w:val="clear" w:pos="9027"/>
      </w:tabs>
      <w:jc w:val="center"/>
    </w:pPr>
    <w:r>
      <w:noBreakHyphen/>
    </w:r>
    <w:r w:rsidRPr="001A5E89">
      <w:t xml:space="preserve"> </w:t>
    </w:r>
    <w:r w:rsidRPr="001A5E89">
      <w:fldChar w:fldCharType="begin"/>
    </w:r>
    <w:r w:rsidRPr="001A5E89">
      <w:instrText xml:space="preserve"> PAGE </w:instrText>
    </w:r>
    <w:r w:rsidRPr="001A5E89">
      <w:fldChar w:fldCharType="separate"/>
    </w:r>
    <w:r w:rsidRPr="001A5E89">
      <w:rPr>
        <w:noProof/>
      </w:rPr>
      <w:t>2</w:t>
    </w:r>
    <w:r w:rsidRPr="001A5E89">
      <w:fldChar w:fldCharType="end"/>
    </w:r>
    <w:r w:rsidRPr="001A5E89">
      <w:t xml:space="preserve"> </w:t>
    </w:r>
    <w:r>
      <w:noBreakHyphen/>
    </w:r>
  </w:p>
  <w:p w14:paraId="05C442AB" w14:textId="77777777" w:rsidR="001B0167" w:rsidRPr="001A5E89" w:rsidRDefault="001B0167" w:rsidP="001A5E89">
    <w:pPr>
      <w:pStyle w:val="Header"/>
      <w:tabs>
        <w:tab w:val="clear" w:pos="4513"/>
        <w:tab w:val="clear" w:pos="9027"/>
      </w:tabs>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09155" w14:textId="47A8C0F5" w:rsidR="001B0167" w:rsidRPr="001A5E89" w:rsidRDefault="001B0167" w:rsidP="001A5E89">
    <w:pPr>
      <w:pStyle w:val="Header"/>
      <w:pBdr>
        <w:bottom w:val="single" w:sz="4" w:space="1" w:color="auto"/>
      </w:pBdr>
      <w:tabs>
        <w:tab w:val="clear" w:pos="4513"/>
        <w:tab w:val="clear" w:pos="9027"/>
      </w:tabs>
      <w:jc w:val="center"/>
    </w:pPr>
    <w:r w:rsidRPr="001A5E89">
      <w:t>WT/DS499/AB/R</w:t>
    </w:r>
  </w:p>
  <w:p w14:paraId="26644824" w14:textId="77777777" w:rsidR="001B0167" w:rsidRPr="001A5E89" w:rsidRDefault="001B0167" w:rsidP="001A5E89">
    <w:pPr>
      <w:pStyle w:val="Header"/>
      <w:pBdr>
        <w:bottom w:val="single" w:sz="4" w:space="1" w:color="auto"/>
      </w:pBdr>
      <w:tabs>
        <w:tab w:val="clear" w:pos="4513"/>
        <w:tab w:val="clear" w:pos="9027"/>
      </w:tabs>
      <w:jc w:val="center"/>
    </w:pPr>
  </w:p>
  <w:p w14:paraId="703053E2" w14:textId="77777777" w:rsidR="001B0167" w:rsidRPr="001A5E89" w:rsidRDefault="001B0167" w:rsidP="001A5E89">
    <w:pPr>
      <w:pStyle w:val="Header"/>
      <w:pBdr>
        <w:bottom w:val="single" w:sz="4" w:space="1" w:color="auto"/>
      </w:pBdr>
      <w:tabs>
        <w:tab w:val="clear" w:pos="4513"/>
        <w:tab w:val="clear" w:pos="9027"/>
      </w:tabs>
      <w:jc w:val="center"/>
    </w:pPr>
    <w:r>
      <w:noBreakHyphen/>
    </w:r>
    <w:r w:rsidRPr="001A5E89">
      <w:t xml:space="preserve"> </w:t>
    </w:r>
    <w:r w:rsidRPr="001A5E89">
      <w:fldChar w:fldCharType="begin"/>
    </w:r>
    <w:r w:rsidRPr="001A5E89">
      <w:instrText xml:space="preserve"> PAGE </w:instrText>
    </w:r>
    <w:r w:rsidRPr="001A5E89">
      <w:fldChar w:fldCharType="separate"/>
    </w:r>
    <w:r w:rsidRPr="001A5E89">
      <w:rPr>
        <w:noProof/>
      </w:rPr>
      <w:t>3</w:t>
    </w:r>
    <w:r w:rsidRPr="001A5E89">
      <w:fldChar w:fldCharType="end"/>
    </w:r>
    <w:r w:rsidRPr="001A5E89">
      <w:t xml:space="preserve"> </w:t>
    </w:r>
    <w:r>
      <w:noBreakHyphen/>
    </w:r>
  </w:p>
  <w:p w14:paraId="090EF7E5" w14:textId="77777777" w:rsidR="001B0167" w:rsidRPr="001A5E89" w:rsidRDefault="001B0167" w:rsidP="001A5E89">
    <w:pPr>
      <w:pStyle w:val="Header"/>
      <w:tabs>
        <w:tab w:val="clear" w:pos="4513"/>
        <w:tab w:val="clear" w:pos="9027"/>
      </w:tabs>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B0167" w:rsidRPr="00EF273A" w14:paraId="36588DEF" w14:textId="77777777" w:rsidTr="00590D3F">
      <w:trPr>
        <w:trHeight w:val="240"/>
        <w:jc w:val="center"/>
      </w:trPr>
      <w:tc>
        <w:tcPr>
          <w:tcW w:w="3794" w:type="dxa"/>
          <w:shd w:val="clear" w:color="auto" w:fill="FFFFFF"/>
          <w:tcMar>
            <w:left w:w="108" w:type="dxa"/>
            <w:right w:w="108" w:type="dxa"/>
          </w:tcMar>
          <w:vAlign w:val="center"/>
        </w:tcPr>
        <w:p w14:paraId="43016406" w14:textId="77777777" w:rsidR="001B0167" w:rsidRPr="00EF273A" w:rsidRDefault="001B0167" w:rsidP="00632EC6">
          <w:pPr>
            <w:rPr>
              <w:noProof/>
              <w:lang w:eastAsia="en-GB"/>
            </w:rPr>
          </w:pPr>
        </w:p>
      </w:tc>
      <w:tc>
        <w:tcPr>
          <w:tcW w:w="5448" w:type="dxa"/>
          <w:gridSpan w:val="2"/>
          <w:shd w:val="clear" w:color="auto" w:fill="FFFFFF"/>
          <w:tcMar>
            <w:left w:w="108" w:type="dxa"/>
            <w:right w:w="108" w:type="dxa"/>
          </w:tcMar>
          <w:vAlign w:val="center"/>
        </w:tcPr>
        <w:p w14:paraId="276705DC" w14:textId="77777777" w:rsidR="001B0167" w:rsidRPr="00EF273A" w:rsidRDefault="001B0167" w:rsidP="00632EC6">
          <w:pPr>
            <w:jc w:val="right"/>
            <w:rPr>
              <w:b/>
              <w:color w:val="FF0000"/>
              <w:szCs w:val="16"/>
            </w:rPr>
          </w:pPr>
        </w:p>
      </w:tc>
    </w:tr>
    <w:tr w:rsidR="001B0167" w:rsidRPr="00EF273A" w14:paraId="5AEAA91D" w14:textId="77777777" w:rsidTr="00590D3F">
      <w:trPr>
        <w:trHeight w:val="213"/>
        <w:jc w:val="center"/>
      </w:trPr>
      <w:tc>
        <w:tcPr>
          <w:tcW w:w="3794" w:type="dxa"/>
          <w:vMerge w:val="restart"/>
          <w:shd w:val="clear" w:color="auto" w:fill="FFFFFF"/>
          <w:tcMar>
            <w:left w:w="0" w:type="dxa"/>
            <w:right w:w="0" w:type="dxa"/>
          </w:tcMar>
        </w:tcPr>
        <w:p w14:paraId="7E49C876" w14:textId="77777777" w:rsidR="001B0167" w:rsidRPr="00EF273A" w:rsidRDefault="001B0167" w:rsidP="00632EC6">
          <w:pPr>
            <w:jc w:val="left"/>
          </w:pPr>
          <w:r>
            <w:rPr>
              <w:noProof/>
              <w:lang w:eastAsia="en-GB"/>
            </w:rPr>
            <w:drawing>
              <wp:inline distT="0" distB="0" distL="0" distR="0" wp14:anchorId="249BC487" wp14:editId="06CF2F1C">
                <wp:extent cx="2400300" cy="714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F9C515F" w14:textId="77777777" w:rsidR="001B0167" w:rsidRPr="00EF273A" w:rsidRDefault="001B0167" w:rsidP="00632EC6">
          <w:pPr>
            <w:jc w:val="right"/>
            <w:rPr>
              <w:b/>
              <w:szCs w:val="16"/>
            </w:rPr>
          </w:pPr>
        </w:p>
      </w:tc>
    </w:tr>
    <w:tr w:rsidR="001B0167" w:rsidRPr="00EF273A" w14:paraId="4CDCD318" w14:textId="77777777" w:rsidTr="00590D3F">
      <w:trPr>
        <w:trHeight w:val="868"/>
        <w:jc w:val="center"/>
      </w:trPr>
      <w:tc>
        <w:tcPr>
          <w:tcW w:w="3794" w:type="dxa"/>
          <w:vMerge/>
          <w:shd w:val="clear" w:color="auto" w:fill="FFFFFF"/>
          <w:tcMar>
            <w:left w:w="108" w:type="dxa"/>
            <w:right w:w="108" w:type="dxa"/>
          </w:tcMar>
        </w:tcPr>
        <w:p w14:paraId="7766A442" w14:textId="77777777" w:rsidR="001B0167" w:rsidRPr="00EF273A" w:rsidRDefault="001B0167" w:rsidP="00632EC6">
          <w:pPr>
            <w:jc w:val="left"/>
            <w:rPr>
              <w:noProof/>
              <w:lang w:eastAsia="en-GB"/>
            </w:rPr>
          </w:pPr>
        </w:p>
      </w:tc>
      <w:tc>
        <w:tcPr>
          <w:tcW w:w="5448" w:type="dxa"/>
          <w:gridSpan w:val="2"/>
          <w:shd w:val="clear" w:color="auto" w:fill="FFFFFF"/>
          <w:tcMar>
            <w:left w:w="108" w:type="dxa"/>
            <w:right w:w="108" w:type="dxa"/>
          </w:tcMar>
        </w:tcPr>
        <w:p w14:paraId="37B8794E" w14:textId="77777777" w:rsidR="001B0167" w:rsidRDefault="001B0167" w:rsidP="00632EC6">
          <w:pPr>
            <w:jc w:val="right"/>
            <w:rPr>
              <w:b/>
              <w:szCs w:val="16"/>
            </w:rPr>
          </w:pPr>
          <w:r>
            <w:rPr>
              <w:b/>
              <w:szCs w:val="16"/>
            </w:rPr>
            <w:t>WT/DS499/AB/R</w:t>
          </w:r>
        </w:p>
        <w:p w14:paraId="3B126C98" w14:textId="77777777" w:rsidR="001B0167" w:rsidRPr="00EF273A" w:rsidRDefault="001B0167" w:rsidP="00632EC6">
          <w:pPr>
            <w:jc w:val="right"/>
            <w:rPr>
              <w:b/>
              <w:szCs w:val="16"/>
            </w:rPr>
          </w:pPr>
        </w:p>
      </w:tc>
    </w:tr>
    <w:tr w:rsidR="001B0167" w:rsidRPr="00EF273A" w14:paraId="13E899EE" w14:textId="77777777" w:rsidTr="00590D3F">
      <w:trPr>
        <w:trHeight w:val="240"/>
        <w:jc w:val="center"/>
      </w:trPr>
      <w:tc>
        <w:tcPr>
          <w:tcW w:w="3794" w:type="dxa"/>
          <w:vMerge/>
          <w:shd w:val="clear" w:color="auto" w:fill="FFFFFF"/>
          <w:tcMar>
            <w:left w:w="108" w:type="dxa"/>
            <w:right w:w="108" w:type="dxa"/>
          </w:tcMar>
          <w:vAlign w:val="center"/>
        </w:tcPr>
        <w:p w14:paraId="4E9B0B52" w14:textId="77777777" w:rsidR="001B0167" w:rsidRPr="00EF273A" w:rsidRDefault="001B0167" w:rsidP="00632EC6"/>
      </w:tc>
      <w:tc>
        <w:tcPr>
          <w:tcW w:w="5448" w:type="dxa"/>
          <w:gridSpan w:val="2"/>
          <w:shd w:val="clear" w:color="auto" w:fill="FFFFFF"/>
          <w:tcMar>
            <w:left w:w="108" w:type="dxa"/>
            <w:right w:w="108" w:type="dxa"/>
          </w:tcMar>
          <w:vAlign w:val="center"/>
        </w:tcPr>
        <w:p w14:paraId="2D0E2D32" w14:textId="77777777" w:rsidR="001B0167" w:rsidRPr="00EF273A" w:rsidRDefault="001B0167" w:rsidP="00632EC6">
          <w:pPr>
            <w:jc w:val="right"/>
            <w:rPr>
              <w:szCs w:val="16"/>
            </w:rPr>
          </w:pPr>
          <w:r w:rsidRPr="00FA1AB0">
            <w:rPr>
              <w:szCs w:val="16"/>
            </w:rPr>
            <w:t>4 February 2020</w:t>
          </w:r>
        </w:p>
      </w:tc>
    </w:tr>
    <w:tr w:rsidR="001B0167" w:rsidRPr="00EF273A" w14:paraId="7C03FA2A" w14:textId="77777777" w:rsidTr="00590D3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65ECDE" w14:textId="77777777" w:rsidR="001B0167" w:rsidRPr="00EF273A" w:rsidRDefault="001B0167" w:rsidP="00632EC6">
          <w:pPr>
            <w:jc w:val="left"/>
            <w:rPr>
              <w:b/>
            </w:rPr>
          </w:pPr>
          <w:r w:rsidRPr="00EF273A">
            <w:rPr>
              <w:color w:val="FF0000"/>
              <w:szCs w:val="16"/>
            </w:rPr>
            <w:t>(00</w:t>
          </w:r>
          <w:r>
            <w:rPr>
              <w:color w:val="FF0000"/>
              <w:szCs w:val="16"/>
            </w:rPr>
            <w:noBreakHyphen/>
          </w:r>
          <w:r w:rsidRPr="00EF273A">
            <w:rPr>
              <w:color w:val="FF0000"/>
              <w:szCs w:val="16"/>
            </w:rPr>
            <w:t>0000)</w:t>
          </w:r>
        </w:p>
      </w:tc>
      <w:tc>
        <w:tcPr>
          <w:tcW w:w="3325" w:type="dxa"/>
          <w:tcBorders>
            <w:bottom w:val="single" w:sz="4" w:space="0" w:color="auto"/>
          </w:tcBorders>
          <w:tcMar>
            <w:top w:w="0" w:type="dxa"/>
            <w:left w:w="108" w:type="dxa"/>
            <w:bottom w:w="57" w:type="dxa"/>
            <w:right w:w="108" w:type="dxa"/>
          </w:tcMar>
          <w:vAlign w:val="bottom"/>
        </w:tcPr>
        <w:p w14:paraId="2A3CDD56" w14:textId="77777777" w:rsidR="001B0167" w:rsidRPr="00EF273A" w:rsidRDefault="001B0167" w:rsidP="00632EC6">
          <w:pPr>
            <w:jc w:val="right"/>
            <w:rPr>
              <w:szCs w:val="16"/>
            </w:rPr>
          </w:pPr>
          <w:r w:rsidRPr="00EF273A">
            <w:rPr>
              <w:bCs/>
              <w:szCs w:val="16"/>
            </w:rPr>
            <w:t xml:space="preserve">Page: </w:t>
          </w:r>
          <w:r w:rsidRPr="00EF273A">
            <w:rPr>
              <w:bCs/>
              <w:szCs w:val="16"/>
            </w:rPr>
            <w:fldChar w:fldCharType="begin"/>
          </w:r>
          <w:r w:rsidRPr="00EF273A">
            <w:rPr>
              <w:bCs/>
              <w:szCs w:val="16"/>
            </w:rPr>
            <w:instrText xml:space="preserve"> PAGE  \* Arabic  \* MERGEFORMAT </w:instrText>
          </w:r>
          <w:r w:rsidRPr="00EF273A">
            <w:rPr>
              <w:bCs/>
              <w:szCs w:val="16"/>
            </w:rPr>
            <w:fldChar w:fldCharType="separate"/>
          </w:r>
          <w:r>
            <w:rPr>
              <w:bCs/>
              <w:noProof/>
              <w:szCs w:val="16"/>
            </w:rPr>
            <w:t>1</w:t>
          </w:r>
          <w:r w:rsidRPr="00EF273A">
            <w:rPr>
              <w:bCs/>
              <w:szCs w:val="16"/>
            </w:rPr>
            <w:fldChar w:fldCharType="end"/>
          </w:r>
          <w:r w:rsidRPr="00EF273A">
            <w:rPr>
              <w:bCs/>
              <w:szCs w:val="16"/>
            </w:rPr>
            <w:t>/</w:t>
          </w:r>
          <w:r w:rsidRPr="00EF273A">
            <w:rPr>
              <w:bCs/>
              <w:szCs w:val="16"/>
            </w:rPr>
            <w:fldChar w:fldCharType="begin"/>
          </w:r>
          <w:r w:rsidRPr="00EF273A">
            <w:rPr>
              <w:bCs/>
              <w:szCs w:val="16"/>
            </w:rPr>
            <w:instrText xml:space="preserve"> NUMPAGES  \* Arabic  \* MERGEFORMAT </w:instrText>
          </w:r>
          <w:r w:rsidRPr="00EF273A">
            <w:rPr>
              <w:bCs/>
              <w:szCs w:val="16"/>
            </w:rPr>
            <w:fldChar w:fldCharType="separate"/>
          </w:r>
          <w:r>
            <w:rPr>
              <w:bCs/>
              <w:noProof/>
              <w:szCs w:val="16"/>
            </w:rPr>
            <w:t>2</w:t>
          </w:r>
          <w:r w:rsidRPr="00EF273A">
            <w:rPr>
              <w:bCs/>
              <w:szCs w:val="16"/>
            </w:rPr>
            <w:fldChar w:fldCharType="end"/>
          </w:r>
        </w:p>
      </w:tc>
    </w:tr>
    <w:tr w:rsidR="001B0167" w:rsidRPr="00EF273A" w14:paraId="59EDD1A4" w14:textId="77777777" w:rsidTr="00590D3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A119DD" w14:textId="77777777" w:rsidR="001B0167" w:rsidRPr="00EF273A" w:rsidRDefault="001B0167" w:rsidP="00632EC6">
          <w:pPr>
            <w:jc w:val="left"/>
            <w:rPr>
              <w:sz w:val="14"/>
              <w:szCs w:val="16"/>
            </w:rPr>
          </w:pPr>
          <w:r w:rsidRPr="00EF273A">
            <w:rPr>
              <w:b/>
            </w:rPr>
            <w:t xml:space="preserve"> </w:t>
          </w:r>
        </w:p>
      </w:tc>
      <w:tc>
        <w:tcPr>
          <w:tcW w:w="3325" w:type="dxa"/>
          <w:tcBorders>
            <w:top w:val="single" w:sz="4" w:space="0" w:color="auto"/>
          </w:tcBorders>
          <w:tcMar>
            <w:top w:w="113" w:type="dxa"/>
            <w:left w:w="108" w:type="dxa"/>
            <w:bottom w:w="57" w:type="dxa"/>
            <w:right w:w="108" w:type="dxa"/>
          </w:tcMar>
          <w:vAlign w:val="center"/>
        </w:tcPr>
        <w:p w14:paraId="226A0FD3" w14:textId="77777777" w:rsidR="001B0167" w:rsidRPr="00EF273A" w:rsidRDefault="001B0167" w:rsidP="00632EC6">
          <w:pPr>
            <w:jc w:val="right"/>
            <w:rPr>
              <w:bCs/>
              <w:szCs w:val="18"/>
            </w:rPr>
          </w:pPr>
          <w:r>
            <w:rPr>
              <w:szCs w:val="18"/>
            </w:rPr>
            <w:t>Original: English</w:t>
          </w:r>
        </w:p>
      </w:tc>
    </w:tr>
  </w:tbl>
  <w:p w14:paraId="13905F11" w14:textId="77777777" w:rsidR="001B0167" w:rsidRDefault="001B0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C248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0E6B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6E55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07E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2AF0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276B9"/>
    <w:multiLevelType w:val="multilevel"/>
    <w:tmpl w:val="075A666C"/>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2"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02EED9BE"/>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4" w15:restartNumberingAfterBreak="0">
    <w:nsid w:val="605B606A"/>
    <w:multiLevelType w:val="multilevel"/>
    <w:tmpl w:val="075A666C"/>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9632BF1"/>
    <w:multiLevelType w:val="multilevel"/>
    <w:tmpl w:val="075A666C"/>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num w:numId="1">
    <w:abstractNumId w:val="13"/>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
    <w:abstractNumId w:val="13"/>
    <w:lvlOverride w:ilvl="0">
      <w:lvl w:ilvl="0">
        <w:start w:val="1"/>
        <w:numFmt w:val="decimal"/>
        <w:pStyle w:val="Heading1"/>
        <w:isLgl/>
        <w:suff w:val="nothing"/>
        <w:lvlText w:val="%1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sz w:val="20"/>
          <w:szCs w:val="20"/>
        </w:rPr>
      </w:lvl>
    </w:lvlOverride>
  </w:num>
  <w:num w:numId="3">
    <w:abstractNumId w:val="12"/>
  </w:num>
  <w:num w:numId="4">
    <w:abstractNumId w:val="15"/>
  </w:num>
  <w:num w:numId="5">
    <w:abstractNumId w:val="8"/>
  </w:num>
  <w:num w:numId="6">
    <w:abstractNumId w:val="3"/>
  </w:num>
  <w:num w:numId="7">
    <w:abstractNumId w:val="2"/>
  </w:num>
  <w:num w:numId="8">
    <w:abstractNumId w:val="1"/>
  </w:num>
  <w:num w:numId="9">
    <w:abstractNumId w:val="0"/>
  </w:num>
  <w:num w:numId="10">
    <w:abstractNumId w:val="13"/>
    <w:lvlOverride w:ilvl="0">
      <w:lvl w:ilvl="0">
        <w:start w:val="1"/>
        <w:numFmt w:val="decimal"/>
        <w:pStyle w:val="Heading1"/>
        <w:isLgl/>
        <w:suff w:val="nothing"/>
        <w:lvlText w:val="%1  "/>
        <w:lvlJc w:val="left"/>
        <w:pPr>
          <w:ind w:left="0" w:firstLine="0"/>
        </w:pPr>
        <w:rPr>
          <w:rFonts w:hint="default"/>
        </w:rPr>
      </w:lvl>
    </w:lvlOverride>
  </w:num>
  <w:num w:numId="11">
    <w:abstractNumId w:val="13"/>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2">
    <w:abstractNumId w:val="13"/>
    <w:lvlOverride w:ilvl="0">
      <w:lvl w:ilvl="0">
        <w:start w:val="1"/>
        <w:numFmt w:val="decimal"/>
        <w:pStyle w:val="Heading1"/>
        <w:isLgl/>
        <w:suff w:val="nothing"/>
        <w:lvlText w:val="%1  "/>
        <w:lvlJc w:val="left"/>
        <w:pPr>
          <w:ind w:left="0" w:firstLine="0"/>
        </w:pPr>
        <w:rPr>
          <w:rFonts w:hint="default"/>
        </w:rPr>
      </w:lvl>
    </w:lvlOverride>
  </w:num>
  <w:num w:numId="13">
    <w:abstractNumId w:val="13"/>
  </w:num>
  <w:num w:numId="14">
    <w:abstractNumId w:val="13"/>
    <w:lvlOverride w:ilvl="0">
      <w:lvl w:ilvl="0">
        <w:start w:val="1"/>
        <w:numFmt w:val="decimal"/>
        <w:pStyle w:val="Heading1"/>
        <w:isLgl/>
        <w:suff w:val="nothing"/>
        <w:lvlText w:val="%1  "/>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suff w:val="nothing"/>
        <w:lvlText w:val="%1.%2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lvlRestart w:val="1"/>
        <w:pStyle w:val="BodyText"/>
        <w:isLgl/>
        <w:suff w:val="nothing"/>
        <w:lvlText w:val="%1.%7.  "/>
        <w:lvlJc w:val="left"/>
        <w:pPr>
          <w:ind w:left="0" w:firstLine="0"/>
        </w:pPr>
        <w:rPr>
          <w:rFonts w:hint="default"/>
        </w:rPr>
      </w:lvl>
    </w:lvlOverride>
  </w:num>
  <w:num w:numId="15">
    <w:abstractNumId w:val="13"/>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16">
    <w:abstractNumId w:val="13"/>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17">
    <w:abstractNumId w:val="16"/>
  </w:num>
  <w:num w:numId="18">
    <w:abstractNumId w:val="11"/>
  </w:num>
  <w:num w:numId="19">
    <w:abstractNumId w:val="14"/>
  </w:num>
  <w:num w:numId="20">
    <w:abstractNumId w:val="13"/>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1">
    <w:abstractNumId w:val="13"/>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2">
    <w:abstractNumId w:val="13"/>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5">
    <w:abstractNumId w:val="13"/>
    <w:lvlOverride w:ilvl="0">
      <w:lvl w:ilvl="0">
        <w:start w:val="1"/>
        <w:numFmt w:val="decimal"/>
        <w:pStyle w:val="Heading1"/>
        <w:isLgl/>
        <w:suff w:val="nothing"/>
        <w:lvlText w:val="%1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sz w:val="20"/>
          <w:szCs w:val="20"/>
        </w:rPr>
      </w:lvl>
    </w:lvlOverride>
  </w:num>
  <w:num w:numId="26">
    <w:abstractNumId w:val="13"/>
    <w:lvlOverride w:ilvl="0">
      <w:lvl w:ilvl="0">
        <w:start w:val="1"/>
        <w:numFmt w:val="decimal"/>
        <w:pStyle w:val="Heading1"/>
        <w:isLgl/>
        <w:suff w:val="nothing"/>
        <w:lvlText w:val="%1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sz w:val="20"/>
          <w:szCs w:val="20"/>
        </w:rPr>
      </w:lvl>
    </w:lvlOverride>
  </w:num>
  <w:num w:numId="27">
    <w:abstractNumId w:val="13"/>
    <w:lvlOverride w:ilvl="0">
      <w:lvl w:ilvl="0">
        <w:start w:val="1"/>
        <w:numFmt w:val="decimal"/>
        <w:pStyle w:val="Heading1"/>
        <w:isLgl/>
        <w:suff w:val="nothing"/>
        <w:lvlText w:val="%1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sz w:val="20"/>
          <w:szCs w:val="20"/>
        </w:rPr>
      </w:lvl>
    </w:lvlOverride>
  </w:num>
  <w:num w:numId="28">
    <w:abstractNumId w:val="13"/>
    <w:lvlOverride w:ilvl="0">
      <w:lvl w:ilvl="0">
        <w:start w:val="1"/>
        <w:numFmt w:val="decimal"/>
        <w:pStyle w:val="Heading1"/>
        <w:isLgl/>
        <w:suff w:val="nothing"/>
        <w:lvlText w:val="%1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sz w:val="20"/>
          <w:szCs w:val="20"/>
        </w:rPr>
      </w:lvl>
    </w:lvlOverride>
  </w:num>
  <w:num w:numId="29">
    <w:abstractNumId w:val="9"/>
  </w:num>
  <w:num w:numId="30">
    <w:abstractNumId w:val="7"/>
  </w:num>
  <w:num w:numId="31">
    <w:abstractNumId w:val="6"/>
  </w:num>
  <w:num w:numId="32">
    <w:abstractNumId w:val="5"/>
  </w:num>
  <w:num w:numId="33">
    <w:abstractNumId w:val="4"/>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567"/>
  <w:characterSpacingControl w:val="doNotCompress"/>
  <w:hdrShapeDefaults>
    <o:shapedefaults v:ext="edit" spidmax="2049"/>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89"/>
    <w:rsid w:val="0000030E"/>
    <w:rsid w:val="00002DD6"/>
    <w:rsid w:val="00003769"/>
    <w:rsid w:val="00006DA0"/>
    <w:rsid w:val="00016852"/>
    <w:rsid w:val="00017398"/>
    <w:rsid w:val="00020AD6"/>
    <w:rsid w:val="00020FF0"/>
    <w:rsid w:val="00021D8C"/>
    <w:rsid w:val="000272F6"/>
    <w:rsid w:val="00027A3D"/>
    <w:rsid w:val="00034F08"/>
    <w:rsid w:val="00037AC4"/>
    <w:rsid w:val="0004023E"/>
    <w:rsid w:val="000422A2"/>
    <w:rsid w:val="00043638"/>
    <w:rsid w:val="00044E6E"/>
    <w:rsid w:val="000456DF"/>
    <w:rsid w:val="00045BFA"/>
    <w:rsid w:val="00051443"/>
    <w:rsid w:val="000524B5"/>
    <w:rsid w:val="00053C57"/>
    <w:rsid w:val="00055160"/>
    <w:rsid w:val="0006042C"/>
    <w:rsid w:val="00061341"/>
    <w:rsid w:val="00062D99"/>
    <w:rsid w:val="0006417D"/>
    <w:rsid w:val="00066961"/>
    <w:rsid w:val="00067076"/>
    <w:rsid w:val="00071183"/>
    <w:rsid w:val="00073ED5"/>
    <w:rsid w:val="00073EDB"/>
    <w:rsid w:val="00080388"/>
    <w:rsid w:val="000806BD"/>
    <w:rsid w:val="00081D15"/>
    <w:rsid w:val="00081FFF"/>
    <w:rsid w:val="00082CC5"/>
    <w:rsid w:val="00083D69"/>
    <w:rsid w:val="000870D4"/>
    <w:rsid w:val="000871BE"/>
    <w:rsid w:val="000919E4"/>
    <w:rsid w:val="00092C41"/>
    <w:rsid w:val="00093C73"/>
    <w:rsid w:val="00094B2E"/>
    <w:rsid w:val="00096865"/>
    <w:rsid w:val="000A1130"/>
    <w:rsid w:val="000A1505"/>
    <w:rsid w:val="000A3FFD"/>
    <w:rsid w:val="000A4945"/>
    <w:rsid w:val="000A5E09"/>
    <w:rsid w:val="000A6FDE"/>
    <w:rsid w:val="000A7A07"/>
    <w:rsid w:val="000A7F54"/>
    <w:rsid w:val="000B2C13"/>
    <w:rsid w:val="000B31E1"/>
    <w:rsid w:val="000B38D9"/>
    <w:rsid w:val="000B56D8"/>
    <w:rsid w:val="000B5F16"/>
    <w:rsid w:val="000B789D"/>
    <w:rsid w:val="000C25AD"/>
    <w:rsid w:val="000C3A37"/>
    <w:rsid w:val="000C4227"/>
    <w:rsid w:val="000C446F"/>
    <w:rsid w:val="000C4851"/>
    <w:rsid w:val="000C73C1"/>
    <w:rsid w:val="000C7F76"/>
    <w:rsid w:val="000D7165"/>
    <w:rsid w:val="000D7A63"/>
    <w:rsid w:val="000E10B4"/>
    <w:rsid w:val="000E71F6"/>
    <w:rsid w:val="000F1664"/>
    <w:rsid w:val="000F198A"/>
    <w:rsid w:val="000F44C3"/>
    <w:rsid w:val="000F7302"/>
    <w:rsid w:val="00100630"/>
    <w:rsid w:val="00103B28"/>
    <w:rsid w:val="00103FB7"/>
    <w:rsid w:val="00104DEB"/>
    <w:rsid w:val="00106CFC"/>
    <w:rsid w:val="00111587"/>
    <w:rsid w:val="001119AC"/>
    <w:rsid w:val="00112394"/>
    <w:rsid w:val="0011356B"/>
    <w:rsid w:val="001202AD"/>
    <w:rsid w:val="00120EA7"/>
    <w:rsid w:val="00121ADF"/>
    <w:rsid w:val="00121F81"/>
    <w:rsid w:val="00123A53"/>
    <w:rsid w:val="00124AA6"/>
    <w:rsid w:val="00125605"/>
    <w:rsid w:val="00130732"/>
    <w:rsid w:val="0013337F"/>
    <w:rsid w:val="00134ED2"/>
    <w:rsid w:val="00136A47"/>
    <w:rsid w:val="00141020"/>
    <w:rsid w:val="001437DD"/>
    <w:rsid w:val="00143BF2"/>
    <w:rsid w:val="0014455C"/>
    <w:rsid w:val="001464CA"/>
    <w:rsid w:val="0015116C"/>
    <w:rsid w:val="00151192"/>
    <w:rsid w:val="0015194F"/>
    <w:rsid w:val="00154CA3"/>
    <w:rsid w:val="00155290"/>
    <w:rsid w:val="00155F1C"/>
    <w:rsid w:val="00156D9A"/>
    <w:rsid w:val="00157843"/>
    <w:rsid w:val="0016238F"/>
    <w:rsid w:val="00167E23"/>
    <w:rsid w:val="001722EB"/>
    <w:rsid w:val="00173547"/>
    <w:rsid w:val="00173882"/>
    <w:rsid w:val="00173F39"/>
    <w:rsid w:val="00174A77"/>
    <w:rsid w:val="001750A7"/>
    <w:rsid w:val="001751F0"/>
    <w:rsid w:val="00180E86"/>
    <w:rsid w:val="0018277E"/>
    <w:rsid w:val="00182B84"/>
    <w:rsid w:val="00185C2B"/>
    <w:rsid w:val="001864D8"/>
    <w:rsid w:val="001878E3"/>
    <w:rsid w:val="001879A5"/>
    <w:rsid w:val="001918BD"/>
    <w:rsid w:val="00192C76"/>
    <w:rsid w:val="0019437F"/>
    <w:rsid w:val="001945AD"/>
    <w:rsid w:val="0019516B"/>
    <w:rsid w:val="00195A36"/>
    <w:rsid w:val="001A0B9E"/>
    <w:rsid w:val="001A2E34"/>
    <w:rsid w:val="001A5E89"/>
    <w:rsid w:val="001A600F"/>
    <w:rsid w:val="001B0167"/>
    <w:rsid w:val="001B7C09"/>
    <w:rsid w:val="001C0117"/>
    <w:rsid w:val="001C3451"/>
    <w:rsid w:val="001C550F"/>
    <w:rsid w:val="001D1B9E"/>
    <w:rsid w:val="001D2F2E"/>
    <w:rsid w:val="001D5E61"/>
    <w:rsid w:val="001E0D85"/>
    <w:rsid w:val="001E14DA"/>
    <w:rsid w:val="001E291F"/>
    <w:rsid w:val="001E2D8C"/>
    <w:rsid w:val="001E54D5"/>
    <w:rsid w:val="001E7633"/>
    <w:rsid w:val="001E7B72"/>
    <w:rsid w:val="001F13B4"/>
    <w:rsid w:val="001F2033"/>
    <w:rsid w:val="001F2546"/>
    <w:rsid w:val="001F2D72"/>
    <w:rsid w:val="001F51AB"/>
    <w:rsid w:val="001F6E53"/>
    <w:rsid w:val="001F7F10"/>
    <w:rsid w:val="0020003B"/>
    <w:rsid w:val="00206BC0"/>
    <w:rsid w:val="002074B1"/>
    <w:rsid w:val="002108BA"/>
    <w:rsid w:val="002112A9"/>
    <w:rsid w:val="00212213"/>
    <w:rsid w:val="00212D96"/>
    <w:rsid w:val="00213598"/>
    <w:rsid w:val="002219C3"/>
    <w:rsid w:val="0022542A"/>
    <w:rsid w:val="002263A0"/>
    <w:rsid w:val="002271F3"/>
    <w:rsid w:val="002278A3"/>
    <w:rsid w:val="00232ED5"/>
    <w:rsid w:val="00233408"/>
    <w:rsid w:val="00241174"/>
    <w:rsid w:val="002420DE"/>
    <w:rsid w:val="00242149"/>
    <w:rsid w:val="002456A6"/>
    <w:rsid w:val="00245D5C"/>
    <w:rsid w:val="002479B6"/>
    <w:rsid w:val="00250031"/>
    <w:rsid w:val="00250682"/>
    <w:rsid w:val="00250B5D"/>
    <w:rsid w:val="00251FAA"/>
    <w:rsid w:val="0025346E"/>
    <w:rsid w:val="00254E08"/>
    <w:rsid w:val="00256B0E"/>
    <w:rsid w:val="00256D4A"/>
    <w:rsid w:val="00257D6A"/>
    <w:rsid w:val="00264868"/>
    <w:rsid w:val="0027067B"/>
    <w:rsid w:val="00272144"/>
    <w:rsid w:val="00274F5E"/>
    <w:rsid w:val="00276C4B"/>
    <w:rsid w:val="00277676"/>
    <w:rsid w:val="00282A02"/>
    <w:rsid w:val="0028320C"/>
    <w:rsid w:val="00285839"/>
    <w:rsid w:val="00287D7C"/>
    <w:rsid w:val="00293100"/>
    <w:rsid w:val="00294516"/>
    <w:rsid w:val="00294E2D"/>
    <w:rsid w:val="002979B1"/>
    <w:rsid w:val="002A0707"/>
    <w:rsid w:val="002A0B08"/>
    <w:rsid w:val="002A0FD9"/>
    <w:rsid w:val="002A475C"/>
    <w:rsid w:val="002A5682"/>
    <w:rsid w:val="002A61C7"/>
    <w:rsid w:val="002B11E1"/>
    <w:rsid w:val="002B3312"/>
    <w:rsid w:val="002B66F3"/>
    <w:rsid w:val="002C4409"/>
    <w:rsid w:val="002C520E"/>
    <w:rsid w:val="002C630A"/>
    <w:rsid w:val="002C6C05"/>
    <w:rsid w:val="002D2B90"/>
    <w:rsid w:val="002D3231"/>
    <w:rsid w:val="002D7503"/>
    <w:rsid w:val="002E14E7"/>
    <w:rsid w:val="002E2B34"/>
    <w:rsid w:val="002E3363"/>
    <w:rsid w:val="002E39BA"/>
    <w:rsid w:val="002E430F"/>
    <w:rsid w:val="002E5733"/>
    <w:rsid w:val="002E6496"/>
    <w:rsid w:val="002E74F6"/>
    <w:rsid w:val="002F201F"/>
    <w:rsid w:val="002F377E"/>
    <w:rsid w:val="002F611C"/>
    <w:rsid w:val="002F647A"/>
    <w:rsid w:val="002F7009"/>
    <w:rsid w:val="002F7A22"/>
    <w:rsid w:val="00302A70"/>
    <w:rsid w:val="003070A1"/>
    <w:rsid w:val="00313C19"/>
    <w:rsid w:val="003145A1"/>
    <w:rsid w:val="00316AD9"/>
    <w:rsid w:val="00317DA6"/>
    <w:rsid w:val="00322BB8"/>
    <w:rsid w:val="00327345"/>
    <w:rsid w:val="00327BCD"/>
    <w:rsid w:val="0033089D"/>
    <w:rsid w:val="00330CCA"/>
    <w:rsid w:val="00331B7E"/>
    <w:rsid w:val="00335FB0"/>
    <w:rsid w:val="003369A2"/>
    <w:rsid w:val="00337A94"/>
    <w:rsid w:val="00341531"/>
    <w:rsid w:val="00341958"/>
    <w:rsid w:val="00343DF8"/>
    <w:rsid w:val="003444BE"/>
    <w:rsid w:val="003472F4"/>
    <w:rsid w:val="0035087B"/>
    <w:rsid w:val="00351110"/>
    <w:rsid w:val="003572B4"/>
    <w:rsid w:val="00360693"/>
    <w:rsid w:val="00360B12"/>
    <w:rsid w:val="003617AB"/>
    <w:rsid w:val="003622F1"/>
    <w:rsid w:val="00364FCD"/>
    <w:rsid w:val="00366172"/>
    <w:rsid w:val="00372535"/>
    <w:rsid w:val="00372602"/>
    <w:rsid w:val="00385C4B"/>
    <w:rsid w:val="00387C82"/>
    <w:rsid w:val="003901D1"/>
    <w:rsid w:val="00393AB7"/>
    <w:rsid w:val="003944FE"/>
    <w:rsid w:val="00396207"/>
    <w:rsid w:val="00396E4B"/>
    <w:rsid w:val="003A0044"/>
    <w:rsid w:val="003A1A50"/>
    <w:rsid w:val="003A4124"/>
    <w:rsid w:val="003A79E5"/>
    <w:rsid w:val="003A7C53"/>
    <w:rsid w:val="003B1269"/>
    <w:rsid w:val="003B2BFE"/>
    <w:rsid w:val="003B33E7"/>
    <w:rsid w:val="003B3ABC"/>
    <w:rsid w:val="003B4643"/>
    <w:rsid w:val="003B54DD"/>
    <w:rsid w:val="003B6821"/>
    <w:rsid w:val="003C1C33"/>
    <w:rsid w:val="003C214B"/>
    <w:rsid w:val="003C683A"/>
    <w:rsid w:val="003D01DD"/>
    <w:rsid w:val="003D1629"/>
    <w:rsid w:val="003D3DF7"/>
    <w:rsid w:val="003E267A"/>
    <w:rsid w:val="003E3C32"/>
    <w:rsid w:val="003E52E0"/>
    <w:rsid w:val="003E774A"/>
    <w:rsid w:val="003E7DA0"/>
    <w:rsid w:val="003F110A"/>
    <w:rsid w:val="003F3D94"/>
    <w:rsid w:val="003F4162"/>
    <w:rsid w:val="003F4729"/>
    <w:rsid w:val="004003B5"/>
    <w:rsid w:val="004016EA"/>
    <w:rsid w:val="00402528"/>
    <w:rsid w:val="00403240"/>
    <w:rsid w:val="0040496D"/>
    <w:rsid w:val="004057E3"/>
    <w:rsid w:val="00405A03"/>
    <w:rsid w:val="004115D4"/>
    <w:rsid w:val="004154EF"/>
    <w:rsid w:val="004156FF"/>
    <w:rsid w:val="0043379D"/>
    <w:rsid w:val="00435927"/>
    <w:rsid w:val="00436FD8"/>
    <w:rsid w:val="00441096"/>
    <w:rsid w:val="004410D1"/>
    <w:rsid w:val="00441345"/>
    <w:rsid w:val="00446504"/>
    <w:rsid w:val="004467B9"/>
    <w:rsid w:val="004518D1"/>
    <w:rsid w:val="004526D1"/>
    <w:rsid w:val="0045502B"/>
    <w:rsid w:val="0046326B"/>
    <w:rsid w:val="0046369A"/>
    <w:rsid w:val="0046408F"/>
    <w:rsid w:val="004648E8"/>
    <w:rsid w:val="0046631A"/>
    <w:rsid w:val="00467032"/>
    <w:rsid w:val="0046754A"/>
    <w:rsid w:val="0047264A"/>
    <w:rsid w:val="00480A69"/>
    <w:rsid w:val="00480C39"/>
    <w:rsid w:val="00480C91"/>
    <w:rsid w:val="004858CF"/>
    <w:rsid w:val="00485E03"/>
    <w:rsid w:val="00486463"/>
    <w:rsid w:val="00491C8D"/>
    <w:rsid w:val="00492022"/>
    <w:rsid w:val="0049566A"/>
    <w:rsid w:val="00497440"/>
    <w:rsid w:val="004A4124"/>
    <w:rsid w:val="004A4504"/>
    <w:rsid w:val="004A4B53"/>
    <w:rsid w:val="004A7D47"/>
    <w:rsid w:val="004B052A"/>
    <w:rsid w:val="004B08A6"/>
    <w:rsid w:val="004B28FB"/>
    <w:rsid w:val="004B5197"/>
    <w:rsid w:val="004B7938"/>
    <w:rsid w:val="004C2150"/>
    <w:rsid w:val="004C675E"/>
    <w:rsid w:val="004C6DF9"/>
    <w:rsid w:val="004D1666"/>
    <w:rsid w:val="004D38B6"/>
    <w:rsid w:val="004D48A1"/>
    <w:rsid w:val="004D4CA6"/>
    <w:rsid w:val="004D7FDE"/>
    <w:rsid w:val="004E422F"/>
    <w:rsid w:val="004E5553"/>
    <w:rsid w:val="004F11B3"/>
    <w:rsid w:val="004F203A"/>
    <w:rsid w:val="005008B7"/>
    <w:rsid w:val="005018A1"/>
    <w:rsid w:val="005022AB"/>
    <w:rsid w:val="00507609"/>
    <w:rsid w:val="00511A92"/>
    <w:rsid w:val="00512E94"/>
    <w:rsid w:val="005141BB"/>
    <w:rsid w:val="00515F92"/>
    <w:rsid w:val="00520AE2"/>
    <w:rsid w:val="00520CA1"/>
    <w:rsid w:val="00525E3D"/>
    <w:rsid w:val="00531471"/>
    <w:rsid w:val="005336B8"/>
    <w:rsid w:val="00540416"/>
    <w:rsid w:val="00543403"/>
    <w:rsid w:val="0054413C"/>
    <w:rsid w:val="0055042D"/>
    <w:rsid w:val="00552229"/>
    <w:rsid w:val="005553A8"/>
    <w:rsid w:val="005564F2"/>
    <w:rsid w:val="005570A6"/>
    <w:rsid w:val="00557C5C"/>
    <w:rsid w:val="005614F0"/>
    <w:rsid w:val="0056183D"/>
    <w:rsid w:val="0056448C"/>
    <w:rsid w:val="005650B1"/>
    <w:rsid w:val="00567ECB"/>
    <w:rsid w:val="00572262"/>
    <w:rsid w:val="00573058"/>
    <w:rsid w:val="00573AD3"/>
    <w:rsid w:val="00575C2B"/>
    <w:rsid w:val="0057639C"/>
    <w:rsid w:val="00576BDC"/>
    <w:rsid w:val="00576EE2"/>
    <w:rsid w:val="00580187"/>
    <w:rsid w:val="00581F0D"/>
    <w:rsid w:val="00585B75"/>
    <w:rsid w:val="00590D3F"/>
    <w:rsid w:val="00591F22"/>
    <w:rsid w:val="005932CD"/>
    <w:rsid w:val="005947D7"/>
    <w:rsid w:val="005950AF"/>
    <w:rsid w:val="00596506"/>
    <w:rsid w:val="005A5143"/>
    <w:rsid w:val="005B04B9"/>
    <w:rsid w:val="005B1803"/>
    <w:rsid w:val="005B1A0D"/>
    <w:rsid w:val="005B3CF9"/>
    <w:rsid w:val="005B6124"/>
    <w:rsid w:val="005B68C7"/>
    <w:rsid w:val="005B707F"/>
    <w:rsid w:val="005C0DE2"/>
    <w:rsid w:val="005C2C0A"/>
    <w:rsid w:val="005C6BD2"/>
    <w:rsid w:val="005D03DC"/>
    <w:rsid w:val="005D0770"/>
    <w:rsid w:val="005D1080"/>
    <w:rsid w:val="005D3EDE"/>
    <w:rsid w:val="005D473A"/>
    <w:rsid w:val="005D5981"/>
    <w:rsid w:val="005D75A4"/>
    <w:rsid w:val="005D7DC8"/>
    <w:rsid w:val="005E0C36"/>
    <w:rsid w:val="005E0CDE"/>
    <w:rsid w:val="005E6283"/>
    <w:rsid w:val="005E6DBA"/>
    <w:rsid w:val="005E7C74"/>
    <w:rsid w:val="005F30CB"/>
    <w:rsid w:val="005F34FF"/>
    <w:rsid w:val="00602412"/>
    <w:rsid w:val="00606128"/>
    <w:rsid w:val="006062DA"/>
    <w:rsid w:val="006119B4"/>
    <w:rsid w:val="00611FB1"/>
    <w:rsid w:val="00613332"/>
    <w:rsid w:val="006139C5"/>
    <w:rsid w:val="006150D2"/>
    <w:rsid w:val="006163D5"/>
    <w:rsid w:val="0061712F"/>
    <w:rsid w:val="0061714D"/>
    <w:rsid w:val="006201EC"/>
    <w:rsid w:val="00624A1B"/>
    <w:rsid w:val="006250FB"/>
    <w:rsid w:val="006260A1"/>
    <w:rsid w:val="006277F4"/>
    <w:rsid w:val="0063067D"/>
    <w:rsid w:val="00630715"/>
    <w:rsid w:val="00631275"/>
    <w:rsid w:val="00632EC6"/>
    <w:rsid w:val="00634799"/>
    <w:rsid w:val="006352D4"/>
    <w:rsid w:val="0063535A"/>
    <w:rsid w:val="006400BA"/>
    <w:rsid w:val="00640594"/>
    <w:rsid w:val="00641D4A"/>
    <w:rsid w:val="006434EF"/>
    <w:rsid w:val="00643C97"/>
    <w:rsid w:val="006451E0"/>
    <w:rsid w:val="00646A52"/>
    <w:rsid w:val="00647469"/>
    <w:rsid w:val="00647B05"/>
    <w:rsid w:val="0065180E"/>
    <w:rsid w:val="00651CB4"/>
    <w:rsid w:val="00652FF6"/>
    <w:rsid w:val="0065493C"/>
    <w:rsid w:val="0066004D"/>
    <w:rsid w:val="0066262D"/>
    <w:rsid w:val="0066317F"/>
    <w:rsid w:val="006659BC"/>
    <w:rsid w:val="00671074"/>
    <w:rsid w:val="0067129B"/>
    <w:rsid w:val="0067275D"/>
    <w:rsid w:val="00673E91"/>
    <w:rsid w:val="00674CCD"/>
    <w:rsid w:val="00676B2D"/>
    <w:rsid w:val="00677AB1"/>
    <w:rsid w:val="0068349A"/>
    <w:rsid w:val="0068388D"/>
    <w:rsid w:val="00685156"/>
    <w:rsid w:val="006864C0"/>
    <w:rsid w:val="00687ADB"/>
    <w:rsid w:val="00693196"/>
    <w:rsid w:val="00693BF7"/>
    <w:rsid w:val="00696BBB"/>
    <w:rsid w:val="006A05C5"/>
    <w:rsid w:val="006A09D9"/>
    <w:rsid w:val="006A3C33"/>
    <w:rsid w:val="006B0EFB"/>
    <w:rsid w:val="006B1735"/>
    <w:rsid w:val="006B2F21"/>
    <w:rsid w:val="006B4451"/>
    <w:rsid w:val="006B58B2"/>
    <w:rsid w:val="006B6696"/>
    <w:rsid w:val="006C0550"/>
    <w:rsid w:val="006C24B6"/>
    <w:rsid w:val="006C3133"/>
    <w:rsid w:val="006C6674"/>
    <w:rsid w:val="006C7A32"/>
    <w:rsid w:val="006D0247"/>
    <w:rsid w:val="006D060C"/>
    <w:rsid w:val="006D091F"/>
    <w:rsid w:val="006D0C51"/>
    <w:rsid w:val="006D1BE0"/>
    <w:rsid w:val="006D29F5"/>
    <w:rsid w:val="006D3AE8"/>
    <w:rsid w:val="006D3C3E"/>
    <w:rsid w:val="006D5B20"/>
    <w:rsid w:val="006E126C"/>
    <w:rsid w:val="006E1BBA"/>
    <w:rsid w:val="006F1E83"/>
    <w:rsid w:val="006F2922"/>
    <w:rsid w:val="006F416D"/>
    <w:rsid w:val="006F46CB"/>
    <w:rsid w:val="006F5826"/>
    <w:rsid w:val="006F7087"/>
    <w:rsid w:val="006F7E8F"/>
    <w:rsid w:val="00700064"/>
    <w:rsid w:val="00700181"/>
    <w:rsid w:val="00700BC7"/>
    <w:rsid w:val="0070193D"/>
    <w:rsid w:val="00701D11"/>
    <w:rsid w:val="00703B07"/>
    <w:rsid w:val="007051E0"/>
    <w:rsid w:val="007051FD"/>
    <w:rsid w:val="00706595"/>
    <w:rsid w:val="00706A9D"/>
    <w:rsid w:val="0071260D"/>
    <w:rsid w:val="007141CF"/>
    <w:rsid w:val="007149CB"/>
    <w:rsid w:val="00720AE9"/>
    <w:rsid w:val="00720CF4"/>
    <w:rsid w:val="0072293D"/>
    <w:rsid w:val="00730426"/>
    <w:rsid w:val="00730F43"/>
    <w:rsid w:val="007329D8"/>
    <w:rsid w:val="00735AEC"/>
    <w:rsid w:val="00735BA2"/>
    <w:rsid w:val="00735E90"/>
    <w:rsid w:val="0074007A"/>
    <w:rsid w:val="00741B5D"/>
    <w:rsid w:val="007442E0"/>
    <w:rsid w:val="007462DE"/>
    <w:rsid w:val="00747577"/>
    <w:rsid w:val="00747DD5"/>
    <w:rsid w:val="0075018E"/>
    <w:rsid w:val="00750B20"/>
    <w:rsid w:val="00750EAD"/>
    <w:rsid w:val="007533D6"/>
    <w:rsid w:val="007577E3"/>
    <w:rsid w:val="00760DB3"/>
    <w:rsid w:val="00762FF7"/>
    <w:rsid w:val="00763372"/>
    <w:rsid w:val="00763506"/>
    <w:rsid w:val="00765D4A"/>
    <w:rsid w:val="00766AA3"/>
    <w:rsid w:val="00770136"/>
    <w:rsid w:val="00771172"/>
    <w:rsid w:val="0077283D"/>
    <w:rsid w:val="00772AB0"/>
    <w:rsid w:val="00773398"/>
    <w:rsid w:val="007751FD"/>
    <w:rsid w:val="00776B72"/>
    <w:rsid w:val="00777316"/>
    <w:rsid w:val="00782827"/>
    <w:rsid w:val="00782A8F"/>
    <w:rsid w:val="007921B0"/>
    <w:rsid w:val="007949A2"/>
    <w:rsid w:val="00794B06"/>
    <w:rsid w:val="0079548A"/>
    <w:rsid w:val="007956C6"/>
    <w:rsid w:val="007A076E"/>
    <w:rsid w:val="007A0C08"/>
    <w:rsid w:val="007B16A3"/>
    <w:rsid w:val="007B401C"/>
    <w:rsid w:val="007C22B4"/>
    <w:rsid w:val="007C6A74"/>
    <w:rsid w:val="007D1FEF"/>
    <w:rsid w:val="007D4585"/>
    <w:rsid w:val="007D6AB6"/>
    <w:rsid w:val="007D7070"/>
    <w:rsid w:val="007E30C9"/>
    <w:rsid w:val="007E31D4"/>
    <w:rsid w:val="007E6507"/>
    <w:rsid w:val="007E695A"/>
    <w:rsid w:val="007F2B8E"/>
    <w:rsid w:val="007F4E52"/>
    <w:rsid w:val="007F625F"/>
    <w:rsid w:val="00801814"/>
    <w:rsid w:val="008063D2"/>
    <w:rsid w:val="00807247"/>
    <w:rsid w:val="008110E7"/>
    <w:rsid w:val="008115D1"/>
    <w:rsid w:val="00811B19"/>
    <w:rsid w:val="0081292B"/>
    <w:rsid w:val="00814858"/>
    <w:rsid w:val="00814873"/>
    <w:rsid w:val="00814EA8"/>
    <w:rsid w:val="00815C12"/>
    <w:rsid w:val="00815EA2"/>
    <w:rsid w:val="00816177"/>
    <w:rsid w:val="0081706E"/>
    <w:rsid w:val="008204F5"/>
    <w:rsid w:val="00821BF4"/>
    <w:rsid w:val="00822ED6"/>
    <w:rsid w:val="008244B6"/>
    <w:rsid w:val="008248FA"/>
    <w:rsid w:val="00834C0F"/>
    <w:rsid w:val="00837018"/>
    <w:rsid w:val="00840C2B"/>
    <w:rsid w:val="00841BD5"/>
    <w:rsid w:val="00843465"/>
    <w:rsid w:val="0084520A"/>
    <w:rsid w:val="00846E0A"/>
    <w:rsid w:val="00864753"/>
    <w:rsid w:val="00870B8F"/>
    <w:rsid w:val="00871C97"/>
    <w:rsid w:val="008739FD"/>
    <w:rsid w:val="0087741E"/>
    <w:rsid w:val="00883E4E"/>
    <w:rsid w:val="0088441E"/>
    <w:rsid w:val="00895174"/>
    <w:rsid w:val="00895715"/>
    <w:rsid w:val="008975DC"/>
    <w:rsid w:val="008A113E"/>
    <w:rsid w:val="008A6437"/>
    <w:rsid w:val="008B20E2"/>
    <w:rsid w:val="008B30E1"/>
    <w:rsid w:val="008C4CED"/>
    <w:rsid w:val="008C5A99"/>
    <w:rsid w:val="008C69D1"/>
    <w:rsid w:val="008C7026"/>
    <w:rsid w:val="008D070A"/>
    <w:rsid w:val="008D0AA9"/>
    <w:rsid w:val="008D15E9"/>
    <w:rsid w:val="008D451C"/>
    <w:rsid w:val="008D45BE"/>
    <w:rsid w:val="008D4E2E"/>
    <w:rsid w:val="008D6E95"/>
    <w:rsid w:val="008D7CAD"/>
    <w:rsid w:val="008D7E03"/>
    <w:rsid w:val="008E12F3"/>
    <w:rsid w:val="008E1AFC"/>
    <w:rsid w:val="008E372C"/>
    <w:rsid w:val="008E3763"/>
    <w:rsid w:val="008E37A7"/>
    <w:rsid w:val="008E68CE"/>
    <w:rsid w:val="008E6F91"/>
    <w:rsid w:val="008F016C"/>
    <w:rsid w:val="008F25C4"/>
    <w:rsid w:val="008F711D"/>
    <w:rsid w:val="00901398"/>
    <w:rsid w:val="00901E94"/>
    <w:rsid w:val="00902451"/>
    <w:rsid w:val="0090253D"/>
    <w:rsid w:val="009031BA"/>
    <w:rsid w:val="00903ABA"/>
    <w:rsid w:val="00903B1F"/>
    <w:rsid w:val="00905592"/>
    <w:rsid w:val="00905CE4"/>
    <w:rsid w:val="00906340"/>
    <w:rsid w:val="00912604"/>
    <w:rsid w:val="00912D0F"/>
    <w:rsid w:val="00916DC7"/>
    <w:rsid w:val="009172FA"/>
    <w:rsid w:val="00917F8F"/>
    <w:rsid w:val="00920336"/>
    <w:rsid w:val="00920A0B"/>
    <w:rsid w:val="00924E05"/>
    <w:rsid w:val="009275A7"/>
    <w:rsid w:val="0093034E"/>
    <w:rsid w:val="009305FC"/>
    <w:rsid w:val="00930E5B"/>
    <w:rsid w:val="00931884"/>
    <w:rsid w:val="00935021"/>
    <w:rsid w:val="009362AA"/>
    <w:rsid w:val="00941A4F"/>
    <w:rsid w:val="00943051"/>
    <w:rsid w:val="00944E73"/>
    <w:rsid w:val="0094610E"/>
    <w:rsid w:val="0094626B"/>
    <w:rsid w:val="009462C2"/>
    <w:rsid w:val="00951861"/>
    <w:rsid w:val="00953182"/>
    <w:rsid w:val="009578FC"/>
    <w:rsid w:val="0096378B"/>
    <w:rsid w:val="0096399E"/>
    <w:rsid w:val="009656D6"/>
    <w:rsid w:val="009659D3"/>
    <w:rsid w:val="0097335A"/>
    <w:rsid w:val="0097625F"/>
    <w:rsid w:val="009777B8"/>
    <w:rsid w:val="00977B07"/>
    <w:rsid w:val="009806DC"/>
    <w:rsid w:val="00985B57"/>
    <w:rsid w:val="00991A84"/>
    <w:rsid w:val="0099259D"/>
    <w:rsid w:val="00993292"/>
    <w:rsid w:val="009A1369"/>
    <w:rsid w:val="009A24D3"/>
    <w:rsid w:val="009A6806"/>
    <w:rsid w:val="009A6F54"/>
    <w:rsid w:val="009B15DE"/>
    <w:rsid w:val="009B3CC9"/>
    <w:rsid w:val="009C0345"/>
    <w:rsid w:val="009C559A"/>
    <w:rsid w:val="009C7965"/>
    <w:rsid w:val="009D014A"/>
    <w:rsid w:val="009D2F74"/>
    <w:rsid w:val="009D3A44"/>
    <w:rsid w:val="009D3BE8"/>
    <w:rsid w:val="009D57E0"/>
    <w:rsid w:val="009D5C49"/>
    <w:rsid w:val="009D6585"/>
    <w:rsid w:val="009E461B"/>
    <w:rsid w:val="009E4869"/>
    <w:rsid w:val="009E5054"/>
    <w:rsid w:val="009F210E"/>
    <w:rsid w:val="009F5DA1"/>
    <w:rsid w:val="009F6C17"/>
    <w:rsid w:val="00A00A3F"/>
    <w:rsid w:val="00A00BBD"/>
    <w:rsid w:val="00A0240F"/>
    <w:rsid w:val="00A0391B"/>
    <w:rsid w:val="00A04227"/>
    <w:rsid w:val="00A04C16"/>
    <w:rsid w:val="00A05486"/>
    <w:rsid w:val="00A07511"/>
    <w:rsid w:val="00A1045D"/>
    <w:rsid w:val="00A11042"/>
    <w:rsid w:val="00A11171"/>
    <w:rsid w:val="00A1142E"/>
    <w:rsid w:val="00A13346"/>
    <w:rsid w:val="00A15B60"/>
    <w:rsid w:val="00A15ED1"/>
    <w:rsid w:val="00A21C9D"/>
    <w:rsid w:val="00A227A5"/>
    <w:rsid w:val="00A22D84"/>
    <w:rsid w:val="00A240A3"/>
    <w:rsid w:val="00A31ADF"/>
    <w:rsid w:val="00A36E06"/>
    <w:rsid w:val="00A37008"/>
    <w:rsid w:val="00A40489"/>
    <w:rsid w:val="00A43C02"/>
    <w:rsid w:val="00A46286"/>
    <w:rsid w:val="00A47D94"/>
    <w:rsid w:val="00A50002"/>
    <w:rsid w:val="00A50ED8"/>
    <w:rsid w:val="00A51E30"/>
    <w:rsid w:val="00A52403"/>
    <w:rsid w:val="00A550CF"/>
    <w:rsid w:val="00A6057A"/>
    <w:rsid w:val="00A6084C"/>
    <w:rsid w:val="00A63628"/>
    <w:rsid w:val="00A66955"/>
    <w:rsid w:val="00A672BE"/>
    <w:rsid w:val="00A67A04"/>
    <w:rsid w:val="00A74017"/>
    <w:rsid w:val="00A74A4F"/>
    <w:rsid w:val="00A754BF"/>
    <w:rsid w:val="00A77206"/>
    <w:rsid w:val="00A80CD1"/>
    <w:rsid w:val="00A8592A"/>
    <w:rsid w:val="00A85CE7"/>
    <w:rsid w:val="00A87C5A"/>
    <w:rsid w:val="00A910AB"/>
    <w:rsid w:val="00A91A6B"/>
    <w:rsid w:val="00A91B43"/>
    <w:rsid w:val="00AA0358"/>
    <w:rsid w:val="00AA2210"/>
    <w:rsid w:val="00AA332C"/>
    <w:rsid w:val="00AA4109"/>
    <w:rsid w:val="00AA4DF8"/>
    <w:rsid w:val="00AA69C6"/>
    <w:rsid w:val="00AB0F3D"/>
    <w:rsid w:val="00AB41A7"/>
    <w:rsid w:val="00AB5427"/>
    <w:rsid w:val="00AB6053"/>
    <w:rsid w:val="00AB770C"/>
    <w:rsid w:val="00AB7902"/>
    <w:rsid w:val="00AC0D0F"/>
    <w:rsid w:val="00AC27F8"/>
    <w:rsid w:val="00AC349B"/>
    <w:rsid w:val="00AC76E0"/>
    <w:rsid w:val="00AD1B6D"/>
    <w:rsid w:val="00AD2B0C"/>
    <w:rsid w:val="00AD3AF6"/>
    <w:rsid w:val="00AD4C72"/>
    <w:rsid w:val="00AD4D5F"/>
    <w:rsid w:val="00AD60A3"/>
    <w:rsid w:val="00AD7CB0"/>
    <w:rsid w:val="00AE06C3"/>
    <w:rsid w:val="00AE0C54"/>
    <w:rsid w:val="00AE1EF8"/>
    <w:rsid w:val="00AE2072"/>
    <w:rsid w:val="00AE2AEE"/>
    <w:rsid w:val="00AE2F7E"/>
    <w:rsid w:val="00AE5802"/>
    <w:rsid w:val="00AE6EAE"/>
    <w:rsid w:val="00AF10C3"/>
    <w:rsid w:val="00AF49B1"/>
    <w:rsid w:val="00AF4FB4"/>
    <w:rsid w:val="00AF7009"/>
    <w:rsid w:val="00B035F9"/>
    <w:rsid w:val="00B07CDC"/>
    <w:rsid w:val="00B108EE"/>
    <w:rsid w:val="00B116BF"/>
    <w:rsid w:val="00B12FE3"/>
    <w:rsid w:val="00B21728"/>
    <w:rsid w:val="00B22799"/>
    <w:rsid w:val="00B22BBC"/>
    <w:rsid w:val="00B230EC"/>
    <w:rsid w:val="00B24542"/>
    <w:rsid w:val="00B24926"/>
    <w:rsid w:val="00B2561E"/>
    <w:rsid w:val="00B265EA"/>
    <w:rsid w:val="00B278B2"/>
    <w:rsid w:val="00B339E4"/>
    <w:rsid w:val="00B340EB"/>
    <w:rsid w:val="00B35D1A"/>
    <w:rsid w:val="00B37025"/>
    <w:rsid w:val="00B37038"/>
    <w:rsid w:val="00B41E8B"/>
    <w:rsid w:val="00B42018"/>
    <w:rsid w:val="00B423FD"/>
    <w:rsid w:val="00B42965"/>
    <w:rsid w:val="00B45645"/>
    <w:rsid w:val="00B46B13"/>
    <w:rsid w:val="00B5315D"/>
    <w:rsid w:val="00B54461"/>
    <w:rsid w:val="00B62A86"/>
    <w:rsid w:val="00B62F15"/>
    <w:rsid w:val="00B63DEA"/>
    <w:rsid w:val="00B641AC"/>
    <w:rsid w:val="00B6496E"/>
    <w:rsid w:val="00B6512F"/>
    <w:rsid w:val="00B66573"/>
    <w:rsid w:val="00B71973"/>
    <w:rsid w:val="00B75488"/>
    <w:rsid w:val="00B80628"/>
    <w:rsid w:val="00B967F6"/>
    <w:rsid w:val="00BA2F18"/>
    <w:rsid w:val="00BA4909"/>
    <w:rsid w:val="00BB011F"/>
    <w:rsid w:val="00BB01FF"/>
    <w:rsid w:val="00BB0A2A"/>
    <w:rsid w:val="00BB1F84"/>
    <w:rsid w:val="00BB2952"/>
    <w:rsid w:val="00BB3484"/>
    <w:rsid w:val="00BB4649"/>
    <w:rsid w:val="00BB4F2A"/>
    <w:rsid w:val="00BB7DD3"/>
    <w:rsid w:val="00BC06EC"/>
    <w:rsid w:val="00BC2773"/>
    <w:rsid w:val="00BC7357"/>
    <w:rsid w:val="00BD1058"/>
    <w:rsid w:val="00BD279D"/>
    <w:rsid w:val="00BD65ED"/>
    <w:rsid w:val="00BD6E12"/>
    <w:rsid w:val="00BD7137"/>
    <w:rsid w:val="00BD737A"/>
    <w:rsid w:val="00BE20AC"/>
    <w:rsid w:val="00BE5468"/>
    <w:rsid w:val="00BE6148"/>
    <w:rsid w:val="00BE796D"/>
    <w:rsid w:val="00BF0756"/>
    <w:rsid w:val="00BF519D"/>
    <w:rsid w:val="00BF62DF"/>
    <w:rsid w:val="00BF6936"/>
    <w:rsid w:val="00BF6C89"/>
    <w:rsid w:val="00BF7576"/>
    <w:rsid w:val="00BF764A"/>
    <w:rsid w:val="00C022BB"/>
    <w:rsid w:val="00C1190C"/>
    <w:rsid w:val="00C11EAC"/>
    <w:rsid w:val="00C136C6"/>
    <w:rsid w:val="00C15E1B"/>
    <w:rsid w:val="00C16532"/>
    <w:rsid w:val="00C16E6D"/>
    <w:rsid w:val="00C1702C"/>
    <w:rsid w:val="00C1749E"/>
    <w:rsid w:val="00C21498"/>
    <w:rsid w:val="00C227C6"/>
    <w:rsid w:val="00C242EA"/>
    <w:rsid w:val="00C274D3"/>
    <w:rsid w:val="00C30F2A"/>
    <w:rsid w:val="00C32732"/>
    <w:rsid w:val="00C32C9F"/>
    <w:rsid w:val="00C32E19"/>
    <w:rsid w:val="00C34B67"/>
    <w:rsid w:val="00C35A4B"/>
    <w:rsid w:val="00C37363"/>
    <w:rsid w:val="00C428B1"/>
    <w:rsid w:val="00C43456"/>
    <w:rsid w:val="00C51BC2"/>
    <w:rsid w:val="00C5280D"/>
    <w:rsid w:val="00C548D3"/>
    <w:rsid w:val="00C54E9D"/>
    <w:rsid w:val="00C56C6B"/>
    <w:rsid w:val="00C60A59"/>
    <w:rsid w:val="00C632CA"/>
    <w:rsid w:val="00C65C0C"/>
    <w:rsid w:val="00C663DA"/>
    <w:rsid w:val="00C67D99"/>
    <w:rsid w:val="00C723D5"/>
    <w:rsid w:val="00C72BA6"/>
    <w:rsid w:val="00C737C4"/>
    <w:rsid w:val="00C7443D"/>
    <w:rsid w:val="00C7582F"/>
    <w:rsid w:val="00C760BF"/>
    <w:rsid w:val="00C763A0"/>
    <w:rsid w:val="00C76DA6"/>
    <w:rsid w:val="00C77B80"/>
    <w:rsid w:val="00C77E1D"/>
    <w:rsid w:val="00C8068B"/>
    <w:rsid w:val="00C808FC"/>
    <w:rsid w:val="00C8300D"/>
    <w:rsid w:val="00C8354F"/>
    <w:rsid w:val="00C83FED"/>
    <w:rsid w:val="00C852BF"/>
    <w:rsid w:val="00C8621C"/>
    <w:rsid w:val="00C9082F"/>
    <w:rsid w:val="00C9199A"/>
    <w:rsid w:val="00C934CF"/>
    <w:rsid w:val="00C95F99"/>
    <w:rsid w:val="00C97737"/>
    <w:rsid w:val="00CA323C"/>
    <w:rsid w:val="00CA43B0"/>
    <w:rsid w:val="00CA6698"/>
    <w:rsid w:val="00CA6C31"/>
    <w:rsid w:val="00CA7414"/>
    <w:rsid w:val="00CA7510"/>
    <w:rsid w:val="00CB15EC"/>
    <w:rsid w:val="00CB2118"/>
    <w:rsid w:val="00CB3930"/>
    <w:rsid w:val="00CB4484"/>
    <w:rsid w:val="00CB5D9F"/>
    <w:rsid w:val="00CB6FFD"/>
    <w:rsid w:val="00CC120D"/>
    <w:rsid w:val="00CC1F2D"/>
    <w:rsid w:val="00CC4D2B"/>
    <w:rsid w:val="00CC513B"/>
    <w:rsid w:val="00CC5C58"/>
    <w:rsid w:val="00CC6245"/>
    <w:rsid w:val="00CC766D"/>
    <w:rsid w:val="00CD4945"/>
    <w:rsid w:val="00CD7D97"/>
    <w:rsid w:val="00CE0196"/>
    <w:rsid w:val="00CE14DE"/>
    <w:rsid w:val="00CE1596"/>
    <w:rsid w:val="00CE1731"/>
    <w:rsid w:val="00CE3132"/>
    <w:rsid w:val="00CE371F"/>
    <w:rsid w:val="00CE3EE6"/>
    <w:rsid w:val="00CE4BA1"/>
    <w:rsid w:val="00CE4E2B"/>
    <w:rsid w:val="00CE542E"/>
    <w:rsid w:val="00CE6878"/>
    <w:rsid w:val="00CE7297"/>
    <w:rsid w:val="00CF0CEE"/>
    <w:rsid w:val="00CF1048"/>
    <w:rsid w:val="00CF2BA6"/>
    <w:rsid w:val="00CF4560"/>
    <w:rsid w:val="00CF4579"/>
    <w:rsid w:val="00CF491E"/>
    <w:rsid w:val="00CF5A73"/>
    <w:rsid w:val="00D000C7"/>
    <w:rsid w:val="00D0148B"/>
    <w:rsid w:val="00D10AB4"/>
    <w:rsid w:val="00D13E2C"/>
    <w:rsid w:val="00D14164"/>
    <w:rsid w:val="00D154A4"/>
    <w:rsid w:val="00D16C30"/>
    <w:rsid w:val="00D17D63"/>
    <w:rsid w:val="00D203B3"/>
    <w:rsid w:val="00D2166F"/>
    <w:rsid w:val="00D24122"/>
    <w:rsid w:val="00D27395"/>
    <w:rsid w:val="00D27FD3"/>
    <w:rsid w:val="00D30219"/>
    <w:rsid w:val="00D30345"/>
    <w:rsid w:val="00D314B9"/>
    <w:rsid w:val="00D341FD"/>
    <w:rsid w:val="00D3633A"/>
    <w:rsid w:val="00D43671"/>
    <w:rsid w:val="00D46893"/>
    <w:rsid w:val="00D50CA3"/>
    <w:rsid w:val="00D51E64"/>
    <w:rsid w:val="00D52A9D"/>
    <w:rsid w:val="00D52B49"/>
    <w:rsid w:val="00D54287"/>
    <w:rsid w:val="00D54E51"/>
    <w:rsid w:val="00D54F2C"/>
    <w:rsid w:val="00D55AAD"/>
    <w:rsid w:val="00D56682"/>
    <w:rsid w:val="00D63A8A"/>
    <w:rsid w:val="00D747AE"/>
    <w:rsid w:val="00D75E2E"/>
    <w:rsid w:val="00D77F5F"/>
    <w:rsid w:val="00D80325"/>
    <w:rsid w:val="00D807AD"/>
    <w:rsid w:val="00D85BA7"/>
    <w:rsid w:val="00D9226C"/>
    <w:rsid w:val="00D931E2"/>
    <w:rsid w:val="00D94E65"/>
    <w:rsid w:val="00D966DC"/>
    <w:rsid w:val="00D96ABD"/>
    <w:rsid w:val="00DA0324"/>
    <w:rsid w:val="00DA20BD"/>
    <w:rsid w:val="00DA34E7"/>
    <w:rsid w:val="00DA6432"/>
    <w:rsid w:val="00DA6BBD"/>
    <w:rsid w:val="00DB103A"/>
    <w:rsid w:val="00DB3B4A"/>
    <w:rsid w:val="00DB4DBF"/>
    <w:rsid w:val="00DB7093"/>
    <w:rsid w:val="00DC1FB6"/>
    <w:rsid w:val="00DC5E2E"/>
    <w:rsid w:val="00DC6631"/>
    <w:rsid w:val="00DE2E40"/>
    <w:rsid w:val="00DE3E09"/>
    <w:rsid w:val="00DE49FC"/>
    <w:rsid w:val="00DE50DB"/>
    <w:rsid w:val="00DE779E"/>
    <w:rsid w:val="00DF0BC9"/>
    <w:rsid w:val="00DF1D36"/>
    <w:rsid w:val="00DF6AE1"/>
    <w:rsid w:val="00E03DE5"/>
    <w:rsid w:val="00E0508B"/>
    <w:rsid w:val="00E055B6"/>
    <w:rsid w:val="00E079D0"/>
    <w:rsid w:val="00E07E5E"/>
    <w:rsid w:val="00E105CC"/>
    <w:rsid w:val="00E131A1"/>
    <w:rsid w:val="00E14F70"/>
    <w:rsid w:val="00E1546F"/>
    <w:rsid w:val="00E15E02"/>
    <w:rsid w:val="00E1745D"/>
    <w:rsid w:val="00E21219"/>
    <w:rsid w:val="00E21247"/>
    <w:rsid w:val="00E2673F"/>
    <w:rsid w:val="00E270C2"/>
    <w:rsid w:val="00E30E43"/>
    <w:rsid w:val="00E32973"/>
    <w:rsid w:val="00E32BEF"/>
    <w:rsid w:val="00E334F8"/>
    <w:rsid w:val="00E34E95"/>
    <w:rsid w:val="00E35FED"/>
    <w:rsid w:val="00E371E3"/>
    <w:rsid w:val="00E37EC6"/>
    <w:rsid w:val="00E41570"/>
    <w:rsid w:val="00E42AF0"/>
    <w:rsid w:val="00E44285"/>
    <w:rsid w:val="00E44AEB"/>
    <w:rsid w:val="00E44EC6"/>
    <w:rsid w:val="00E45230"/>
    <w:rsid w:val="00E46082"/>
    <w:rsid w:val="00E462BC"/>
    <w:rsid w:val="00E46FD5"/>
    <w:rsid w:val="00E47162"/>
    <w:rsid w:val="00E538A3"/>
    <w:rsid w:val="00E5391D"/>
    <w:rsid w:val="00E53FDC"/>
    <w:rsid w:val="00E544BB"/>
    <w:rsid w:val="00E5583E"/>
    <w:rsid w:val="00E559EA"/>
    <w:rsid w:val="00E56545"/>
    <w:rsid w:val="00E57E6D"/>
    <w:rsid w:val="00E61406"/>
    <w:rsid w:val="00E62DE6"/>
    <w:rsid w:val="00E62E9A"/>
    <w:rsid w:val="00E66A13"/>
    <w:rsid w:val="00E71209"/>
    <w:rsid w:val="00E84F4E"/>
    <w:rsid w:val="00E865D9"/>
    <w:rsid w:val="00E877F6"/>
    <w:rsid w:val="00E87C0D"/>
    <w:rsid w:val="00E87D4B"/>
    <w:rsid w:val="00E94801"/>
    <w:rsid w:val="00E961E9"/>
    <w:rsid w:val="00E96278"/>
    <w:rsid w:val="00EA209C"/>
    <w:rsid w:val="00EA4547"/>
    <w:rsid w:val="00EA5D4F"/>
    <w:rsid w:val="00EA61B0"/>
    <w:rsid w:val="00EA69E0"/>
    <w:rsid w:val="00EA7984"/>
    <w:rsid w:val="00EB0D38"/>
    <w:rsid w:val="00EB19B3"/>
    <w:rsid w:val="00EB3087"/>
    <w:rsid w:val="00EB6B5C"/>
    <w:rsid w:val="00EB6B84"/>
    <w:rsid w:val="00EB6C56"/>
    <w:rsid w:val="00EB6EDC"/>
    <w:rsid w:val="00EB7088"/>
    <w:rsid w:val="00EB7D21"/>
    <w:rsid w:val="00EC29A7"/>
    <w:rsid w:val="00EC57AC"/>
    <w:rsid w:val="00EC5CB2"/>
    <w:rsid w:val="00ED1CFA"/>
    <w:rsid w:val="00ED2305"/>
    <w:rsid w:val="00ED488A"/>
    <w:rsid w:val="00ED54E0"/>
    <w:rsid w:val="00EE1A90"/>
    <w:rsid w:val="00EE42CC"/>
    <w:rsid w:val="00EE4EB7"/>
    <w:rsid w:val="00EE6407"/>
    <w:rsid w:val="00EF1A5A"/>
    <w:rsid w:val="00EF1B4C"/>
    <w:rsid w:val="00EF1FB2"/>
    <w:rsid w:val="00EF273A"/>
    <w:rsid w:val="00EF42F8"/>
    <w:rsid w:val="00F02233"/>
    <w:rsid w:val="00F0368D"/>
    <w:rsid w:val="00F03B66"/>
    <w:rsid w:val="00F04E92"/>
    <w:rsid w:val="00F05A15"/>
    <w:rsid w:val="00F07837"/>
    <w:rsid w:val="00F10DB1"/>
    <w:rsid w:val="00F13077"/>
    <w:rsid w:val="00F13E3E"/>
    <w:rsid w:val="00F1738C"/>
    <w:rsid w:val="00F203D7"/>
    <w:rsid w:val="00F221B8"/>
    <w:rsid w:val="00F22909"/>
    <w:rsid w:val="00F2790F"/>
    <w:rsid w:val="00F317D0"/>
    <w:rsid w:val="00F32397"/>
    <w:rsid w:val="00F33F78"/>
    <w:rsid w:val="00F34BA4"/>
    <w:rsid w:val="00F3510C"/>
    <w:rsid w:val="00F37053"/>
    <w:rsid w:val="00F403E1"/>
    <w:rsid w:val="00F40595"/>
    <w:rsid w:val="00F40807"/>
    <w:rsid w:val="00F410EE"/>
    <w:rsid w:val="00F46BA0"/>
    <w:rsid w:val="00F503BD"/>
    <w:rsid w:val="00F518FA"/>
    <w:rsid w:val="00F52053"/>
    <w:rsid w:val="00F53DD4"/>
    <w:rsid w:val="00F5702A"/>
    <w:rsid w:val="00F605DF"/>
    <w:rsid w:val="00F61C21"/>
    <w:rsid w:val="00F622C0"/>
    <w:rsid w:val="00F63066"/>
    <w:rsid w:val="00F64518"/>
    <w:rsid w:val="00F64931"/>
    <w:rsid w:val="00F70208"/>
    <w:rsid w:val="00F70C75"/>
    <w:rsid w:val="00F716E2"/>
    <w:rsid w:val="00F72513"/>
    <w:rsid w:val="00F739C5"/>
    <w:rsid w:val="00F82440"/>
    <w:rsid w:val="00F83581"/>
    <w:rsid w:val="00F83C3D"/>
    <w:rsid w:val="00F85DF3"/>
    <w:rsid w:val="00F869A6"/>
    <w:rsid w:val="00F90899"/>
    <w:rsid w:val="00F92513"/>
    <w:rsid w:val="00F92E7E"/>
    <w:rsid w:val="00FA125E"/>
    <w:rsid w:val="00FA1335"/>
    <w:rsid w:val="00FA1AB0"/>
    <w:rsid w:val="00FA1E1C"/>
    <w:rsid w:val="00FA5EBC"/>
    <w:rsid w:val="00FA6173"/>
    <w:rsid w:val="00FA6DC0"/>
    <w:rsid w:val="00FA77F3"/>
    <w:rsid w:val="00FB03D2"/>
    <w:rsid w:val="00FB1298"/>
    <w:rsid w:val="00FB7DBF"/>
    <w:rsid w:val="00FC0F86"/>
    <w:rsid w:val="00FC1CB9"/>
    <w:rsid w:val="00FC1F93"/>
    <w:rsid w:val="00FC2BB9"/>
    <w:rsid w:val="00FC6B64"/>
    <w:rsid w:val="00FD1750"/>
    <w:rsid w:val="00FD1D5D"/>
    <w:rsid w:val="00FD224A"/>
    <w:rsid w:val="00FE0B50"/>
    <w:rsid w:val="00FE1381"/>
    <w:rsid w:val="00FE2BF3"/>
    <w:rsid w:val="00FE3723"/>
    <w:rsid w:val="00FE451F"/>
    <w:rsid w:val="00FE47A1"/>
    <w:rsid w:val="00FF0EFE"/>
    <w:rsid w:val="00FF1A84"/>
    <w:rsid w:val="00FF2248"/>
    <w:rsid w:val="00FF375A"/>
    <w:rsid w:val="00FF4616"/>
    <w:rsid w:val="00FF48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E7F03"/>
  <w15:docId w15:val="{519C8831-53BF-4D95-A61E-3907144D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46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B230EC"/>
    <w:pPr>
      <w:keepNext/>
      <w:keepLines/>
      <w:numPr>
        <w:numId w:val="2"/>
      </w:numPr>
      <w:spacing w:after="240"/>
      <w:outlineLvl w:val="0"/>
    </w:pPr>
    <w:rPr>
      <w:rFonts w:eastAsia="Times New Roman"/>
      <w:b/>
      <w:bCs/>
      <w:caps/>
      <w:color w:val="006283"/>
      <w:szCs w:val="28"/>
      <w:lang w:eastAsia="en-GB"/>
    </w:rPr>
  </w:style>
  <w:style w:type="paragraph" w:styleId="Heading2">
    <w:name w:val="heading 2"/>
    <w:basedOn w:val="Normal"/>
    <w:next w:val="Heading3"/>
    <w:link w:val="Heading2Char"/>
    <w:uiPriority w:val="2"/>
    <w:qFormat/>
    <w:rsid w:val="00B230EC"/>
    <w:pPr>
      <w:keepNext/>
      <w:keepLines/>
      <w:numPr>
        <w:ilvl w:val="1"/>
        <w:numId w:val="2"/>
      </w:numPr>
      <w:spacing w:after="240"/>
      <w:outlineLvl w:val="1"/>
    </w:pPr>
    <w:rPr>
      <w:rFonts w:eastAsia="Times New Roman"/>
      <w:b/>
      <w:bCs/>
      <w:color w:val="006283"/>
      <w:szCs w:val="26"/>
      <w:lang w:eastAsia="en-GB"/>
    </w:rPr>
  </w:style>
  <w:style w:type="paragraph" w:styleId="Heading3">
    <w:name w:val="heading 3"/>
    <w:basedOn w:val="Normal"/>
    <w:next w:val="Heading4"/>
    <w:link w:val="Heading3Char"/>
    <w:uiPriority w:val="2"/>
    <w:qFormat/>
    <w:rsid w:val="00B230EC"/>
    <w:pPr>
      <w:keepNext/>
      <w:keepLines/>
      <w:numPr>
        <w:ilvl w:val="2"/>
        <w:numId w:val="2"/>
      </w:numPr>
      <w:spacing w:after="240"/>
      <w:outlineLvl w:val="2"/>
    </w:pPr>
    <w:rPr>
      <w:rFonts w:eastAsia="Times New Roman"/>
      <w:b/>
      <w:bCs/>
      <w:color w:val="006283"/>
      <w:szCs w:val="20"/>
      <w:lang w:eastAsia="en-GB"/>
    </w:rPr>
  </w:style>
  <w:style w:type="paragraph" w:styleId="Heading4">
    <w:name w:val="heading 4"/>
    <w:basedOn w:val="Normal"/>
    <w:next w:val="Heading5"/>
    <w:link w:val="Heading4Char"/>
    <w:uiPriority w:val="2"/>
    <w:qFormat/>
    <w:rsid w:val="00B230EC"/>
    <w:pPr>
      <w:keepNext/>
      <w:keepLines/>
      <w:numPr>
        <w:ilvl w:val="3"/>
        <w:numId w:val="2"/>
      </w:numPr>
      <w:spacing w:after="240"/>
      <w:outlineLvl w:val="3"/>
    </w:pPr>
    <w:rPr>
      <w:rFonts w:eastAsia="Times New Roman"/>
      <w:b/>
      <w:bCs/>
      <w:iCs/>
      <w:color w:val="006283"/>
      <w:szCs w:val="20"/>
      <w:lang w:eastAsia="en-GB"/>
    </w:rPr>
  </w:style>
  <w:style w:type="paragraph" w:styleId="Heading5">
    <w:name w:val="heading 5"/>
    <w:basedOn w:val="Normal"/>
    <w:next w:val="Heading6"/>
    <w:link w:val="Heading5Char"/>
    <w:uiPriority w:val="2"/>
    <w:qFormat/>
    <w:rsid w:val="00B230EC"/>
    <w:pPr>
      <w:keepNext/>
      <w:keepLines/>
      <w:numPr>
        <w:ilvl w:val="4"/>
        <w:numId w:val="2"/>
      </w:numPr>
      <w:spacing w:after="240"/>
      <w:outlineLvl w:val="4"/>
    </w:pPr>
    <w:rPr>
      <w:rFonts w:eastAsia="Times New Roman"/>
      <w:b/>
      <w:color w:val="006283"/>
      <w:szCs w:val="20"/>
      <w:lang w:eastAsia="en-GB"/>
    </w:rPr>
  </w:style>
  <w:style w:type="paragraph" w:styleId="Heading6">
    <w:name w:val="heading 6"/>
    <w:basedOn w:val="Normal"/>
    <w:next w:val="BodyText"/>
    <w:link w:val="Heading6Char"/>
    <w:uiPriority w:val="2"/>
    <w:qFormat/>
    <w:rsid w:val="00B230EC"/>
    <w:pPr>
      <w:keepNext/>
      <w:keepLines/>
      <w:numPr>
        <w:ilvl w:val="5"/>
        <w:numId w:val="2"/>
      </w:numPr>
      <w:spacing w:after="240"/>
      <w:outlineLvl w:val="5"/>
    </w:pPr>
    <w:rPr>
      <w:rFonts w:eastAsia="Times New Roman"/>
      <w:b/>
      <w:iCs/>
      <w:color w:val="006283"/>
      <w:szCs w:val="20"/>
      <w:lang w:eastAsia="en-GB"/>
    </w:rPr>
  </w:style>
  <w:style w:type="paragraph" w:styleId="Heading7">
    <w:name w:val="heading 7"/>
    <w:basedOn w:val="Normal"/>
    <w:next w:val="Normal"/>
    <w:link w:val="Heading7Char"/>
    <w:uiPriority w:val="2"/>
    <w:rsid w:val="00B230EC"/>
    <w:pPr>
      <w:keepNext/>
      <w:keepLines/>
      <w:spacing w:after="240"/>
      <w:outlineLvl w:val="6"/>
    </w:pPr>
    <w:rPr>
      <w:rFonts w:eastAsia="Times New Roman"/>
      <w:b/>
      <w:iCs/>
      <w:color w:val="006283"/>
      <w:szCs w:val="20"/>
      <w:lang w:eastAsia="en-GB"/>
    </w:rPr>
  </w:style>
  <w:style w:type="paragraph" w:styleId="Heading8">
    <w:name w:val="heading 8"/>
    <w:basedOn w:val="Normal"/>
    <w:next w:val="Normal"/>
    <w:link w:val="Heading8Char"/>
    <w:uiPriority w:val="2"/>
    <w:rsid w:val="00B230EC"/>
    <w:pPr>
      <w:keepNext/>
      <w:keepLines/>
      <w:spacing w:after="240"/>
      <w:outlineLvl w:val="7"/>
    </w:pPr>
    <w:rPr>
      <w:rFonts w:eastAsia="Times New Roman"/>
      <w:b/>
      <w:i/>
      <w:color w:val="006283"/>
      <w:szCs w:val="20"/>
      <w:lang w:eastAsia="en-GB"/>
    </w:rPr>
  </w:style>
  <w:style w:type="paragraph" w:styleId="Heading9">
    <w:name w:val="heading 9"/>
    <w:basedOn w:val="Normal"/>
    <w:next w:val="Normal"/>
    <w:link w:val="Heading9Char"/>
    <w:uiPriority w:val="2"/>
    <w:rsid w:val="00B230EC"/>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B230EC"/>
    <w:rPr>
      <w:rFonts w:ascii="Verdana" w:eastAsia="Times New Roman" w:hAnsi="Verdana"/>
      <w:b/>
      <w:bCs/>
      <w:caps/>
      <w:color w:val="006283"/>
      <w:sz w:val="18"/>
      <w:szCs w:val="28"/>
    </w:rPr>
  </w:style>
  <w:style w:type="character" w:customStyle="1" w:styleId="Heading2Char">
    <w:name w:val="Heading 2 Char"/>
    <w:link w:val="Heading2"/>
    <w:uiPriority w:val="2"/>
    <w:rsid w:val="00B230EC"/>
    <w:rPr>
      <w:rFonts w:ascii="Verdana" w:eastAsia="Times New Roman" w:hAnsi="Verdana"/>
      <w:b/>
      <w:bCs/>
      <w:color w:val="006283"/>
      <w:sz w:val="18"/>
      <w:szCs w:val="26"/>
    </w:rPr>
  </w:style>
  <w:style w:type="character" w:customStyle="1" w:styleId="Heading3Char">
    <w:name w:val="Heading 3 Char"/>
    <w:link w:val="Heading3"/>
    <w:uiPriority w:val="2"/>
    <w:rsid w:val="00B230EC"/>
    <w:rPr>
      <w:rFonts w:ascii="Verdana" w:eastAsia="Times New Roman" w:hAnsi="Verdana"/>
      <w:b/>
      <w:bCs/>
      <w:color w:val="006283"/>
      <w:sz w:val="18"/>
    </w:rPr>
  </w:style>
  <w:style w:type="character" w:customStyle="1" w:styleId="Heading4Char">
    <w:name w:val="Heading 4 Char"/>
    <w:link w:val="Heading4"/>
    <w:uiPriority w:val="2"/>
    <w:rsid w:val="00B230EC"/>
    <w:rPr>
      <w:rFonts w:ascii="Verdana" w:eastAsia="Times New Roman" w:hAnsi="Verdana"/>
      <w:b/>
      <w:bCs/>
      <w:iCs/>
      <w:color w:val="006283"/>
      <w:sz w:val="18"/>
    </w:rPr>
  </w:style>
  <w:style w:type="character" w:customStyle="1" w:styleId="Heading5Char">
    <w:name w:val="Heading 5 Char"/>
    <w:link w:val="Heading5"/>
    <w:uiPriority w:val="2"/>
    <w:rsid w:val="00B230EC"/>
    <w:rPr>
      <w:rFonts w:ascii="Verdana" w:eastAsia="Times New Roman" w:hAnsi="Verdana"/>
      <w:b/>
      <w:color w:val="006283"/>
      <w:sz w:val="18"/>
    </w:rPr>
  </w:style>
  <w:style w:type="character" w:customStyle="1" w:styleId="Heading6Char">
    <w:name w:val="Heading 6 Char"/>
    <w:link w:val="Heading6"/>
    <w:uiPriority w:val="2"/>
    <w:rsid w:val="00B230EC"/>
    <w:rPr>
      <w:rFonts w:ascii="Verdana" w:eastAsia="Times New Roman" w:hAnsi="Verdana"/>
      <w:b/>
      <w:iCs/>
      <w:color w:val="006283"/>
      <w:sz w:val="18"/>
    </w:rPr>
  </w:style>
  <w:style w:type="character" w:customStyle="1" w:styleId="Heading7Char">
    <w:name w:val="Heading 7 Char"/>
    <w:link w:val="Heading7"/>
    <w:uiPriority w:val="2"/>
    <w:rsid w:val="00B230EC"/>
    <w:rPr>
      <w:rFonts w:ascii="Verdana" w:eastAsia="Times New Roman" w:hAnsi="Verdana" w:cs="Times New Roman"/>
      <w:b/>
      <w:iCs/>
      <w:color w:val="006283"/>
      <w:sz w:val="18"/>
    </w:rPr>
  </w:style>
  <w:style w:type="character" w:customStyle="1" w:styleId="Heading8Char">
    <w:name w:val="Heading 8 Char"/>
    <w:link w:val="Heading8"/>
    <w:uiPriority w:val="2"/>
    <w:rsid w:val="00B230EC"/>
    <w:rPr>
      <w:rFonts w:ascii="Verdana" w:eastAsia="Times New Roman" w:hAnsi="Verdana" w:cs="Times New Roman"/>
      <w:b/>
      <w:i/>
      <w:color w:val="006283"/>
      <w:sz w:val="18"/>
      <w:szCs w:val="20"/>
    </w:rPr>
  </w:style>
  <w:style w:type="character" w:customStyle="1" w:styleId="Heading9Char">
    <w:name w:val="Heading 9 Char"/>
    <w:link w:val="Heading9"/>
    <w:uiPriority w:val="2"/>
    <w:rsid w:val="00B230EC"/>
    <w:rPr>
      <w:rFonts w:ascii="Verdana" w:eastAsia="Times New Roman" w:hAnsi="Verdana" w:cs="Times New Roman"/>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imes New Roman"/>
      <w:b/>
      <w:caps/>
      <w:color w:val="006283"/>
      <w:kern w:val="28"/>
      <w:szCs w:val="52"/>
      <w:lang w:eastAsia="en-GB"/>
    </w:rPr>
  </w:style>
  <w:style w:type="character" w:customStyle="1" w:styleId="TitleChar">
    <w:name w:val="Title Char"/>
    <w:link w:val="Title"/>
    <w:uiPriority w:val="5"/>
    <w:rsid w:val="00B230EC"/>
    <w:rPr>
      <w:rFonts w:ascii="Verdana" w:eastAsia="Times New Roman" w:hAnsi="Verdana" w:cs="Times New Roman"/>
      <w:b/>
      <w:caps/>
      <w:color w:val="006283"/>
      <w:kern w:val="28"/>
      <w:sz w:val="18"/>
      <w:szCs w:val="52"/>
    </w:rPr>
  </w:style>
  <w:style w:type="paragraph" w:styleId="BodyText">
    <w:name w:val="Body Text"/>
    <w:basedOn w:val="Normal"/>
    <w:link w:val="BodyTextChar"/>
    <w:uiPriority w:val="1"/>
    <w:qFormat/>
    <w:rsid w:val="00D747AE"/>
    <w:pPr>
      <w:numPr>
        <w:ilvl w:val="6"/>
        <w:numId w:val="2"/>
      </w:numPr>
      <w:spacing w:after="240"/>
    </w:pPr>
    <w:rPr>
      <w:szCs w:val="20"/>
      <w:lang w:eastAsia="en-GB"/>
    </w:rPr>
  </w:style>
  <w:style w:type="character" w:customStyle="1" w:styleId="BodyTextChar">
    <w:name w:val="Body Text Char"/>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2"/>
      </w:numPr>
      <w:spacing w:after="240"/>
    </w:pPr>
    <w:rPr>
      <w:szCs w:val="20"/>
      <w:lang w:eastAsia="en-GB"/>
    </w:rPr>
  </w:style>
  <w:style w:type="character" w:customStyle="1" w:styleId="BodyText2Char">
    <w:name w:val="Body Text 2 Char"/>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2"/>
      </w:numPr>
      <w:spacing w:after="240"/>
    </w:pPr>
    <w:rPr>
      <w:szCs w:val="16"/>
      <w:lang w:eastAsia="en-GB"/>
    </w:rPr>
  </w:style>
  <w:style w:type="character" w:customStyle="1" w:styleId="BodyText3Char">
    <w:name w:val="Body Text 3 Char"/>
    <w:link w:val="BodyText3"/>
    <w:uiPriority w:val="1"/>
    <w:rsid w:val="00D747AE"/>
    <w:rPr>
      <w:rFonts w:ascii="Verdana" w:hAnsi="Verdana"/>
      <w:sz w:val="18"/>
      <w:szCs w:val="16"/>
    </w:rPr>
  </w:style>
  <w:style w:type="numbering" w:customStyle="1" w:styleId="LegalHeadings">
    <w:name w:val="LegalHeadings"/>
    <w:uiPriority w:val="99"/>
    <w:rsid w:val="00D747AE"/>
    <w:pPr>
      <w:numPr>
        <w:numId w:val="13"/>
      </w:numPr>
    </w:pPr>
  </w:style>
  <w:style w:type="paragraph" w:styleId="ListBullet">
    <w:name w:val="List Bullet"/>
    <w:basedOn w:val="Normal"/>
    <w:uiPriority w:val="1"/>
    <w:rsid w:val="00AE2AEE"/>
    <w:pPr>
      <w:numPr>
        <w:numId w:val="3"/>
      </w:numPr>
      <w:spacing w:after="240"/>
    </w:pPr>
  </w:style>
  <w:style w:type="paragraph" w:styleId="ListBullet2">
    <w:name w:val="List Bullet 2"/>
    <w:basedOn w:val="Normal"/>
    <w:uiPriority w:val="1"/>
    <w:rsid w:val="00AE2AEE"/>
    <w:pPr>
      <w:numPr>
        <w:ilvl w:val="1"/>
        <w:numId w:val="3"/>
      </w:numPr>
      <w:spacing w:after="240"/>
    </w:pPr>
  </w:style>
  <w:style w:type="paragraph" w:styleId="ListBullet3">
    <w:name w:val="List Bullet 3"/>
    <w:basedOn w:val="Normal"/>
    <w:uiPriority w:val="1"/>
    <w:qFormat/>
    <w:rsid w:val="00AE2AEE"/>
    <w:pPr>
      <w:numPr>
        <w:ilvl w:val="2"/>
        <w:numId w:val="3"/>
      </w:numPr>
      <w:spacing w:after="240"/>
    </w:pPr>
  </w:style>
  <w:style w:type="paragraph" w:styleId="ListBullet4">
    <w:name w:val="List Bullet 4"/>
    <w:basedOn w:val="Normal"/>
    <w:uiPriority w:val="1"/>
    <w:rsid w:val="00AE2AEE"/>
    <w:pPr>
      <w:numPr>
        <w:ilvl w:val="3"/>
        <w:numId w:val="3"/>
      </w:numPr>
      <w:spacing w:after="240"/>
      <w:ind w:left="1587" w:hanging="340"/>
    </w:pPr>
  </w:style>
  <w:style w:type="paragraph" w:styleId="ListBullet5">
    <w:name w:val="List Bullet 5"/>
    <w:basedOn w:val="Normal"/>
    <w:uiPriority w:val="1"/>
    <w:rsid w:val="00AE2AEE"/>
    <w:pPr>
      <w:numPr>
        <w:ilvl w:val="4"/>
        <w:numId w:val="3"/>
      </w:numPr>
      <w:spacing w:after="240"/>
    </w:pPr>
  </w:style>
  <w:style w:type="numbering" w:customStyle="1" w:styleId="ListBullets">
    <w:name w:val="ListBullets"/>
    <w:uiPriority w:val="99"/>
    <w:rsid w:val="00760DB3"/>
    <w:pPr>
      <w:numPr>
        <w:numId w:val="3"/>
      </w:numPr>
    </w:pPr>
  </w:style>
  <w:style w:type="paragraph" w:customStyle="1" w:styleId="Answer">
    <w:name w:val="Answer"/>
    <w:basedOn w:val="Normal"/>
    <w:link w:val="AnswerChar"/>
    <w:uiPriority w:val="6"/>
    <w:qFormat/>
    <w:rsid w:val="0046754A"/>
    <w:pPr>
      <w:spacing w:after="240"/>
      <w:ind w:left="1077"/>
    </w:pPr>
    <w:rPr>
      <w:szCs w:val="20"/>
      <w:lang w:eastAsia="en-GB"/>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i/>
      <w:szCs w:val="20"/>
      <w:lang w:eastAsia="en-GB"/>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qFormat/>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uiPriority w:val="5"/>
    <w:qFormat/>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3F3D94"/>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003769"/>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0919E4"/>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lang w:eastAsia="en-GB"/>
    </w:rPr>
  </w:style>
  <w:style w:type="character" w:customStyle="1" w:styleId="BalloonTextChar">
    <w:name w:val="Balloon Text Char"/>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imes New Roman"/>
      <w:b/>
      <w:iCs/>
      <w:szCs w:val="24"/>
      <w:lang w:eastAsia="en-GB"/>
    </w:rPr>
  </w:style>
  <w:style w:type="character" w:customStyle="1" w:styleId="SubtitleChar">
    <w:name w:val="Subtitle Char"/>
    <w:link w:val="Subtitle"/>
    <w:uiPriority w:val="11"/>
    <w:rsid w:val="00E46FD5"/>
    <w:rPr>
      <w:rFonts w:ascii="Verdana" w:eastAsia="Times New Roman" w:hAnsi="Verdana" w:cs="Times New Roman"/>
      <w:b/>
      <w:iCs/>
      <w:sz w:val="18"/>
      <w:szCs w:val="24"/>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0919E4"/>
    <w:pPr>
      <w:numPr>
        <w:numId w:val="4"/>
      </w:numPr>
      <w:spacing w:after="240"/>
    </w:p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0919E4"/>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0919E4"/>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091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6C6"/>
    <w:rPr>
      <w:color w:val="0000FF" w:themeColor="hyperlink"/>
      <w:u w:val="single"/>
    </w:rPr>
  </w:style>
  <w:style w:type="paragraph" w:customStyle="1" w:styleId="PanelTitle">
    <w:name w:val="PanelTitle"/>
    <w:basedOn w:val="Normal"/>
    <w:uiPriority w:val="49"/>
    <w:qFormat/>
    <w:rsid w:val="004410D1"/>
    <w:pPr>
      <w:spacing w:before="480" w:after="240"/>
      <w:contextualSpacing/>
      <w:jc w:val="center"/>
    </w:pPr>
    <w:rPr>
      <w:b/>
      <w:caps/>
      <w:color w:val="006283"/>
      <w:kern w:val="28"/>
      <w:sz w:val="22"/>
    </w:rPr>
  </w:style>
  <w:style w:type="paragraph" w:customStyle="1" w:styleId="NoteText">
    <w:name w:val="Note Text"/>
    <w:basedOn w:val="Normal"/>
    <w:uiPriority w:val="4"/>
    <w:qFormat/>
    <w:rsid w:val="00822ED6"/>
    <w:pPr>
      <w:tabs>
        <w:tab w:val="left" w:pos="851"/>
      </w:tabs>
      <w:ind w:left="851" w:hanging="851"/>
      <w:jc w:val="left"/>
    </w:pPr>
    <w:rPr>
      <w:rFonts w:eastAsiaTheme="minorHAnsi" w:cstheme="minorBidi"/>
      <w:sz w:val="16"/>
    </w:rPr>
  </w:style>
  <w:style w:type="paragraph" w:styleId="Bibliography">
    <w:name w:val="Bibliography"/>
    <w:basedOn w:val="Normal"/>
    <w:next w:val="Normal"/>
    <w:uiPriority w:val="49"/>
    <w:semiHidden/>
    <w:unhideWhenUsed/>
    <w:rsid w:val="000C73C1"/>
  </w:style>
  <w:style w:type="paragraph" w:styleId="BlockText">
    <w:name w:val="Block Text"/>
    <w:basedOn w:val="Normal"/>
    <w:uiPriority w:val="99"/>
    <w:semiHidden/>
    <w:unhideWhenUsed/>
    <w:rsid w:val="000C73C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0C73C1"/>
    <w:pPr>
      <w:numPr>
        <w:ilvl w:val="0"/>
        <w:numId w:val="0"/>
      </w:numPr>
      <w:spacing w:after="0"/>
      <w:ind w:firstLine="360"/>
    </w:pPr>
    <w:rPr>
      <w:szCs w:val="22"/>
      <w:lang w:eastAsia="en-US"/>
    </w:rPr>
  </w:style>
  <w:style w:type="character" w:customStyle="1" w:styleId="BodyTextFirstIndentChar">
    <w:name w:val="Body Text First Indent Char"/>
    <w:basedOn w:val="BodyTextChar"/>
    <w:link w:val="BodyTextFirstIndent"/>
    <w:uiPriority w:val="99"/>
    <w:semiHidden/>
    <w:rsid w:val="000C73C1"/>
    <w:rPr>
      <w:rFonts w:ascii="Verdana" w:hAnsi="Verdana"/>
      <w:sz w:val="18"/>
      <w:szCs w:val="22"/>
      <w:lang w:eastAsia="en-US"/>
    </w:rPr>
  </w:style>
  <w:style w:type="paragraph" w:styleId="BodyTextIndent">
    <w:name w:val="Body Text Indent"/>
    <w:basedOn w:val="Normal"/>
    <w:link w:val="BodyTextIndentChar"/>
    <w:uiPriority w:val="99"/>
    <w:semiHidden/>
    <w:unhideWhenUsed/>
    <w:rsid w:val="000C73C1"/>
    <w:pPr>
      <w:spacing w:after="120"/>
      <w:ind w:left="283"/>
    </w:pPr>
  </w:style>
  <w:style w:type="character" w:customStyle="1" w:styleId="BodyTextIndentChar">
    <w:name w:val="Body Text Indent Char"/>
    <w:basedOn w:val="DefaultParagraphFont"/>
    <w:link w:val="BodyTextIndent"/>
    <w:uiPriority w:val="99"/>
    <w:semiHidden/>
    <w:rsid w:val="000C73C1"/>
    <w:rPr>
      <w:rFonts w:ascii="Verdana" w:hAnsi="Verdana"/>
      <w:sz w:val="18"/>
      <w:szCs w:val="22"/>
      <w:lang w:eastAsia="en-US"/>
    </w:rPr>
  </w:style>
  <w:style w:type="paragraph" w:styleId="BodyTextFirstIndent2">
    <w:name w:val="Body Text First Indent 2"/>
    <w:basedOn w:val="BodyTextIndent"/>
    <w:link w:val="BodyTextFirstIndent2Char"/>
    <w:uiPriority w:val="99"/>
    <w:semiHidden/>
    <w:unhideWhenUsed/>
    <w:rsid w:val="000C73C1"/>
    <w:pPr>
      <w:spacing w:after="0"/>
      <w:ind w:left="360" w:firstLine="360"/>
    </w:pPr>
  </w:style>
  <w:style w:type="character" w:customStyle="1" w:styleId="BodyTextFirstIndent2Char">
    <w:name w:val="Body Text First Indent 2 Char"/>
    <w:basedOn w:val="BodyTextIndentChar"/>
    <w:link w:val="BodyTextFirstIndent2"/>
    <w:uiPriority w:val="99"/>
    <w:semiHidden/>
    <w:rsid w:val="000C73C1"/>
    <w:rPr>
      <w:rFonts w:ascii="Verdana" w:hAnsi="Verdana"/>
      <w:sz w:val="18"/>
      <w:szCs w:val="22"/>
      <w:lang w:eastAsia="en-US"/>
    </w:rPr>
  </w:style>
  <w:style w:type="paragraph" w:styleId="BodyTextIndent2">
    <w:name w:val="Body Text Indent 2"/>
    <w:basedOn w:val="Normal"/>
    <w:link w:val="BodyTextIndent2Char"/>
    <w:uiPriority w:val="99"/>
    <w:semiHidden/>
    <w:unhideWhenUsed/>
    <w:rsid w:val="000C73C1"/>
    <w:pPr>
      <w:spacing w:after="120" w:line="480" w:lineRule="auto"/>
      <w:ind w:left="283"/>
    </w:pPr>
  </w:style>
  <w:style w:type="character" w:customStyle="1" w:styleId="BodyTextIndent2Char">
    <w:name w:val="Body Text Indent 2 Char"/>
    <w:basedOn w:val="DefaultParagraphFont"/>
    <w:link w:val="BodyTextIndent2"/>
    <w:uiPriority w:val="99"/>
    <w:semiHidden/>
    <w:rsid w:val="000C73C1"/>
    <w:rPr>
      <w:rFonts w:ascii="Verdana" w:hAnsi="Verdana"/>
      <w:sz w:val="18"/>
      <w:szCs w:val="22"/>
      <w:lang w:eastAsia="en-US"/>
    </w:rPr>
  </w:style>
  <w:style w:type="paragraph" w:styleId="BodyTextIndent3">
    <w:name w:val="Body Text Indent 3"/>
    <w:basedOn w:val="Normal"/>
    <w:link w:val="BodyTextIndent3Char"/>
    <w:uiPriority w:val="99"/>
    <w:semiHidden/>
    <w:unhideWhenUsed/>
    <w:rsid w:val="000C73C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C73C1"/>
    <w:rPr>
      <w:rFonts w:ascii="Verdana" w:hAnsi="Verdana"/>
      <w:sz w:val="16"/>
      <w:szCs w:val="16"/>
      <w:lang w:eastAsia="en-US"/>
    </w:rPr>
  </w:style>
  <w:style w:type="character" w:styleId="BookTitle">
    <w:name w:val="Book Title"/>
    <w:basedOn w:val="DefaultParagraphFont"/>
    <w:uiPriority w:val="99"/>
    <w:semiHidden/>
    <w:qFormat/>
    <w:rsid w:val="000C73C1"/>
    <w:rPr>
      <w:b/>
      <w:bCs/>
      <w:smallCaps/>
      <w:spacing w:val="5"/>
    </w:rPr>
  </w:style>
  <w:style w:type="paragraph" w:styleId="Closing">
    <w:name w:val="Closing"/>
    <w:basedOn w:val="Normal"/>
    <w:link w:val="ClosingChar"/>
    <w:uiPriority w:val="99"/>
    <w:semiHidden/>
    <w:unhideWhenUsed/>
    <w:rsid w:val="000C73C1"/>
    <w:pPr>
      <w:ind w:left="4252"/>
    </w:pPr>
  </w:style>
  <w:style w:type="character" w:customStyle="1" w:styleId="ClosingChar">
    <w:name w:val="Closing Char"/>
    <w:basedOn w:val="DefaultParagraphFont"/>
    <w:link w:val="Closing"/>
    <w:uiPriority w:val="99"/>
    <w:semiHidden/>
    <w:rsid w:val="000C73C1"/>
    <w:rPr>
      <w:rFonts w:ascii="Verdana" w:hAnsi="Verdana"/>
      <w:sz w:val="18"/>
      <w:szCs w:val="22"/>
      <w:lang w:eastAsia="en-US"/>
    </w:rPr>
  </w:style>
  <w:style w:type="character" w:styleId="CommentReference">
    <w:name w:val="annotation reference"/>
    <w:basedOn w:val="DefaultParagraphFont"/>
    <w:uiPriority w:val="99"/>
    <w:semiHidden/>
    <w:unhideWhenUsed/>
    <w:rsid w:val="000C73C1"/>
    <w:rPr>
      <w:sz w:val="16"/>
      <w:szCs w:val="16"/>
    </w:rPr>
  </w:style>
  <w:style w:type="paragraph" w:styleId="CommentText">
    <w:name w:val="annotation text"/>
    <w:basedOn w:val="Normal"/>
    <w:link w:val="CommentTextChar"/>
    <w:uiPriority w:val="99"/>
    <w:unhideWhenUsed/>
    <w:rsid w:val="000C73C1"/>
    <w:rPr>
      <w:sz w:val="20"/>
      <w:szCs w:val="20"/>
    </w:rPr>
  </w:style>
  <w:style w:type="character" w:customStyle="1" w:styleId="CommentTextChar">
    <w:name w:val="Comment Text Char"/>
    <w:basedOn w:val="DefaultParagraphFont"/>
    <w:link w:val="CommentText"/>
    <w:uiPriority w:val="99"/>
    <w:semiHidden/>
    <w:rsid w:val="000C73C1"/>
    <w:rPr>
      <w:rFonts w:ascii="Verdana" w:hAnsi="Verdana"/>
      <w:lang w:eastAsia="en-US"/>
    </w:rPr>
  </w:style>
  <w:style w:type="paragraph" w:styleId="CommentSubject">
    <w:name w:val="annotation subject"/>
    <w:basedOn w:val="CommentText"/>
    <w:next w:val="CommentText"/>
    <w:link w:val="CommentSubjectChar"/>
    <w:uiPriority w:val="99"/>
    <w:unhideWhenUsed/>
    <w:rsid w:val="000C73C1"/>
    <w:rPr>
      <w:b/>
      <w:bCs/>
    </w:rPr>
  </w:style>
  <w:style w:type="character" w:customStyle="1" w:styleId="CommentSubjectChar">
    <w:name w:val="Comment Subject Char"/>
    <w:basedOn w:val="CommentTextChar"/>
    <w:link w:val="CommentSubject"/>
    <w:uiPriority w:val="99"/>
    <w:semiHidden/>
    <w:rsid w:val="000C73C1"/>
    <w:rPr>
      <w:rFonts w:ascii="Verdana" w:hAnsi="Verdana"/>
      <w:b/>
      <w:bCs/>
      <w:lang w:eastAsia="en-US"/>
    </w:rPr>
  </w:style>
  <w:style w:type="paragraph" w:styleId="Date">
    <w:name w:val="Date"/>
    <w:basedOn w:val="Normal"/>
    <w:next w:val="Normal"/>
    <w:link w:val="DateChar"/>
    <w:uiPriority w:val="99"/>
    <w:semiHidden/>
    <w:unhideWhenUsed/>
    <w:rsid w:val="000C73C1"/>
  </w:style>
  <w:style w:type="character" w:customStyle="1" w:styleId="DateChar">
    <w:name w:val="Date Char"/>
    <w:basedOn w:val="DefaultParagraphFont"/>
    <w:link w:val="Date"/>
    <w:uiPriority w:val="99"/>
    <w:semiHidden/>
    <w:rsid w:val="000C73C1"/>
    <w:rPr>
      <w:rFonts w:ascii="Verdana" w:hAnsi="Verdana"/>
      <w:sz w:val="18"/>
      <w:szCs w:val="22"/>
      <w:lang w:eastAsia="en-US"/>
    </w:rPr>
  </w:style>
  <w:style w:type="paragraph" w:styleId="DocumentMap">
    <w:name w:val="Document Map"/>
    <w:basedOn w:val="Normal"/>
    <w:link w:val="DocumentMapChar"/>
    <w:uiPriority w:val="99"/>
    <w:semiHidden/>
    <w:unhideWhenUsed/>
    <w:rsid w:val="000C73C1"/>
    <w:rPr>
      <w:rFonts w:ascii="Tahoma" w:hAnsi="Tahoma" w:cs="Tahoma"/>
      <w:sz w:val="16"/>
      <w:szCs w:val="16"/>
    </w:rPr>
  </w:style>
  <w:style w:type="character" w:customStyle="1" w:styleId="DocumentMapChar">
    <w:name w:val="Document Map Char"/>
    <w:basedOn w:val="DefaultParagraphFont"/>
    <w:link w:val="DocumentMap"/>
    <w:uiPriority w:val="99"/>
    <w:semiHidden/>
    <w:rsid w:val="000C73C1"/>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0C73C1"/>
  </w:style>
  <w:style w:type="character" w:customStyle="1" w:styleId="E-mailSignatureChar">
    <w:name w:val="E-mail Signature Char"/>
    <w:basedOn w:val="DefaultParagraphFont"/>
    <w:link w:val="E-mailSignature"/>
    <w:uiPriority w:val="99"/>
    <w:semiHidden/>
    <w:rsid w:val="000C73C1"/>
    <w:rPr>
      <w:rFonts w:ascii="Verdana" w:hAnsi="Verdana"/>
      <w:sz w:val="18"/>
      <w:szCs w:val="22"/>
      <w:lang w:eastAsia="en-US"/>
    </w:rPr>
  </w:style>
  <w:style w:type="character" w:styleId="Emphasis">
    <w:name w:val="Emphasis"/>
    <w:basedOn w:val="DefaultParagraphFont"/>
    <w:uiPriority w:val="99"/>
    <w:semiHidden/>
    <w:qFormat/>
    <w:rsid w:val="000C73C1"/>
    <w:rPr>
      <w:i/>
      <w:iCs/>
    </w:rPr>
  </w:style>
  <w:style w:type="paragraph" w:styleId="EnvelopeAddress">
    <w:name w:val="envelope address"/>
    <w:basedOn w:val="Normal"/>
    <w:uiPriority w:val="99"/>
    <w:semiHidden/>
    <w:unhideWhenUsed/>
    <w:rsid w:val="000C73C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C73C1"/>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0C73C1"/>
    <w:rPr>
      <w:color w:val="800080" w:themeColor="followedHyperlink"/>
      <w:u w:val="single"/>
    </w:rPr>
  </w:style>
  <w:style w:type="character" w:styleId="HTMLAcronym">
    <w:name w:val="HTML Acronym"/>
    <w:basedOn w:val="DefaultParagraphFont"/>
    <w:uiPriority w:val="99"/>
    <w:semiHidden/>
    <w:unhideWhenUsed/>
    <w:rsid w:val="000C73C1"/>
  </w:style>
  <w:style w:type="paragraph" w:styleId="HTMLAddress">
    <w:name w:val="HTML Address"/>
    <w:basedOn w:val="Normal"/>
    <w:link w:val="HTMLAddressChar"/>
    <w:uiPriority w:val="99"/>
    <w:semiHidden/>
    <w:unhideWhenUsed/>
    <w:rsid w:val="000C73C1"/>
    <w:rPr>
      <w:i/>
      <w:iCs/>
    </w:rPr>
  </w:style>
  <w:style w:type="character" w:customStyle="1" w:styleId="HTMLAddressChar">
    <w:name w:val="HTML Address Char"/>
    <w:basedOn w:val="DefaultParagraphFont"/>
    <w:link w:val="HTMLAddress"/>
    <w:uiPriority w:val="99"/>
    <w:semiHidden/>
    <w:rsid w:val="000C73C1"/>
    <w:rPr>
      <w:rFonts w:ascii="Verdana" w:hAnsi="Verdana"/>
      <w:i/>
      <w:iCs/>
      <w:sz w:val="18"/>
      <w:szCs w:val="22"/>
      <w:lang w:eastAsia="en-US"/>
    </w:rPr>
  </w:style>
  <w:style w:type="character" w:styleId="HTMLCite">
    <w:name w:val="HTML Cite"/>
    <w:basedOn w:val="DefaultParagraphFont"/>
    <w:uiPriority w:val="99"/>
    <w:semiHidden/>
    <w:unhideWhenUsed/>
    <w:rsid w:val="000C73C1"/>
    <w:rPr>
      <w:i/>
      <w:iCs/>
    </w:rPr>
  </w:style>
  <w:style w:type="character" w:styleId="HTMLCode">
    <w:name w:val="HTML Code"/>
    <w:basedOn w:val="DefaultParagraphFont"/>
    <w:uiPriority w:val="99"/>
    <w:semiHidden/>
    <w:unhideWhenUsed/>
    <w:rsid w:val="000C73C1"/>
    <w:rPr>
      <w:rFonts w:ascii="Consolas" w:hAnsi="Consolas" w:cs="Consolas"/>
      <w:sz w:val="20"/>
      <w:szCs w:val="20"/>
    </w:rPr>
  </w:style>
  <w:style w:type="character" w:styleId="HTMLDefinition">
    <w:name w:val="HTML Definition"/>
    <w:basedOn w:val="DefaultParagraphFont"/>
    <w:uiPriority w:val="99"/>
    <w:semiHidden/>
    <w:unhideWhenUsed/>
    <w:rsid w:val="000C73C1"/>
    <w:rPr>
      <w:i/>
      <w:iCs/>
    </w:rPr>
  </w:style>
  <w:style w:type="character" w:styleId="HTMLKeyboard">
    <w:name w:val="HTML Keyboard"/>
    <w:basedOn w:val="DefaultParagraphFont"/>
    <w:uiPriority w:val="99"/>
    <w:semiHidden/>
    <w:unhideWhenUsed/>
    <w:rsid w:val="000C73C1"/>
    <w:rPr>
      <w:rFonts w:ascii="Consolas" w:hAnsi="Consolas" w:cs="Consolas"/>
      <w:sz w:val="20"/>
      <w:szCs w:val="20"/>
    </w:rPr>
  </w:style>
  <w:style w:type="paragraph" w:styleId="HTMLPreformatted">
    <w:name w:val="HTML Preformatted"/>
    <w:basedOn w:val="Normal"/>
    <w:link w:val="HTMLPreformattedChar"/>
    <w:uiPriority w:val="99"/>
    <w:semiHidden/>
    <w:unhideWhenUsed/>
    <w:rsid w:val="000C73C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C73C1"/>
    <w:rPr>
      <w:rFonts w:ascii="Consolas" w:hAnsi="Consolas" w:cs="Consolas"/>
      <w:lang w:eastAsia="en-US"/>
    </w:rPr>
  </w:style>
  <w:style w:type="character" w:styleId="HTMLSample">
    <w:name w:val="HTML Sample"/>
    <w:basedOn w:val="DefaultParagraphFont"/>
    <w:uiPriority w:val="99"/>
    <w:semiHidden/>
    <w:unhideWhenUsed/>
    <w:rsid w:val="000C73C1"/>
    <w:rPr>
      <w:rFonts w:ascii="Consolas" w:hAnsi="Consolas" w:cs="Consolas"/>
      <w:sz w:val="24"/>
      <w:szCs w:val="24"/>
    </w:rPr>
  </w:style>
  <w:style w:type="character" w:styleId="HTMLTypewriter">
    <w:name w:val="HTML Typewriter"/>
    <w:basedOn w:val="DefaultParagraphFont"/>
    <w:uiPriority w:val="99"/>
    <w:semiHidden/>
    <w:unhideWhenUsed/>
    <w:rsid w:val="000C73C1"/>
    <w:rPr>
      <w:rFonts w:ascii="Consolas" w:hAnsi="Consolas" w:cs="Consolas"/>
      <w:sz w:val="20"/>
      <w:szCs w:val="20"/>
    </w:rPr>
  </w:style>
  <w:style w:type="character" w:styleId="HTMLVariable">
    <w:name w:val="HTML Variable"/>
    <w:basedOn w:val="DefaultParagraphFont"/>
    <w:uiPriority w:val="99"/>
    <w:semiHidden/>
    <w:unhideWhenUsed/>
    <w:rsid w:val="000C73C1"/>
    <w:rPr>
      <w:i/>
      <w:iCs/>
    </w:rPr>
  </w:style>
  <w:style w:type="paragraph" w:styleId="Index1">
    <w:name w:val="index 1"/>
    <w:basedOn w:val="Normal"/>
    <w:next w:val="Normal"/>
    <w:autoRedefine/>
    <w:uiPriority w:val="99"/>
    <w:semiHidden/>
    <w:unhideWhenUsed/>
    <w:rsid w:val="000C73C1"/>
    <w:pPr>
      <w:ind w:left="180" w:hanging="180"/>
    </w:pPr>
  </w:style>
  <w:style w:type="paragraph" w:styleId="Index2">
    <w:name w:val="index 2"/>
    <w:basedOn w:val="Normal"/>
    <w:next w:val="Normal"/>
    <w:autoRedefine/>
    <w:uiPriority w:val="99"/>
    <w:semiHidden/>
    <w:unhideWhenUsed/>
    <w:rsid w:val="000C73C1"/>
    <w:pPr>
      <w:ind w:left="360" w:hanging="180"/>
    </w:pPr>
  </w:style>
  <w:style w:type="paragraph" w:styleId="Index3">
    <w:name w:val="index 3"/>
    <w:basedOn w:val="Normal"/>
    <w:next w:val="Normal"/>
    <w:autoRedefine/>
    <w:uiPriority w:val="99"/>
    <w:semiHidden/>
    <w:unhideWhenUsed/>
    <w:rsid w:val="000C73C1"/>
    <w:pPr>
      <w:ind w:left="540" w:hanging="180"/>
    </w:pPr>
  </w:style>
  <w:style w:type="paragraph" w:styleId="Index4">
    <w:name w:val="index 4"/>
    <w:basedOn w:val="Normal"/>
    <w:next w:val="Normal"/>
    <w:autoRedefine/>
    <w:uiPriority w:val="99"/>
    <w:semiHidden/>
    <w:unhideWhenUsed/>
    <w:rsid w:val="000C73C1"/>
    <w:pPr>
      <w:ind w:left="720" w:hanging="180"/>
    </w:pPr>
  </w:style>
  <w:style w:type="paragraph" w:styleId="Index5">
    <w:name w:val="index 5"/>
    <w:basedOn w:val="Normal"/>
    <w:next w:val="Normal"/>
    <w:autoRedefine/>
    <w:uiPriority w:val="99"/>
    <w:semiHidden/>
    <w:unhideWhenUsed/>
    <w:rsid w:val="000C73C1"/>
    <w:pPr>
      <w:ind w:left="900" w:hanging="180"/>
    </w:pPr>
  </w:style>
  <w:style w:type="paragraph" w:styleId="Index6">
    <w:name w:val="index 6"/>
    <w:basedOn w:val="Normal"/>
    <w:next w:val="Normal"/>
    <w:autoRedefine/>
    <w:uiPriority w:val="99"/>
    <w:semiHidden/>
    <w:unhideWhenUsed/>
    <w:rsid w:val="000C73C1"/>
    <w:pPr>
      <w:ind w:left="1080" w:hanging="180"/>
    </w:pPr>
  </w:style>
  <w:style w:type="paragraph" w:styleId="Index7">
    <w:name w:val="index 7"/>
    <w:basedOn w:val="Normal"/>
    <w:next w:val="Normal"/>
    <w:autoRedefine/>
    <w:uiPriority w:val="99"/>
    <w:semiHidden/>
    <w:unhideWhenUsed/>
    <w:rsid w:val="000C73C1"/>
    <w:pPr>
      <w:ind w:left="1260" w:hanging="180"/>
    </w:pPr>
  </w:style>
  <w:style w:type="paragraph" w:styleId="Index8">
    <w:name w:val="index 8"/>
    <w:basedOn w:val="Normal"/>
    <w:next w:val="Normal"/>
    <w:autoRedefine/>
    <w:uiPriority w:val="99"/>
    <w:semiHidden/>
    <w:unhideWhenUsed/>
    <w:rsid w:val="000C73C1"/>
    <w:pPr>
      <w:ind w:left="1440" w:hanging="180"/>
    </w:pPr>
  </w:style>
  <w:style w:type="paragraph" w:styleId="Index9">
    <w:name w:val="index 9"/>
    <w:basedOn w:val="Normal"/>
    <w:next w:val="Normal"/>
    <w:autoRedefine/>
    <w:uiPriority w:val="99"/>
    <w:semiHidden/>
    <w:unhideWhenUsed/>
    <w:rsid w:val="000C73C1"/>
    <w:pPr>
      <w:ind w:left="1620" w:hanging="180"/>
    </w:pPr>
  </w:style>
  <w:style w:type="paragraph" w:styleId="IndexHeading">
    <w:name w:val="index heading"/>
    <w:basedOn w:val="Normal"/>
    <w:next w:val="Index1"/>
    <w:uiPriority w:val="99"/>
    <w:semiHidden/>
    <w:unhideWhenUsed/>
    <w:rsid w:val="000C73C1"/>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0C73C1"/>
    <w:rPr>
      <w:b/>
      <w:bCs/>
      <w:i/>
      <w:iCs/>
      <w:color w:val="4F81BD" w:themeColor="accent1"/>
    </w:rPr>
  </w:style>
  <w:style w:type="paragraph" w:styleId="IntenseQuote">
    <w:name w:val="Intense Quote"/>
    <w:basedOn w:val="Normal"/>
    <w:next w:val="Normal"/>
    <w:link w:val="IntenseQuoteChar"/>
    <w:uiPriority w:val="59"/>
    <w:semiHidden/>
    <w:qFormat/>
    <w:rsid w:val="000C73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0C73C1"/>
    <w:rPr>
      <w:rFonts w:ascii="Verdana" w:hAnsi="Verdana"/>
      <w:b/>
      <w:bCs/>
      <w:i/>
      <w:iCs/>
      <w:color w:val="4F81BD" w:themeColor="accent1"/>
      <w:sz w:val="18"/>
      <w:szCs w:val="22"/>
      <w:lang w:eastAsia="en-US"/>
    </w:rPr>
  </w:style>
  <w:style w:type="character" w:styleId="IntenseReference">
    <w:name w:val="Intense Reference"/>
    <w:basedOn w:val="DefaultParagraphFont"/>
    <w:uiPriority w:val="99"/>
    <w:semiHidden/>
    <w:qFormat/>
    <w:rsid w:val="000C73C1"/>
    <w:rPr>
      <w:b/>
      <w:bCs/>
      <w:smallCaps/>
      <w:color w:val="C0504D" w:themeColor="accent2"/>
      <w:spacing w:val="5"/>
      <w:u w:val="single"/>
    </w:rPr>
  </w:style>
  <w:style w:type="character" w:styleId="LineNumber">
    <w:name w:val="line number"/>
    <w:basedOn w:val="DefaultParagraphFont"/>
    <w:uiPriority w:val="99"/>
    <w:semiHidden/>
    <w:unhideWhenUsed/>
    <w:rsid w:val="000C73C1"/>
  </w:style>
  <w:style w:type="paragraph" w:styleId="List">
    <w:name w:val="List"/>
    <w:basedOn w:val="Normal"/>
    <w:uiPriority w:val="99"/>
    <w:semiHidden/>
    <w:unhideWhenUsed/>
    <w:rsid w:val="000C73C1"/>
    <w:pPr>
      <w:ind w:left="283" w:hanging="283"/>
      <w:contextualSpacing/>
    </w:pPr>
  </w:style>
  <w:style w:type="paragraph" w:styleId="List2">
    <w:name w:val="List 2"/>
    <w:basedOn w:val="Normal"/>
    <w:uiPriority w:val="99"/>
    <w:semiHidden/>
    <w:unhideWhenUsed/>
    <w:rsid w:val="000C73C1"/>
    <w:pPr>
      <w:ind w:left="566" w:hanging="283"/>
      <w:contextualSpacing/>
    </w:pPr>
  </w:style>
  <w:style w:type="paragraph" w:styleId="List3">
    <w:name w:val="List 3"/>
    <w:basedOn w:val="Normal"/>
    <w:uiPriority w:val="99"/>
    <w:semiHidden/>
    <w:unhideWhenUsed/>
    <w:rsid w:val="000C73C1"/>
    <w:pPr>
      <w:ind w:left="849" w:hanging="283"/>
      <w:contextualSpacing/>
    </w:pPr>
  </w:style>
  <w:style w:type="paragraph" w:styleId="List4">
    <w:name w:val="List 4"/>
    <w:basedOn w:val="Normal"/>
    <w:uiPriority w:val="99"/>
    <w:semiHidden/>
    <w:unhideWhenUsed/>
    <w:rsid w:val="000C73C1"/>
    <w:pPr>
      <w:ind w:left="1132" w:hanging="283"/>
      <w:contextualSpacing/>
    </w:pPr>
  </w:style>
  <w:style w:type="paragraph" w:styleId="List5">
    <w:name w:val="List 5"/>
    <w:basedOn w:val="Normal"/>
    <w:uiPriority w:val="99"/>
    <w:semiHidden/>
    <w:unhideWhenUsed/>
    <w:rsid w:val="000C73C1"/>
    <w:pPr>
      <w:ind w:left="1415" w:hanging="283"/>
      <w:contextualSpacing/>
    </w:pPr>
  </w:style>
  <w:style w:type="paragraph" w:styleId="ListContinue">
    <w:name w:val="List Continue"/>
    <w:basedOn w:val="Normal"/>
    <w:uiPriority w:val="99"/>
    <w:semiHidden/>
    <w:unhideWhenUsed/>
    <w:rsid w:val="000C73C1"/>
    <w:pPr>
      <w:spacing w:after="120"/>
      <w:ind w:left="283"/>
      <w:contextualSpacing/>
    </w:pPr>
  </w:style>
  <w:style w:type="paragraph" w:styleId="ListContinue2">
    <w:name w:val="List Continue 2"/>
    <w:basedOn w:val="Normal"/>
    <w:uiPriority w:val="99"/>
    <w:semiHidden/>
    <w:unhideWhenUsed/>
    <w:rsid w:val="000C73C1"/>
    <w:pPr>
      <w:spacing w:after="120"/>
      <w:ind w:left="566"/>
      <w:contextualSpacing/>
    </w:pPr>
  </w:style>
  <w:style w:type="paragraph" w:styleId="ListContinue3">
    <w:name w:val="List Continue 3"/>
    <w:basedOn w:val="Normal"/>
    <w:uiPriority w:val="99"/>
    <w:semiHidden/>
    <w:unhideWhenUsed/>
    <w:rsid w:val="000C73C1"/>
    <w:pPr>
      <w:spacing w:after="120"/>
      <w:ind w:left="849"/>
      <w:contextualSpacing/>
    </w:pPr>
  </w:style>
  <w:style w:type="paragraph" w:styleId="ListContinue4">
    <w:name w:val="List Continue 4"/>
    <w:basedOn w:val="Normal"/>
    <w:uiPriority w:val="99"/>
    <w:semiHidden/>
    <w:unhideWhenUsed/>
    <w:rsid w:val="000C73C1"/>
    <w:pPr>
      <w:spacing w:after="120"/>
      <w:ind w:left="1132"/>
      <w:contextualSpacing/>
    </w:pPr>
  </w:style>
  <w:style w:type="paragraph" w:styleId="ListContinue5">
    <w:name w:val="List Continue 5"/>
    <w:basedOn w:val="Normal"/>
    <w:uiPriority w:val="99"/>
    <w:semiHidden/>
    <w:unhideWhenUsed/>
    <w:rsid w:val="000C73C1"/>
    <w:pPr>
      <w:spacing w:after="120"/>
      <w:ind w:left="1415"/>
      <w:contextualSpacing/>
    </w:pPr>
  </w:style>
  <w:style w:type="paragraph" w:styleId="ListNumber">
    <w:name w:val="List Number"/>
    <w:basedOn w:val="Normal"/>
    <w:uiPriority w:val="49"/>
    <w:semiHidden/>
    <w:unhideWhenUsed/>
    <w:rsid w:val="000C73C1"/>
    <w:pPr>
      <w:numPr>
        <w:numId w:val="5"/>
      </w:numPr>
      <w:contextualSpacing/>
    </w:pPr>
  </w:style>
  <w:style w:type="paragraph" w:styleId="ListNumber2">
    <w:name w:val="List Number 2"/>
    <w:basedOn w:val="Normal"/>
    <w:uiPriority w:val="49"/>
    <w:semiHidden/>
    <w:unhideWhenUsed/>
    <w:rsid w:val="000C73C1"/>
    <w:pPr>
      <w:numPr>
        <w:numId w:val="6"/>
      </w:numPr>
      <w:contextualSpacing/>
    </w:pPr>
  </w:style>
  <w:style w:type="paragraph" w:styleId="ListNumber3">
    <w:name w:val="List Number 3"/>
    <w:basedOn w:val="Normal"/>
    <w:uiPriority w:val="49"/>
    <w:semiHidden/>
    <w:unhideWhenUsed/>
    <w:rsid w:val="000C73C1"/>
    <w:pPr>
      <w:numPr>
        <w:numId w:val="7"/>
      </w:numPr>
      <w:contextualSpacing/>
    </w:pPr>
  </w:style>
  <w:style w:type="paragraph" w:styleId="ListNumber4">
    <w:name w:val="List Number 4"/>
    <w:basedOn w:val="Normal"/>
    <w:uiPriority w:val="49"/>
    <w:semiHidden/>
    <w:unhideWhenUsed/>
    <w:rsid w:val="000C73C1"/>
    <w:pPr>
      <w:numPr>
        <w:numId w:val="8"/>
      </w:numPr>
      <w:contextualSpacing/>
    </w:pPr>
  </w:style>
  <w:style w:type="paragraph" w:styleId="ListNumber5">
    <w:name w:val="List Number 5"/>
    <w:basedOn w:val="Normal"/>
    <w:uiPriority w:val="49"/>
    <w:semiHidden/>
    <w:unhideWhenUsed/>
    <w:rsid w:val="000C73C1"/>
    <w:pPr>
      <w:numPr>
        <w:numId w:val="9"/>
      </w:numPr>
      <w:contextualSpacing/>
    </w:pPr>
  </w:style>
  <w:style w:type="paragraph" w:styleId="MacroText">
    <w:name w:val="macro"/>
    <w:link w:val="MacroTextChar"/>
    <w:uiPriority w:val="99"/>
    <w:semiHidden/>
    <w:unhideWhenUsed/>
    <w:rsid w:val="000C73C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basedOn w:val="DefaultParagraphFont"/>
    <w:link w:val="MacroText"/>
    <w:uiPriority w:val="99"/>
    <w:semiHidden/>
    <w:rsid w:val="000C73C1"/>
    <w:rPr>
      <w:rFonts w:ascii="Consolas" w:hAnsi="Consolas" w:cs="Consolas"/>
      <w:lang w:eastAsia="en-US"/>
    </w:rPr>
  </w:style>
  <w:style w:type="paragraph" w:styleId="MessageHeader">
    <w:name w:val="Message Header"/>
    <w:basedOn w:val="Normal"/>
    <w:link w:val="MessageHeaderChar"/>
    <w:uiPriority w:val="99"/>
    <w:semiHidden/>
    <w:unhideWhenUsed/>
    <w:rsid w:val="000C73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C73C1"/>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qFormat/>
    <w:rsid w:val="000C73C1"/>
    <w:pPr>
      <w:jc w:val="both"/>
    </w:pPr>
    <w:rPr>
      <w:rFonts w:ascii="Verdana" w:hAnsi="Verdana"/>
      <w:sz w:val="18"/>
      <w:szCs w:val="22"/>
      <w:lang w:eastAsia="en-US"/>
    </w:rPr>
  </w:style>
  <w:style w:type="paragraph" w:styleId="NormalWeb">
    <w:name w:val="Normal (Web)"/>
    <w:basedOn w:val="Normal"/>
    <w:uiPriority w:val="99"/>
    <w:semiHidden/>
    <w:unhideWhenUsed/>
    <w:rsid w:val="000C73C1"/>
    <w:rPr>
      <w:rFonts w:ascii="Times New Roman" w:hAnsi="Times New Roman"/>
      <w:sz w:val="24"/>
      <w:szCs w:val="24"/>
    </w:rPr>
  </w:style>
  <w:style w:type="paragraph" w:styleId="NormalIndent">
    <w:name w:val="Normal Indent"/>
    <w:basedOn w:val="Normal"/>
    <w:uiPriority w:val="99"/>
    <w:semiHidden/>
    <w:unhideWhenUsed/>
    <w:rsid w:val="000C73C1"/>
    <w:pPr>
      <w:ind w:left="567"/>
    </w:pPr>
  </w:style>
  <w:style w:type="paragraph" w:styleId="NoteHeading">
    <w:name w:val="Note Heading"/>
    <w:basedOn w:val="Normal"/>
    <w:next w:val="Normal"/>
    <w:link w:val="NoteHeadingChar"/>
    <w:uiPriority w:val="99"/>
    <w:semiHidden/>
    <w:unhideWhenUsed/>
    <w:rsid w:val="000C73C1"/>
  </w:style>
  <w:style w:type="character" w:customStyle="1" w:styleId="NoteHeadingChar">
    <w:name w:val="Note Heading Char"/>
    <w:basedOn w:val="DefaultParagraphFont"/>
    <w:link w:val="NoteHeading"/>
    <w:uiPriority w:val="99"/>
    <w:semiHidden/>
    <w:rsid w:val="000C73C1"/>
    <w:rPr>
      <w:rFonts w:ascii="Verdana" w:hAnsi="Verdana"/>
      <w:sz w:val="18"/>
      <w:szCs w:val="22"/>
      <w:lang w:eastAsia="en-US"/>
    </w:rPr>
  </w:style>
  <w:style w:type="character" w:styleId="PageNumber">
    <w:name w:val="page number"/>
    <w:basedOn w:val="DefaultParagraphFont"/>
    <w:uiPriority w:val="99"/>
    <w:semiHidden/>
    <w:unhideWhenUsed/>
    <w:rsid w:val="000C73C1"/>
  </w:style>
  <w:style w:type="character" w:styleId="PlaceholderText">
    <w:name w:val="Placeholder Text"/>
    <w:basedOn w:val="DefaultParagraphFont"/>
    <w:uiPriority w:val="99"/>
    <w:semiHidden/>
    <w:rsid w:val="000C73C1"/>
    <w:rPr>
      <w:color w:val="808080"/>
    </w:rPr>
  </w:style>
  <w:style w:type="paragraph" w:styleId="PlainText">
    <w:name w:val="Plain Text"/>
    <w:basedOn w:val="Normal"/>
    <w:link w:val="PlainTextChar"/>
    <w:uiPriority w:val="99"/>
    <w:unhideWhenUsed/>
    <w:rsid w:val="000C73C1"/>
    <w:rPr>
      <w:rFonts w:ascii="Consolas" w:hAnsi="Consolas" w:cs="Consolas"/>
      <w:sz w:val="21"/>
      <w:szCs w:val="21"/>
    </w:rPr>
  </w:style>
  <w:style w:type="character" w:customStyle="1" w:styleId="PlainTextChar">
    <w:name w:val="Plain Text Char"/>
    <w:basedOn w:val="DefaultParagraphFont"/>
    <w:link w:val="PlainText"/>
    <w:uiPriority w:val="99"/>
    <w:semiHidden/>
    <w:rsid w:val="000C73C1"/>
    <w:rPr>
      <w:rFonts w:ascii="Consolas" w:hAnsi="Consolas" w:cs="Consolas"/>
      <w:sz w:val="21"/>
      <w:szCs w:val="21"/>
      <w:lang w:eastAsia="en-US"/>
    </w:rPr>
  </w:style>
  <w:style w:type="paragraph" w:styleId="Quote">
    <w:name w:val="Quote"/>
    <w:basedOn w:val="Normal"/>
    <w:next w:val="Normal"/>
    <w:link w:val="QuoteChar"/>
    <w:uiPriority w:val="59"/>
    <w:qFormat/>
    <w:rsid w:val="000C73C1"/>
    <w:rPr>
      <w:i/>
      <w:iCs/>
      <w:color w:val="000000" w:themeColor="text1"/>
    </w:rPr>
  </w:style>
  <w:style w:type="character" w:customStyle="1" w:styleId="QuoteChar">
    <w:name w:val="Quote Char"/>
    <w:basedOn w:val="DefaultParagraphFont"/>
    <w:link w:val="Quote"/>
    <w:uiPriority w:val="99"/>
    <w:semiHidden/>
    <w:rsid w:val="000C73C1"/>
    <w:rPr>
      <w:rFonts w:ascii="Verdana" w:hAnsi="Verdana"/>
      <w:i/>
      <w:iCs/>
      <w:color w:val="000000" w:themeColor="text1"/>
      <w:sz w:val="18"/>
      <w:szCs w:val="22"/>
      <w:lang w:eastAsia="en-US"/>
    </w:rPr>
  </w:style>
  <w:style w:type="paragraph" w:styleId="Salutation">
    <w:name w:val="Salutation"/>
    <w:basedOn w:val="Normal"/>
    <w:next w:val="Normal"/>
    <w:link w:val="SalutationChar"/>
    <w:uiPriority w:val="99"/>
    <w:semiHidden/>
    <w:unhideWhenUsed/>
    <w:rsid w:val="000C73C1"/>
  </w:style>
  <w:style w:type="character" w:customStyle="1" w:styleId="SalutationChar">
    <w:name w:val="Salutation Char"/>
    <w:basedOn w:val="DefaultParagraphFont"/>
    <w:link w:val="Salutation"/>
    <w:uiPriority w:val="99"/>
    <w:semiHidden/>
    <w:rsid w:val="000C73C1"/>
    <w:rPr>
      <w:rFonts w:ascii="Verdana" w:hAnsi="Verdana"/>
      <w:sz w:val="18"/>
      <w:szCs w:val="22"/>
      <w:lang w:eastAsia="en-US"/>
    </w:rPr>
  </w:style>
  <w:style w:type="paragraph" w:styleId="Signature">
    <w:name w:val="Signature"/>
    <w:basedOn w:val="Normal"/>
    <w:link w:val="SignatureChar"/>
    <w:uiPriority w:val="99"/>
    <w:semiHidden/>
    <w:unhideWhenUsed/>
    <w:rsid w:val="000C73C1"/>
    <w:pPr>
      <w:ind w:left="4252"/>
    </w:pPr>
  </w:style>
  <w:style w:type="character" w:customStyle="1" w:styleId="SignatureChar">
    <w:name w:val="Signature Char"/>
    <w:basedOn w:val="DefaultParagraphFont"/>
    <w:link w:val="Signature"/>
    <w:uiPriority w:val="99"/>
    <w:semiHidden/>
    <w:rsid w:val="000C73C1"/>
    <w:rPr>
      <w:rFonts w:ascii="Verdana" w:hAnsi="Verdana"/>
      <w:sz w:val="18"/>
      <w:szCs w:val="22"/>
      <w:lang w:eastAsia="en-US"/>
    </w:rPr>
  </w:style>
  <w:style w:type="character" w:styleId="Strong">
    <w:name w:val="Strong"/>
    <w:basedOn w:val="DefaultParagraphFont"/>
    <w:uiPriority w:val="99"/>
    <w:semiHidden/>
    <w:qFormat/>
    <w:rsid w:val="000C73C1"/>
    <w:rPr>
      <w:b/>
      <w:bCs/>
    </w:rPr>
  </w:style>
  <w:style w:type="character" w:styleId="SubtleEmphasis">
    <w:name w:val="Subtle Emphasis"/>
    <w:basedOn w:val="DefaultParagraphFont"/>
    <w:uiPriority w:val="99"/>
    <w:semiHidden/>
    <w:qFormat/>
    <w:rsid w:val="000C73C1"/>
    <w:rPr>
      <w:i/>
      <w:iCs/>
      <w:color w:val="808080" w:themeColor="text1" w:themeTint="7F"/>
    </w:rPr>
  </w:style>
  <w:style w:type="character" w:styleId="SubtleReference">
    <w:name w:val="Subtle Reference"/>
    <w:basedOn w:val="DefaultParagraphFont"/>
    <w:uiPriority w:val="99"/>
    <w:semiHidden/>
    <w:qFormat/>
    <w:rsid w:val="000C73C1"/>
    <w:rPr>
      <w:smallCaps/>
      <w:color w:val="C0504D" w:themeColor="accent2"/>
      <w:u w:val="single"/>
    </w:rPr>
  </w:style>
  <w:style w:type="paragraph" w:styleId="TOAHeading">
    <w:name w:val="toa heading"/>
    <w:basedOn w:val="Normal"/>
    <w:next w:val="Normal"/>
    <w:uiPriority w:val="39"/>
    <w:unhideWhenUsed/>
    <w:rsid w:val="000C73C1"/>
    <w:pPr>
      <w:spacing w:before="120"/>
    </w:pPr>
    <w:rPr>
      <w:rFonts w:asciiTheme="majorHAnsi" w:eastAsiaTheme="majorEastAsia" w:hAnsiTheme="majorHAnsi" w:cstheme="majorBidi"/>
      <w:b/>
      <w:bCs/>
      <w:sz w:val="24"/>
      <w:szCs w:val="24"/>
    </w:rPr>
  </w:style>
  <w:style w:type="character" w:styleId="Hashtag">
    <w:name w:val="Hashtag"/>
    <w:basedOn w:val="DefaultParagraphFont"/>
    <w:uiPriority w:val="99"/>
    <w:semiHidden/>
    <w:unhideWhenUsed/>
    <w:rsid w:val="009172FA"/>
    <w:rPr>
      <w:color w:val="2B579A"/>
      <w:shd w:val="clear" w:color="auto" w:fill="E1DFDD"/>
    </w:rPr>
  </w:style>
  <w:style w:type="character" w:styleId="Mention">
    <w:name w:val="Mention"/>
    <w:basedOn w:val="DefaultParagraphFont"/>
    <w:uiPriority w:val="99"/>
    <w:semiHidden/>
    <w:unhideWhenUsed/>
    <w:rsid w:val="009172FA"/>
    <w:rPr>
      <w:color w:val="2B579A"/>
      <w:shd w:val="clear" w:color="auto" w:fill="E1DFDD"/>
    </w:rPr>
  </w:style>
  <w:style w:type="character" w:styleId="SmartHyperlink">
    <w:name w:val="Smart Hyperlink"/>
    <w:basedOn w:val="DefaultParagraphFont"/>
    <w:uiPriority w:val="99"/>
    <w:semiHidden/>
    <w:unhideWhenUsed/>
    <w:rsid w:val="009172FA"/>
    <w:rPr>
      <w:u w:val="dotted"/>
    </w:rPr>
  </w:style>
  <w:style w:type="character" w:styleId="UnresolvedMention">
    <w:name w:val="Unresolved Mention"/>
    <w:basedOn w:val="DefaultParagraphFont"/>
    <w:uiPriority w:val="99"/>
    <w:semiHidden/>
    <w:unhideWhenUsed/>
    <w:rsid w:val="009172FA"/>
    <w:rPr>
      <w:color w:val="605E5C"/>
      <w:shd w:val="clear" w:color="auto" w:fill="E1DFDD"/>
    </w:rPr>
  </w:style>
  <w:style w:type="paragraph" w:styleId="Revision">
    <w:name w:val="Revision"/>
    <w:hidden/>
    <w:uiPriority w:val="99"/>
    <w:semiHidden/>
    <w:rsid w:val="00CE542E"/>
    <w:rPr>
      <w:rFonts w:ascii="Verdana" w:hAnsi="Verdana"/>
      <w:sz w:val="18"/>
      <w:szCs w:val="22"/>
      <w:lang w:eastAsia="en-US"/>
    </w:rPr>
  </w:style>
  <w:style w:type="paragraph" w:customStyle="1" w:styleId="TitleDate">
    <w:name w:val="Title Date"/>
    <w:basedOn w:val="Normal"/>
    <w:next w:val="Normal"/>
    <w:uiPriority w:val="5"/>
    <w:qFormat/>
    <w:rsid w:val="007711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87079">
      <w:bodyDiv w:val="1"/>
      <w:marLeft w:val="0"/>
      <w:marRight w:val="0"/>
      <w:marTop w:val="0"/>
      <w:marBottom w:val="0"/>
      <w:divBdr>
        <w:top w:val="none" w:sz="0" w:space="0" w:color="auto"/>
        <w:left w:val="none" w:sz="0" w:space="0" w:color="auto"/>
        <w:bottom w:val="none" w:sz="0" w:space="0" w:color="auto"/>
        <w:right w:val="none" w:sz="0" w:space="0" w:color="auto"/>
      </w:divBdr>
    </w:div>
    <w:div w:id="202255801">
      <w:bodyDiv w:val="1"/>
      <w:marLeft w:val="0"/>
      <w:marRight w:val="0"/>
      <w:marTop w:val="0"/>
      <w:marBottom w:val="0"/>
      <w:divBdr>
        <w:top w:val="none" w:sz="0" w:space="0" w:color="auto"/>
        <w:left w:val="none" w:sz="0" w:space="0" w:color="auto"/>
        <w:bottom w:val="none" w:sz="0" w:space="0" w:color="auto"/>
        <w:right w:val="none" w:sz="0" w:space="0" w:color="auto"/>
      </w:divBdr>
    </w:div>
    <w:div w:id="627396243">
      <w:bodyDiv w:val="1"/>
      <w:marLeft w:val="0"/>
      <w:marRight w:val="0"/>
      <w:marTop w:val="0"/>
      <w:marBottom w:val="0"/>
      <w:divBdr>
        <w:top w:val="none" w:sz="0" w:space="0" w:color="auto"/>
        <w:left w:val="none" w:sz="0" w:space="0" w:color="auto"/>
        <w:bottom w:val="none" w:sz="0" w:space="0" w:color="auto"/>
        <w:right w:val="none" w:sz="0" w:space="0" w:color="auto"/>
      </w:divBdr>
    </w:div>
    <w:div w:id="715158686">
      <w:bodyDiv w:val="1"/>
      <w:marLeft w:val="0"/>
      <w:marRight w:val="0"/>
      <w:marTop w:val="0"/>
      <w:marBottom w:val="0"/>
      <w:divBdr>
        <w:top w:val="none" w:sz="0" w:space="0" w:color="auto"/>
        <w:left w:val="none" w:sz="0" w:space="0" w:color="auto"/>
        <w:bottom w:val="none" w:sz="0" w:space="0" w:color="auto"/>
        <w:right w:val="none" w:sz="0" w:space="0" w:color="auto"/>
      </w:divBdr>
    </w:div>
    <w:div w:id="803934822">
      <w:bodyDiv w:val="1"/>
      <w:marLeft w:val="0"/>
      <w:marRight w:val="0"/>
      <w:marTop w:val="0"/>
      <w:marBottom w:val="0"/>
      <w:divBdr>
        <w:top w:val="none" w:sz="0" w:space="0" w:color="auto"/>
        <w:left w:val="none" w:sz="0" w:space="0" w:color="auto"/>
        <w:bottom w:val="none" w:sz="0" w:space="0" w:color="auto"/>
        <w:right w:val="none" w:sz="0" w:space="0" w:color="auto"/>
      </w:divBdr>
    </w:div>
    <w:div w:id="1217426127">
      <w:bodyDiv w:val="1"/>
      <w:marLeft w:val="0"/>
      <w:marRight w:val="0"/>
      <w:marTop w:val="0"/>
      <w:marBottom w:val="0"/>
      <w:divBdr>
        <w:top w:val="none" w:sz="0" w:space="0" w:color="auto"/>
        <w:left w:val="none" w:sz="0" w:space="0" w:color="auto"/>
        <w:bottom w:val="none" w:sz="0" w:space="0" w:color="auto"/>
        <w:right w:val="none" w:sz="0" w:space="0" w:color="auto"/>
      </w:divBdr>
    </w:div>
    <w:div w:id="1613825742">
      <w:bodyDiv w:val="1"/>
      <w:marLeft w:val="0"/>
      <w:marRight w:val="0"/>
      <w:marTop w:val="0"/>
      <w:marBottom w:val="0"/>
      <w:divBdr>
        <w:top w:val="none" w:sz="0" w:space="0" w:color="auto"/>
        <w:left w:val="none" w:sz="0" w:space="0" w:color="auto"/>
        <w:bottom w:val="none" w:sz="0" w:space="0" w:color="auto"/>
        <w:right w:val="none" w:sz="0" w:space="0" w:color="auto"/>
      </w:divBdr>
    </w:div>
    <w:div w:id="1633754825">
      <w:bodyDiv w:val="1"/>
      <w:marLeft w:val="0"/>
      <w:marRight w:val="0"/>
      <w:marTop w:val="0"/>
      <w:marBottom w:val="0"/>
      <w:divBdr>
        <w:top w:val="none" w:sz="0" w:space="0" w:color="auto"/>
        <w:left w:val="none" w:sz="0" w:space="0" w:color="auto"/>
        <w:bottom w:val="none" w:sz="0" w:space="0" w:color="auto"/>
        <w:right w:val="none" w:sz="0" w:space="0" w:color="auto"/>
      </w:divBdr>
    </w:div>
    <w:div w:id="1667635211">
      <w:bodyDiv w:val="1"/>
      <w:marLeft w:val="0"/>
      <w:marRight w:val="0"/>
      <w:marTop w:val="0"/>
      <w:marBottom w:val="0"/>
      <w:divBdr>
        <w:top w:val="none" w:sz="0" w:space="0" w:color="auto"/>
        <w:left w:val="none" w:sz="0" w:space="0" w:color="auto"/>
        <w:bottom w:val="none" w:sz="0" w:space="0" w:color="auto"/>
        <w:right w:val="none" w:sz="0" w:space="0" w:color="auto"/>
      </w:divBdr>
    </w:div>
    <w:div w:id="177401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ay\appdata\roaming\microsoft\templates\Appellate%20Body\WTOABPanRe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491FBC3-2837-4EAB-A06C-B44B7527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WTOABPanRepE</Template>
  <TotalTime>1</TotalTime>
  <Pages>85</Pages>
  <Words>48878</Words>
  <Characters>278611</Characters>
  <Application>Microsoft Office Word</Application>
  <DocSecurity>0</DocSecurity>
  <Lines>2321</Lines>
  <Paragraphs>653</Paragraphs>
  <ScaleCrop>false</ScaleCrop>
  <HeadingPairs>
    <vt:vector size="2" baseType="variant">
      <vt:variant>
        <vt:lpstr>Title</vt:lpstr>
      </vt:variant>
      <vt:variant>
        <vt:i4>1</vt:i4>
      </vt:variant>
    </vt:vector>
  </HeadingPairs>
  <TitlesOfParts>
    <vt:vector size="1" baseType="lpstr">
      <vt:lpstr>Russia - Railway Equipment (Panel)</vt:lpstr>
    </vt:vector>
  </TitlesOfParts>
  <Manager/>
  <Company/>
  <LinksUpToDate>false</LinksUpToDate>
  <CharactersWithSpaces>326836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 - Railway Equipment (AB)</dc:title>
  <dc:creator/>
  <cp:lastModifiedBy>Simon Lester</cp:lastModifiedBy>
  <cp:revision>3</cp:revision>
  <cp:lastPrinted>2020-01-31T15:44:00Z</cp:lastPrinted>
  <dcterms:created xsi:type="dcterms:W3CDTF">2020-02-04T21:30:00Z</dcterms:created>
  <dcterms:modified xsi:type="dcterms:W3CDTF">2020-02-04T22:03:00Z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WT/DS499/AB/R</vt:lpwstr>
  </property>
  <property fmtid="{D5CDD505-2E9C-101B-9397-08002B2CF9AE}" pid="3" name="TitusGUID">
    <vt:lpwstr>07a74351-6310-48a7-8452-4454a6d4f56e</vt:lpwstr>
  </property>
  <property fmtid="{D5CDD505-2E9C-101B-9397-08002B2CF9AE}" pid="4" name="WTOCLASSIFICATION">
    <vt:lpwstr>WTO OFFICIAL</vt:lpwstr>
  </property>
</Properties>
</file>