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F875A" w14:textId="77777777" w:rsidR="00EF273A" w:rsidRPr="00814090" w:rsidRDefault="002D6AC6" w:rsidP="00596111">
      <w:pPr>
        <w:pStyle w:val="Title"/>
      </w:pPr>
      <w:bookmarkStart w:id="0" w:name="_GoBack"/>
      <w:bookmarkEnd w:id="0"/>
      <w:r w:rsidRPr="00814090">
        <w:t>Morocco – Anti-Dumping Measures on Certain Hot-Rolled Steel from Turkey</w:t>
      </w:r>
    </w:p>
    <w:p w14:paraId="72D854CB" w14:textId="77777777" w:rsidR="00EF273A" w:rsidRPr="00EF273A" w:rsidRDefault="00CE371F" w:rsidP="00EF273A">
      <w:pPr>
        <w:pStyle w:val="Title2"/>
      </w:pPr>
      <w:r>
        <w:t>AB-</w:t>
      </w:r>
      <w:r w:rsidR="002D6AC6">
        <w:t>2018</w:t>
      </w:r>
      <w:r>
        <w:t>-</w:t>
      </w:r>
      <w:r w:rsidR="002D6AC6">
        <w:t>11</w:t>
      </w:r>
    </w:p>
    <w:p w14:paraId="7039EC6D" w14:textId="27DFF39D" w:rsidR="00FB03D2" w:rsidRDefault="00EF273A" w:rsidP="00782393">
      <w:pPr>
        <w:pStyle w:val="Title3"/>
      </w:pPr>
      <w:r>
        <w:t xml:space="preserve">Report of the </w:t>
      </w:r>
      <w:r w:rsidRPr="00EF273A">
        <w:t>Appellate</w:t>
      </w:r>
      <w:r w:rsidR="00757920">
        <w:t> Body</w:t>
      </w:r>
    </w:p>
    <w:p w14:paraId="792FF506" w14:textId="53162789" w:rsidR="00934F98" w:rsidRPr="00C519CB" w:rsidRDefault="00934F98" w:rsidP="00934F98">
      <w:pPr>
        <w:jc w:val="center"/>
        <w:rPr>
          <w:rFonts w:eastAsia="Calibri" w:cs="Times New Roman"/>
          <w:i/>
          <w:color w:val="006283"/>
          <w:szCs w:val="18"/>
          <w:lang w:eastAsia="en-GB"/>
        </w:rPr>
      </w:pPr>
      <w:r w:rsidRPr="00C519CB">
        <w:rPr>
          <w:rFonts w:eastAsia="Calibri" w:cs="Times New Roman"/>
          <w:i/>
          <w:color w:val="006283"/>
          <w:szCs w:val="18"/>
          <w:lang w:eastAsia="en-GB"/>
        </w:rPr>
        <w:t xml:space="preserve">BCI </w:t>
      </w:r>
      <w:r w:rsidR="00C519CB" w:rsidRPr="00C519CB">
        <w:rPr>
          <w:rFonts w:eastAsia="Calibri" w:cs="Times New Roman"/>
          <w:i/>
          <w:color w:val="006283"/>
          <w:szCs w:val="18"/>
          <w:lang w:eastAsia="en-GB"/>
        </w:rPr>
        <w:t>redacted</w:t>
      </w:r>
      <w:r w:rsidRPr="00C519CB">
        <w:rPr>
          <w:rFonts w:eastAsia="Calibri" w:cs="Times New Roman"/>
          <w:i/>
          <w:color w:val="006283"/>
          <w:szCs w:val="18"/>
          <w:lang w:eastAsia="en-GB"/>
        </w:rPr>
        <w:t>, as indicated</w:t>
      </w:r>
      <w:r w:rsidRPr="00944C49">
        <w:rPr>
          <w:rFonts w:eastAsia="Calibri" w:cs="Times New Roman"/>
          <w:color w:val="006283"/>
          <w:szCs w:val="18"/>
          <w:lang w:eastAsia="en-GB"/>
        </w:rPr>
        <w:t xml:space="preserve"> </w:t>
      </w:r>
      <w:r w:rsidRPr="00944C49">
        <w:rPr>
          <w:rFonts w:eastAsia="Calibri" w:cs="Times New Roman"/>
          <w:b/>
          <w:color w:val="006283"/>
          <w:szCs w:val="18"/>
          <w:lang w:eastAsia="en-GB"/>
        </w:rPr>
        <w:t>[</w:t>
      </w:r>
      <w:r w:rsidR="00C519CB" w:rsidRPr="00944C49">
        <w:rPr>
          <w:rFonts w:eastAsia="Calibri" w:cs="Times New Roman"/>
          <w:b/>
          <w:color w:val="006283"/>
          <w:szCs w:val="18"/>
          <w:lang w:eastAsia="en-GB"/>
        </w:rPr>
        <w:t>BCI</w:t>
      </w:r>
      <w:r w:rsidR="00BF3A5D" w:rsidRPr="00944C49">
        <w:rPr>
          <w:rFonts w:eastAsia="Calibri" w:cs="Times New Roman"/>
          <w:b/>
          <w:color w:val="006283"/>
          <w:szCs w:val="18"/>
          <w:lang w:eastAsia="en-GB"/>
        </w:rPr>
        <w:t>]</w:t>
      </w:r>
    </w:p>
    <w:p w14:paraId="3FD7E8E2" w14:textId="77777777" w:rsidR="00BF3A5D" w:rsidRDefault="00BF3A5D" w:rsidP="00934F98">
      <w:pPr>
        <w:jc w:val="center"/>
      </w:pPr>
    </w:p>
    <w:p w14:paraId="590DE9C3" w14:textId="77777777" w:rsidR="00CE371F" w:rsidRDefault="00EF273A" w:rsidP="00814090">
      <w:pPr>
        <w:pStyle w:val="TOCHeading"/>
      </w:pPr>
      <w:r>
        <w:br w:type="page"/>
      </w:r>
    </w:p>
    <w:p w14:paraId="05CDB882" w14:textId="77777777" w:rsidR="00BB7DD3" w:rsidRDefault="00BB7DD3" w:rsidP="00CE371F"/>
    <w:p w14:paraId="402BFE76" w14:textId="77777777" w:rsidR="00AD6D1D" w:rsidRPr="00AC1E2F" w:rsidRDefault="00AD6D1D" w:rsidP="00AD6D1D">
      <w:pPr>
        <w:jc w:val="center"/>
        <w:rPr>
          <w:smallCaps/>
        </w:rPr>
      </w:pPr>
      <w:r w:rsidRPr="00AC1E2F">
        <w:rPr>
          <w:smallCaps/>
        </w:rPr>
        <w:t>World Trade Organization</w:t>
      </w:r>
    </w:p>
    <w:p w14:paraId="72CDC749" w14:textId="5A496114" w:rsidR="00AD6D1D" w:rsidRPr="00AC1E2F" w:rsidRDefault="00AD6D1D" w:rsidP="00AD6D1D">
      <w:pPr>
        <w:jc w:val="center"/>
        <w:rPr>
          <w:smallCaps/>
        </w:rPr>
      </w:pPr>
      <w:r w:rsidRPr="00AC1E2F">
        <w:rPr>
          <w:smallCaps/>
        </w:rPr>
        <w:t>Appellate</w:t>
      </w:r>
      <w:r w:rsidR="00757920">
        <w:rPr>
          <w:smallCaps/>
        </w:rPr>
        <w:t> Body</w:t>
      </w:r>
    </w:p>
    <w:p w14:paraId="5B63343A" w14:textId="77777777" w:rsidR="00EF273A" w:rsidRDefault="00EF273A" w:rsidP="00EF273A"/>
    <w:p w14:paraId="07D786E4" w14:textId="77777777" w:rsidR="00D0148B" w:rsidRDefault="00D0148B" w:rsidP="00EF273A"/>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6"/>
        <w:gridCol w:w="4520"/>
      </w:tblGrid>
      <w:tr w:rsidR="00EF273A" w14:paraId="1FC660C1" w14:textId="77777777" w:rsidTr="00555F59">
        <w:tc>
          <w:tcPr>
            <w:tcW w:w="4621" w:type="dxa"/>
            <w:shd w:val="clear" w:color="auto" w:fill="auto"/>
          </w:tcPr>
          <w:p w14:paraId="725E88EE" w14:textId="77777777" w:rsidR="00EF273A" w:rsidRPr="00BB7DD3" w:rsidRDefault="008E3CC1" w:rsidP="00555F59">
            <w:pPr>
              <w:rPr>
                <w:b/>
              </w:rPr>
            </w:pPr>
            <w:r>
              <w:rPr>
                <w:b/>
              </w:rPr>
              <w:t>Morocco – Anti-Dumping Measures on Certain Hot-Rolled Steel from Turkey</w:t>
            </w:r>
          </w:p>
          <w:p w14:paraId="2FB803D4" w14:textId="77777777" w:rsidR="00CE371F" w:rsidRDefault="00CE371F" w:rsidP="00555F59"/>
          <w:p w14:paraId="4177AF1D" w14:textId="77777777" w:rsidR="00CE371F" w:rsidRDefault="00B97131" w:rsidP="00555F59">
            <w:r>
              <w:t>Morocco</w:t>
            </w:r>
            <w:r w:rsidR="00CE371F">
              <w:t xml:space="preserve">, </w:t>
            </w:r>
            <w:r w:rsidR="00CE371F" w:rsidRPr="00901398">
              <w:rPr>
                <w:i/>
              </w:rPr>
              <w:t>Appellant</w:t>
            </w:r>
          </w:p>
          <w:p w14:paraId="2785AFDF" w14:textId="77777777" w:rsidR="00CE371F" w:rsidRDefault="00B97131" w:rsidP="00555F59">
            <w:r>
              <w:t>Turkey</w:t>
            </w:r>
            <w:r w:rsidR="00CE371F">
              <w:t xml:space="preserve">, </w:t>
            </w:r>
            <w:r w:rsidR="00BB7DD3" w:rsidRPr="00901398">
              <w:rPr>
                <w:i/>
              </w:rPr>
              <w:t>Appellee</w:t>
            </w:r>
          </w:p>
          <w:p w14:paraId="4EB8CAAA" w14:textId="77777777" w:rsidR="00CE371F" w:rsidRDefault="00CE371F" w:rsidP="00555F59"/>
          <w:p w14:paraId="2243AEA1" w14:textId="77777777" w:rsidR="00CE371F" w:rsidRDefault="00B97131" w:rsidP="00555F59">
            <w:r>
              <w:t>China</w:t>
            </w:r>
            <w:r w:rsidR="00CE371F">
              <w:t xml:space="preserve">, </w:t>
            </w:r>
            <w:r w:rsidR="00CE371F" w:rsidRPr="00901398">
              <w:rPr>
                <w:i/>
              </w:rPr>
              <w:t xml:space="preserve">Third </w:t>
            </w:r>
            <w:r w:rsidR="00BB7DD3" w:rsidRPr="00901398">
              <w:rPr>
                <w:i/>
              </w:rPr>
              <w:t>Participant</w:t>
            </w:r>
          </w:p>
          <w:p w14:paraId="198F2C49" w14:textId="77777777" w:rsidR="00B97131" w:rsidRDefault="00B97131" w:rsidP="00B97131">
            <w:r>
              <w:t xml:space="preserve">Egypt, </w:t>
            </w:r>
            <w:r w:rsidRPr="00901398">
              <w:rPr>
                <w:i/>
              </w:rPr>
              <w:t>Third Participant</w:t>
            </w:r>
          </w:p>
          <w:p w14:paraId="24A29F2C" w14:textId="30A35FE9" w:rsidR="00CE371F" w:rsidRDefault="00B97131" w:rsidP="00555F59">
            <w:r>
              <w:t>European</w:t>
            </w:r>
            <w:r w:rsidR="00757920">
              <w:t> Union</w:t>
            </w:r>
            <w:r w:rsidR="00D0148B">
              <w:t xml:space="preserve">, </w:t>
            </w:r>
            <w:r w:rsidR="00D0148B" w:rsidRPr="00901398">
              <w:rPr>
                <w:i/>
              </w:rPr>
              <w:t xml:space="preserve">Third </w:t>
            </w:r>
            <w:r w:rsidR="00BB7DD3" w:rsidRPr="00901398">
              <w:rPr>
                <w:i/>
              </w:rPr>
              <w:t>Participant</w:t>
            </w:r>
          </w:p>
          <w:p w14:paraId="0DC12CBC" w14:textId="77777777" w:rsidR="00CE371F" w:rsidRDefault="00B97131" w:rsidP="00555F59">
            <w:r>
              <w:t>India</w:t>
            </w:r>
            <w:r w:rsidR="00D0148B">
              <w:t xml:space="preserve">, </w:t>
            </w:r>
            <w:r w:rsidR="00D0148B" w:rsidRPr="00901398">
              <w:rPr>
                <w:i/>
              </w:rPr>
              <w:t xml:space="preserve">Third </w:t>
            </w:r>
            <w:r w:rsidR="00BB7DD3" w:rsidRPr="00901398">
              <w:rPr>
                <w:i/>
              </w:rPr>
              <w:t>Participant</w:t>
            </w:r>
          </w:p>
          <w:p w14:paraId="46DDE24B" w14:textId="77777777" w:rsidR="00CE371F" w:rsidRDefault="00B97131" w:rsidP="00555F59">
            <w:r>
              <w:t>Japan</w:t>
            </w:r>
            <w:r w:rsidR="00D0148B">
              <w:t xml:space="preserve">, </w:t>
            </w:r>
            <w:r w:rsidR="00D0148B" w:rsidRPr="00901398">
              <w:rPr>
                <w:i/>
              </w:rPr>
              <w:t xml:space="preserve">Third </w:t>
            </w:r>
            <w:r w:rsidR="00BB7DD3" w:rsidRPr="00901398">
              <w:rPr>
                <w:i/>
              </w:rPr>
              <w:t>Participant</w:t>
            </w:r>
          </w:p>
          <w:p w14:paraId="493F215A" w14:textId="77777777" w:rsidR="00CE371F" w:rsidRDefault="00B97131" w:rsidP="00555F59">
            <w:r>
              <w:t>Korea</w:t>
            </w:r>
            <w:r w:rsidR="00D0148B">
              <w:t xml:space="preserve">, </w:t>
            </w:r>
            <w:r w:rsidR="00D0148B" w:rsidRPr="00901398">
              <w:rPr>
                <w:i/>
              </w:rPr>
              <w:t xml:space="preserve">Third </w:t>
            </w:r>
            <w:r w:rsidR="00BB7DD3" w:rsidRPr="00901398">
              <w:rPr>
                <w:i/>
              </w:rPr>
              <w:t>Participant</w:t>
            </w:r>
          </w:p>
          <w:p w14:paraId="15EF45D3" w14:textId="77777777" w:rsidR="00B97131" w:rsidRDefault="00B97131" w:rsidP="00B97131">
            <w:r>
              <w:t xml:space="preserve">Russian Federation, </w:t>
            </w:r>
            <w:r w:rsidRPr="00901398">
              <w:rPr>
                <w:i/>
              </w:rPr>
              <w:t>Third Participant</w:t>
            </w:r>
          </w:p>
          <w:p w14:paraId="1756781C" w14:textId="77777777" w:rsidR="00B97131" w:rsidRDefault="00B97131" w:rsidP="00B97131">
            <w:r>
              <w:t xml:space="preserve">Singapore, </w:t>
            </w:r>
            <w:r w:rsidRPr="00901398">
              <w:rPr>
                <w:i/>
              </w:rPr>
              <w:t>Third Participant</w:t>
            </w:r>
          </w:p>
          <w:p w14:paraId="6B4A9672" w14:textId="3F0E5003" w:rsidR="00B97131" w:rsidRDefault="00B97131" w:rsidP="00B97131">
            <w:r>
              <w:t>United</w:t>
            </w:r>
            <w:r w:rsidR="00757920">
              <w:t> States</w:t>
            </w:r>
            <w:r>
              <w:t xml:space="preserve">, </w:t>
            </w:r>
            <w:r w:rsidRPr="00901398">
              <w:rPr>
                <w:i/>
              </w:rPr>
              <w:t>Third Participant</w:t>
            </w:r>
          </w:p>
          <w:p w14:paraId="277A902C" w14:textId="77777777" w:rsidR="00D0148B" w:rsidRDefault="00D0148B" w:rsidP="00555F59"/>
        </w:tc>
        <w:tc>
          <w:tcPr>
            <w:tcW w:w="4621" w:type="dxa"/>
            <w:shd w:val="clear" w:color="auto" w:fill="auto"/>
          </w:tcPr>
          <w:p w14:paraId="23F9AC19" w14:textId="77777777" w:rsidR="00EF273A" w:rsidRDefault="00D0148B" w:rsidP="00555F59">
            <w:pPr>
              <w:ind w:left="482"/>
            </w:pPr>
            <w:r>
              <w:t>AB-</w:t>
            </w:r>
            <w:r w:rsidR="00B97131">
              <w:t>2018</w:t>
            </w:r>
            <w:r>
              <w:t>-</w:t>
            </w:r>
            <w:r w:rsidR="00B97131">
              <w:t>11</w:t>
            </w:r>
          </w:p>
          <w:p w14:paraId="3C4BF2D4" w14:textId="77777777" w:rsidR="00EF273A" w:rsidRDefault="00EF273A" w:rsidP="00555F59">
            <w:pPr>
              <w:ind w:left="482"/>
            </w:pPr>
          </w:p>
          <w:p w14:paraId="48AF8E40" w14:textId="1FBE14BF" w:rsidR="00EF273A" w:rsidRDefault="00BB7DD3" w:rsidP="00555F59">
            <w:pPr>
              <w:ind w:left="482"/>
            </w:pPr>
            <w:r>
              <w:t>Appellate</w:t>
            </w:r>
            <w:r w:rsidR="00757920">
              <w:t> Body</w:t>
            </w:r>
            <w:r>
              <w:t xml:space="preserve"> </w:t>
            </w:r>
            <w:r w:rsidR="00D0148B">
              <w:t>Division</w:t>
            </w:r>
            <w:r w:rsidR="00EF273A">
              <w:t xml:space="preserve">: </w:t>
            </w:r>
          </w:p>
          <w:p w14:paraId="11F101EC" w14:textId="77777777" w:rsidR="00EF273A" w:rsidRDefault="00EF273A" w:rsidP="00555F59">
            <w:pPr>
              <w:ind w:left="482"/>
            </w:pPr>
          </w:p>
          <w:p w14:paraId="65E377F3" w14:textId="77777777" w:rsidR="00B97131" w:rsidRPr="00E12D8F" w:rsidRDefault="00B97131" w:rsidP="00B97131">
            <w:pPr>
              <w:ind w:left="482"/>
            </w:pPr>
            <w:r w:rsidRPr="00E12D8F">
              <w:t>Bhatia, Presiding Member</w:t>
            </w:r>
          </w:p>
          <w:p w14:paraId="627D8E7A" w14:textId="77777777" w:rsidR="00B97131" w:rsidRPr="00E12D8F" w:rsidRDefault="00B97131" w:rsidP="00B97131">
            <w:pPr>
              <w:ind w:left="482"/>
            </w:pPr>
            <w:r w:rsidRPr="00E12D8F">
              <w:t>Graham, Member</w:t>
            </w:r>
          </w:p>
          <w:p w14:paraId="05CFB910" w14:textId="77777777" w:rsidR="00B97131" w:rsidRPr="00E12D8F" w:rsidRDefault="00B97131" w:rsidP="00B97131">
            <w:pPr>
              <w:ind w:left="482"/>
            </w:pPr>
            <w:r>
              <w:t>Zhao</w:t>
            </w:r>
            <w:r w:rsidRPr="00E12D8F">
              <w:t>, Member</w:t>
            </w:r>
          </w:p>
          <w:p w14:paraId="0CFB4D05" w14:textId="77777777" w:rsidR="00EF273A" w:rsidRDefault="00EF273A" w:rsidP="00B97131">
            <w:pPr>
              <w:ind w:left="482"/>
            </w:pPr>
          </w:p>
        </w:tc>
      </w:tr>
    </w:tbl>
    <w:p w14:paraId="187A9ED6" w14:textId="77777777" w:rsidR="00EF273A" w:rsidRDefault="00EF273A" w:rsidP="00EF273A"/>
    <w:p w14:paraId="332C3F99" w14:textId="04272D55" w:rsidR="00D0148B" w:rsidRPr="003834F6" w:rsidRDefault="00782393" w:rsidP="00F063DE">
      <w:pPr>
        <w:pStyle w:val="BodyText"/>
        <w:spacing w:before="240"/>
        <w:rPr>
          <w:szCs w:val="18"/>
        </w:rPr>
      </w:pPr>
      <w:r>
        <w:rPr>
          <w:rFonts w:cs="Arial"/>
          <w:szCs w:val="18"/>
        </w:rPr>
        <w:t>This appeal concerns the Panel</w:t>
      </w:r>
      <w:r w:rsidR="00757920">
        <w:rPr>
          <w:rFonts w:cs="Arial"/>
          <w:szCs w:val="18"/>
        </w:rPr>
        <w:t> Report</w:t>
      </w:r>
      <w:r>
        <w:rPr>
          <w:rFonts w:cs="Arial"/>
          <w:szCs w:val="18"/>
        </w:rPr>
        <w:t>,</w:t>
      </w:r>
      <w:r w:rsidR="00B93FE7">
        <w:rPr>
          <w:rFonts w:cs="Arial"/>
          <w:szCs w:val="18"/>
        </w:rPr>
        <w:t xml:space="preserve"> </w:t>
      </w:r>
      <w:r w:rsidR="00B93FE7" w:rsidRPr="00B93FE7">
        <w:rPr>
          <w:rFonts w:cs="Arial"/>
          <w:i/>
          <w:szCs w:val="18"/>
        </w:rPr>
        <w:t>Morocco – Anti-Dumping Measures on Certain Hot</w:t>
      </w:r>
      <w:r w:rsidR="004A0DEF">
        <w:rPr>
          <w:rFonts w:cs="Arial"/>
          <w:i/>
          <w:szCs w:val="18"/>
        </w:rPr>
        <w:noBreakHyphen/>
      </w:r>
      <w:r w:rsidR="00B93FE7" w:rsidRPr="00B93FE7">
        <w:rPr>
          <w:rFonts w:cs="Arial"/>
          <w:i/>
          <w:szCs w:val="18"/>
        </w:rPr>
        <w:t>Rolled Steel from Turkey</w:t>
      </w:r>
      <w:r w:rsidR="00596111" w:rsidRPr="002345AC">
        <w:rPr>
          <w:rStyle w:val="FootnoteReference"/>
          <w:rFonts w:cs="Arial"/>
          <w:szCs w:val="18"/>
        </w:rPr>
        <w:footnoteReference w:id="1"/>
      </w:r>
      <w:r w:rsidR="00D0148B" w:rsidRPr="00B55651">
        <w:rPr>
          <w:rFonts w:cs="Arial"/>
          <w:szCs w:val="18"/>
        </w:rPr>
        <w:t xml:space="preserve"> (</w:t>
      </w:r>
      <w:r w:rsidR="00D0148B" w:rsidRPr="003834F6">
        <w:rPr>
          <w:rFonts w:cs="Arial"/>
          <w:szCs w:val="18"/>
        </w:rPr>
        <w:t>Panel</w:t>
      </w:r>
      <w:r w:rsidR="00757920">
        <w:rPr>
          <w:rFonts w:cs="Arial"/>
          <w:szCs w:val="18"/>
        </w:rPr>
        <w:t> Report</w:t>
      </w:r>
      <w:r w:rsidR="00D0148B" w:rsidRPr="003834F6">
        <w:rPr>
          <w:rFonts w:cs="Arial"/>
          <w:szCs w:val="18"/>
        </w:rPr>
        <w:t xml:space="preserve">). The Panel was established </w:t>
      </w:r>
      <w:r w:rsidR="00EA1C09" w:rsidRPr="003834F6">
        <w:rPr>
          <w:rFonts w:cs="Arial"/>
          <w:szCs w:val="18"/>
        </w:rPr>
        <w:t>on 20</w:t>
      </w:r>
      <w:r w:rsidR="00757920">
        <w:rPr>
          <w:rFonts w:cs="Arial"/>
          <w:szCs w:val="18"/>
        </w:rPr>
        <w:t> </w:t>
      </w:r>
      <w:r w:rsidR="00EA1C09" w:rsidRPr="003834F6">
        <w:rPr>
          <w:rFonts w:cs="Arial"/>
          <w:szCs w:val="18"/>
        </w:rPr>
        <w:t>February</w:t>
      </w:r>
      <w:r w:rsidR="00757920">
        <w:rPr>
          <w:rFonts w:cs="Arial"/>
          <w:szCs w:val="18"/>
        </w:rPr>
        <w:t> </w:t>
      </w:r>
      <w:r w:rsidR="00EA1C09" w:rsidRPr="003834F6">
        <w:rPr>
          <w:rFonts w:cs="Arial"/>
          <w:szCs w:val="18"/>
        </w:rPr>
        <w:t xml:space="preserve">2017 </w:t>
      </w:r>
      <w:r w:rsidR="00D0148B" w:rsidRPr="003834F6">
        <w:rPr>
          <w:rFonts w:cs="Arial"/>
          <w:szCs w:val="18"/>
        </w:rPr>
        <w:t>to consider complaint</w:t>
      </w:r>
      <w:r w:rsidR="00F863A9" w:rsidRPr="003834F6">
        <w:rPr>
          <w:rFonts w:cs="Arial"/>
          <w:szCs w:val="18"/>
        </w:rPr>
        <w:t>s</w:t>
      </w:r>
      <w:r w:rsidR="00D0148B" w:rsidRPr="003834F6">
        <w:rPr>
          <w:rFonts w:cs="Arial"/>
          <w:szCs w:val="18"/>
        </w:rPr>
        <w:t xml:space="preserve"> by </w:t>
      </w:r>
      <w:r w:rsidRPr="003834F6">
        <w:rPr>
          <w:rFonts w:cs="Arial"/>
          <w:szCs w:val="18"/>
        </w:rPr>
        <w:t>Turkey</w:t>
      </w:r>
      <w:r w:rsidR="00596111">
        <w:rPr>
          <w:rStyle w:val="FootnoteReference"/>
          <w:rFonts w:cs="Arial"/>
          <w:szCs w:val="18"/>
        </w:rPr>
        <w:footnoteReference w:id="2"/>
      </w:r>
      <w:r w:rsidR="00D0148B" w:rsidRPr="003834F6">
        <w:rPr>
          <w:rFonts w:cs="Arial"/>
          <w:szCs w:val="18"/>
        </w:rPr>
        <w:t xml:space="preserve"> </w:t>
      </w:r>
      <w:r w:rsidR="00D0148B" w:rsidRPr="003834F6">
        <w:rPr>
          <w:szCs w:val="18"/>
        </w:rPr>
        <w:t>with respect to</w:t>
      </w:r>
      <w:r w:rsidR="00F863A9" w:rsidRPr="003834F6">
        <w:rPr>
          <w:szCs w:val="18"/>
        </w:rPr>
        <w:t xml:space="preserve"> </w:t>
      </w:r>
      <w:r w:rsidR="00F863A9" w:rsidRPr="003834F6">
        <w:t>the definitive anti</w:t>
      </w:r>
      <w:r w:rsidR="00F863A9" w:rsidRPr="003834F6">
        <w:noBreakHyphen/>
        <w:t>dumping measure</w:t>
      </w:r>
      <w:r w:rsidR="00076699">
        <w:t>s</w:t>
      </w:r>
      <w:r w:rsidR="00F863A9" w:rsidRPr="003834F6">
        <w:t xml:space="preserve"> imposed by Morocco on imports of certain hot</w:t>
      </w:r>
      <w:r w:rsidR="00F863A9" w:rsidRPr="003834F6">
        <w:noBreakHyphen/>
        <w:t>rolled steel products (hot</w:t>
      </w:r>
      <w:r w:rsidR="00F863A9" w:rsidRPr="003834F6">
        <w:noBreakHyphen/>
        <w:t>rolled steel) from Turkey</w:t>
      </w:r>
      <w:r w:rsidR="00D0148B" w:rsidRPr="003834F6">
        <w:rPr>
          <w:rFonts w:cs="Arial"/>
          <w:szCs w:val="18"/>
        </w:rPr>
        <w:t>.</w:t>
      </w:r>
      <w:r w:rsidR="000A72BE">
        <w:rPr>
          <w:rStyle w:val="FootnoteReference"/>
          <w:rFonts w:cs="Arial"/>
          <w:szCs w:val="18"/>
        </w:rPr>
        <w:footnoteReference w:id="3"/>
      </w:r>
    </w:p>
    <w:p w14:paraId="4390B1D7" w14:textId="5CB21D06" w:rsidR="00D0148B" w:rsidRPr="003834F6" w:rsidRDefault="008C530B" w:rsidP="00635596">
      <w:pPr>
        <w:pStyle w:val="BodyText"/>
      </w:pPr>
      <w:r w:rsidRPr="003834F6">
        <w:t>Morocco initiated the anti-dumping investigation at issue on 21</w:t>
      </w:r>
      <w:r w:rsidR="00757920">
        <w:t> </w:t>
      </w:r>
      <w:r w:rsidRPr="003834F6">
        <w:t>January</w:t>
      </w:r>
      <w:r w:rsidR="00757920">
        <w:t> </w:t>
      </w:r>
      <w:r w:rsidRPr="003834F6">
        <w:t>2013</w:t>
      </w:r>
      <w:r w:rsidR="00596111">
        <w:rPr>
          <w:rStyle w:val="FootnoteReference"/>
        </w:rPr>
        <w:footnoteReference w:id="4"/>
      </w:r>
      <w:r w:rsidRPr="003834F6">
        <w:t>, and</w:t>
      </w:r>
      <w:r w:rsidR="00635596" w:rsidRPr="003834F6">
        <w:t xml:space="preserve"> imposed provisional anti</w:t>
      </w:r>
      <w:r w:rsidR="00635596" w:rsidRPr="003834F6">
        <w:noBreakHyphen/>
        <w:t xml:space="preserve">dumping duties on the imported products at issue, following the preliminary affirmative determination by the </w:t>
      </w:r>
      <w:r w:rsidR="00635596" w:rsidRPr="00045F1B">
        <w:t>Ministère délégué auprès du Ministre de l'Industrie, du Commerce, de l'Investissement et de l'Économie Numérique chargé du Commerce Extérieur</w:t>
      </w:r>
      <w:r w:rsidR="00635596" w:rsidRPr="003834F6">
        <w:t xml:space="preserve"> (MDCCE) of dumping, injury</w:t>
      </w:r>
      <w:r w:rsidR="00414447">
        <w:t>,</w:t>
      </w:r>
      <w:r w:rsidR="00635596" w:rsidRPr="003834F6">
        <w:t xml:space="preserve"> and causation, dated 29</w:t>
      </w:r>
      <w:r w:rsidR="00757920">
        <w:t> </w:t>
      </w:r>
      <w:r w:rsidR="00635596" w:rsidRPr="003834F6">
        <w:t>October</w:t>
      </w:r>
      <w:r w:rsidR="00757920">
        <w:t> </w:t>
      </w:r>
      <w:r w:rsidR="00635596" w:rsidRPr="003834F6">
        <w:t>2013.</w:t>
      </w:r>
      <w:r w:rsidR="00596111">
        <w:rPr>
          <w:rStyle w:val="FootnoteReference"/>
        </w:rPr>
        <w:footnoteReference w:id="5"/>
      </w:r>
      <w:r w:rsidR="00635596" w:rsidRPr="003834F6">
        <w:t xml:space="preserve"> </w:t>
      </w:r>
      <w:r w:rsidR="00635596" w:rsidRPr="003834F6">
        <w:rPr>
          <w:lang w:val="en-US"/>
        </w:rPr>
        <w:t>On 12</w:t>
      </w:r>
      <w:r w:rsidR="00757920">
        <w:rPr>
          <w:lang w:val="en-US"/>
        </w:rPr>
        <w:t> </w:t>
      </w:r>
      <w:r w:rsidR="00635596" w:rsidRPr="003834F6">
        <w:rPr>
          <w:lang w:val="en-US"/>
        </w:rPr>
        <w:t>August</w:t>
      </w:r>
      <w:r w:rsidR="00757920">
        <w:rPr>
          <w:lang w:val="en-US"/>
        </w:rPr>
        <w:t> </w:t>
      </w:r>
      <w:r w:rsidR="00635596" w:rsidRPr="003834F6">
        <w:rPr>
          <w:lang w:val="en-US"/>
        </w:rPr>
        <w:t>2014, the MDCCE published the final affirmative determination of dumping, injury, and causation.</w:t>
      </w:r>
      <w:r w:rsidR="00596111">
        <w:rPr>
          <w:rStyle w:val="FootnoteReference"/>
          <w:lang w:val="en-US"/>
        </w:rPr>
        <w:footnoteReference w:id="6"/>
      </w:r>
      <w:r w:rsidR="00635596" w:rsidRPr="003834F6">
        <w:rPr>
          <w:lang w:val="en-US"/>
        </w:rPr>
        <w:t xml:space="preserve"> The definitive measure came into force on 26</w:t>
      </w:r>
      <w:r w:rsidR="00757920">
        <w:rPr>
          <w:lang w:val="en-US"/>
        </w:rPr>
        <w:t> </w:t>
      </w:r>
      <w:r w:rsidR="00635596" w:rsidRPr="003834F6">
        <w:rPr>
          <w:lang w:val="en-US"/>
        </w:rPr>
        <w:t>September</w:t>
      </w:r>
      <w:r w:rsidR="00757920">
        <w:rPr>
          <w:lang w:val="en-US"/>
        </w:rPr>
        <w:t> </w:t>
      </w:r>
      <w:r w:rsidR="00635596" w:rsidRPr="003834F6">
        <w:rPr>
          <w:lang w:val="en-US"/>
        </w:rPr>
        <w:t>2014.</w:t>
      </w:r>
      <w:r w:rsidR="00596111">
        <w:rPr>
          <w:rStyle w:val="FootnoteReference"/>
          <w:lang w:val="en-US"/>
        </w:rPr>
        <w:footnoteReference w:id="7"/>
      </w:r>
      <w:r w:rsidR="00635596" w:rsidRPr="003834F6">
        <w:rPr>
          <w:lang w:val="en-US"/>
        </w:rPr>
        <w:t xml:space="preserve"> </w:t>
      </w:r>
      <w:r w:rsidR="00D0148B" w:rsidRPr="003834F6">
        <w:t xml:space="preserve">The factual aspects of this dispute are set forth in greater detail in </w:t>
      </w:r>
      <w:r w:rsidR="00233045">
        <w:t xml:space="preserve">section 2 </w:t>
      </w:r>
      <w:r w:rsidR="00D0148B" w:rsidRPr="003834F6">
        <w:t>of the Panel</w:t>
      </w:r>
      <w:r w:rsidR="00757920">
        <w:t> Report</w:t>
      </w:r>
      <w:r w:rsidR="00D0148B" w:rsidRPr="003834F6">
        <w:t>.</w:t>
      </w:r>
    </w:p>
    <w:p w14:paraId="25E52B6F" w14:textId="77777777" w:rsidR="00F063DE" w:rsidRDefault="00FF42AE" w:rsidP="00D0148B">
      <w:pPr>
        <w:pStyle w:val="BodyText"/>
        <w:rPr>
          <w:szCs w:val="18"/>
        </w:rPr>
      </w:pPr>
      <w:r w:rsidRPr="003834F6">
        <w:rPr>
          <w:szCs w:val="18"/>
        </w:rPr>
        <w:t>Before the Panel, Turkey raised</w:t>
      </w:r>
      <w:r w:rsidR="008038CA" w:rsidRPr="003834F6">
        <w:rPr>
          <w:szCs w:val="18"/>
        </w:rPr>
        <w:t xml:space="preserve"> the following claims under </w:t>
      </w:r>
      <w:r w:rsidR="008038CA" w:rsidRPr="003834F6">
        <w:rPr>
          <w:rFonts w:cs="Arial"/>
          <w:szCs w:val="18"/>
        </w:rPr>
        <w:t>the Agreement on Implementation</w:t>
      </w:r>
      <w:r w:rsidR="008038CA">
        <w:rPr>
          <w:rFonts w:cs="Arial"/>
          <w:szCs w:val="18"/>
        </w:rPr>
        <w:t xml:space="preserve"> of Article</w:t>
      </w:r>
      <w:r w:rsidR="00757920">
        <w:rPr>
          <w:rFonts w:cs="Arial"/>
          <w:szCs w:val="18"/>
        </w:rPr>
        <w:t> </w:t>
      </w:r>
      <w:r w:rsidR="008038CA">
        <w:rPr>
          <w:rFonts w:cs="Arial"/>
          <w:szCs w:val="18"/>
        </w:rPr>
        <w:t>VI of the General Agreement on Tariffs and Trade 1994 (Anti-Dumping Agreement) and the General Agreement on Tariffs and Trade 1994 (GATT</w:t>
      </w:r>
      <w:r w:rsidR="00757920">
        <w:rPr>
          <w:rFonts w:cs="Arial"/>
          <w:szCs w:val="18"/>
        </w:rPr>
        <w:t> 1994</w:t>
      </w:r>
      <w:r w:rsidR="008038CA">
        <w:rPr>
          <w:rFonts w:cs="Arial"/>
          <w:szCs w:val="18"/>
        </w:rPr>
        <w:t>)</w:t>
      </w:r>
      <w:r w:rsidR="008038CA">
        <w:rPr>
          <w:szCs w:val="18"/>
        </w:rPr>
        <w:t xml:space="preserve">: </w:t>
      </w:r>
    </w:p>
    <w:p w14:paraId="56EB44F6" w14:textId="48231C25" w:rsidR="00F063DE" w:rsidRDefault="008038CA" w:rsidP="00F063DE">
      <w:pPr>
        <w:pStyle w:val="BodyText2"/>
      </w:pPr>
      <w:r>
        <w:t>the MDCCE acted inconsistently with Article</w:t>
      </w:r>
      <w:r w:rsidR="00757920">
        <w:t> </w:t>
      </w:r>
      <w:r>
        <w:t xml:space="preserve">5.10 of the Anti-Dumping Agreement because the duration of the investigation at issue exceeded the </w:t>
      </w:r>
      <w:r w:rsidR="00F618BD">
        <w:t xml:space="preserve">maximum </w:t>
      </w:r>
      <w:r>
        <w:t>time</w:t>
      </w:r>
      <w:r w:rsidR="00F618BD">
        <w:t xml:space="preserve"> </w:t>
      </w:r>
      <w:r>
        <w:t xml:space="preserve">limit </w:t>
      </w:r>
      <w:r w:rsidR="00F618BD">
        <w:t>under</w:t>
      </w:r>
      <w:r>
        <w:t xml:space="preserve"> th</w:t>
      </w:r>
      <w:r w:rsidR="00934F98">
        <w:t xml:space="preserve">at </w:t>
      </w:r>
      <w:r>
        <w:t xml:space="preserve">provision; </w:t>
      </w:r>
    </w:p>
    <w:p w14:paraId="0B4E6A01" w14:textId="15D2641B" w:rsidR="00F063DE" w:rsidRDefault="008038CA" w:rsidP="00F063DE">
      <w:pPr>
        <w:pStyle w:val="BodyText2"/>
      </w:pPr>
      <w:r>
        <w:t>the MDCCE acted inconsistently with Article</w:t>
      </w:r>
      <w:r w:rsidR="00757920">
        <w:t> </w:t>
      </w:r>
      <w:r>
        <w:t xml:space="preserve">6.8 of, and paragraphs 1, 3, 5, 6, and 7 of Annex II to, the Anti-Dumping Agreement in </w:t>
      </w:r>
      <w:r w:rsidR="00FF42AE">
        <w:t>its use of</w:t>
      </w:r>
      <w:r>
        <w:t xml:space="preserve"> facts available to determine the </w:t>
      </w:r>
      <w:r w:rsidR="00FF42AE">
        <w:t>margins of dumping</w:t>
      </w:r>
      <w:r>
        <w:t xml:space="preserve"> for two Turkish producers</w:t>
      </w:r>
      <w:r w:rsidR="00233045">
        <w:t xml:space="preserve"> of subject imports</w:t>
      </w:r>
      <w:r>
        <w:t xml:space="preserve">; </w:t>
      </w:r>
    </w:p>
    <w:p w14:paraId="328AB126" w14:textId="6B564CD6" w:rsidR="00F063DE" w:rsidRDefault="009851A2" w:rsidP="00F063DE">
      <w:pPr>
        <w:pStyle w:val="BodyText2"/>
      </w:pPr>
      <w:r>
        <w:t>the MDCCE acted inconsistently with Article</w:t>
      </w:r>
      <w:r w:rsidR="00757920">
        <w:t> </w:t>
      </w:r>
      <w:r>
        <w:t>6.9 of the</w:t>
      </w:r>
      <w:r w:rsidR="00BC079D">
        <w:t xml:space="preserve"> Anti-Dumping Agreement by failing to disclose all "essential facts" in a timely manner with respect to its decision to use facts available to determine the margins of dumping; </w:t>
      </w:r>
    </w:p>
    <w:p w14:paraId="52137AC3" w14:textId="3923F5C0" w:rsidR="00F063DE" w:rsidRDefault="00F063DE" w:rsidP="00F063DE">
      <w:pPr>
        <w:pStyle w:val="BodyText2"/>
      </w:pPr>
      <w:r>
        <w:lastRenderedPageBreak/>
        <w:t>t</w:t>
      </w:r>
      <w:r w:rsidR="008038CA">
        <w:t>he MDCCE's determination that the domestic industry</w:t>
      </w:r>
      <w:r w:rsidR="00463124">
        <w:t xml:space="preserve">, composed of the </w:t>
      </w:r>
      <w:r w:rsidR="00BC079D">
        <w:t xml:space="preserve">sole </w:t>
      </w:r>
      <w:r w:rsidR="00463124">
        <w:t>domestic producer Maghreb Steel</w:t>
      </w:r>
      <w:r w:rsidR="00596111">
        <w:rPr>
          <w:rStyle w:val="FootnoteReference"/>
          <w:szCs w:val="18"/>
        </w:rPr>
        <w:footnoteReference w:id="8"/>
      </w:r>
      <w:r w:rsidR="00463124">
        <w:t>,</w:t>
      </w:r>
      <w:r w:rsidR="00FF42AE">
        <w:t xml:space="preserve"> </w:t>
      </w:r>
      <w:r w:rsidR="008038CA">
        <w:t>was "unestablished" is inconsistent with Article</w:t>
      </w:r>
      <w:r w:rsidR="00757920">
        <w:t> </w:t>
      </w:r>
      <w:r w:rsidR="008038CA">
        <w:t>VI:6(a) of the GATT</w:t>
      </w:r>
      <w:r w:rsidR="00757920">
        <w:t> 1994</w:t>
      </w:r>
      <w:r w:rsidR="008038CA">
        <w:t>, a</w:t>
      </w:r>
      <w:r w:rsidR="00FF42AE">
        <w:t>s well as</w:t>
      </w:r>
      <w:r w:rsidR="008038CA">
        <w:t xml:space="preserve"> footnote 9 to Article</w:t>
      </w:r>
      <w:r w:rsidR="00757920">
        <w:t> </w:t>
      </w:r>
      <w:r w:rsidR="008038CA">
        <w:t>3 and Articles 3.1 and 3.4 of the Anti</w:t>
      </w:r>
      <w:r>
        <w:noBreakHyphen/>
      </w:r>
      <w:r w:rsidR="008038CA">
        <w:t>Dumping Agreement</w:t>
      </w:r>
      <w:r w:rsidR="00FF42AE">
        <w:t xml:space="preserve">; </w:t>
      </w:r>
    </w:p>
    <w:p w14:paraId="11B74A88" w14:textId="10D19BFD" w:rsidR="00F063DE" w:rsidRDefault="00F063DE" w:rsidP="00F063DE">
      <w:pPr>
        <w:pStyle w:val="BodyText2"/>
      </w:pPr>
      <w:r>
        <w:t>t</w:t>
      </w:r>
      <w:r w:rsidR="00FF42AE">
        <w:t xml:space="preserve">he MDCCE's determination that the domestic industry suffered injury in the form of material retardation is inconsistent with Articles 3.1 and 3.4 of the Anti-Dumping Agreement; and </w:t>
      </w:r>
    </w:p>
    <w:p w14:paraId="5014E981" w14:textId="5B34EFCF" w:rsidR="00F063DE" w:rsidRDefault="00FF42AE" w:rsidP="00F063DE">
      <w:pPr>
        <w:pStyle w:val="BodyText2"/>
      </w:pPr>
      <w:r>
        <w:t>the MDCCE acted inconsistently with Articles 6.5, 6.5.1, and 6.9 of the Anti-Dumping Agreement by failing to disclose information concerning the</w:t>
      </w:r>
      <w:r w:rsidR="00463124">
        <w:t xml:space="preserve"> domestic industry's</w:t>
      </w:r>
      <w:r>
        <w:t xml:space="preserve"> break</w:t>
      </w:r>
      <w:r w:rsidR="00F063DE">
        <w:noBreakHyphen/>
      </w:r>
      <w:r>
        <w:t>even threshold</w:t>
      </w:r>
      <w:r w:rsidR="00463124">
        <w:t xml:space="preserve"> in its analysis of whether the domestic industry was "established"</w:t>
      </w:r>
      <w:r>
        <w:t>.</w:t>
      </w:r>
      <w:r w:rsidR="00596111">
        <w:rPr>
          <w:rStyle w:val="FootnoteReference"/>
          <w:szCs w:val="18"/>
        </w:rPr>
        <w:footnoteReference w:id="9"/>
      </w:r>
      <w:r w:rsidR="00463124">
        <w:t xml:space="preserve"> </w:t>
      </w:r>
    </w:p>
    <w:p w14:paraId="2103561B" w14:textId="3FB2F95B" w:rsidR="008038CA" w:rsidRPr="008038CA" w:rsidRDefault="00463124" w:rsidP="00D0148B">
      <w:pPr>
        <w:pStyle w:val="BodyText"/>
        <w:rPr>
          <w:szCs w:val="18"/>
        </w:rPr>
      </w:pPr>
      <w:r>
        <w:rPr>
          <w:szCs w:val="18"/>
        </w:rPr>
        <w:t>Turkey requested the Panel to exercise its discretion under Article</w:t>
      </w:r>
      <w:r w:rsidR="00757920">
        <w:rPr>
          <w:szCs w:val="18"/>
        </w:rPr>
        <w:t> </w:t>
      </w:r>
      <w:r>
        <w:rPr>
          <w:szCs w:val="18"/>
        </w:rPr>
        <w:t xml:space="preserve">19.1 of the Understanding on Rules and Procedures Governing the Settlement of Disputes (DSU) and to suggest that Morocco bring its measures into conformity with its </w:t>
      </w:r>
      <w:r w:rsidR="00C519CB">
        <w:rPr>
          <w:szCs w:val="18"/>
        </w:rPr>
        <w:t>World Trade Organization (</w:t>
      </w:r>
      <w:r>
        <w:rPr>
          <w:szCs w:val="18"/>
        </w:rPr>
        <w:t>WTO</w:t>
      </w:r>
      <w:r w:rsidR="00C519CB">
        <w:rPr>
          <w:szCs w:val="18"/>
        </w:rPr>
        <w:t>)</w:t>
      </w:r>
      <w:r w:rsidR="003256E0">
        <w:rPr>
          <w:szCs w:val="18"/>
        </w:rPr>
        <w:t> </w:t>
      </w:r>
      <w:r>
        <w:rPr>
          <w:szCs w:val="18"/>
        </w:rPr>
        <w:t>obligations by immediately revoking the anti-dumping measure at issue.</w:t>
      </w:r>
      <w:r w:rsidR="00596111">
        <w:rPr>
          <w:rStyle w:val="FootnoteReference"/>
          <w:szCs w:val="18"/>
        </w:rPr>
        <w:footnoteReference w:id="10"/>
      </w:r>
    </w:p>
    <w:p w14:paraId="180B0AD9" w14:textId="22E92C12" w:rsidR="008038CA" w:rsidRPr="004A6D4E" w:rsidRDefault="00E52975" w:rsidP="004A6D4E">
      <w:pPr>
        <w:pStyle w:val="BodyText"/>
        <w:rPr>
          <w:szCs w:val="18"/>
        </w:rPr>
      </w:pPr>
      <w:r>
        <w:rPr>
          <w:rFonts w:cs="Arial"/>
          <w:szCs w:val="18"/>
        </w:rPr>
        <w:t>T</w:t>
      </w:r>
      <w:r w:rsidR="00D0148B" w:rsidRPr="00B55651">
        <w:rPr>
          <w:rFonts w:cs="Arial"/>
          <w:szCs w:val="18"/>
        </w:rPr>
        <w:t>he Panel</w:t>
      </w:r>
      <w:r w:rsidR="00757920">
        <w:rPr>
          <w:rFonts w:cs="Arial"/>
          <w:szCs w:val="18"/>
        </w:rPr>
        <w:t> Report</w:t>
      </w:r>
      <w:r>
        <w:rPr>
          <w:rFonts w:cs="Arial"/>
          <w:szCs w:val="18"/>
        </w:rPr>
        <w:t xml:space="preserve"> was</w:t>
      </w:r>
      <w:r w:rsidR="00D0148B" w:rsidRPr="00B55651">
        <w:rPr>
          <w:rFonts w:cs="Arial"/>
          <w:szCs w:val="18"/>
        </w:rPr>
        <w:t xml:space="preserve"> circulated to Members of the WTO on </w:t>
      </w:r>
      <w:r w:rsidR="00EA1C09">
        <w:rPr>
          <w:rFonts w:cs="Arial"/>
          <w:szCs w:val="18"/>
        </w:rPr>
        <w:t>31</w:t>
      </w:r>
      <w:r w:rsidR="003256E0">
        <w:rPr>
          <w:rFonts w:cs="Arial"/>
          <w:szCs w:val="18"/>
        </w:rPr>
        <w:t> </w:t>
      </w:r>
      <w:r w:rsidR="00EA1C09">
        <w:rPr>
          <w:rFonts w:cs="Arial"/>
          <w:szCs w:val="18"/>
        </w:rPr>
        <w:t>October 2018</w:t>
      </w:r>
      <w:r>
        <w:rPr>
          <w:rFonts w:cs="Arial"/>
          <w:szCs w:val="18"/>
        </w:rPr>
        <w:t>. For the reasons set out in its Report</w:t>
      </w:r>
      <w:r w:rsidR="004A6D4E">
        <w:rPr>
          <w:rFonts w:cs="Arial"/>
          <w:szCs w:val="18"/>
        </w:rPr>
        <w:t xml:space="preserve">, </w:t>
      </w:r>
      <w:r w:rsidR="006200CD" w:rsidRPr="004A6D4E">
        <w:rPr>
          <w:rFonts w:cs="Arial"/>
          <w:szCs w:val="18"/>
        </w:rPr>
        <w:t xml:space="preserve">the Panel found </w:t>
      </w:r>
      <w:r w:rsidR="008038CA">
        <w:t xml:space="preserve">the following claims of Turkey </w:t>
      </w:r>
      <w:r w:rsidR="006200CD">
        <w:t>to be</w:t>
      </w:r>
      <w:r w:rsidR="008038CA">
        <w:t xml:space="preserve"> </w:t>
      </w:r>
      <w:r w:rsidR="008038CA" w:rsidRPr="00463124">
        <w:t>outside</w:t>
      </w:r>
      <w:r w:rsidR="008038CA">
        <w:t xml:space="preserve"> </w:t>
      </w:r>
      <w:r w:rsidR="00233045">
        <w:t xml:space="preserve">the Panel's </w:t>
      </w:r>
      <w:r w:rsidR="008038CA">
        <w:t>terms of reference:</w:t>
      </w:r>
    </w:p>
    <w:p w14:paraId="7AABF3C8" w14:textId="77777777" w:rsidR="00FF42AE" w:rsidRPr="004A6D4E" w:rsidRDefault="00FF42AE" w:rsidP="004A6D4E">
      <w:pPr>
        <w:pStyle w:val="BodyText2"/>
        <w:rPr>
          <w:rFonts w:cs="Arial"/>
          <w:szCs w:val="18"/>
        </w:rPr>
      </w:pPr>
      <w:r w:rsidRPr="004A6D4E">
        <w:rPr>
          <w:rFonts w:cs="Arial"/>
          <w:szCs w:val="18"/>
        </w:rPr>
        <w:t>the claim under footnote 9 to Article 3 of the Anti</w:t>
      </w:r>
      <w:r w:rsidRPr="004A6D4E">
        <w:rPr>
          <w:rFonts w:cs="Arial"/>
          <w:szCs w:val="18"/>
        </w:rPr>
        <w:noBreakHyphen/>
        <w:t>Dumping Agreement in respect of the MDCCE's finding of "establishment";</w:t>
      </w:r>
    </w:p>
    <w:p w14:paraId="31B42E67" w14:textId="77777777" w:rsidR="00FF42AE" w:rsidRPr="004A6D4E" w:rsidRDefault="00FF42AE" w:rsidP="004A6D4E">
      <w:pPr>
        <w:pStyle w:val="BodyText2"/>
        <w:rPr>
          <w:rFonts w:cs="Arial"/>
          <w:szCs w:val="18"/>
        </w:rPr>
      </w:pPr>
      <w:r w:rsidRPr="004A6D4E">
        <w:rPr>
          <w:rFonts w:cs="Arial"/>
          <w:szCs w:val="18"/>
        </w:rPr>
        <w:t>the claims under Articles 6.5 and 6.5.1 of the Anti</w:t>
      </w:r>
      <w:r w:rsidRPr="004A6D4E">
        <w:rPr>
          <w:rFonts w:cs="Arial"/>
          <w:szCs w:val="18"/>
        </w:rPr>
        <w:noBreakHyphen/>
        <w:t>Dumping Agreement in respect of the confidential treatment of the domestic industry's (Maghreb Steel) break</w:t>
      </w:r>
      <w:r w:rsidRPr="004A6D4E">
        <w:rPr>
          <w:rFonts w:cs="Arial"/>
          <w:szCs w:val="18"/>
        </w:rPr>
        <w:noBreakHyphen/>
        <w:t>even threshold; and</w:t>
      </w:r>
    </w:p>
    <w:p w14:paraId="6864EAE0" w14:textId="76B481B7" w:rsidR="00FF42AE" w:rsidRPr="004A6D4E" w:rsidRDefault="00FF42AE" w:rsidP="004A6D4E">
      <w:pPr>
        <w:pStyle w:val="BodyText2"/>
        <w:rPr>
          <w:rFonts w:cs="Arial"/>
          <w:szCs w:val="18"/>
        </w:rPr>
      </w:pPr>
      <w:r w:rsidRPr="004A6D4E">
        <w:rPr>
          <w:rFonts w:cs="Arial"/>
          <w:szCs w:val="18"/>
        </w:rPr>
        <w:t>the claim under Article 6.9 of the Anti</w:t>
      </w:r>
      <w:r w:rsidRPr="004A6D4E">
        <w:rPr>
          <w:rFonts w:cs="Arial"/>
          <w:szCs w:val="18"/>
        </w:rPr>
        <w:noBreakHyphen/>
        <w:t>Dumping Agreement in respect of the alleged failure to inform all interested parties of the domestic industry's (Maghreb Steel) break</w:t>
      </w:r>
      <w:r w:rsidRPr="004A6D4E">
        <w:rPr>
          <w:rFonts w:cs="Arial"/>
          <w:szCs w:val="18"/>
        </w:rPr>
        <w:noBreakHyphen/>
        <w:t>even threshold</w:t>
      </w:r>
      <w:r w:rsidR="00DA64B1">
        <w:rPr>
          <w:rFonts w:cs="Arial"/>
          <w:szCs w:val="18"/>
        </w:rPr>
        <w:t>.</w:t>
      </w:r>
      <w:r w:rsidR="00596111">
        <w:rPr>
          <w:rStyle w:val="FootnoteReference"/>
          <w:rFonts w:cs="Arial"/>
          <w:szCs w:val="18"/>
        </w:rPr>
        <w:footnoteReference w:id="11"/>
      </w:r>
    </w:p>
    <w:p w14:paraId="02937BD4" w14:textId="3CB4FF7B" w:rsidR="00D0148B" w:rsidRDefault="004A6D4E" w:rsidP="004A6D4E">
      <w:pPr>
        <w:pStyle w:val="BodyText"/>
      </w:pPr>
      <w:r>
        <w:t>F</w:t>
      </w:r>
      <w:r w:rsidR="00463124" w:rsidRPr="00463124">
        <w:rPr>
          <w:lang w:val="en-US"/>
        </w:rPr>
        <w:t xml:space="preserve">or the </w:t>
      </w:r>
      <w:r w:rsidR="00463124" w:rsidRPr="00E666BE">
        <w:rPr>
          <w:lang w:val="en-US"/>
        </w:rPr>
        <w:t xml:space="preserve">procedural </w:t>
      </w:r>
      <w:r>
        <w:rPr>
          <w:rFonts w:cs="Arial"/>
          <w:szCs w:val="18"/>
          <w:lang w:val="en-US"/>
        </w:rPr>
        <w:t>reasons</w:t>
      </w:r>
      <w:r w:rsidR="00463124" w:rsidRPr="00463124">
        <w:rPr>
          <w:lang w:val="en-US"/>
        </w:rPr>
        <w:t xml:space="preserve"> set out in </w:t>
      </w:r>
      <w:r w:rsidR="00E52975">
        <w:rPr>
          <w:rFonts w:cs="Arial"/>
          <w:szCs w:val="18"/>
        </w:rPr>
        <w:t>its Report</w:t>
      </w:r>
      <w:r w:rsidR="00463124" w:rsidRPr="00463124">
        <w:rPr>
          <w:lang w:val="en-US"/>
        </w:rPr>
        <w:t>,</w:t>
      </w:r>
      <w:r w:rsidR="006200CD">
        <w:rPr>
          <w:lang w:val="en-US"/>
        </w:rPr>
        <w:t xml:space="preserve"> the Panel</w:t>
      </w:r>
      <w:r w:rsidR="006200CD" w:rsidRPr="00463124">
        <w:rPr>
          <w:lang w:val="en-US"/>
        </w:rPr>
        <w:t xml:space="preserve"> declined to rule on</w:t>
      </w:r>
      <w:r w:rsidR="006200CD">
        <w:rPr>
          <w:lang w:val="en-US"/>
        </w:rPr>
        <w:t>:</w:t>
      </w:r>
    </w:p>
    <w:p w14:paraId="6F022F6E" w14:textId="30E6CA98" w:rsidR="00463124" w:rsidRPr="004A6D4E" w:rsidRDefault="00463124" w:rsidP="004A6D4E">
      <w:pPr>
        <w:pStyle w:val="BodyText2"/>
        <w:rPr>
          <w:rFonts w:cs="Arial"/>
          <w:szCs w:val="18"/>
        </w:rPr>
      </w:pPr>
      <w:r w:rsidRPr="004A6D4E">
        <w:rPr>
          <w:rFonts w:cs="Arial"/>
          <w:szCs w:val="18"/>
        </w:rPr>
        <w:t>the claim under Article VI:6(a) of the GATT</w:t>
      </w:r>
      <w:r w:rsidR="00757920">
        <w:rPr>
          <w:rFonts w:cs="Arial"/>
          <w:szCs w:val="18"/>
        </w:rPr>
        <w:t> 1994</w:t>
      </w:r>
      <w:r w:rsidRPr="004A6D4E">
        <w:rPr>
          <w:rFonts w:cs="Arial"/>
          <w:szCs w:val="18"/>
        </w:rPr>
        <w:t xml:space="preserve"> in respect of the MDCCE's finding of "establishment"; and</w:t>
      </w:r>
    </w:p>
    <w:p w14:paraId="41E290BD" w14:textId="7C11BF77" w:rsidR="00463124" w:rsidRPr="004A6D4E" w:rsidRDefault="00463124" w:rsidP="004A6D4E">
      <w:pPr>
        <w:pStyle w:val="BodyText2"/>
        <w:rPr>
          <w:rFonts w:cs="Arial"/>
          <w:szCs w:val="18"/>
        </w:rPr>
      </w:pPr>
      <w:r w:rsidRPr="004A6D4E">
        <w:rPr>
          <w:rFonts w:cs="Arial"/>
          <w:szCs w:val="18"/>
        </w:rPr>
        <w:t>the claim under Article 6.9 of the Anti</w:t>
      </w:r>
      <w:r w:rsidRPr="004A6D4E">
        <w:rPr>
          <w:rFonts w:cs="Arial"/>
          <w:szCs w:val="18"/>
        </w:rPr>
        <w:noBreakHyphen/>
        <w:t>Dumping Agreement in respect of any "essential facts" used by the MDCCE in cross</w:t>
      </w:r>
      <w:r w:rsidRPr="004A6D4E">
        <w:rPr>
          <w:rFonts w:cs="Arial"/>
          <w:szCs w:val="18"/>
        </w:rPr>
        <w:noBreakHyphen/>
        <w:t>checking the facts available rate.</w:t>
      </w:r>
      <w:r w:rsidR="00596111">
        <w:rPr>
          <w:rStyle w:val="FootnoteReference"/>
          <w:rFonts w:cs="Arial"/>
          <w:szCs w:val="18"/>
        </w:rPr>
        <w:footnoteReference w:id="12"/>
      </w:r>
    </w:p>
    <w:p w14:paraId="2BD7844B" w14:textId="074FDE04" w:rsidR="00D0148B" w:rsidRDefault="00E52975" w:rsidP="00DA64B1">
      <w:pPr>
        <w:pStyle w:val="BodyText"/>
      </w:pPr>
      <w:r>
        <w:rPr>
          <w:rFonts w:cs="Arial"/>
          <w:szCs w:val="18"/>
        </w:rPr>
        <w:t xml:space="preserve">For the reasons set out in its Report, </w:t>
      </w:r>
      <w:r w:rsidRPr="004A6D4E">
        <w:rPr>
          <w:rFonts w:cs="Arial"/>
          <w:szCs w:val="18"/>
        </w:rPr>
        <w:t>t</w:t>
      </w:r>
      <w:r w:rsidR="00DA64B1">
        <w:t xml:space="preserve">he Panel </w:t>
      </w:r>
      <w:r w:rsidR="00DA64B1" w:rsidRPr="00DA64B1">
        <w:rPr>
          <w:lang w:val="en-US"/>
        </w:rPr>
        <w:t>concluded</w:t>
      </w:r>
      <w:r w:rsidR="00DA64B1">
        <w:t xml:space="preserve"> that </w:t>
      </w:r>
      <w:r w:rsidR="00463124">
        <w:t>Turkey had established that Morocco acted inconsistently with:</w:t>
      </w:r>
      <w:r w:rsidR="00D0148B" w:rsidRPr="00B55651">
        <w:t xml:space="preserve"> </w:t>
      </w:r>
    </w:p>
    <w:p w14:paraId="05FAFEBA" w14:textId="77777777" w:rsidR="00F618BD" w:rsidRDefault="00F618BD" w:rsidP="00DA64B1">
      <w:pPr>
        <w:pStyle w:val="BodyText2"/>
      </w:pPr>
      <w:r>
        <w:t>Article 5.10 of the Anti</w:t>
      </w:r>
      <w:r>
        <w:noBreakHyphen/>
        <w:t>Dumping Agreement by failing to conclude the investigation within the 18</w:t>
      </w:r>
      <w:r>
        <w:noBreakHyphen/>
        <w:t>month maximum time limit set out in that provision;</w:t>
      </w:r>
    </w:p>
    <w:p w14:paraId="090AD202" w14:textId="77777777" w:rsidR="00F618BD" w:rsidRDefault="00F618BD" w:rsidP="00DA64B1">
      <w:pPr>
        <w:pStyle w:val="BodyText2"/>
      </w:pPr>
      <w:r>
        <w:t>Article 6.8 of the Anti</w:t>
      </w:r>
      <w:r>
        <w:noBreakHyphen/>
        <w:t>Dumping Agreement by rejecting the reported information and establishing the margins of dumping for the two investigated Turkish producers on the basis of facts available;</w:t>
      </w:r>
    </w:p>
    <w:p w14:paraId="7F273F2F" w14:textId="38690528" w:rsidR="00F618BD" w:rsidRDefault="00F618BD" w:rsidP="00DA64B1">
      <w:pPr>
        <w:pStyle w:val="BodyText2"/>
      </w:pPr>
      <w:r>
        <w:t>Article 6.9 of the Anti</w:t>
      </w:r>
      <w:r>
        <w:noBreakHyphen/>
        <w:t xml:space="preserve">Dumping Agreement by </w:t>
      </w:r>
      <w:r w:rsidRPr="00581124">
        <w:t xml:space="preserve">failing to </w:t>
      </w:r>
      <w:r>
        <w:t xml:space="preserve">inform all interested parties of: (i) any essential facts in respect of </w:t>
      </w:r>
      <w:r w:rsidRPr="00581124">
        <w:t>the additional, unidentified export sales that the MDCCE considered the pr</w:t>
      </w:r>
      <w:r>
        <w:t>oducers to have failed to report; and (ii)</w:t>
      </w:r>
      <w:r w:rsidR="003256E0">
        <w:t> </w:t>
      </w:r>
      <w:r>
        <w:t xml:space="preserve">the essential facts in </w:t>
      </w:r>
      <w:r>
        <w:lastRenderedPageBreak/>
        <w:t xml:space="preserve">respect of the data for the </w:t>
      </w:r>
      <w:r w:rsidR="003E4E8A">
        <w:t>cost and freight</w:t>
      </w:r>
      <w:r w:rsidRPr="00581124">
        <w:t xml:space="preserve"> prices and for the adjustments used in arriving at the producers</w:t>
      </w:r>
      <w:r>
        <w:t>' </w:t>
      </w:r>
      <w:r w:rsidRPr="00581124">
        <w:t>margins of dumping using facts available</w:t>
      </w:r>
      <w:r>
        <w:t>;</w:t>
      </w:r>
    </w:p>
    <w:p w14:paraId="1FAFF193" w14:textId="77777777" w:rsidR="00F618BD" w:rsidRDefault="00F618BD" w:rsidP="00DA64B1">
      <w:pPr>
        <w:pStyle w:val="BodyText2"/>
      </w:pPr>
      <w:r>
        <w:t>Article 3.1 of the Anti</w:t>
      </w:r>
      <w:r>
        <w:noBreakHyphen/>
        <w:t>Dumping Agreement in determining that the domestic industry was "unestablished";</w:t>
      </w:r>
    </w:p>
    <w:p w14:paraId="3BD365DA" w14:textId="77777777" w:rsidR="00F618BD" w:rsidRDefault="00F618BD" w:rsidP="00DA64B1">
      <w:pPr>
        <w:pStyle w:val="BodyText2"/>
      </w:pPr>
      <w:r>
        <w:t>Articles 3.1 and 3.4 of the Anti</w:t>
      </w:r>
      <w:r>
        <w:noBreakHyphen/>
        <w:t>Dumping Agreement by improperly conducting the injury analysis in the form of "material retardation of the establishment of the domestic industry"; and</w:t>
      </w:r>
    </w:p>
    <w:p w14:paraId="37F720AE" w14:textId="34CC5D59" w:rsidR="00F618BD" w:rsidRPr="00B55651" w:rsidRDefault="00F618BD" w:rsidP="00DA64B1">
      <w:pPr>
        <w:pStyle w:val="BodyText2"/>
      </w:pPr>
      <w:r>
        <w:t>Articles 3.1 and 3.4 of the Anti</w:t>
      </w:r>
      <w:r>
        <w:noBreakHyphen/>
        <w:t>Dumping Agreement by: (i)</w:t>
      </w:r>
      <w:r w:rsidR="003256E0">
        <w:t> </w:t>
      </w:r>
      <w:r>
        <w:t>failing to evaluate 5 of the 15 injury factors listed in Article 3.4; (ii)</w:t>
      </w:r>
      <w:r w:rsidR="003256E0">
        <w:t> </w:t>
      </w:r>
      <w:r>
        <w:t>disregarding the captive market in the injury analysis; and (iii)</w:t>
      </w:r>
      <w:r w:rsidR="003256E0">
        <w:t> </w:t>
      </w:r>
      <w:r>
        <w:t>relying in the injury analysis on the McLellan report without properly investigating the significance of inaccuracies in that report.</w:t>
      </w:r>
      <w:r w:rsidR="00596111">
        <w:rPr>
          <w:rStyle w:val="FootnoteReference"/>
        </w:rPr>
        <w:footnoteReference w:id="13"/>
      </w:r>
    </w:p>
    <w:p w14:paraId="1EAD8DCD" w14:textId="25CC8282" w:rsidR="00D0148B" w:rsidRDefault="00E52975" w:rsidP="00DA64B1">
      <w:pPr>
        <w:pStyle w:val="BodyText"/>
      </w:pPr>
      <w:r>
        <w:rPr>
          <w:rFonts w:cs="Arial"/>
          <w:szCs w:val="18"/>
        </w:rPr>
        <w:t>For the reasons set out in its Report, th</w:t>
      </w:r>
      <w:r w:rsidR="00463124">
        <w:t>e Panel concluded that Turkey had not established that Morocco acted inconsistently with:</w:t>
      </w:r>
    </w:p>
    <w:p w14:paraId="0325BC1B" w14:textId="51AEA2D8" w:rsidR="008E3CC1" w:rsidRDefault="008E3CC1" w:rsidP="00DA64B1">
      <w:pPr>
        <w:pStyle w:val="BodyText2"/>
      </w:pPr>
      <w:r>
        <w:t>Article 6.9 of the Anti</w:t>
      </w:r>
      <w:r>
        <w:noBreakHyphen/>
        <w:t xml:space="preserve">Dumping Agreement by </w:t>
      </w:r>
      <w:r w:rsidRPr="00581124">
        <w:t xml:space="preserve">failing to </w:t>
      </w:r>
      <w:r>
        <w:t>inform</w:t>
      </w:r>
      <w:r w:rsidRPr="00581124">
        <w:t xml:space="preserve"> </w:t>
      </w:r>
      <w:r>
        <w:t>all interested parties of</w:t>
      </w:r>
      <w:r w:rsidRPr="00581124">
        <w:t xml:space="preserve"> the movement certificates and commercial invoices in respect of the </w:t>
      </w:r>
      <w:r w:rsidRPr="002345AC">
        <w:rPr>
          <w:b/>
        </w:rPr>
        <w:t>[</w:t>
      </w:r>
      <w:r w:rsidR="00C519CB" w:rsidRPr="002345AC">
        <w:rPr>
          <w:b/>
        </w:rPr>
        <w:t>BCI</w:t>
      </w:r>
      <w:r w:rsidRPr="002345AC">
        <w:rPr>
          <w:b/>
        </w:rPr>
        <w:t>]</w:t>
      </w:r>
      <w:r w:rsidRPr="00581124">
        <w:t xml:space="preserve"> tonnes of allegedly </w:t>
      </w:r>
      <w:r>
        <w:t>unreported</w:t>
      </w:r>
      <w:r w:rsidRPr="00581124">
        <w:t xml:space="preserve"> export sales in sufficient time for the </w:t>
      </w:r>
      <w:r>
        <w:t xml:space="preserve">two investigated Turkish </w:t>
      </w:r>
      <w:r w:rsidRPr="00581124">
        <w:t>prod</w:t>
      </w:r>
      <w:r>
        <w:t>ucers to defend their interests; and</w:t>
      </w:r>
    </w:p>
    <w:p w14:paraId="59AE07FC" w14:textId="4ACD91CF" w:rsidR="008E3CC1" w:rsidRPr="00B55651" w:rsidRDefault="008E3CC1" w:rsidP="00DA64B1">
      <w:pPr>
        <w:pStyle w:val="BodyText2"/>
      </w:pPr>
      <w:r>
        <w:t>Articles 3.1 and 3.4 of the Anti</w:t>
      </w:r>
      <w:r>
        <w:noBreakHyphen/>
        <w:t>Dumping Agreement by failing to evaluate "factors affecting domestic prices".</w:t>
      </w:r>
      <w:r w:rsidR="00596111">
        <w:rPr>
          <w:rStyle w:val="FootnoteReference"/>
        </w:rPr>
        <w:footnoteReference w:id="14"/>
      </w:r>
    </w:p>
    <w:p w14:paraId="047546E3" w14:textId="7B780532" w:rsidR="00DA64B1" w:rsidRPr="00DA64B1" w:rsidRDefault="008E3CC1" w:rsidP="008E3CC1">
      <w:pPr>
        <w:pStyle w:val="BodyText"/>
      </w:pPr>
      <w:r>
        <w:rPr>
          <w:szCs w:val="18"/>
        </w:rPr>
        <w:t>The Panel did not consider it necessary to address Turkey's claims under paragraphs 1, 3, 5, 6, and 7 of Annex II to the Anti-Dumping Agreement.</w:t>
      </w:r>
      <w:r w:rsidR="00596111">
        <w:rPr>
          <w:rStyle w:val="FootnoteReference"/>
          <w:szCs w:val="18"/>
        </w:rPr>
        <w:footnoteReference w:id="15"/>
      </w:r>
      <w:r>
        <w:rPr>
          <w:szCs w:val="18"/>
        </w:rPr>
        <w:t xml:space="preserve"> </w:t>
      </w:r>
    </w:p>
    <w:p w14:paraId="222D3202" w14:textId="41BCF6A1" w:rsidR="008E3CC1" w:rsidRDefault="008E3CC1" w:rsidP="008E3CC1">
      <w:pPr>
        <w:pStyle w:val="BodyText"/>
      </w:pPr>
      <w:r w:rsidRPr="00AF3F1D">
        <w:t xml:space="preserve">Pursuant to </w:t>
      </w:r>
      <w:r>
        <w:t>Article </w:t>
      </w:r>
      <w:r w:rsidRPr="00AF3F1D">
        <w:t xml:space="preserve">19.1 of the DSU, </w:t>
      </w:r>
      <w:r>
        <w:t>the Panel</w:t>
      </w:r>
      <w:r w:rsidRPr="00AF3F1D">
        <w:t xml:space="preserve"> recommend</w:t>
      </w:r>
      <w:r>
        <w:t>ed</w:t>
      </w:r>
      <w:r w:rsidRPr="00AF3F1D">
        <w:t xml:space="preserve"> that </w:t>
      </w:r>
      <w:r>
        <w:t>Morocco</w:t>
      </w:r>
      <w:r w:rsidRPr="00AF3F1D">
        <w:t xml:space="preserve"> bring its measures into conformity with its obligations under the </w:t>
      </w:r>
      <w:r>
        <w:t>Anti-Dumping Agreement</w:t>
      </w:r>
      <w:r w:rsidRPr="00AF3F1D">
        <w:t>.</w:t>
      </w:r>
      <w:r w:rsidR="00233045">
        <w:rPr>
          <w:rStyle w:val="FootnoteReference"/>
        </w:rPr>
        <w:footnoteReference w:id="16"/>
      </w:r>
      <w:r w:rsidRPr="008E3CC1">
        <w:t xml:space="preserve"> </w:t>
      </w:r>
      <w:r w:rsidR="00CE39EC">
        <w:t>The Panel noted</w:t>
      </w:r>
      <w:r>
        <w:t xml:space="preserve"> Turkey's</w:t>
      </w:r>
      <w:r w:rsidR="003256E0">
        <w:t> </w:t>
      </w:r>
      <w:r>
        <w:t xml:space="preserve">request </w:t>
      </w:r>
      <w:r w:rsidR="00CE39EC">
        <w:t>that</w:t>
      </w:r>
      <w:r>
        <w:t xml:space="preserve"> the Panel</w:t>
      </w:r>
      <w:r w:rsidR="00CE39EC">
        <w:t xml:space="preserve"> </w:t>
      </w:r>
      <w:r>
        <w:t>exercise its discretion under Article</w:t>
      </w:r>
      <w:r w:rsidR="00757920">
        <w:t> </w:t>
      </w:r>
      <w:r>
        <w:t>19.1 of the DSU</w:t>
      </w:r>
      <w:r w:rsidR="00CE39EC">
        <w:t xml:space="preserve"> and suggest that </w:t>
      </w:r>
      <w:r w:rsidR="00CE39EC" w:rsidRPr="00AF3F1D">
        <w:t>Morocco bring its measures into conformity with its WTO</w:t>
      </w:r>
      <w:r w:rsidR="003256E0">
        <w:t> </w:t>
      </w:r>
      <w:r w:rsidR="00CE39EC" w:rsidRPr="00AF3F1D">
        <w:t>obligations b</w:t>
      </w:r>
      <w:r w:rsidR="00CE39EC">
        <w:t>y immediately revoking the anti</w:t>
      </w:r>
      <w:r w:rsidR="00CE39EC">
        <w:noBreakHyphen/>
      </w:r>
      <w:r w:rsidR="00CE39EC" w:rsidRPr="00AF3F1D">
        <w:t>dumping measure at issu</w:t>
      </w:r>
      <w:r w:rsidR="00CE39EC">
        <w:t>e.</w:t>
      </w:r>
      <w:r w:rsidR="00596111">
        <w:rPr>
          <w:rStyle w:val="FootnoteReference"/>
        </w:rPr>
        <w:footnoteReference w:id="17"/>
      </w:r>
      <w:r>
        <w:t xml:space="preserve"> </w:t>
      </w:r>
      <w:r w:rsidR="00CE39EC">
        <w:t>T</w:t>
      </w:r>
      <w:r>
        <w:t xml:space="preserve">he Panel considered that </w:t>
      </w:r>
      <w:r w:rsidR="00EA408B">
        <w:t>"</w:t>
      </w:r>
      <w:r>
        <w:t xml:space="preserve">Article 19.1 of the DSU allows, but does not require, </w:t>
      </w:r>
      <w:r w:rsidR="00EA408B">
        <w:t>[</w:t>
      </w:r>
      <w:r w:rsidR="00233045">
        <w:t>the Panel</w:t>
      </w:r>
      <w:r w:rsidR="00EA408B">
        <w:t>]</w:t>
      </w:r>
      <w:r>
        <w:t xml:space="preserve"> to suggest ways in which the Member concerned could implement the Panel's recommendations</w:t>
      </w:r>
      <w:r w:rsidR="00EA408B">
        <w:t>"</w:t>
      </w:r>
      <w:r w:rsidR="00596111">
        <w:rPr>
          <w:rStyle w:val="FootnoteReference"/>
        </w:rPr>
        <w:footnoteReference w:id="18"/>
      </w:r>
      <w:r>
        <w:t>, and that</w:t>
      </w:r>
      <w:r w:rsidRPr="001D355C">
        <w:t xml:space="preserve"> </w:t>
      </w:r>
      <w:r w:rsidR="00CE39EC">
        <w:t>"</w:t>
      </w:r>
      <w:r w:rsidRPr="001D355C">
        <w:t xml:space="preserve">implementation of </w:t>
      </w:r>
      <w:r w:rsidR="00E143A6">
        <w:t>[Dispute Settlement Body (</w:t>
      </w:r>
      <w:r w:rsidRPr="001D355C">
        <w:t>DSB</w:t>
      </w:r>
      <w:r w:rsidR="00E143A6">
        <w:t>)]</w:t>
      </w:r>
      <w:r w:rsidRPr="001D355C">
        <w:t xml:space="preserve"> recommendations and rulings is left, in the first instance, to the discretion of the implementing Member</w:t>
      </w:r>
      <w:r w:rsidR="00CE39EC">
        <w:t>"</w:t>
      </w:r>
      <w:r w:rsidRPr="001D355C">
        <w:t>.</w:t>
      </w:r>
      <w:r w:rsidR="00596111">
        <w:rPr>
          <w:rStyle w:val="FootnoteReference"/>
        </w:rPr>
        <w:footnoteReference w:id="19"/>
      </w:r>
      <w:r w:rsidRPr="001D355C">
        <w:t xml:space="preserve"> </w:t>
      </w:r>
      <w:r>
        <w:t>The Panel therefore denied Turkey's request.</w:t>
      </w:r>
      <w:r w:rsidR="00596111">
        <w:rPr>
          <w:rStyle w:val="FootnoteReference"/>
        </w:rPr>
        <w:footnoteReference w:id="20"/>
      </w:r>
    </w:p>
    <w:p w14:paraId="3AE42B67" w14:textId="6506D1E1" w:rsidR="00DA64B1" w:rsidRDefault="00D0148B" w:rsidP="00DA64B1">
      <w:pPr>
        <w:pStyle w:val="BodyText"/>
        <w:tabs>
          <w:tab w:val="num" w:pos="862"/>
        </w:tabs>
        <w:rPr>
          <w:szCs w:val="18"/>
        </w:rPr>
      </w:pPr>
      <w:r w:rsidRPr="00B55651">
        <w:rPr>
          <w:szCs w:val="18"/>
        </w:rPr>
        <w:t xml:space="preserve">On </w:t>
      </w:r>
      <w:r w:rsidR="00F618BD">
        <w:rPr>
          <w:szCs w:val="18"/>
        </w:rPr>
        <w:t>20</w:t>
      </w:r>
      <w:r w:rsidR="003256E0">
        <w:rPr>
          <w:szCs w:val="18"/>
        </w:rPr>
        <w:t> </w:t>
      </w:r>
      <w:r w:rsidR="00F618BD">
        <w:rPr>
          <w:szCs w:val="18"/>
        </w:rPr>
        <w:t>November 2018</w:t>
      </w:r>
      <w:r w:rsidRPr="00B55651">
        <w:rPr>
          <w:rFonts w:cs="Arial"/>
          <w:szCs w:val="18"/>
        </w:rPr>
        <w:t xml:space="preserve">, </w:t>
      </w:r>
      <w:r w:rsidR="00F618BD">
        <w:rPr>
          <w:rFonts w:cs="Arial"/>
          <w:szCs w:val="18"/>
        </w:rPr>
        <w:t>Morocco</w:t>
      </w:r>
      <w:r w:rsidRPr="00B55651">
        <w:rPr>
          <w:rFonts w:cs="Arial"/>
          <w:szCs w:val="18"/>
        </w:rPr>
        <w:t xml:space="preserve"> </w:t>
      </w:r>
      <w:r w:rsidRPr="00B55651">
        <w:rPr>
          <w:szCs w:val="18"/>
        </w:rPr>
        <w:t>notified the DSB, pursuant to Articles 16.4 and 17 of the DSU, of its intention to appeal certain issues of law covered in the Panel</w:t>
      </w:r>
      <w:r w:rsidR="00757920">
        <w:rPr>
          <w:szCs w:val="18"/>
        </w:rPr>
        <w:t> Report</w:t>
      </w:r>
      <w:r w:rsidRPr="00B55651">
        <w:rPr>
          <w:szCs w:val="18"/>
        </w:rPr>
        <w:t xml:space="preserve"> and certain legal interpretations developed by the Panel</w:t>
      </w:r>
      <w:r w:rsidR="00DA64B1">
        <w:rPr>
          <w:szCs w:val="18"/>
        </w:rPr>
        <w:t>,</w:t>
      </w:r>
      <w:r w:rsidRPr="00B55651">
        <w:rPr>
          <w:szCs w:val="18"/>
        </w:rPr>
        <w:t xml:space="preserve"> and filed a Notice of Appeal</w:t>
      </w:r>
      <w:r w:rsidR="00596111">
        <w:rPr>
          <w:rStyle w:val="FootnoteReference"/>
          <w:szCs w:val="18"/>
        </w:rPr>
        <w:footnoteReference w:id="21"/>
      </w:r>
      <w:r w:rsidRPr="00B55651">
        <w:rPr>
          <w:szCs w:val="18"/>
        </w:rPr>
        <w:t xml:space="preserve"> and an appellant's submission pursuant to Rule 20 and Rule 21, respectively, of the Working Procedures for Appellate Review</w:t>
      </w:r>
      <w:r w:rsidR="00596111">
        <w:rPr>
          <w:rStyle w:val="FootnoteReference"/>
          <w:szCs w:val="18"/>
        </w:rPr>
        <w:footnoteReference w:id="22"/>
      </w:r>
      <w:r w:rsidRPr="00B55651">
        <w:rPr>
          <w:szCs w:val="18"/>
        </w:rPr>
        <w:t xml:space="preserve"> (Working Procedures). </w:t>
      </w:r>
      <w:r w:rsidRPr="00DA64B1">
        <w:rPr>
          <w:szCs w:val="18"/>
        </w:rPr>
        <w:t xml:space="preserve">On </w:t>
      </w:r>
      <w:r w:rsidR="00F618BD" w:rsidRPr="00DA64B1">
        <w:rPr>
          <w:szCs w:val="18"/>
        </w:rPr>
        <w:t>10</w:t>
      </w:r>
      <w:r w:rsidR="00757920">
        <w:rPr>
          <w:szCs w:val="18"/>
        </w:rPr>
        <w:t> </w:t>
      </w:r>
      <w:r w:rsidR="00F618BD" w:rsidRPr="00DA64B1">
        <w:rPr>
          <w:szCs w:val="18"/>
        </w:rPr>
        <w:t>December</w:t>
      </w:r>
      <w:r w:rsidR="00757920">
        <w:rPr>
          <w:szCs w:val="18"/>
        </w:rPr>
        <w:t> </w:t>
      </w:r>
      <w:r w:rsidR="00F618BD" w:rsidRPr="00DA64B1">
        <w:rPr>
          <w:szCs w:val="18"/>
        </w:rPr>
        <w:t>2018</w:t>
      </w:r>
      <w:r w:rsidRPr="00DA64B1">
        <w:rPr>
          <w:szCs w:val="18"/>
        </w:rPr>
        <w:t xml:space="preserve">, </w:t>
      </w:r>
      <w:r w:rsidR="00F618BD" w:rsidRPr="00DA64B1">
        <w:rPr>
          <w:szCs w:val="18"/>
        </w:rPr>
        <w:t xml:space="preserve">Turkey </w:t>
      </w:r>
      <w:r w:rsidRPr="00DA64B1">
        <w:rPr>
          <w:szCs w:val="18"/>
        </w:rPr>
        <w:t>filed an appellee's submission</w:t>
      </w:r>
      <w:r w:rsidR="00BB7DD3" w:rsidRPr="00DA64B1">
        <w:rPr>
          <w:szCs w:val="18"/>
        </w:rPr>
        <w:t>.</w:t>
      </w:r>
      <w:r w:rsidR="00596111">
        <w:rPr>
          <w:rStyle w:val="FootnoteReference"/>
          <w:szCs w:val="18"/>
        </w:rPr>
        <w:footnoteReference w:id="23"/>
      </w:r>
      <w:r w:rsidRPr="00DA64B1">
        <w:rPr>
          <w:szCs w:val="18"/>
        </w:rPr>
        <w:t xml:space="preserve"> On</w:t>
      </w:r>
      <w:r w:rsidR="00F618BD" w:rsidRPr="00DA64B1">
        <w:rPr>
          <w:szCs w:val="18"/>
        </w:rPr>
        <w:t xml:space="preserve"> 11</w:t>
      </w:r>
      <w:r w:rsidR="003256E0">
        <w:rPr>
          <w:szCs w:val="18"/>
        </w:rPr>
        <w:t> </w:t>
      </w:r>
      <w:r w:rsidR="00F618BD" w:rsidRPr="00DA64B1">
        <w:rPr>
          <w:szCs w:val="18"/>
        </w:rPr>
        <w:t>December 2018</w:t>
      </w:r>
      <w:r w:rsidRPr="00DA64B1">
        <w:rPr>
          <w:szCs w:val="18"/>
        </w:rPr>
        <w:t xml:space="preserve">, </w:t>
      </w:r>
      <w:r w:rsidR="00F618BD" w:rsidRPr="00DA64B1">
        <w:rPr>
          <w:szCs w:val="18"/>
        </w:rPr>
        <w:t>the European</w:t>
      </w:r>
      <w:r w:rsidR="00757920">
        <w:rPr>
          <w:szCs w:val="18"/>
        </w:rPr>
        <w:t> Union</w:t>
      </w:r>
      <w:r w:rsidR="00F618BD" w:rsidRPr="00DA64B1">
        <w:rPr>
          <w:szCs w:val="18"/>
        </w:rPr>
        <w:t>, Japan, and the United</w:t>
      </w:r>
      <w:r w:rsidR="00757920">
        <w:rPr>
          <w:szCs w:val="18"/>
        </w:rPr>
        <w:t> States</w:t>
      </w:r>
      <w:r w:rsidRPr="00DA64B1">
        <w:rPr>
          <w:rFonts w:cs="Arial"/>
          <w:szCs w:val="18"/>
        </w:rPr>
        <w:t xml:space="preserve"> each </w:t>
      </w:r>
      <w:r w:rsidRPr="00DA64B1">
        <w:rPr>
          <w:szCs w:val="18"/>
        </w:rPr>
        <w:t xml:space="preserve">filed a third participant's </w:t>
      </w:r>
      <w:r w:rsidRPr="00DA64B1">
        <w:rPr>
          <w:szCs w:val="18"/>
        </w:rPr>
        <w:lastRenderedPageBreak/>
        <w:t>submission</w:t>
      </w:r>
      <w:r w:rsidR="00BB7DD3" w:rsidRPr="00DA64B1">
        <w:rPr>
          <w:szCs w:val="18"/>
        </w:rPr>
        <w:t>.</w:t>
      </w:r>
      <w:r w:rsidR="00596111">
        <w:rPr>
          <w:rStyle w:val="FootnoteReference"/>
          <w:szCs w:val="18"/>
        </w:rPr>
        <w:footnoteReference w:id="24"/>
      </w:r>
      <w:r w:rsidRPr="00DA64B1">
        <w:rPr>
          <w:szCs w:val="18"/>
        </w:rPr>
        <w:t xml:space="preserve"> </w:t>
      </w:r>
      <w:r w:rsidR="00F618BD" w:rsidRPr="00DA64B1">
        <w:rPr>
          <w:szCs w:val="18"/>
        </w:rPr>
        <w:t xml:space="preserve">China, Egypt, India, Korea, </w:t>
      </w:r>
      <w:r w:rsidR="0073351F">
        <w:rPr>
          <w:szCs w:val="18"/>
        </w:rPr>
        <w:t xml:space="preserve">the </w:t>
      </w:r>
      <w:r w:rsidR="008D52A3">
        <w:rPr>
          <w:szCs w:val="18"/>
        </w:rPr>
        <w:t>Russia</w:t>
      </w:r>
      <w:r w:rsidR="0073351F">
        <w:rPr>
          <w:szCs w:val="18"/>
        </w:rPr>
        <w:t>n Federation</w:t>
      </w:r>
      <w:r w:rsidR="00F618BD" w:rsidRPr="00DA64B1">
        <w:rPr>
          <w:szCs w:val="18"/>
        </w:rPr>
        <w:t xml:space="preserve">, and Singapore each </w:t>
      </w:r>
      <w:r w:rsidRPr="00DA64B1">
        <w:rPr>
          <w:szCs w:val="18"/>
        </w:rPr>
        <w:t>notified its intention to appear at the oral hearing as a third participant</w:t>
      </w:r>
      <w:r w:rsidR="00BB7DD3" w:rsidRPr="00DA64B1">
        <w:rPr>
          <w:szCs w:val="18"/>
        </w:rPr>
        <w:t>.</w:t>
      </w:r>
      <w:r w:rsidR="00596111">
        <w:rPr>
          <w:rStyle w:val="FootnoteReference"/>
          <w:szCs w:val="18"/>
        </w:rPr>
        <w:footnoteReference w:id="25"/>
      </w:r>
    </w:p>
    <w:p w14:paraId="5E61DC7E" w14:textId="3A6BA777" w:rsidR="00DA64B1" w:rsidRPr="00DA64B1" w:rsidRDefault="00DA64B1" w:rsidP="00DA64B1">
      <w:pPr>
        <w:pStyle w:val="BodyText"/>
        <w:tabs>
          <w:tab w:val="num" w:pos="862"/>
        </w:tabs>
        <w:rPr>
          <w:szCs w:val="18"/>
        </w:rPr>
      </w:pPr>
      <w:r w:rsidRPr="00E12D8F">
        <w:t>The claims and arguments of the participants</w:t>
      </w:r>
      <w:r w:rsidR="00E60AE2">
        <w:t>, and the</w:t>
      </w:r>
      <w:r w:rsidRPr="00E12D8F">
        <w:t xml:space="preserve"> </w:t>
      </w:r>
      <w:r w:rsidR="00E60AE2" w:rsidRPr="00E12D8F">
        <w:t>arguments of the third</w:t>
      </w:r>
      <w:r w:rsidR="003256E0">
        <w:t> </w:t>
      </w:r>
      <w:r w:rsidR="00E60AE2" w:rsidRPr="00E12D8F">
        <w:t>participants that filed a written submission</w:t>
      </w:r>
      <w:r w:rsidR="00E60AE2">
        <w:t>,</w:t>
      </w:r>
      <w:r w:rsidR="00E60AE2" w:rsidRPr="00E12D8F">
        <w:t xml:space="preserve"> </w:t>
      </w:r>
      <w:r w:rsidRPr="00E12D8F">
        <w:t>are reflected in the executive summaries of their written submissions provided to the Appellate Body.</w:t>
      </w:r>
      <w:r w:rsidR="00596111">
        <w:rPr>
          <w:rStyle w:val="FootnoteReference"/>
        </w:rPr>
        <w:footnoteReference w:id="26"/>
      </w:r>
      <w:r w:rsidRPr="00E12D8F">
        <w:t xml:space="preserve"> The Notice of Appeal</w:t>
      </w:r>
      <w:r w:rsidR="00E60AE2">
        <w:t xml:space="preserve"> and </w:t>
      </w:r>
      <w:r w:rsidRPr="00E12D8F">
        <w:t xml:space="preserve">the executive summaries of the participants' </w:t>
      </w:r>
      <w:r w:rsidR="00E60AE2">
        <w:t xml:space="preserve">and third participants' written submissions </w:t>
      </w:r>
      <w:r w:rsidRPr="00E12D8F">
        <w:t>are contained in Annexes A</w:t>
      </w:r>
      <w:r w:rsidR="00E60AE2">
        <w:t>,</w:t>
      </w:r>
      <w:r w:rsidRPr="00E12D8F">
        <w:t xml:space="preserve"> B</w:t>
      </w:r>
      <w:r w:rsidR="00E60AE2">
        <w:t xml:space="preserve">, and C </w:t>
      </w:r>
      <w:r w:rsidRPr="00E12D8F">
        <w:t>of the Addendum to this Report, WT/DS5</w:t>
      </w:r>
      <w:r>
        <w:t>13</w:t>
      </w:r>
      <w:r w:rsidRPr="00E12D8F">
        <w:t>/AB/R/Add.1.</w:t>
      </w:r>
      <w:r>
        <w:t xml:space="preserve"> </w:t>
      </w:r>
    </w:p>
    <w:p w14:paraId="6B54B1F3" w14:textId="20359134" w:rsidR="002220C5" w:rsidRPr="003834F6" w:rsidRDefault="002220C5" w:rsidP="00463124">
      <w:pPr>
        <w:pStyle w:val="BodyText"/>
        <w:tabs>
          <w:tab w:val="num" w:pos="862"/>
        </w:tabs>
      </w:pPr>
      <w:r w:rsidRPr="00E12D8F">
        <w:t xml:space="preserve">By letter dated </w:t>
      </w:r>
      <w:r w:rsidR="007927A6">
        <w:t>15</w:t>
      </w:r>
      <w:r w:rsidR="00757920">
        <w:t> </w:t>
      </w:r>
      <w:r w:rsidR="007927A6">
        <w:t>January</w:t>
      </w:r>
      <w:r w:rsidR="00757920">
        <w:t> </w:t>
      </w:r>
      <w:r w:rsidR="007927A6">
        <w:t>2019</w:t>
      </w:r>
      <w:r w:rsidRPr="00E12D8F">
        <w:t>, the Chair of the Appellate Body notified the Chair of the DSB that the Appellate Body would not be able to circulate its Report within the 60</w:t>
      </w:r>
      <w:r w:rsidRPr="00E12D8F">
        <w:noBreakHyphen/>
        <w:t xml:space="preserve">day period pursuant to Article 17.5 of the DSU, or within the 90-day </w:t>
      </w:r>
      <w:r w:rsidRPr="003834F6">
        <w:t>period pursuant to the same provision, for the reasons mentioned therein.</w:t>
      </w:r>
      <w:r w:rsidR="00596111">
        <w:rPr>
          <w:rStyle w:val="FootnoteReference"/>
        </w:rPr>
        <w:footnoteReference w:id="27"/>
      </w:r>
    </w:p>
    <w:p w14:paraId="2B3BB1DD" w14:textId="5ABA489D" w:rsidR="00463124" w:rsidRPr="003834F6" w:rsidRDefault="00463124" w:rsidP="005C4308">
      <w:pPr>
        <w:pStyle w:val="BodyText"/>
        <w:tabs>
          <w:tab w:val="num" w:pos="862"/>
        </w:tabs>
      </w:pPr>
      <w:r w:rsidRPr="003834F6">
        <w:t xml:space="preserve">On </w:t>
      </w:r>
      <w:r w:rsidR="001A739C" w:rsidRPr="003834F6">
        <w:t>4</w:t>
      </w:r>
      <w:r w:rsidR="00757920">
        <w:t> </w:t>
      </w:r>
      <w:r w:rsidR="001A739C" w:rsidRPr="003834F6">
        <w:t>December</w:t>
      </w:r>
      <w:r w:rsidR="00757920">
        <w:t> </w:t>
      </w:r>
      <w:r w:rsidR="001A739C" w:rsidRPr="003834F6">
        <w:t>2019</w:t>
      </w:r>
      <w:r w:rsidRPr="003834F6">
        <w:t>, the Appellate</w:t>
      </w:r>
      <w:r w:rsidR="00757920">
        <w:t> Body</w:t>
      </w:r>
      <w:r w:rsidRPr="003834F6">
        <w:t xml:space="preserve"> received a letter from Morocco, in which Morocco </w:t>
      </w:r>
      <w:r w:rsidR="00972DA4" w:rsidRPr="003834F6">
        <w:rPr>
          <w:color w:val="000000"/>
        </w:rPr>
        <w:t>stated</w:t>
      </w:r>
      <w:r w:rsidRPr="003834F6">
        <w:t>:</w:t>
      </w:r>
    </w:p>
    <w:p w14:paraId="06CDD037" w14:textId="094E6020" w:rsidR="00972DA4" w:rsidRPr="003834F6" w:rsidRDefault="00972DA4" w:rsidP="005C4308">
      <w:pPr>
        <w:pStyle w:val="Quotation"/>
      </w:pPr>
      <w:r w:rsidRPr="003834F6">
        <w:t xml:space="preserve">My authorities have requested that I inform you of Morocco's decision to withdraw its appeal in </w:t>
      </w:r>
      <w:r w:rsidR="00233045">
        <w:t>[this]</w:t>
      </w:r>
      <w:r w:rsidRPr="003834F6">
        <w:t xml:space="preserve"> dispute. Morocco requests the Appellate</w:t>
      </w:r>
      <w:r w:rsidR="00757920">
        <w:t> Body</w:t>
      </w:r>
      <w:r w:rsidRPr="003834F6">
        <w:t xml:space="preserve"> to inform the DSB of Morocco's decision in accordance with Rule 30(1) of the Working Procedures for Appellate Review.</w:t>
      </w:r>
    </w:p>
    <w:p w14:paraId="2C23250E" w14:textId="14C71A27" w:rsidR="004725E1" w:rsidRPr="003834F6" w:rsidRDefault="001A739C" w:rsidP="005C4308">
      <w:pPr>
        <w:pStyle w:val="Quotation"/>
      </w:pPr>
      <w:r w:rsidRPr="003834F6">
        <w:t>The anti-dumping measure underlying the dispute expired on 26</w:t>
      </w:r>
      <w:r w:rsidR="00FC7C94">
        <w:t> </w:t>
      </w:r>
      <w:r w:rsidRPr="003834F6">
        <w:t>September 2019. Although Morocco continue</w:t>
      </w:r>
      <w:r w:rsidR="004725E1" w:rsidRPr="003834F6">
        <w:t>s</w:t>
      </w:r>
      <w:r w:rsidRPr="003834F6">
        <w:t xml:space="preserve"> to believe that the Panel's findings suffer from serious flaws, those findings have become moot with the expiration of the underlying measure. Consequently, and in light of the heavy workload of the Appellate</w:t>
      </w:r>
      <w:r w:rsidR="00757920">
        <w:t> Body</w:t>
      </w:r>
      <w:r w:rsidRPr="003834F6">
        <w:t>, Morocco has decided to withdraw the appeal.</w:t>
      </w:r>
    </w:p>
    <w:p w14:paraId="2E86198E" w14:textId="64F5B865" w:rsidR="00972DA4" w:rsidRPr="003834F6" w:rsidRDefault="00972DA4" w:rsidP="005C4308">
      <w:pPr>
        <w:pStyle w:val="Quotation"/>
      </w:pPr>
      <w:r w:rsidRPr="003834F6">
        <w:t>Morocco respectfully requests the Appellate</w:t>
      </w:r>
      <w:r w:rsidR="00757920">
        <w:t> Body</w:t>
      </w:r>
      <w:r w:rsidRPr="003834F6">
        <w:t xml:space="preserve"> to record the reasons for Morocco's decision as set out above in the event that the Appellate</w:t>
      </w:r>
      <w:r w:rsidR="00757920">
        <w:t> Body</w:t>
      </w:r>
      <w:r w:rsidRPr="003834F6">
        <w:t xml:space="preserve"> issues a report.</w:t>
      </w:r>
    </w:p>
    <w:p w14:paraId="5B5165A6" w14:textId="77777777" w:rsidR="00463124" w:rsidRPr="003834F6" w:rsidRDefault="00463124" w:rsidP="005C4308">
      <w:pPr>
        <w:pStyle w:val="BodyText"/>
        <w:tabs>
          <w:tab w:val="num" w:pos="862"/>
        </w:tabs>
      </w:pPr>
      <w:r w:rsidRPr="003834F6">
        <w:t>Rule 30(1) of the Working Procedures provides that:</w:t>
      </w:r>
    </w:p>
    <w:p w14:paraId="5CB569CB" w14:textId="15398B73" w:rsidR="00463124" w:rsidRPr="003834F6" w:rsidRDefault="00463124" w:rsidP="005C4308">
      <w:pPr>
        <w:pStyle w:val="Quotation"/>
      </w:pPr>
      <w:r w:rsidRPr="003834F6">
        <w:t>At any time during an appeal, the appellant may withdraw its appeal by notifying the Appellate</w:t>
      </w:r>
      <w:r w:rsidR="00757920">
        <w:t> Body</w:t>
      </w:r>
      <w:r w:rsidRPr="003834F6">
        <w:t>, which shall forthwith notify the DSB.</w:t>
      </w:r>
    </w:p>
    <w:p w14:paraId="36A87E71" w14:textId="1ECA52BD" w:rsidR="00463124" w:rsidRPr="003834F6" w:rsidRDefault="00463124" w:rsidP="005C4308">
      <w:pPr>
        <w:pStyle w:val="BodyText"/>
        <w:tabs>
          <w:tab w:val="num" w:pos="862"/>
        </w:tabs>
        <w:rPr>
          <w:szCs w:val="18"/>
        </w:rPr>
      </w:pPr>
      <w:r w:rsidRPr="003834F6">
        <w:t xml:space="preserve">Upon receipt of </w:t>
      </w:r>
      <w:r w:rsidR="00F618BD" w:rsidRPr="003834F6">
        <w:t>Morocco's</w:t>
      </w:r>
      <w:r w:rsidRPr="003834F6">
        <w:t xml:space="preserve"> letter of </w:t>
      </w:r>
      <w:r w:rsidR="001A739C" w:rsidRPr="003834F6">
        <w:t>4</w:t>
      </w:r>
      <w:r w:rsidR="00757920">
        <w:t> </w:t>
      </w:r>
      <w:r w:rsidR="001A739C" w:rsidRPr="003834F6">
        <w:t>December</w:t>
      </w:r>
      <w:r w:rsidR="00757920">
        <w:t> </w:t>
      </w:r>
      <w:r w:rsidR="001A739C" w:rsidRPr="003834F6">
        <w:t>2019</w:t>
      </w:r>
      <w:r w:rsidR="00F618BD" w:rsidRPr="003834F6">
        <w:t xml:space="preserve">, </w:t>
      </w:r>
      <w:r w:rsidRPr="003834F6">
        <w:t>the Appellate</w:t>
      </w:r>
      <w:r w:rsidR="00757920">
        <w:t> Body</w:t>
      </w:r>
      <w:r w:rsidRPr="003834F6">
        <w:t xml:space="preserve"> on the same day notified the</w:t>
      </w:r>
      <w:r w:rsidR="00B13C84" w:rsidRPr="003834F6">
        <w:t xml:space="preserve"> Chair</w:t>
      </w:r>
      <w:r w:rsidRPr="003834F6">
        <w:t xml:space="preserve"> </w:t>
      </w:r>
      <w:r w:rsidR="00B13C84" w:rsidRPr="003834F6">
        <w:t xml:space="preserve">of the </w:t>
      </w:r>
      <w:r w:rsidRPr="003834F6">
        <w:t xml:space="preserve">DSB, pursuant to Rule 30(1) of the Working Procedures, that </w:t>
      </w:r>
      <w:r w:rsidR="00F618BD" w:rsidRPr="003834F6">
        <w:t>Morocco</w:t>
      </w:r>
      <w:r w:rsidRPr="003834F6">
        <w:t xml:space="preserve"> ha</w:t>
      </w:r>
      <w:r w:rsidR="00A92456">
        <w:t>d</w:t>
      </w:r>
      <w:r w:rsidRPr="003834F6">
        <w:t xml:space="preserve"> </w:t>
      </w:r>
      <w:r w:rsidR="004074A6" w:rsidRPr="003834F6">
        <w:t>decided to withdraw the appeal</w:t>
      </w:r>
      <w:r w:rsidRPr="003834F6">
        <w:t xml:space="preserve"> in this dispute</w:t>
      </w:r>
      <w:r w:rsidR="00F618BD" w:rsidRPr="003834F6">
        <w:t>.</w:t>
      </w:r>
      <w:r w:rsidR="00596111">
        <w:rPr>
          <w:rStyle w:val="FootnoteReference"/>
        </w:rPr>
        <w:footnoteReference w:id="28"/>
      </w:r>
    </w:p>
    <w:p w14:paraId="2A1E0612" w14:textId="52D4EF75" w:rsidR="00972DA4" w:rsidRPr="003834F6" w:rsidRDefault="00972DA4" w:rsidP="005C4308">
      <w:pPr>
        <w:pStyle w:val="BodyText"/>
        <w:tabs>
          <w:tab w:val="num" w:pos="862"/>
        </w:tabs>
        <w:rPr>
          <w:szCs w:val="18"/>
        </w:rPr>
      </w:pPr>
      <w:r w:rsidRPr="003834F6">
        <w:t xml:space="preserve">In response to Morocco's letter, </w:t>
      </w:r>
      <w:r w:rsidR="00A92456">
        <w:t>o</w:t>
      </w:r>
      <w:r w:rsidRPr="003834F6">
        <w:t>n the same day, Turkey sent a letter to the Appellate</w:t>
      </w:r>
      <w:r w:rsidR="00757920">
        <w:t> Body</w:t>
      </w:r>
      <w:r w:rsidRPr="003834F6">
        <w:t>, in which Turkey stated:</w:t>
      </w:r>
    </w:p>
    <w:p w14:paraId="3FCC7851" w14:textId="4DF32A54" w:rsidR="00972DA4" w:rsidRPr="003834F6" w:rsidRDefault="00972DA4" w:rsidP="005C4308">
      <w:pPr>
        <w:pStyle w:val="Quotation"/>
      </w:pPr>
      <w:r w:rsidRPr="003834F6">
        <w:t xml:space="preserve">Turkey takes note of Morocco's decision to withdraw its appeal in </w:t>
      </w:r>
      <w:r w:rsidR="00A34324">
        <w:t>[this]</w:t>
      </w:r>
      <w:r w:rsidRPr="003834F6">
        <w:t xml:space="preserve"> matter. Pursuant to Rule 30(1) of the Working Procedures for Appellate</w:t>
      </w:r>
      <w:r w:rsidR="005C4308">
        <w:t> </w:t>
      </w:r>
      <w:r w:rsidRPr="003834F6">
        <w:t>Review, Turkey joins Morocco in requesting the Appellate</w:t>
      </w:r>
      <w:r w:rsidR="00757920">
        <w:t> Body</w:t>
      </w:r>
      <w:r w:rsidRPr="003834F6">
        <w:t xml:space="preserve"> to notify the DSB of this decision.</w:t>
      </w:r>
    </w:p>
    <w:p w14:paraId="5F36AA07" w14:textId="5C786B64" w:rsidR="00972DA4" w:rsidRDefault="00972DA4" w:rsidP="005C4308">
      <w:pPr>
        <w:pStyle w:val="Quotation"/>
      </w:pPr>
      <w:r w:rsidRPr="003834F6">
        <w:t>On the previous instance in which an appeal was withdraw</w:t>
      </w:r>
      <w:r w:rsidR="00524C10">
        <w:t>n</w:t>
      </w:r>
      <w:r w:rsidRPr="003834F6">
        <w:t>, the Appellate</w:t>
      </w:r>
      <w:r w:rsidR="00757920">
        <w:t> Body</w:t>
      </w:r>
      <w:r w:rsidRPr="003834F6">
        <w:t xml:space="preserve"> proceeded to issue a short report noting the withdrawal of the appeal (</w:t>
      </w:r>
      <w:r w:rsidRPr="002345AC">
        <w:rPr>
          <w:i/>
        </w:rPr>
        <w:t>India – Autos</w:t>
      </w:r>
      <w:r w:rsidRPr="003834F6">
        <w:t>, WT/DS146/AB/R; WT/DS175/AB/R). This report, together</w:t>
      </w:r>
      <w:r w:rsidR="0096636E" w:rsidRPr="003834F6">
        <w:t xml:space="preserve"> with the underlying </w:t>
      </w:r>
      <w:r w:rsidR="00757920">
        <w:lastRenderedPageBreak/>
        <w:t>Panel Report</w:t>
      </w:r>
      <w:r w:rsidR="0096636E" w:rsidRPr="003834F6">
        <w:t>, was then adopted by the DSB in the normal manner. The Appellate</w:t>
      </w:r>
      <w:r w:rsidR="00757920">
        <w:t> Body</w:t>
      </w:r>
      <w:r w:rsidR="0096636E" w:rsidRPr="003834F6">
        <w:t xml:space="preserve"> may wish to follow this practice in this instance. For clarity, when it informs the DSB of Morocco's withdrawal of its appeal, the Appellate</w:t>
      </w:r>
      <w:r w:rsidR="00757920">
        <w:t> Body</w:t>
      </w:r>
      <w:r w:rsidR="0096636E" w:rsidRPr="003834F6">
        <w:t xml:space="preserve"> should indicate whether it intends to issue a report as it did in </w:t>
      </w:r>
      <w:r w:rsidR="0096636E" w:rsidRPr="002345AC">
        <w:rPr>
          <w:i/>
        </w:rPr>
        <w:t>India – Autos</w:t>
      </w:r>
      <w:r w:rsidR="0096636E" w:rsidRPr="003834F6">
        <w:t>.</w:t>
      </w:r>
    </w:p>
    <w:p w14:paraId="494691AE" w14:textId="6806FCF9" w:rsidR="004A0DEF" w:rsidRDefault="004A0DEF" w:rsidP="005C4308">
      <w:pPr>
        <w:pStyle w:val="BodyText"/>
        <w:rPr>
          <w:szCs w:val="18"/>
        </w:rPr>
      </w:pPr>
      <w:r>
        <w:t>Under Article</w:t>
      </w:r>
      <w:r w:rsidR="00757920">
        <w:t> </w:t>
      </w:r>
      <w:r>
        <w:t xml:space="preserve">16.4 of the DSU, a </w:t>
      </w:r>
      <w:r w:rsidR="00231E41">
        <w:t>p</w:t>
      </w:r>
      <w:r w:rsidR="00757920">
        <w:t>anel </w:t>
      </w:r>
      <w:r w:rsidR="00231E41">
        <w:t>r</w:t>
      </w:r>
      <w:r w:rsidR="00757920">
        <w:t>eport</w:t>
      </w:r>
      <w:r>
        <w:t xml:space="preserve"> shall be adopted at a DSB meeting within 60 days after the date of its circulation, unless a party to the dispute formally notifies the DSB of its decision to appeal or the DSB decides by consensus not to adopt the report. Article</w:t>
      </w:r>
      <w:r w:rsidR="00757920">
        <w:t> </w:t>
      </w:r>
      <w:r>
        <w:t>16.4 further provides that, if a party has notified its decision to appeal, "the report by the panel shall not be considered for adoption by the DSB until after completion of the appeal</w:t>
      </w:r>
      <w:r w:rsidR="0073351F">
        <w:t>.</w:t>
      </w:r>
      <w:r>
        <w:t>" In addition, under Article 17.14, an Appellate</w:t>
      </w:r>
      <w:r w:rsidR="00757920">
        <w:t> Body</w:t>
      </w:r>
      <w:r>
        <w:t xml:space="preserve"> report shall be adopted by the DSB and unconditionally accepted by the parties to the dispute unless the DSB decides by consensus not to adopt the report within 30 days following its circulation to the Members.</w:t>
      </w:r>
    </w:p>
    <w:p w14:paraId="5F54FE95" w14:textId="1969834E" w:rsidR="004A0DEF" w:rsidRPr="003834F6" w:rsidRDefault="004A0DEF" w:rsidP="00BC7AA5">
      <w:pPr>
        <w:pStyle w:val="BodyText"/>
      </w:pPr>
      <w:r w:rsidRPr="004A0DEF">
        <w:rPr>
          <w:color w:val="000000"/>
        </w:rPr>
        <w:t>In this dispute, the 60-day period pursuant to Article</w:t>
      </w:r>
      <w:r w:rsidR="00757920">
        <w:rPr>
          <w:color w:val="000000"/>
        </w:rPr>
        <w:t> </w:t>
      </w:r>
      <w:r w:rsidRPr="004A0DEF">
        <w:rPr>
          <w:color w:val="000000"/>
        </w:rPr>
        <w:t>16.4 of the DSU ended on 30</w:t>
      </w:r>
      <w:r>
        <w:rPr>
          <w:color w:val="000000"/>
        </w:rPr>
        <w:t> </w:t>
      </w:r>
      <w:r w:rsidRPr="004A0DEF">
        <w:rPr>
          <w:color w:val="000000"/>
        </w:rPr>
        <w:t xml:space="preserve">December 2018. </w:t>
      </w:r>
      <w:r>
        <w:t>In view of Morocco's withdrawal of the appeal by its letter of 4</w:t>
      </w:r>
      <w:r w:rsidR="00757920">
        <w:t> </w:t>
      </w:r>
      <w:r>
        <w:t>December</w:t>
      </w:r>
      <w:r w:rsidR="00757920">
        <w:t> </w:t>
      </w:r>
      <w:r>
        <w:t>2019, the Appellate</w:t>
      </w:r>
      <w:r w:rsidR="005C4308">
        <w:t> </w:t>
      </w:r>
      <w:r>
        <w:t>Body hereby completes its work in this appeal. The 30-day period for adopting the Appellate</w:t>
      </w:r>
      <w:r w:rsidR="00757920">
        <w:t> Body</w:t>
      </w:r>
      <w:r>
        <w:t xml:space="preserve"> Report, together with the Panel</w:t>
      </w:r>
      <w:r w:rsidR="00757920">
        <w:t> Report</w:t>
      </w:r>
      <w:r>
        <w:t>, thus begins from the circulation of this Report.</w:t>
      </w:r>
    </w:p>
    <w:p w14:paraId="24BABDEE" w14:textId="77777777" w:rsidR="005C4308" w:rsidRDefault="005C4308" w:rsidP="00D0148B"/>
    <w:p w14:paraId="633EB9C2" w14:textId="77777777" w:rsidR="005C4308" w:rsidRDefault="005C4308" w:rsidP="00D0148B"/>
    <w:p w14:paraId="78E45BE8" w14:textId="77777777" w:rsidR="005C4308" w:rsidRDefault="005C4308" w:rsidP="00D0148B"/>
    <w:p w14:paraId="79EF4F15" w14:textId="77777777" w:rsidR="005C4308" w:rsidRDefault="005C4308" w:rsidP="00D0148B"/>
    <w:p w14:paraId="322A64D5" w14:textId="77777777" w:rsidR="005C4308" w:rsidRDefault="005C4308" w:rsidP="00D0148B"/>
    <w:p w14:paraId="318E97AD" w14:textId="3C32BDC4" w:rsidR="00D0148B" w:rsidRPr="00B55651" w:rsidRDefault="00D0148B" w:rsidP="00D0148B">
      <w:r w:rsidRPr="00B55651">
        <w:t xml:space="preserve">Signed in the original in Geneva this </w:t>
      </w:r>
      <w:r w:rsidR="00F063DE">
        <w:t>6th day of December</w:t>
      </w:r>
      <w:r w:rsidRPr="00B55651">
        <w:t xml:space="preserve"> </w:t>
      </w:r>
      <w:r w:rsidR="00782393">
        <w:t>2019</w:t>
      </w:r>
      <w:r>
        <w:t xml:space="preserve"> </w:t>
      </w:r>
      <w:r w:rsidRPr="00B55651">
        <w:t xml:space="preserve">by: </w:t>
      </w:r>
    </w:p>
    <w:p w14:paraId="465D866A" w14:textId="77777777" w:rsidR="00D0148B" w:rsidRPr="00B55651" w:rsidRDefault="00D0148B" w:rsidP="00D0148B">
      <w:pPr>
        <w:jc w:val="center"/>
      </w:pPr>
    </w:p>
    <w:p w14:paraId="0CFA5DB0" w14:textId="77777777" w:rsidR="00D0148B" w:rsidRPr="00B55651" w:rsidRDefault="00D0148B" w:rsidP="00D0148B">
      <w:pPr>
        <w:jc w:val="center"/>
      </w:pPr>
    </w:p>
    <w:p w14:paraId="7BE8DFDB" w14:textId="77777777" w:rsidR="00D0148B" w:rsidRPr="00B55651" w:rsidRDefault="00D0148B" w:rsidP="00D0148B">
      <w:pPr>
        <w:jc w:val="center"/>
      </w:pPr>
    </w:p>
    <w:p w14:paraId="2FE0DA3B" w14:textId="77777777" w:rsidR="00D0148B" w:rsidRPr="00B55651" w:rsidRDefault="00D0148B" w:rsidP="00D0148B">
      <w:pPr>
        <w:jc w:val="center"/>
      </w:pPr>
    </w:p>
    <w:p w14:paraId="6020E512" w14:textId="77777777" w:rsidR="00D0148B" w:rsidRPr="00B55651" w:rsidRDefault="00D0148B" w:rsidP="00D0148B">
      <w:pPr>
        <w:jc w:val="center"/>
      </w:pPr>
    </w:p>
    <w:p w14:paraId="6900C2FF" w14:textId="77777777" w:rsidR="00D0148B" w:rsidRPr="00B55651" w:rsidRDefault="00D0148B" w:rsidP="00D0148B">
      <w:pPr>
        <w:jc w:val="center"/>
      </w:pPr>
    </w:p>
    <w:p w14:paraId="5D459A36" w14:textId="77777777" w:rsidR="00D0148B" w:rsidRPr="00B55651" w:rsidRDefault="00D0148B" w:rsidP="00D0148B">
      <w:pPr>
        <w:jc w:val="center"/>
      </w:pPr>
    </w:p>
    <w:p w14:paraId="5239E0D5" w14:textId="77777777" w:rsidR="00D0148B" w:rsidRPr="00B55651" w:rsidRDefault="00D0148B" w:rsidP="00D0148B">
      <w:pPr>
        <w:jc w:val="center"/>
      </w:pPr>
    </w:p>
    <w:p w14:paraId="117335B5" w14:textId="77777777" w:rsidR="00D0148B" w:rsidRPr="00E44285" w:rsidRDefault="00E44285" w:rsidP="00D0148B">
      <w:pPr>
        <w:jc w:val="center"/>
        <w:rPr>
          <w:b/>
        </w:rPr>
      </w:pPr>
      <w:r w:rsidRPr="00E44285">
        <w:rPr>
          <w:b/>
        </w:rPr>
        <w:t>_________________________</w:t>
      </w:r>
    </w:p>
    <w:p w14:paraId="0BE00A91" w14:textId="77777777" w:rsidR="00814090" w:rsidRPr="00E12D8F" w:rsidRDefault="00814090" w:rsidP="00814090">
      <w:pPr>
        <w:keepNext/>
        <w:keepLines/>
        <w:jc w:val="center"/>
      </w:pPr>
      <w:r w:rsidRPr="00E12D8F">
        <w:t>Ujal Singh Bhatia</w:t>
      </w:r>
    </w:p>
    <w:p w14:paraId="2D021DCA" w14:textId="77777777" w:rsidR="00D0148B" w:rsidRPr="00B55651" w:rsidRDefault="00814090" w:rsidP="00814090">
      <w:pPr>
        <w:jc w:val="center"/>
      </w:pPr>
      <w:r w:rsidRPr="00E12D8F">
        <w:t>Presiding Member</w:t>
      </w:r>
    </w:p>
    <w:p w14:paraId="453DA24D" w14:textId="77777777" w:rsidR="00D0148B" w:rsidRPr="00B55651" w:rsidRDefault="00D0148B" w:rsidP="00D0148B">
      <w:pPr>
        <w:jc w:val="center"/>
      </w:pPr>
    </w:p>
    <w:p w14:paraId="68884E98" w14:textId="77777777" w:rsidR="00D0148B" w:rsidRPr="00B55651" w:rsidRDefault="00D0148B" w:rsidP="00D0148B">
      <w:pPr>
        <w:jc w:val="center"/>
      </w:pPr>
    </w:p>
    <w:p w14:paraId="503C0944" w14:textId="77777777" w:rsidR="00D0148B" w:rsidRPr="00B55651" w:rsidRDefault="00D0148B" w:rsidP="00D0148B">
      <w:pPr>
        <w:jc w:val="center"/>
      </w:pPr>
    </w:p>
    <w:p w14:paraId="2A3C4CB2" w14:textId="77777777" w:rsidR="00D0148B" w:rsidRPr="00B55651" w:rsidRDefault="00D0148B" w:rsidP="00D0148B">
      <w:pPr>
        <w:jc w:val="center"/>
      </w:pPr>
    </w:p>
    <w:p w14:paraId="66571E15" w14:textId="77777777" w:rsidR="00D0148B" w:rsidRPr="00B55651" w:rsidRDefault="00D0148B" w:rsidP="00D0148B">
      <w:pPr>
        <w:jc w:val="center"/>
      </w:pPr>
    </w:p>
    <w:p w14:paraId="3729E82B" w14:textId="77777777" w:rsidR="00D0148B" w:rsidRPr="00B55651" w:rsidRDefault="00D0148B" w:rsidP="00D0148B">
      <w:pPr>
        <w:jc w:val="center"/>
      </w:pPr>
    </w:p>
    <w:p w14:paraId="5DBC799C" w14:textId="77777777" w:rsidR="00D0148B" w:rsidRPr="00B55651" w:rsidRDefault="00D0148B" w:rsidP="00D0148B">
      <w:pPr>
        <w:jc w:val="center"/>
      </w:pPr>
    </w:p>
    <w:p w14:paraId="22923429" w14:textId="77777777" w:rsidR="00D0148B" w:rsidRPr="00B55651" w:rsidRDefault="00D0148B" w:rsidP="00D0148B">
      <w:pPr>
        <w:tabs>
          <w:tab w:val="center" w:pos="1701"/>
          <w:tab w:val="center" w:pos="7230"/>
        </w:tabs>
        <w:jc w:val="left"/>
      </w:pPr>
      <w:r w:rsidRPr="00B55651">
        <w:tab/>
      </w:r>
      <w:r w:rsidRPr="00E44285">
        <w:rPr>
          <w:b/>
        </w:rPr>
        <w:t>_________________________</w:t>
      </w:r>
      <w:r w:rsidRPr="00B55651">
        <w:tab/>
      </w:r>
      <w:r w:rsidRPr="00E44285">
        <w:rPr>
          <w:b/>
        </w:rPr>
        <w:t>_________________________</w:t>
      </w:r>
    </w:p>
    <w:p w14:paraId="5DE7BE3E" w14:textId="77777777" w:rsidR="00D0148B" w:rsidRPr="00B55651" w:rsidRDefault="00D0148B" w:rsidP="00814090">
      <w:pPr>
        <w:tabs>
          <w:tab w:val="center" w:pos="1701"/>
          <w:tab w:val="center" w:pos="7230"/>
        </w:tabs>
        <w:jc w:val="left"/>
      </w:pPr>
      <w:r w:rsidRPr="00B55651">
        <w:tab/>
      </w:r>
      <w:r w:rsidR="00814090" w:rsidRPr="00E12D8F">
        <w:t>Thomas R. Graham</w:t>
      </w:r>
      <w:r w:rsidR="00814090" w:rsidRPr="00E12D8F">
        <w:tab/>
      </w:r>
      <w:r w:rsidR="00814090">
        <w:t>Hong Zhao</w:t>
      </w:r>
    </w:p>
    <w:p w14:paraId="1E7A36F4" w14:textId="77777777" w:rsidR="00F72513" w:rsidRDefault="00D0148B" w:rsidP="00814090">
      <w:pPr>
        <w:tabs>
          <w:tab w:val="center" w:pos="1701"/>
          <w:tab w:val="center" w:pos="7230"/>
        </w:tabs>
        <w:jc w:val="left"/>
      </w:pPr>
      <w:r w:rsidRPr="00B55651">
        <w:tab/>
      </w:r>
      <w:r w:rsidR="00814090">
        <w:t>Member</w:t>
      </w:r>
      <w:r w:rsidRPr="00B55651">
        <w:tab/>
        <w:t>Membe</w:t>
      </w:r>
      <w:bookmarkStart w:id="1" w:name="_Toc343522840"/>
      <w:r w:rsidR="00BF3A5D">
        <w:t>r</w:t>
      </w:r>
    </w:p>
    <w:p w14:paraId="519AEDBB" w14:textId="77777777" w:rsidR="00BF3A5D" w:rsidRDefault="00BF3A5D" w:rsidP="00814090">
      <w:pPr>
        <w:tabs>
          <w:tab w:val="center" w:pos="1701"/>
          <w:tab w:val="center" w:pos="7230"/>
        </w:tabs>
        <w:jc w:val="left"/>
      </w:pPr>
    </w:p>
    <w:p w14:paraId="3F9EF686" w14:textId="026C2535" w:rsidR="0000051C" w:rsidRDefault="0000051C" w:rsidP="00814090">
      <w:pPr>
        <w:tabs>
          <w:tab w:val="center" w:pos="1701"/>
          <w:tab w:val="center" w:pos="7230"/>
        </w:tabs>
        <w:jc w:val="left"/>
      </w:pPr>
    </w:p>
    <w:p w14:paraId="09DC0626" w14:textId="7B05B25C" w:rsidR="005C4308" w:rsidRDefault="005C4308" w:rsidP="005C4308">
      <w:pPr>
        <w:tabs>
          <w:tab w:val="center" w:pos="1701"/>
          <w:tab w:val="center" w:pos="7230"/>
        </w:tabs>
        <w:jc w:val="left"/>
      </w:pPr>
    </w:p>
    <w:p w14:paraId="249867DD" w14:textId="4B1C21AC" w:rsidR="005C4308" w:rsidRPr="005C4308" w:rsidRDefault="005C4308" w:rsidP="005C4308">
      <w:pPr>
        <w:tabs>
          <w:tab w:val="center" w:pos="1701"/>
          <w:tab w:val="center" w:pos="7230"/>
        </w:tabs>
        <w:jc w:val="center"/>
      </w:pPr>
      <w:r>
        <w:rPr>
          <w:b/>
        </w:rPr>
        <w:t>__________</w:t>
      </w:r>
      <w:bookmarkEnd w:id="1"/>
    </w:p>
    <w:sectPr w:rsidR="005C4308" w:rsidRPr="005C4308" w:rsidSect="0020340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78A1D" w14:textId="77777777" w:rsidR="001E01D4" w:rsidRDefault="001E01D4" w:rsidP="00ED54E0">
      <w:r>
        <w:separator/>
      </w:r>
    </w:p>
  </w:endnote>
  <w:endnote w:type="continuationSeparator" w:id="0">
    <w:p w14:paraId="10B6986C" w14:textId="77777777" w:rsidR="001E01D4" w:rsidRDefault="001E01D4"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6241" w14:textId="77777777" w:rsidR="00203407" w:rsidRPr="001437DD" w:rsidRDefault="00203407" w:rsidP="001437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D876" w14:textId="77777777" w:rsidR="00203407" w:rsidRPr="001437DD" w:rsidRDefault="00203407" w:rsidP="001437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1235" w14:textId="77777777" w:rsidR="00203407" w:rsidRPr="001437DD" w:rsidRDefault="00203407" w:rsidP="001437D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B2F32" w14:textId="77777777" w:rsidR="001E01D4" w:rsidRDefault="001E01D4" w:rsidP="00ED54E0">
      <w:r>
        <w:separator/>
      </w:r>
    </w:p>
  </w:footnote>
  <w:footnote w:type="continuationSeparator" w:id="0">
    <w:p w14:paraId="3F8A21E2" w14:textId="77777777" w:rsidR="001E01D4" w:rsidRDefault="001E01D4" w:rsidP="00ED54E0">
      <w:r>
        <w:continuationSeparator/>
      </w:r>
    </w:p>
  </w:footnote>
  <w:footnote w:id="1">
    <w:p w14:paraId="2367DBB3" w14:textId="381049FE" w:rsidR="00596111" w:rsidRDefault="00596111" w:rsidP="00596111">
      <w:pPr>
        <w:pStyle w:val="FootnoteText"/>
      </w:pPr>
      <w:r>
        <w:rPr>
          <w:rStyle w:val="FootnoteReference"/>
        </w:rPr>
        <w:footnoteRef/>
      </w:r>
      <w:r>
        <w:t xml:space="preserve"> </w:t>
      </w:r>
      <w:r w:rsidRPr="008752DF">
        <w:t>WT/D</w:t>
      </w:r>
      <w:r>
        <w:t>S</w:t>
      </w:r>
      <w:r w:rsidR="00233045">
        <w:t>513</w:t>
      </w:r>
      <w:r w:rsidRPr="008752DF">
        <w:t>/R</w:t>
      </w:r>
      <w:r w:rsidRPr="004E1F73">
        <w:t>,</w:t>
      </w:r>
      <w:r>
        <w:t xml:space="preserve"> 31 October 2018</w:t>
      </w:r>
      <w:r w:rsidRPr="004E1F73">
        <w:t>.</w:t>
      </w:r>
    </w:p>
  </w:footnote>
  <w:footnote w:id="2">
    <w:p w14:paraId="40BD61A4" w14:textId="77037A73" w:rsidR="00596111" w:rsidRDefault="00596111" w:rsidP="00596111">
      <w:pPr>
        <w:pStyle w:val="FootnoteText"/>
      </w:pPr>
      <w:r>
        <w:rPr>
          <w:rStyle w:val="FootnoteReference"/>
        </w:rPr>
        <w:footnoteRef/>
      </w:r>
      <w:r>
        <w:t xml:space="preserve"> </w:t>
      </w:r>
      <w:r w:rsidRPr="008752DF">
        <w:t>Request for the Establishment of a Panel b</w:t>
      </w:r>
      <w:r>
        <w:t>y Turkey</w:t>
      </w:r>
      <w:r w:rsidRPr="008752DF">
        <w:t>, WT/D</w:t>
      </w:r>
      <w:r>
        <w:t>S513/2</w:t>
      </w:r>
      <w:r w:rsidRPr="008752DF">
        <w:t>.</w:t>
      </w:r>
    </w:p>
  </w:footnote>
  <w:footnote w:id="3">
    <w:p w14:paraId="6E02D6EA" w14:textId="342CB9DA" w:rsidR="000A72BE" w:rsidRDefault="000A72BE">
      <w:pPr>
        <w:pStyle w:val="FootnoteText"/>
      </w:pPr>
      <w:r>
        <w:rPr>
          <w:rStyle w:val="FootnoteReference"/>
        </w:rPr>
        <w:footnoteRef/>
      </w:r>
      <w:r>
        <w:t xml:space="preserve"> </w:t>
      </w:r>
      <w:r w:rsidR="002345AC">
        <w:t xml:space="preserve">Minutes of the </w:t>
      </w:r>
      <w:r>
        <w:t>Dispute Settlement Body (DSB)</w:t>
      </w:r>
      <w:r w:rsidR="002345AC">
        <w:t xml:space="preserve"> Meeting </w:t>
      </w:r>
      <w:r>
        <w:t>held on 20 February 2017, WT/DSB/M/392</w:t>
      </w:r>
      <w:r w:rsidR="002345AC">
        <w:t>, paras.</w:t>
      </w:r>
      <w:r w:rsidR="00114FBD">
        <w:t> </w:t>
      </w:r>
      <w:r w:rsidR="002345AC">
        <w:t>5.1-5.5</w:t>
      </w:r>
      <w:r>
        <w:t>.</w:t>
      </w:r>
    </w:p>
  </w:footnote>
  <w:footnote w:id="4">
    <w:p w14:paraId="5E88FFBA" w14:textId="734FF709" w:rsidR="00596111" w:rsidRDefault="00596111" w:rsidP="00596111">
      <w:pPr>
        <w:pStyle w:val="FootnoteText"/>
      </w:pPr>
      <w:r>
        <w:rPr>
          <w:rStyle w:val="FootnoteReference"/>
        </w:rPr>
        <w:footnoteRef/>
      </w:r>
      <w:r>
        <w:t xml:space="preserve"> Panel</w:t>
      </w:r>
      <w:r w:rsidR="00757920">
        <w:t> Report</w:t>
      </w:r>
      <w:r>
        <w:t>, para. 2.2.</w:t>
      </w:r>
    </w:p>
  </w:footnote>
  <w:footnote w:id="5">
    <w:p w14:paraId="4AC880D6" w14:textId="2F1BC485" w:rsidR="00596111" w:rsidRDefault="00596111" w:rsidP="00596111">
      <w:pPr>
        <w:pStyle w:val="FootnoteText"/>
      </w:pPr>
      <w:r>
        <w:rPr>
          <w:rStyle w:val="FootnoteReference"/>
        </w:rPr>
        <w:footnoteRef/>
      </w:r>
      <w:r>
        <w:t xml:space="preserve"> </w:t>
      </w:r>
      <w:r>
        <w:rPr>
          <w:lang w:val="en-US"/>
        </w:rPr>
        <w:t>Panel</w:t>
      </w:r>
      <w:r w:rsidR="00757920">
        <w:rPr>
          <w:lang w:val="en-US"/>
        </w:rPr>
        <w:t> Report</w:t>
      </w:r>
      <w:r>
        <w:rPr>
          <w:lang w:val="en-US"/>
        </w:rPr>
        <w:t>, para. 2.3.</w:t>
      </w:r>
    </w:p>
  </w:footnote>
  <w:footnote w:id="6">
    <w:p w14:paraId="51744FFA" w14:textId="3C413A28" w:rsidR="00596111" w:rsidRDefault="00596111" w:rsidP="00596111">
      <w:pPr>
        <w:pStyle w:val="FootnoteText"/>
      </w:pPr>
      <w:r>
        <w:rPr>
          <w:rStyle w:val="FootnoteReference"/>
        </w:rPr>
        <w:footnoteRef/>
      </w:r>
      <w:r>
        <w:t xml:space="preserve"> </w:t>
      </w:r>
      <w:r>
        <w:rPr>
          <w:lang w:val="en-US"/>
        </w:rPr>
        <w:t>Panel</w:t>
      </w:r>
      <w:r w:rsidR="00757920">
        <w:rPr>
          <w:lang w:val="en-US"/>
        </w:rPr>
        <w:t> Report</w:t>
      </w:r>
      <w:r>
        <w:rPr>
          <w:lang w:val="en-US"/>
        </w:rPr>
        <w:t>, para. 2.4.</w:t>
      </w:r>
    </w:p>
  </w:footnote>
  <w:footnote w:id="7">
    <w:p w14:paraId="4B184121" w14:textId="143768CD" w:rsidR="00596111" w:rsidRDefault="00596111" w:rsidP="00596111">
      <w:pPr>
        <w:pStyle w:val="FootnoteText"/>
      </w:pPr>
      <w:r>
        <w:rPr>
          <w:rStyle w:val="FootnoteReference"/>
        </w:rPr>
        <w:footnoteRef/>
      </w:r>
      <w:r>
        <w:t xml:space="preserve"> </w:t>
      </w:r>
      <w:r>
        <w:rPr>
          <w:lang w:val="en-US"/>
        </w:rPr>
        <w:t>Panel</w:t>
      </w:r>
      <w:r w:rsidR="00757920">
        <w:rPr>
          <w:lang w:val="en-US"/>
        </w:rPr>
        <w:t> Report</w:t>
      </w:r>
      <w:r>
        <w:rPr>
          <w:lang w:val="en-US"/>
        </w:rPr>
        <w:t>, para. 2.4.</w:t>
      </w:r>
    </w:p>
  </w:footnote>
  <w:footnote w:id="8">
    <w:p w14:paraId="0BA6C546" w14:textId="63F374CE" w:rsidR="00596111" w:rsidRDefault="00596111" w:rsidP="00596111">
      <w:pPr>
        <w:pStyle w:val="FootnoteText"/>
      </w:pPr>
      <w:r>
        <w:rPr>
          <w:rStyle w:val="FootnoteReference"/>
        </w:rPr>
        <w:footnoteRef/>
      </w:r>
      <w:r>
        <w:t xml:space="preserve"> Panel</w:t>
      </w:r>
      <w:r w:rsidR="00757920">
        <w:t> Report</w:t>
      </w:r>
      <w:r>
        <w:t>, para. 7.</w:t>
      </w:r>
      <w:r w:rsidR="00233045">
        <w:t>30</w:t>
      </w:r>
      <w:r>
        <w:t>.</w:t>
      </w:r>
    </w:p>
  </w:footnote>
  <w:footnote w:id="9">
    <w:p w14:paraId="30CC1922" w14:textId="2FEE0CCA" w:rsidR="00596111" w:rsidRDefault="00596111" w:rsidP="00596111">
      <w:pPr>
        <w:pStyle w:val="FootnoteText"/>
      </w:pPr>
      <w:r>
        <w:rPr>
          <w:rStyle w:val="FootnoteReference"/>
        </w:rPr>
        <w:footnoteRef/>
      </w:r>
      <w:r>
        <w:t xml:space="preserve"> Panel</w:t>
      </w:r>
      <w:r w:rsidR="00757920">
        <w:t> Report</w:t>
      </w:r>
      <w:r>
        <w:t>, para. 3.1.</w:t>
      </w:r>
    </w:p>
  </w:footnote>
  <w:footnote w:id="10">
    <w:p w14:paraId="4DDC4CA1" w14:textId="0D7FE08B" w:rsidR="00596111" w:rsidRDefault="00596111" w:rsidP="00596111">
      <w:pPr>
        <w:pStyle w:val="FootnoteText"/>
      </w:pPr>
      <w:r>
        <w:rPr>
          <w:rStyle w:val="FootnoteReference"/>
        </w:rPr>
        <w:footnoteRef/>
      </w:r>
      <w:r>
        <w:t xml:space="preserve"> Panel</w:t>
      </w:r>
      <w:r w:rsidR="00757920">
        <w:t> Report</w:t>
      </w:r>
      <w:r>
        <w:t>, para. 3.2.</w:t>
      </w:r>
    </w:p>
  </w:footnote>
  <w:footnote w:id="11">
    <w:p w14:paraId="05E13335" w14:textId="14B63A17" w:rsidR="00596111" w:rsidRDefault="00596111" w:rsidP="00596111">
      <w:pPr>
        <w:pStyle w:val="FootnoteText"/>
      </w:pPr>
      <w:r>
        <w:rPr>
          <w:rStyle w:val="FootnoteReference"/>
        </w:rPr>
        <w:footnoteRef/>
      </w:r>
      <w:r>
        <w:t xml:space="preserve"> Panel</w:t>
      </w:r>
      <w:r w:rsidR="00757920">
        <w:t> Report</w:t>
      </w:r>
      <w:r>
        <w:t>, para.</w:t>
      </w:r>
      <w:r w:rsidR="00757920">
        <w:t> </w:t>
      </w:r>
      <w:r>
        <w:t>8.1.</w:t>
      </w:r>
    </w:p>
  </w:footnote>
  <w:footnote w:id="12">
    <w:p w14:paraId="4FEB4120" w14:textId="0306F167" w:rsidR="00596111" w:rsidRDefault="00596111" w:rsidP="00596111">
      <w:pPr>
        <w:pStyle w:val="FootnoteText"/>
      </w:pPr>
      <w:r>
        <w:rPr>
          <w:rStyle w:val="FootnoteReference"/>
        </w:rPr>
        <w:footnoteRef/>
      </w:r>
      <w:r>
        <w:t xml:space="preserve"> Panel</w:t>
      </w:r>
      <w:r w:rsidR="00757920">
        <w:t> Report</w:t>
      </w:r>
      <w:r>
        <w:t>, para. 8.2.</w:t>
      </w:r>
    </w:p>
  </w:footnote>
  <w:footnote w:id="13">
    <w:p w14:paraId="1F25FB6C" w14:textId="24646335" w:rsidR="00596111" w:rsidRDefault="00596111" w:rsidP="00596111">
      <w:pPr>
        <w:pStyle w:val="FootnoteText"/>
      </w:pPr>
      <w:r>
        <w:rPr>
          <w:rStyle w:val="FootnoteReference"/>
        </w:rPr>
        <w:footnoteRef/>
      </w:r>
      <w:r>
        <w:t xml:space="preserve"> Panel</w:t>
      </w:r>
      <w:r w:rsidR="00757920">
        <w:t> Report</w:t>
      </w:r>
      <w:r>
        <w:t>, para. 8.3.</w:t>
      </w:r>
      <w:r w:rsidR="000A72BE">
        <w:t xml:space="preserve"> The McLellan report refers to "a pre</w:t>
      </w:r>
      <w:r w:rsidR="000A72BE">
        <w:noBreakHyphen/>
        <w:t>feasibility report … prepared for Maghreb Steel by McLellan and Partners Ltd., an independent consulting firm"</w:t>
      </w:r>
      <w:r w:rsidR="004C780D">
        <w:t>. (Panel</w:t>
      </w:r>
      <w:r w:rsidR="00114FBD">
        <w:t> Report</w:t>
      </w:r>
      <w:r w:rsidR="004C780D">
        <w:t>, para.</w:t>
      </w:r>
      <w:r w:rsidR="00114FBD">
        <w:t> </w:t>
      </w:r>
      <w:r w:rsidR="004C780D">
        <w:t>7.223)</w:t>
      </w:r>
    </w:p>
  </w:footnote>
  <w:footnote w:id="14">
    <w:p w14:paraId="4B5F806D" w14:textId="62A826B7" w:rsidR="00596111" w:rsidRDefault="00596111" w:rsidP="00596111">
      <w:pPr>
        <w:pStyle w:val="FootnoteText"/>
      </w:pPr>
      <w:r>
        <w:rPr>
          <w:rStyle w:val="FootnoteReference"/>
        </w:rPr>
        <w:footnoteRef/>
      </w:r>
      <w:r>
        <w:t xml:space="preserve"> Panel</w:t>
      </w:r>
      <w:r w:rsidR="00757920">
        <w:t> Report</w:t>
      </w:r>
      <w:r>
        <w:t>, para. 8.4.</w:t>
      </w:r>
    </w:p>
  </w:footnote>
  <w:footnote w:id="15">
    <w:p w14:paraId="466C4733" w14:textId="58EEEF44" w:rsidR="00596111" w:rsidRDefault="00596111" w:rsidP="00596111">
      <w:pPr>
        <w:pStyle w:val="FootnoteText"/>
      </w:pPr>
      <w:r>
        <w:rPr>
          <w:rStyle w:val="FootnoteReference"/>
        </w:rPr>
        <w:footnoteRef/>
      </w:r>
      <w:r>
        <w:t xml:space="preserve"> Panel</w:t>
      </w:r>
      <w:r w:rsidR="00757920">
        <w:t> Report</w:t>
      </w:r>
      <w:r>
        <w:t>, para. 8.5.</w:t>
      </w:r>
    </w:p>
  </w:footnote>
  <w:footnote w:id="16">
    <w:p w14:paraId="0DB327DC" w14:textId="20923030" w:rsidR="00233045" w:rsidRDefault="00233045">
      <w:pPr>
        <w:pStyle w:val="FootnoteText"/>
      </w:pPr>
      <w:r>
        <w:rPr>
          <w:rStyle w:val="FootnoteReference"/>
        </w:rPr>
        <w:footnoteRef/>
      </w:r>
      <w:r>
        <w:t xml:space="preserve"> Panel Report, para. 8.7.</w:t>
      </w:r>
    </w:p>
  </w:footnote>
  <w:footnote w:id="17">
    <w:p w14:paraId="079886B0" w14:textId="45BCB65E" w:rsidR="00596111" w:rsidRDefault="00596111" w:rsidP="00596111">
      <w:pPr>
        <w:pStyle w:val="FootnoteText"/>
      </w:pPr>
      <w:r>
        <w:rPr>
          <w:rStyle w:val="FootnoteReference"/>
        </w:rPr>
        <w:footnoteRef/>
      </w:r>
      <w:r>
        <w:t xml:space="preserve"> Panel</w:t>
      </w:r>
      <w:r w:rsidR="00757920">
        <w:t> Report</w:t>
      </w:r>
      <w:r>
        <w:t xml:space="preserve">, para. 8.8. See also </w:t>
      </w:r>
      <w:r w:rsidRPr="0073351F">
        <w:t>para</w:t>
      </w:r>
      <w:r>
        <w:t>. 1.</w:t>
      </w:r>
      <w:r w:rsidR="00F063DE">
        <w:t>4</w:t>
      </w:r>
      <w:r w:rsidR="0073351F">
        <w:t xml:space="preserve"> above</w:t>
      </w:r>
      <w:r>
        <w:t>.</w:t>
      </w:r>
    </w:p>
  </w:footnote>
  <w:footnote w:id="18">
    <w:p w14:paraId="1BBE8FFF" w14:textId="42407450" w:rsidR="00596111" w:rsidRDefault="00596111" w:rsidP="00596111">
      <w:pPr>
        <w:pStyle w:val="FootnoteText"/>
      </w:pPr>
      <w:r>
        <w:rPr>
          <w:rStyle w:val="FootnoteReference"/>
        </w:rPr>
        <w:footnoteRef/>
      </w:r>
      <w:r>
        <w:t xml:space="preserve"> Panel</w:t>
      </w:r>
      <w:r w:rsidR="00757920">
        <w:t> Report</w:t>
      </w:r>
      <w:r>
        <w:t>, para. 8.9 (referring to Panel</w:t>
      </w:r>
      <w:r w:rsidR="00757920">
        <w:t> Report</w:t>
      </w:r>
      <w:r>
        <w:t xml:space="preserve">, </w:t>
      </w:r>
      <w:r>
        <w:rPr>
          <w:i/>
        </w:rPr>
        <w:t>US – Stainless Steel (Korea)</w:t>
      </w:r>
      <w:r w:rsidRPr="006E2305">
        <w:t>,</w:t>
      </w:r>
      <w:r>
        <w:rPr>
          <w:i/>
        </w:rPr>
        <w:t xml:space="preserve"> </w:t>
      </w:r>
      <w:r>
        <w:t>para. 7.9).</w:t>
      </w:r>
    </w:p>
  </w:footnote>
  <w:footnote w:id="19">
    <w:p w14:paraId="1208E16B" w14:textId="4E11C8F1" w:rsidR="00596111" w:rsidRDefault="00596111" w:rsidP="00596111">
      <w:pPr>
        <w:pStyle w:val="FootnoteText"/>
      </w:pPr>
      <w:r>
        <w:rPr>
          <w:rStyle w:val="FootnoteReference"/>
        </w:rPr>
        <w:footnoteRef/>
      </w:r>
      <w:r>
        <w:t xml:space="preserve"> Panel</w:t>
      </w:r>
      <w:r w:rsidR="00757920">
        <w:t> Report</w:t>
      </w:r>
      <w:r>
        <w:t xml:space="preserve">, para. 8.9 (referring to </w:t>
      </w:r>
      <w:r w:rsidRPr="001D355C">
        <w:t>Panel</w:t>
      </w:r>
      <w:r w:rsidR="00757920">
        <w:t> Report</w:t>
      </w:r>
      <w:r w:rsidRPr="001D355C">
        <w:t xml:space="preserve">s, </w:t>
      </w:r>
      <w:r w:rsidRPr="001D355C">
        <w:rPr>
          <w:i/>
        </w:rPr>
        <w:t>US – Shrimp II (Viet</w:t>
      </w:r>
      <w:r w:rsidR="00757920">
        <w:rPr>
          <w:i/>
        </w:rPr>
        <w:t> Nam</w:t>
      </w:r>
      <w:r w:rsidRPr="001D355C">
        <w:rPr>
          <w:i/>
        </w:rPr>
        <w:t>)</w:t>
      </w:r>
      <w:r w:rsidRPr="001D355C">
        <w:t>, para.</w:t>
      </w:r>
      <w:r w:rsidR="00757920">
        <w:t> </w:t>
      </w:r>
      <w:r w:rsidRPr="001D355C">
        <w:t xml:space="preserve">8.6; </w:t>
      </w:r>
      <w:r>
        <w:br/>
      </w:r>
      <w:r w:rsidRPr="001D355C">
        <w:rPr>
          <w:i/>
        </w:rPr>
        <w:t>EC – Fasteners (China)</w:t>
      </w:r>
      <w:r w:rsidRPr="001D355C">
        <w:t>, para.</w:t>
      </w:r>
      <w:r>
        <w:t> </w:t>
      </w:r>
      <w:r w:rsidRPr="001D355C">
        <w:t xml:space="preserve">8.8; </w:t>
      </w:r>
      <w:r w:rsidRPr="001D355C">
        <w:rPr>
          <w:i/>
        </w:rPr>
        <w:t>US – Hot-Rolled Steel</w:t>
      </w:r>
      <w:r w:rsidRPr="001D355C">
        <w:t>, para.</w:t>
      </w:r>
      <w:r>
        <w:t> </w:t>
      </w:r>
      <w:r w:rsidRPr="001D355C">
        <w:t>8.11</w:t>
      </w:r>
      <w:r>
        <w:t>).</w:t>
      </w:r>
    </w:p>
  </w:footnote>
  <w:footnote w:id="20">
    <w:p w14:paraId="247E51FA" w14:textId="2B990123" w:rsidR="00596111" w:rsidRDefault="00596111" w:rsidP="00596111">
      <w:pPr>
        <w:pStyle w:val="FootnoteText"/>
      </w:pPr>
      <w:r>
        <w:rPr>
          <w:rStyle w:val="FootnoteReference"/>
        </w:rPr>
        <w:footnoteRef/>
      </w:r>
      <w:r>
        <w:t xml:space="preserve"> Panel</w:t>
      </w:r>
      <w:r w:rsidR="00757920">
        <w:t> Report</w:t>
      </w:r>
      <w:r>
        <w:t>, para. 8.9.</w:t>
      </w:r>
    </w:p>
  </w:footnote>
  <w:footnote w:id="21">
    <w:p w14:paraId="71100983" w14:textId="1D21A36A" w:rsidR="00596111" w:rsidRDefault="00596111" w:rsidP="00596111">
      <w:pPr>
        <w:pStyle w:val="FootnoteText"/>
      </w:pPr>
      <w:r>
        <w:rPr>
          <w:rStyle w:val="FootnoteReference"/>
        </w:rPr>
        <w:footnoteRef/>
      </w:r>
      <w:r>
        <w:t xml:space="preserve"> </w:t>
      </w:r>
      <w:r w:rsidRPr="008752DF">
        <w:t>WT/D</w:t>
      </w:r>
      <w:r>
        <w:t>S513</w:t>
      </w:r>
      <w:r w:rsidRPr="008752DF">
        <w:t>/</w:t>
      </w:r>
      <w:r>
        <w:t xml:space="preserve">5 </w:t>
      </w:r>
      <w:r w:rsidRPr="004E1F73">
        <w:rPr>
          <w:szCs w:val="16"/>
        </w:rPr>
        <w:t>(</w:t>
      </w:r>
      <w:r>
        <w:t xml:space="preserve">contained in </w:t>
      </w:r>
      <w:r w:rsidRPr="00B55651">
        <w:t xml:space="preserve">Annex </w:t>
      </w:r>
      <w:r>
        <w:t>A-</w:t>
      </w:r>
      <w:r w:rsidRPr="00B55651">
        <w:t>1</w:t>
      </w:r>
      <w:r w:rsidRPr="004E1F73">
        <w:t xml:space="preserve"> </w:t>
      </w:r>
      <w:r>
        <w:t xml:space="preserve">of the Addendum </w:t>
      </w:r>
      <w:r w:rsidRPr="004E1F73">
        <w:t>to this Report</w:t>
      </w:r>
      <w:r>
        <w:t>, WT/DS513/AB/R/Add.1</w:t>
      </w:r>
      <w:r w:rsidRPr="004E1F73">
        <w:rPr>
          <w:szCs w:val="16"/>
        </w:rPr>
        <w:t>).</w:t>
      </w:r>
    </w:p>
  </w:footnote>
  <w:footnote w:id="22">
    <w:p w14:paraId="386E57BB" w14:textId="24BCE77A" w:rsidR="00596111" w:rsidRDefault="00596111" w:rsidP="00596111">
      <w:pPr>
        <w:pStyle w:val="FootnoteText"/>
      </w:pPr>
      <w:r>
        <w:rPr>
          <w:rStyle w:val="FootnoteReference"/>
        </w:rPr>
        <w:footnoteRef/>
      </w:r>
      <w:r>
        <w:t xml:space="preserve"> </w:t>
      </w:r>
      <w:r w:rsidRPr="008752DF">
        <w:t>WT/</w:t>
      </w:r>
      <w:r>
        <w:t>AB/WP/6</w:t>
      </w:r>
      <w:r w:rsidRPr="004E1F73">
        <w:t>, 16 August 2010.</w:t>
      </w:r>
    </w:p>
  </w:footnote>
  <w:footnote w:id="23">
    <w:p w14:paraId="738B6C76" w14:textId="45826D20" w:rsidR="00596111" w:rsidRDefault="00596111" w:rsidP="00596111">
      <w:pPr>
        <w:pStyle w:val="FootnoteText"/>
      </w:pPr>
      <w:r>
        <w:rPr>
          <w:rStyle w:val="FootnoteReference"/>
        </w:rPr>
        <w:footnoteRef/>
      </w:r>
      <w:r>
        <w:t xml:space="preserve"> </w:t>
      </w:r>
      <w:r w:rsidRPr="004E1F73">
        <w:t>Pursuant to</w:t>
      </w:r>
      <w:r>
        <w:t xml:space="preserve"> Rule 22</w:t>
      </w:r>
      <w:r w:rsidRPr="004E1F73">
        <w:t xml:space="preserve"> of the Working Procedures.</w:t>
      </w:r>
    </w:p>
  </w:footnote>
  <w:footnote w:id="24">
    <w:p w14:paraId="6D8B66CE" w14:textId="7AD6585E" w:rsidR="00596111" w:rsidRDefault="00596111" w:rsidP="00596111">
      <w:pPr>
        <w:pStyle w:val="FootnoteText"/>
      </w:pPr>
      <w:r>
        <w:rPr>
          <w:rStyle w:val="FootnoteReference"/>
        </w:rPr>
        <w:footnoteRef/>
      </w:r>
      <w:r>
        <w:t xml:space="preserve"> </w:t>
      </w:r>
      <w:r w:rsidRPr="004E1F73">
        <w:t>Pursuant to Rule 24(1) of the Working Procedures.</w:t>
      </w:r>
    </w:p>
  </w:footnote>
  <w:footnote w:id="25">
    <w:p w14:paraId="05F37FFB" w14:textId="3FDEBF60" w:rsidR="00596111" w:rsidRDefault="00596111" w:rsidP="00596111">
      <w:pPr>
        <w:pStyle w:val="FootnoteText"/>
      </w:pPr>
      <w:r>
        <w:rPr>
          <w:rStyle w:val="FootnoteReference"/>
        </w:rPr>
        <w:footnoteRef/>
      </w:r>
      <w:r>
        <w:t xml:space="preserve"> </w:t>
      </w:r>
      <w:r w:rsidRPr="004E1F73">
        <w:t xml:space="preserve">Pursuant to Rule 24(2) </w:t>
      </w:r>
      <w:r w:rsidR="00233045">
        <w:t xml:space="preserve">and Rule 24(4) </w:t>
      </w:r>
      <w:r w:rsidRPr="004E1F73">
        <w:t>of the Working Procedures.</w:t>
      </w:r>
    </w:p>
  </w:footnote>
  <w:footnote w:id="26">
    <w:p w14:paraId="4F044769" w14:textId="273D0B77" w:rsidR="00596111" w:rsidRDefault="00596111" w:rsidP="00596111">
      <w:pPr>
        <w:pStyle w:val="FootnoteText"/>
      </w:pPr>
      <w:r>
        <w:rPr>
          <w:rStyle w:val="FootnoteReference"/>
        </w:rPr>
        <w:footnoteRef/>
      </w:r>
      <w:r>
        <w:t xml:space="preserve"> </w:t>
      </w:r>
      <w:r w:rsidRPr="00FB685D">
        <w:t>Pursuant to the Appellate Body's communication on "Executive Summaries of Written Submissions in Appellate Proceedings" and "Guidelines in Respect of Executive Summaries of Written Submissions in Appellate Proceedings" (WT/AB/23, 11 March 2015).</w:t>
      </w:r>
    </w:p>
  </w:footnote>
  <w:footnote w:id="27">
    <w:p w14:paraId="3CDEF78F" w14:textId="6C7940C2" w:rsidR="00596111" w:rsidRDefault="00596111" w:rsidP="00596111">
      <w:pPr>
        <w:pStyle w:val="FootnoteText"/>
      </w:pPr>
      <w:r>
        <w:rPr>
          <w:rStyle w:val="FootnoteReference"/>
        </w:rPr>
        <w:footnoteRef/>
      </w:r>
      <w:r>
        <w:t xml:space="preserve"> </w:t>
      </w:r>
      <w:r w:rsidRPr="00FB685D">
        <w:t>WT/DS5</w:t>
      </w:r>
      <w:r>
        <w:t>13</w:t>
      </w:r>
      <w:r w:rsidRPr="00FB685D">
        <w:t>/</w:t>
      </w:r>
      <w:r>
        <w:t>6</w:t>
      </w:r>
      <w:r w:rsidRPr="00FB685D">
        <w:t xml:space="preserve">. </w:t>
      </w:r>
      <w:r w:rsidRPr="00FB685D">
        <w:rPr>
          <w:szCs w:val="16"/>
        </w:rPr>
        <w:t xml:space="preserve">The </w:t>
      </w:r>
      <w:r>
        <w:t>Chair of the Appellate</w:t>
      </w:r>
      <w:r w:rsidR="00757920">
        <w:t> Body</w:t>
      </w:r>
      <w:r>
        <w:t xml:space="preserve"> referred to the size of the Panel record and the complex issues appealed, and further noted the backlog of appeals pending with the Appellate</w:t>
      </w:r>
      <w:r w:rsidR="00757920">
        <w:t> Body</w:t>
      </w:r>
      <w:r>
        <w:t>, the fact that all Appellate</w:t>
      </w:r>
      <w:r w:rsidR="00757920">
        <w:t> Body</w:t>
      </w:r>
      <w:r>
        <w:t xml:space="preserve"> Divisions in the appeals filed since 1 October 2018 were composed of the same three remaining Appellate</w:t>
      </w:r>
      <w:r w:rsidR="00757920">
        <w:t> Body</w:t>
      </w:r>
      <w:r>
        <w:t xml:space="preserve"> Members, and that it would not be possible to staff this appeal for some time. </w:t>
      </w:r>
      <w:r w:rsidRPr="00FB685D">
        <w:t>(Ibid.)</w:t>
      </w:r>
    </w:p>
  </w:footnote>
  <w:footnote w:id="28">
    <w:p w14:paraId="3B2C193D" w14:textId="36F04258" w:rsidR="00596111" w:rsidRDefault="00596111" w:rsidP="00596111">
      <w:pPr>
        <w:pStyle w:val="FootnoteText"/>
      </w:pPr>
      <w:r>
        <w:rPr>
          <w:rStyle w:val="FootnoteReference"/>
        </w:rPr>
        <w:footnoteRef/>
      </w:r>
      <w:r>
        <w:t xml:space="preserve"> </w:t>
      </w:r>
      <w:r w:rsidRPr="005C4308">
        <w:t xml:space="preserve">WT/DS513/7, dated </w:t>
      </w:r>
      <w:r w:rsidR="00045F1B">
        <w:t>5</w:t>
      </w:r>
      <w:r w:rsidR="00757920">
        <w:t> </w:t>
      </w:r>
      <w:r w:rsidRPr="005C4308">
        <w:t>December</w:t>
      </w:r>
      <w:r w:rsidR="00757920">
        <w:t> </w:t>
      </w:r>
      <w:r w:rsidRPr="005C4308">
        <w:t>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5161" w14:textId="77777777" w:rsidR="005C4308" w:rsidRDefault="005C4308" w:rsidP="005C4308">
    <w:pPr>
      <w:pStyle w:val="Header"/>
      <w:pBdr>
        <w:bottom w:val="single" w:sz="4" w:space="1" w:color="auto"/>
      </w:pBdr>
      <w:tabs>
        <w:tab w:val="clear" w:pos="4513"/>
        <w:tab w:val="clear" w:pos="9027"/>
      </w:tabs>
      <w:jc w:val="center"/>
    </w:pPr>
    <w:r w:rsidRPr="00782393">
      <w:t>WT/DS513/AB/R</w:t>
    </w:r>
  </w:p>
  <w:p w14:paraId="6316C31D" w14:textId="1ED6806F" w:rsidR="005C4308" w:rsidRPr="00782393" w:rsidRDefault="009219E6" w:rsidP="005C4308">
    <w:pPr>
      <w:pStyle w:val="Header"/>
      <w:pBdr>
        <w:bottom w:val="single" w:sz="4" w:space="1" w:color="auto"/>
      </w:pBdr>
      <w:tabs>
        <w:tab w:val="clear" w:pos="4513"/>
        <w:tab w:val="clear" w:pos="9027"/>
      </w:tabs>
      <w:jc w:val="center"/>
    </w:pPr>
    <w:r>
      <w:t>[</w:t>
    </w:r>
    <w:r w:rsidR="005C4308">
      <w:t xml:space="preserve">BCI </w:t>
    </w:r>
    <w:r w:rsidR="00C519CB">
      <w:t>redacted</w:t>
    </w:r>
    <w:r w:rsidR="005C4308">
      <w:t xml:space="preserve">, as indicated </w:t>
    </w:r>
    <w:r w:rsidR="005C4308" w:rsidRPr="00944C49">
      <w:rPr>
        <w:b/>
      </w:rPr>
      <w:t>[</w:t>
    </w:r>
    <w:r w:rsidR="00C519CB" w:rsidRPr="00944C49">
      <w:rPr>
        <w:b/>
      </w:rPr>
      <w:t>BCI</w:t>
    </w:r>
    <w:r w:rsidR="005C4308" w:rsidRPr="00944C49">
      <w:rPr>
        <w:b/>
      </w:rPr>
      <w:t>]</w:t>
    </w:r>
    <w:r w:rsidRPr="00944C49">
      <w:t>]</w:t>
    </w:r>
  </w:p>
  <w:p w14:paraId="7B48174F" w14:textId="77777777" w:rsidR="005C4308" w:rsidRPr="00782393" w:rsidRDefault="005C4308" w:rsidP="005C4308">
    <w:pPr>
      <w:pStyle w:val="Header"/>
      <w:pBdr>
        <w:bottom w:val="single" w:sz="4" w:space="1" w:color="auto"/>
      </w:pBdr>
      <w:tabs>
        <w:tab w:val="clear" w:pos="4513"/>
        <w:tab w:val="clear" w:pos="9027"/>
      </w:tabs>
      <w:jc w:val="center"/>
    </w:pPr>
  </w:p>
  <w:p w14:paraId="17B3217F" w14:textId="77777777" w:rsidR="005C4308" w:rsidRPr="00782393" w:rsidRDefault="005C4308" w:rsidP="005C4308">
    <w:pPr>
      <w:pStyle w:val="Header"/>
      <w:pBdr>
        <w:bottom w:val="single" w:sz="4" w:space="1" w:color="auto"/>
      </w:pBdr>
      <w:tabs>
        <w:tab w:val="clear" w:pos="4513"/>
        <w:tab w:val="clear" w:pos="9027"/>
      </w:tabs>
      <w:jc w:val="center"/>
    </w:pPr>
    <w:r w:rsidRPr="00782393">
      <w:t xml:space="preserve">- </w:t>
    </w:r>
    <w:r w:rsidRPr="00782393">
      <w:fldChar w:fldCharType="begin"/>
    </w:r>
    <w:r w:rsidRPr="00782393">
      <w:instrText xml:space="preserve"> PAGE </w:instrText>
    </w:r>
    <w:r w:rsidRPr="00782393">
      <w:fldChar w:fldCharType="separate"/>
    </w:r>
    <w:r>
      <w:t>6</w:t>
    </w:r>
    <w:r w:rsidRPr="00782393">
      <w:fldChar w:fldCharType="end"/>
    </w:r>
    <w:r w:rsidRPr="00782393">
      <w:t xml:space="preserve"> -</w:t>
    </w:r>
  </w:p>
  <w:p w14:paraId="4E18B8E9" w14:textId="77777777" w:rsidR="005C4308" w:rsidRPr="00782393" w:rsidRDefault="005C4308" w:rsidP="005C43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3EEF" w14:textId="77777777" w:rsidR="005C4308" w:rsidRDefault="005C4308" w:rsidP="005C4308">
    <w:pPr>
      <w:pStyle w:val="Header"/>
      <w:pBdr>
        <w:bottom w:val="single" w:sz="4" w:space="1" w:color="auto"/>
      </w:pBdr>
      <w:tabs>
        <w:tab w:val="clear" w:pos="4513"/>
        <w:tab w:val="clear" w:pos="9027"/>
      </w:tabs>
      <w:jc w:val="center"/>
    </w:pPr>
    <w:r w:rsidRPr="00782393">
      <w:t>WT/DS513/AB/R</w:t>
    </w:r>
  </w:p>
  <w:p w14:paraId="58953F0C" w14:textId="049A0195" w:rsidR="005C4308" w:rsidRPr="00782393" w:rsidRDefault="00987777" w:rsidP="005C4308">
    <w:pPr>
      <w:pStyle w:val="Header"/>
      <w:pBdr>
        <w:bottom w:val="single" w:sz="4" w:space="1" w:color="auto"/>
      </w:pBdr>
      <w:tabs>
        <w:tab w:val="clear" w:pos="4513"/>
        <w:tab w:val="clear" w:pos="9027"/>
      </w:tabs>
      <w:jc w:val="center"/>
    </w:pPr>
    <w:r>
      <w:t>[</w:t>
    </w:r>
    <w:r w:rsidR="005C4308">
      <w:t xml:space="preserve">BCI </w:t>
    </w:r>
    <w:r w:rsidR="00C519CB">
      <w:t>redacted</w:t>
    </w:r>
    <w:r w:rsidR="005C4308">
      <w:t xml:space="preserve">, as indicated </w:t>
    </w:r>
    <w:r w:rsidR="00C519CB" w:rsidRPr="00BA1E4A">
      <w:rPr>
        <w:b/>
      </w:rPr>
      <w:t>[BCI]</w:t>
    </w:r>
    <w:r>
      <w:t>]</w:t>
    </w:r>
  </w:p>
  <w:p w14:paraId="70A0A299" w14:textId="77777777" w:rsidR="005C4308" w:rsidRPr="00782393" w:rsidRDefault="005C4308" w:rsidP="005C4308">
    <w:pPr>
      <w:pStyle w:val="Header"/>
      <w:pBdr>
        <w:bottom w:val="single" w:sz="4" w:space="1" w:color="auto"/>
      </w:pBdr>
      <w:tabs>
        <w:tab w:val="clear" w:pos="4513"/>
        <w:tab w:val="clear" w:pos="9027"/>
      </w:tabs>
      <w:jc w:val="center"/>
    </w:pPr>
  </w:p>
  <w:p w14:paraId="5D8AAF5B" w14:textId="77777777" w:rsidR="005C4308" w:rsidRPr="00782393" w:rsidRDefault="005C4308" w:rsidP="005C4308">
    <w:pPr>
      <w:pStyle w:val="Header"/>
      <w:pBdr>
        <w:bottom w:val="single" w:sz="4" w:space="1" w:color="auto"/>
      </w:pBdr>
      <w:tabs>
        <w:tab w:val="clear" w:pos="4513"/>
        <w:tab w:val="clear" w:pos="9027"/>
      </w:tabs>
      <w:jc w:val="center"/>
    </w:pPr>
    <w:r w:rsidRPr="00782393">
      <w:t xml:space="preserve">- </w:t>
    </w:r>
    <w:r w:rsidRPr="00782393">
      <w:fldChar w:fldCharType="begin"/>
    </w:r>
    <w:r w:rsidRPr="00782393">
      <w:instrText xml:space="preserve"> PAGE </w:instrText>
    </w:r>
    <w:r w:rsidRPr="00782393">
      <w:fldChar w:fldCharType="separate"/>
    </w:r>
    <w:r>
      <w:t>6</w:t>
    </w:r>
    <w:r w:rsidRPr="00782393">
      <w:fldChar w:fldCharType="end"/>
    </w:r>
    <w:r w:rsidRPr="00782393">
      <w:t xml:space="preserve"> -</w:t>
    </w:r>
  </w:p>
  <w:p w14:paraId="2C7625EE" w14:textId="77777777" w:rsidR="005C4308" w:rsidRPr="00782393" w:rsidRDefault="005C4308" w:rsidP="005C43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4308" w:rsidRPr="00EF273A" w14:paraId="3EADF427" w14:textId="77777777" w:rsidTr="003567F9">
      <w:trPr>
        <w:trHeight w:val="240"/>
        <w:jc w:val="center"/>
      </w:trPr>
      <w:tc>
        <w:tcPr>
          <w:tcW w:w="3794" w:type="dxa"/>
          <w:shd w:val="clear" w:color="auto" w:fill="FFFFFF"/>
          <w:tcMar>
            <w:left w:w="108" w:type="dxa"/>
            <w:right w:w="108" w:type="dxa"/>
          </w:tcMar>
          <w:vAlign w:val="center"/>
        </w:tcPr>
        <w:p w14:paraId="423ADD03" w14:textId="77777777" w:rsidR="005C4308" w:rsidRPr="00EF273A" w:rsidRDefault="005C4308" w:rsidP="005C4308">
          <w:pPr>
            <w:rPr>
              <w:noProof/>
              <w:lang w:eastAsia="en-GB"/>
            </w:rPr>
          </w:pPr>
        </w:p>
      </w:tc>
      <w:tc>
        <w:tcPr>
          <w:tcW w:w="5448" w:type="dxa"/>
          <w:gridSpan w:val="2"/>
          <w:shd w:val="clear" w:color="auto" w:fill="FFFFFF"/>
          <w:tcMar>
            <w:left w:w="108" w:type="dxa"/>
            <w:right w:w="108" w:type="dxa"/>
          </w:tcMar>
          <w:vAlign w:val="center"/>
        </w:tcPr>
        <w:p w14:paraId="673D8897" w14:textId="77777777" w:rsidR="005C4308" w:rsidRPr="00EF273A" w:rsidRDefault="005C4308" w:rsidP="005C4308">
          <w:pPr>
            <w:jc w:val="right"/>
            <w:rPr>
              <w:b/>
              <w:color w:val="FF0000"/>
              <w:szCs w:val="16"/>
            </w:rPr>
          </w:pPr>
        </w:p>
      </w:tc>
    </w:tr>
    <w:tr w:rsidR="005C4308" w:rsidRPr="00EF273A" w14:paraId="19D8B853" w14:textId="77777777" w:rsidTr="003567F9">
      <w:trPr>
        <w:trHeight w:val="213"/>
        <w:jc w:val="center"/>
      </w:trPr>
      <w:tc>
        <w:tcPr>
          <w:tcW w:w="3794" w:type="dxa"/>
          <w:vMerge w:val="restart"/>
          <w:shd w:val="clear" w:color="auto" w:fill="FFFFFF"/>
          <w:tcMar>
            <w:left w:w="0" w:type="dxa"/>
            <w:right w:w="0" w:type="dxa"/>
          </w:tcMar>
        </w:tcPr>
        <w:p w14:paraId="327C5A34" w14:textId="77777777" w:rsidR="005C4308" w:rsidRPr="00EF273A" w:rsidRDefault="005C4308" w:rsidP="005C4308">
          <w:pPr>
            <w:jc w:val="left"/>
          </w:pPr>
          <w:r>
            <w:rPr>
              <w:noProof/>
              <w:lang w:eastAsia="en-GB"/>
            </w:rPr>
            <w:drawing>
              <wp:inline distT="0" distB="0" distL="0" distR="0" wp14:anchorId="6888D2F8" wp14:editId="64125A25">
                <wp:extent cx="24003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9D5527" w14:textId="77777777" w:rsidR="005C4308" w:rsidRPr="00EF273A" w:rsidRDefault="005C4308" w:rsidP="005C4308">
          <w:pPr>
            <w:jc w:val="right"/>
            <w:rPr>
              <w:b/>
              <w:szCs w:val="16"/>
            </w:rPr>
          </w:pPr>
        </w:p>
      </w:tc>
    </w:tr>
    <w:tr w:rsidR="005C4308" w:rsidRPr="00EF273A" w14:paraId="536D1717" w14:textId="77777777" w:rsidTr="003567F9">
      <w:trPr>
        <w:trHeight w:val="868"/>
        <w:jc w:val="center"/>
      </w:trPr>
      <w:tc>
        <w:tcPr>
          <w:tcW w:w="3794" w:type="dxa"/>
          <w:vMerge/>
          <w:shd w:val="clear" w:color="auto" w:fill="FFFFFF"/>
          <w:tcMar>
            <w:left w:w="108" w:type="dxa"/>
            <w:right w:w="108" w:type="dxa"/>
          </w:tcMar>
        </w:tcPr>
        <w:p w14:paraId="2A2404FF" w14:textId="77777777" w:rsidR="005C4308" w:rsidRPr="00EF273A" w:rsidRDefault="005C4308" w:rsidP="005C4308">
          <w:pPr>
            <w:jc w:val="left"/>
            <w:rPr>
              <w:noProof/>
              <w:lang w:eastAsia="en-GB"/>
            </w:rPr>
          </w:pPr>
        </w:p>
      </w:tc>
      <w:tc>
        <w:tcPr>
          <w:tcW w:w="5448" w:type="dxa"/>
          <w:gridSpan w:val="2"/>
          <w:shd w:val="clear" w:color="auto" w:fill="FFFFFF"/>
          <w:tcMar>
            <w:left w:w="108" w:type="dxa"/>
            <w:right w:w="108" w:type="dxa"/>
          </w:tcMar>
        </w:tcPr>
        <w:p w14:paraId="42E070FF" w14:textId="77777777" w:rsidR="005C4308" w:rsidRDefault="005C4308" w:rsidP="005C4308">
          <w:pPr>
            <w:jc w:val="right"/>
            <w:rPr>
              <w:b/>
              <w:szCs w:val="16"/>
            </w:rPr>
          </w:pPr>
          <w:r>
            <w:rPr>
              <w:b/>
              <w:szCs w:val="16"/>
            </w:rPr>
            <w:t>WT/DS513/AB/R</w:t>
          </w:r>
        </w:p>
        <w:p w14:paraId="375BAF9E" w14:textId="77777777" w:rsidR="005C4308" w:rsidRPr="00EF273A" w:rsidRDefault="005C4308" w:rsidP="005C4308">
          <w:pPr>
            <w:jc w:val="right"/>
            <w:rPr>
              <w:b/>
              <w:szCs w:val="16"/>
            </w:rPr>
          </w:pPr>
        </w:p>
      </w:tc>
    </w:tr>
    <w:tr w:rsidR="005C4308" w:rsidRPr="00EF273A" w14:paraId="25903E47" w14:textId="77777777" w:rsidTr="003567F9">
      <w:trPr>
        <w:trHeight w:val="240"/>
        <w:jc w:val="center"/>
      </w:trPr>
      <w:tc>
        <w:tcPr>
          <w:tcW w:w="3794" w:type="dxa"/>
          <w:vMerge/>
          <w:shd w:val="clear" w:color="auto" w:fill="FFFFFF"/>
          <w:tcMar>
            <w:left w:w="108" w:type="dxa"/>
            <w:right w:w="108" w:type="dxa"/>
          </w:tcMar>
          <w:vAlign w:val="center"/>
        </w:tcPr>
        <w:p w14:paraId="1B1BAD44" w14:textId="77777777" w:rsidR="005C4308" w:rsidRPr="00EF273A" w:rsidRDefault="005C4308" w:rsidP="005C4308"/>
      </w:tc>
      <w:tc>
        <w:tcPr>
          <w:tcW w:w="5448" w:type="dxa"/>
          <w:gridSpan w:val="2"/>
          <w:shd w:val="clear" w:color="auto" w:fill="FFFFFF"/>
          <w:tcMar>
            <w:left w:w="108" w:type="dxa"/>
            <w:right w:w="108" w:type="dxa"/>
          </w:tcMar>
          <w:vAlign w:val="center"/>
        </w:tcPr>
        <w:p w14:paraId="0FD2D05D" w14:textId="2D358B84" w:rsidR="005C4308" w:rsidRPr="00EF273A" w:rsidRDefault="00224AE9" w:rsidP="005C4308">
          <w:pPr>
            <w:jc w:val="right"/>
            <w:rPr>
              <w:szCs w:val="16"/>
            </w:rPr>
          </w:pPr>
          <w:r>
            <w:rPr>
              <w:szCs w:val="16"/>
            </w:rPr>
            <w:t>10</w:t>
          </w:r>
          <w:r w:rsidR="005C4308">
            <w:rPr>
              <w:szCs w:val="16"/>
            </w:rPr>
            <w:t xml:space="preserve"> December 2019</w:t>
          </w:r>
        </w:p>
      </w:tc>
    </w:tr>
    <w:tr w:rsidR="005C4308" w:rsidRPr="00EF273A" w14:paraId="0315A1B8" w14:textId="77777777" w:rsidTr="003567F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B1F001" w14:textId="4A01A691" w:rsidR="005C4308" w:rsidRPr="00EF273A" w:rsidRDefault="005C4308" w:rsidP="005C4308">
          <w:pPr>
            <w:jc w:val="left"/>
            <w:rPr>
              <w:b/>
            </w:rPr>
          </w:pPr>
          <w:r w:rsidRPr="00EF273A">
            <w:rPr>
              <w:color w:val="FF0000"/>
              <w:szCs w:val="16"/>
            </w:rPr>
            <w:t>(</w:t>
          </w:r>
          <w:r w:rsidR="007D551F">
            <w:rPr>
              <w:color w:val="FF0000"/>
              <w:szCs w:val="16"/>
            </w:rPr>
            <w:t>19</w:t>
          </w:r>
          <w:r w:rsidRPr="00EF273A">
            <w:rPr>
              <w:color w:val="FF0000"/>
              <w:szCs w:val="16"/>
            </w:rPr>
            <w:t>-</w:t>
          </w:r>
          <w:r w:rsidR="007D551F">
            <w:rPr>
              <w:color w:val="FF0000"/>
              <w:szCs w:val="16"/>
            </w:rPr>
            <w:t>8497</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A511169" w14:textId="77777777" w:rsidR="005C4308" w:rsidRPr="00EF273A" w:rsidRDefault="005C4308" w:rsidP="005C4308">
          <w:pPr>
            <w:jc w:val="right"/>
            <w:rPr>
              <w:szCs w:val="16"/>
            </w:rPr>
          </w:pPr>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2</w:t>
          </w:r>
          <w:r w:rsidRPr="00EF273A">
            <w:rPr>
              <w:bCs/>
              <w:szCs w:val="16"/>
            </w:rPr>
            <w:fldChar w:fldCharType="end"/>
          </w:r>
        </w:p>
      </w:tc>
    </w:tr>
    <w:tr w:rsidR="005C4308" w:rsidRPr="00EF273A" w14:paraId="3347E77F" w14:textId="77777777" w:rsidTr="003567F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E9C8A3" w14:textId="77777777" w:rsidR="005C4308" w:rsidRPr="00EF273A" w:rsidRDefault="005C4308" w:rsidP="005C4308">
          <w:pPr>
            <w:jc w:val="left"/>
            <w:rPr>
              <w:sz w:val="14"/>
              <w:szCs w:val="16"/>
            </w:rPr>
          </w:pPr>
          <w:r w:rsidRPr="00EF273A">
            <w:rPr>
              <w:b/>
            </w:rPr>
            <w:t xml:space="preserve"> </w:t>
          </w:r>
        </w:p>
      </w:tc>
      <w:tc>
        <w:tcPr>
          <w:tcW w:w="3325" w:type="dxa"/>
          <w:tcBorders>
            <w:top w:val="single" w:sz="4" w:space="0" w:color="auto"/>
          </w:tcBorders>
          <w:tcMar>
            <w:top w:w="113" w:type="dxa"/>
            <w:left w:w="108" w:type="dxa"/>
            <w:bottom w:w="57" w:type="dxa"/>
            <w:right w:w="108" w:type="dxa"/>
          </w:tcMar>
          <w:vAlign w:val="center"/>
        </w:tcPr>
        <w:p w14:paraId="76C30947" w14:textId="77777777" w:rsidR="005C4308" w:rsidRPr="00EF273A" w:rsidRDefault="005C4308" w:rsidP="005C4308">
          <w:pPr>
            <w:jc w:val="right"/>
            <w:rPr>
              <w:bCs/>
              <w:szCs w:val="18"/>
            </w:rPr>
          </w:pPr>
          <w:r>
            <w:rPr>
              <w:szCs w:val="18"/>
            </w:rPr>
            <w:t xml:space="preserve"> </w:t>
          </w:r>
        </w:p>
      </w:tc>
    </w:tr>
  </w:tbl>
  <w:p w14:paraId="05EE9CF9" w14:textId="77777777" w:rsidR="00203407" w:rsidRPr="005C4308" w:rsidRDefault="00203407" w:rsidP="005C4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5"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6"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7"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93"/>
    <w:rsid w:val="0000051C"/>
    <w:rsid w:val="000064BE"/>
    <w:rsid w:val="000272F6"/>
    <w:rsid w:val="00037AC4"/>
    <w:rsid w:val="00043638"/>
    <w:rsid w:val="00045F1B"/>
    <w:rsid w:val="00054907"/>
    <w:rsid w:val="0006042C"/>
    <w:rsid w:val="00076699"/>
    <w:rsid w:val="00082F52"/>
    <w:rsid w:val="000919E4"/>
    <w:rsid w:val="000A4945"/>
    <w:rsid w:val="000A5E09"/>
    <w:rsid w:val="000A72BE"/>
    <w:rsid w:val="000B31E1"/>
    <w:rsid w:val="000B3DDA"/>
    <w:rsid w:val="000B646F"/>
    <w:rsid w:val="000C446F"/>
    <w:rsid w:val="000C73C1"/>
    <w:rsid w:val="00103F6E"/>
    <w:rsid w:val="0011356B"/>
    <w:rsid w:val="00114FBD"/>
    <w:rsid w:val="0013337F"/>
    <w:rsid w:val="001437DD"/>
    <w:rsid w:val="00170F27"/>
    <w:rsid w:val="001722EB"/>
    <w:rsid w:val="00182B84"/>
    <w:rsid w:val="001A739C"/>
    <w:rsid w:val="001B7C09"/>
    <w:rsid w:val="001E01D4"/>
    <w:rsid w:val="001E0A53"/>
    <w:rsid w:val="001E291F"/>
    <w:rsid w:val="001E3914"/>
    <w:rsid w:val="00203407"/>
    <w:rsid w:val="002108BA"/>
    <w:rsid w:val="00212E75"/>
    <w:rsid w:val="002220C5"/>
    <w:rsid w:val="002221C0"/>
    <w:rsid w:val="00223A1D"/>
    <w:rsid w:val="00224AE9"/>
    <w:rsid w:val="00231E41"/>
    <w:rsid w:val="00233045"/>
    <w:rsid w:val="00233408"/>
    <w:rsid w:val="002345AC"/>
    <w:rsid w:val="0027067B"/>
    <w:rsid w:val="00272144"/>
    <w:rsid w:val="00293100"/>
    <w:rsid w:val="00294E2D"/>
    <w:rsid w:val="002B10AF"/>
    <w:rsid w:val="002C0A35"/>
    <w:rsid w:val="002D3D10"/>
    <w:rsid w:val="002D6AC6"/>
    <w:rsid w:val="002D7CBC"/>
    <w:rsid w:val="002E332C"/>
    <w:rsid w:val="002E39BA"/>
    <w:rsid w:val="003256E0"/>
    <w:rsid w:val="00336242"/>
    <w:rsid w:val="00355C1C"/>
    <w:rsid w:val="003572B4"/>
    <w:rsid w:val="00360460"/>
    <w:rsid w:val="003834F6"/>
    <w:rsid w:val="003A4124"/>
    <w:rsid w:val="003E3C32"/>
    <w:rsid w:val="003E4796"/>
    <w:rsid w:val="003E4E8A"/>
    <w:rsid w:val="004020C0"/>
    <w:rsid w:val="004074A6"/>
    <w:rsid w:val="00414447"/>
    <w:rsid w:val="00434D1D"/>
    <w:rsid w:val="00435927"/>
    <w:rsid w:val="004410D1"/>
    <w:rsid w:val="00463124"/>
    <w:rsid w:val="00467032"/>
    <w:rsid w:val="0046754A"/>
    <w:rsid w:val="004725E1"/>
    <w:rsid w:val="00485717"/>
    <w:rsid w:val="00496873"/>
    <w:rsid w:val="004A0DEF"/>
    <w:rsid w:val="004A6D4E"/>
    <w:rsid w:val="004C780D"/>
    <w:rsid w:val="004D79A4"/>
    <w:rsid w:val="004F203A"/>
    <w:rsid w:val="00500AD7"/>
    <w:rsid w:val="00524C10"/>
    <w:rsid w:val="00525968"/>
    <w:rsid w:val="005336B8"/>
    <w:rsid w:val="00544BF5"/>
    <w:rsid w:val="005727D0"/>
    <w:rsid w:val="00580ADE"/>
    <w:rsid w:val="00590D3F"/>
    <w:rsid w:val="00596111"/>
    <w:rsid w:val="005B04B9"/>
    <w:rsid w:val="005B68C7"/>
    <w:rsid w:val="005B75F9"/>
    <w:rsid w:val="005C4308"/>
    <w:rsid w:val="005D5981"/>
    <w:rsid w:val="005F30CB"/>
    <w:rsid w:val="00602FA7"/>
    <w:rsid w:val="00610461"/>
    <w:rsid w:val="00617042"/>
    <w:rsid w:val="006200CD"/>
    <w:rsid w:val="00635596"/>
    <w:rsid w:val="00674CCD"/>
    <w:rsid w:val="00677AB1"/>
    <w:rsid w:val="006864C0"/>
    <w:rsid w:val="006F5826"/>
    <w:rsid w:val="006F7087"/>
    <w:rsid w:val="00700181"/>
    <w:rsid w:val="007123F5"/>
    <w:rsid w:val="007141CF"/>
    <w:rsid w:val="0073351F"/>
    <w:rsid w:val="007577E3"/>
    <w:rsid w:val="00757920"/>
    <w:rsid w:val="00760DB3"/>
    <w:rsid w:val="00782393"/>
    <w:rsid w:val="007927A6"/>
    <w:rsid w:val="00794432"/>
    <w:rsid w:val="00795168"/>
    <w:rsid w:val="007D551F"/>
    <w:rsid w:val="007E6507"/>
    <w:rsid w:val="007E7D72"/>
    <w:rsid w:val="007F2B8E"/>
    <w:rsid w:val="008038CA"/>
    <w:rsid w:val="00807247"/>
    <w:rsid w:val="00814090"/>
    <w:rsid w:val="00822ED6"/>
    <w:rsid w:val="00830B59"/>
    <w:rsid w:val="00840C2B"/>
    <w:rsid w:val="00841F46"/>
    <w:rsid w:val="00853CF5"/>
    <w:rsid w:val="008739FD"/>
    <w:rsid w:val="008C530B"/>
    <w:rsid w:val="008D3ADB"/>
    <w:rsid w:val="008D52A3"/>
    <w:rsid w:val="008E2237"/>
    <w:rsid w:val="008E372C"/>
    <w:rsid w:val="008E3CC1"/>
    <w:rsid w:val="00901398"/>
    <w:rsid w:val="009219E6"/>
    <w:rsid w:val="00922FC2"/>
    <w:rsid w:val="0093292E"/>
    <w:rsid w:val="00934F98"/>
    <w:rsid w:val="0094215C"/>
    <w:rsid w:val="00944C49"/>
    <w:rsid w:val="00953216"/>
    <w:rsid w:val="0096636E"/>
    <w:rsid w:val="00972DA4"/>
    <w:rsid w:val="009851A2"/>
    <w:rsid w:val="00987777"/>
    <w:rsid w:val="009A6F54"/>
    <w:rsid w:val="009D3BE8"/>
    <w:rsid w:val="00A02539"/>
    <w:rsid w:val="00A03C4B"/>
    <w:rsid w:val="00A12D15"/>
    <w:rsid w:val="00A33B63"/>
    <w:rsid w:val="00A34324"/>
    <w:rsid w:val="00A524E2"/>
    <w:rsid w:val="00A6057A"/>
    <w:rsid w:val="00A74017"/>
    <w:rsid w:val="00A92456"/>
    <w:rsid w:val="00AA332C"/>
    <w:rsid w:val="00AC27F8"/>
    <w:rsid w:val="00AC3E31"/>
    <w:rsid w:val="00AD4C72"/>
    <w:rsid w:val="00AD6D1D"/>
    <w:rsid w:val="00AD6E08"/>
    <w:rsid w:val="00AE2AEE"/>
    <w:rsid w:val="00B13C84"/>
    <w:rsid w:val="00B230EC"/>
    <w:rsid w:val="00B45645"/>
    <w:rsid w:val="00B916C5"/>
    <w:rsid w:val="00B93FE7"/>
    <w:rsid w:val="00B97131"/>
    <w:rsid w:val="00BB1F84"/>
    <w:rsid w:val="00BB7DD3"/>
    <w:rsid w:val="00BC079D"/>
    <w:rsid w:val="00BE5468"/>
    <w:rsid w:val="00BF3A5D"/>
    <w:rsid w:val="00BF6C2C"/>
    <w:rsid w:val="00C01DC8"/>
    <w:rsid w:val="00C067F1"/>
    <w:rsid w:val="00C11EAC"/>
    <w:rsid w:val="00C136C6"/>
    <w:rsid w:val="00C30F2A"/>
    <w:rsid w:val="00C3781B"/>
    <w:rsid w:val="00C43456"/>
    <w:rsid w:val="00C519CB"/>
    <w:rsid w:val="00C65C0C"/>
    <w:rsid w:val="00C808FC"/>
    <w:rsid w:val="00C934CF"/>
    <w:rsid w:val="00C94F50"/>
    <w:rsid w:val="00C974F1"/>
    <w:rsid w:val="00CC1764"/>
    <w:rsid w:val="00CD7D97"/>
    <w:rsid w:val="00CE371F"/>
    <w:rsid w:val="00CE39EC"/>
    <w:rsid w:val="00CE3EE6"/>
    <w:rsid w:val="00CE4BA1"/>
    <w:rsid w:val="00D000C7"/>
    <w:rsid w:val="00D002E8"/>
    <w:rsid w:val="00D0148B"/>
    <w:rsid w:val="00D52A9D"/>
    <w:rsid w:val="00D55AAD"/>
    <w:rsid w:val="00D72046"/>
    <w:rsid w:val="00D747AE"/>
    <w:rsid w:val="00D74A42"/>
    <w:rsid w:val="00D9226C"/>
    <w:rsid w:val="00D96278"/>
    <w:rsid w:val="00DA20BD"/>
    <w:rsid w:val="00DA64B1"/>
    <w:rsid w:val="00DD1002"/>
    <w:rsid w:val="00DE50DB"/>
    <w:rsid w:val="00DF2A4D"/>
    <w:rsid w:val="00DF6AE1"/>
    <w:rsid w:val="00E143A6"/>
    <w:rsid w:val="00E15E02"/>
    <w:rsid w:val="00E168DB"/>
    <w:rsid w:val="00E35FED"/>
    <w:rsid w:val="00E37951"/>
    <w:rsid w:val="00E44285"/>
    <w:rsid w:val="00E46FD5"/>
    <w:rsid w:val="00E474E3"/>
    <w:rsid w:val="00E52975"/>
    <w:rsid w:val="00E544BB"/>
    <w:rsid w:val="00E56545"/>
    <w:rsid w:val="00E60AE2"/>
    <w:rsid w:val="00E666BE"/>
    <w:rsid w:val="00E877F6"/>
    <w:rsid w:val="00E95D11"/>
    <w:rsid w:val="00EA1C09"/>
    <w:rsid w:val="00EA2629"/>
    <w:rsid w:val="00EA408B"/>
    <w:rsid w:val="00EA5D4F"/>
    <w:rsid w:val="00EB3087"/>
    <w:rsid w:val="00EB6C56"/>
    <w:rsid w:val="00EC29A7"/>
    <w:rsid w:val="00ED54E0"/>
    <w:rsid w:val="00EF273A"/>
    <w:rsid w:val="00F03B66"/>
    <w:rsid w:val="00F03F92"/>
    <w:rsid w:val="00F063DE"/>
    <w:rsid w:val="00F10E96"/>
    <w:rsid w:val="00F1738C"/>
    <w:rsid w:val="00F32397"/>
    <w:rsid w:val="00F402EE"/>
    <w:rsid w:val="00F40595"/>
    <w:rsid w:val="00F60D88"/>
    <w:rsid w:val="00F618BD"/>
    <w:rsid w:val="00F72513"/>
    <w:rsid w:val="00F76650"/>
    <w:rsid w:val="00F863A9"/>
    <w:rsid w:val="00FA5EBC"/>
    <w:rsid w:val="00FB03D2"/>
    <w:rsid w:val="00FC6B64"/>
    <w:rsid w:val="00FC7C94"/>
    <w:rsid w:val="00FD1D5D"/>
    <w:rsid w:val="00FD224A"/>
    <w:rsid w:val="00FD72ED"/>
    <w:rsid w:val="00FF42AE"/>
    <w:rsid w:val="00FF46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5DAAD"/>
  <w15:docId w15:val="{5C55382E-9DE9-4C8B-A863-B38F561D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5"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111"/>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596111"/>
    <w:pPr>
      <w:keepNext/>
      <w:keepLines/>
      <w:numPr>
        <w:numId w:val="1"/>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596111"/>
    <w:pPr>
      <w:keepNext/>
      <w:keepLines/>
      <w:numPr>
        <w:ilvl w:val="1"/>
        <w:numId w:val="1"/>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596111"/>
    <w:pPr>
      <w:keepNext/>
      <w:keepLines/>
      <w:numPr>
        <w:ilvl w:val="2"/>
        <w:numId w:val="1"/>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596111"/>
    <w:pPr>
      <w:keepNext/>
      <w:keepLines/>
      <w:numPr>
        <w:ilvl w:val="3"/>
        <w:numId w:val="1"/>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596111"/>
    <w:pPr>
      <w:keepNext/>
      <w:keepLines/>
      <w:numPr>
        <w:ilvl w:val="4"/>
        <w:numId w:val="1"/>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596111"/>
    <w:pPr>
      <w:keepNext/>
      <w:keepLines/>
      <w:numPr>
        <w:ilvl w:val="5"/>
        <w:numId w:val="1"/>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596111"/>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596111"/>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596111"/>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596111"/>
    <w:pPr>
      <w:spacing w:before="480" w:after="240"/>
      <w:contextualSpacing/>
      <w:jc w:val="center"/>
    </w:pPr>
    <w:rPr>
      <w:rFonts w:eastAsiaTheme="majorEastAsia" w:cstheme="majorBidi"/>
      <w:b/>
      <w:caps/>
      <w:color w:val="006283"/>
      <w:kern w:val="28"/>
      <w:szCs w:val="52"/>
    </w:rPr>
  </w:style>
  <w:style w:type="paragraph" w:styleId="BodyText">
    <w:name w:val="Body Text"/>
    <w:basedOn w:val="Normal"/>
    <w:link w:val="BodyTextChar"/>
    <w:uiPriority w:val="1"/>
    <w:qFormat/>
    <w:rsid w:val="00596111"/>
    <w:pPr>
      <w:numPr>
        <w:ilvl w:val="6"/>
        <w:numId w:val="1"/>
      </w:numPr>
      <w:spacing w:after="240"/>
    </w:pPr>
  </w:style>
  <w:style w:type="paragraph" w:styleId="BodyText2">
    <w:name w:val="Body Text 2"/>
    <w:basedOn w:val="Normal"/>
    <w:link w:val="BodyText2Char"/>
    <w:uiPriority w:val="1"/>
    <w:qFormat/>
    <w:rsid w:val="00596111"/>
    <w:pPr>
      <w:numPr>
        <w:ilvl w:val="7"/>
        <w:numId w:val="1"/>
      </w:numPr>
      <w:tabs>
        <w:tab w:val="left" w:pos="1134"/>
      </w:tabs>
      <w:spacing w:after="240"/>
    </w:pPr>
  </w:style>
  <w:style w:type="paragraph" w:styleId="BodyText3">
    <w:name w:val="Body Text 3"/>
    <w:basedOn w:val="Normal"/>
    <w:link w:val="BodyText3Char"/>
    <w:uiPriority w:val="1"/>
    <w:qFormat/>
    <w:rsid w:val="00596111"/>
    <w:pPr>
      <w:numPr>
        <w:ilvl w:val="8"/>
        <w:numId w:val="1"/>
      </w:numPr>
      <w:spacing w:after="240"/>
    </w:pPr>
    <w:rPr>
      <w:szCs w:val="16"/>
    </w:rPr>
  </w:style>
  <w:style w:type="numbering" w:customStyle="1" w:styleId="LegalHeadings">
    <w:name w:val="LegalHeadings"/>
    <w:uiPriority w:val="99"/>
    <w:rsid w:val="00596111"/>
    <w:pPr>
      <w:numPr>
        <w:numId w:val="1"/>
      </w:numPr>
    </w:pPr>
  </w:style>
  <w:style w:type="paragraph" w:styleId="ListBullet">
    <w:name w:val="List Bullet"/>
    <w:basedOn w:val="Normal"/>
    <w:uiPriority w:val="1"/>
    <w:rsid w:val="00596111"/>
    <w:pPr>
      <w:numPr>
        <w:numId w:val="7"/>
      </w:numPr>
      <w:spacing w:after="240"/>
    </w:pPr>
  </w:style>
  <w:style w:type="paragraph" w:styleId="ListBullet2">
    <w:name w:val="List Bullet 2"/>
    <w:basedOn w:val="Normal"/>
    <w:uiPriority w:val="1"/>
    <w:rsid w:val="00596111"/>
    <w:pPr>
      <w:numPr>
        <w:ilvl w:val="1"/>
        <w:numId w:val="7"/>
      </w:numPr>
      <w:tabs>
        <w:tab w:val="left" w:pos="1134"/>
      </w:tabs>
      <w:spacing w:after="240"/>
    </w:pPr>
  </w:style>
  <w:style w:type="paragraph" w:styleId="ListBullet3">
    <w:name w:val="List Bullet 3"/>
    <w:basedOn w:val="Normal"/>
    <w:uiPriority w:val="1"/>
    <w:qFormat/>
    <w:rsid w:val="00596111"/>
    <w:pPr>
      <w:numPr>
        <w:ilvl w:val="2"/>
        <w:numId w:val="7"/>
      </w:numPr>
      <w:tabs>
        <w:tab w:val="left" w:pos="1701"/>
      </w:tabs>
      <w:spacing w:after="240"/>
    </w:pPr>
  </w:style>
  <w:style w:type="paragraph" w:styleId="ListBullet4">
    <w:name w:val="List Bullet 4"/>
    <w:basedOn w:val="Normal"/>
    <w:uiPriority w:val="1"/>
    <w:rsid w:val="00596111"/>
    <w:pPr>
      <w:numPr>
        <w:ilvl w:val="3"/>
        <w:numId w:val="7"/>
      </w:numPr>
      <w:spacing w:after="240"/>
    </w:pPr>
  </w:style>
  <w:style w:type="paragraph" w:styleId="ListBullet5">
    <w:name w:val="List Bullet 5"/>
    <w:basedOn w:val="Normal"/>
    <w:uiPriority w:val="1"/>
    <w:rsid w:val="00596111"/>
    <w:pPr>
      <w:numPr>
        <w:ilvl w:val="4"/>
        <w:numId w:val="7"/>
      </w:numPr>
      <w:spacing w:after="240"/>
    </w:pPr>
  </w:style>
  <w:style w:type="numbering" w:customStyle="1" w:styleId="ListBullets">
    <w:name w:val="ListBullets"/>
    <w:uiPriority w:val="99"/>
    <w:rsid w:val="00596111"/>
    <w:pPr>
      <w:numPr>
        <w:numId w:val="7"/>
      </w:numPr>
    </w:pPr>
  </w:style>
  <w:style w:type="paragraph" w:customStyle="1" w:styleId="Answer">
    <w:name w:val="Answer"/>
    <w:basedOn w:val="Normal"/>
    <w:link w:val="AnswerChar"/>
    <w:uiPriority w:val="6"/>
    <w:qFormat/>
    <w:rsid w:val="00596111"/>
    <w:pPr>
      <w:spacing w:after="240"/>
      <w:ind w:left="1077"/>
    </w:pPr>
    <w:rPr>
      <w:rFonts w:eastAsia="Calibri" w:cs="Times New Roman"/>
    </w:rPr>
  </w:style>
  <w:style w:type="paragraph" w:styleId="Caption">
    <w:name w:val="caption"/>
    <w:basedOn w:val="Normal"/>
    <w:next w:val="Normal"/>
    <w:uiPriority w:val="6"/>
    <w:qFormat/>
    <w:rsid w:val="00596111"/>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596111"/>
    <w:rPr>
      <w:vertAlign w:val="superscript"/>
    </w:rPr>
  </w:style>
  <w:style w:type="paragraph" w:styleId="FootnoteText">
    <w:name w:val="footnote text"/>
    <w:basedOn w:val="Normal"/>
    <w:link w:val="FootnoteTextChar"/>
    <w:uiPriority w:val="5"/>
    <w:rsid w:val="00596111"/>
    <w:pPr>
      <w:ind w:firstLine="567"/>
      <w:jc w:val="left"/>
    </w:pPr>
    <w:rPr>
      <w:rFonts w:eastAsia="Calibri" w:cs="Times New Roman"/>
      <w:sz w:val="16"/>
      <w:szCs w:val="18"/>
      <w:lang w:eastAsia="en-GB"/>
    </w:rPr>
  </w:style>
  <w:style w:type="paragraph" w:styleId="EndnoteText">
    <w:name w:val="endnote text"/>
    <w:basedOn w:val="FootnoteText"/>
    <w:link w:val="EndnoteTextChar"/>
    <w:uiPriority w:val="49"/>
    <w:rsid w:val="00596111"/>
    <w:rPr>
      <w:szCs w:val="20"/>
    </w:rPr>
  </w:style>
  <w:style w:type="paragraph" w:customStyle="1" w:styleId="FollowUp">
    <w:name w:val="FollowUp"/>
    <w:basedOn w:val="Normal"/>
    <w:link w:val="FollowUpChar"/>
    <w:uiPriority w:val="6"/>
    <w:qFormat/>
    <w:rsid w:val="00596111"/>
    <w:pPr>
      <w:spacing w:after="240"/>
      <w:ind w:left="720"/>
    </w:pPr>
    <w:rPr>
      <w:rFonts w:eastAsia="Calibri" w:cs="Times New Roman"/>
      <w:i/>
    </w:rPr>
  </w:style>
  <w:style w:type="paragraph" w:styleId="Footer">
    <w:name w:val="footer"/>
    <w:basedOn w:val="Normal"/>
    <w:link w:val="FooterChar"/>
    <w:uiPriority w:val="3"/>
    <w:rsid w:val="00596111"/>
    <w:pPr>
      <w:tabs>
        <w:tab w:val="center" w:pos="4513"/>
        <w:tab w:val="right" w:pos="9027"/>
      </w:tabs>
    </w:pPr>
    <w:rPr>
      <w:rFonts w:eastAsia="Calibri" w:cs="Times New Roman"/>
      <w:szCs w:val="18"/>
      <w:lang w:eastAsia="en-GB"/>
    </w:rPr>
  </w:style>
  <w:style w:type="paragraph" w:customStyle="1" w:styleId="FootnoteQuotation">
    <w:name w:val="Footnote Quotation"/>
    <w:basedOn w:val="FootnoteText"/>
    <w:uiPriority w:val="5"/>
    <w:rsid w:val="00596111"/>
    <w:pPr>
      <w:ind w:left="567" w:right="567" w:firstLine="0"/>
    </w:pPr>
  </w:style>
  <w:style w:type="character" w:styleId="FootnoteReference">
    <w:name w:val="footnote reference"/>
    <w:uiPriority w:val="5"/>
    <w:rsid w:val="00596111"/>
    <w:rPr>
      <w:vertAlign w:val="superscript"/>
    </w:rPr>
  </w:style>
  <w:style w:type="paragraph" w:styleId="Header">
    <w:name w:val="header"/>
    <w:basedOn w:val="Normal"/>
    <w:link w:val="HeaderChar"/>
    <w:uiPriority w:val="5"/>
    <w:rsid w:val="00596111"/>
    <w:pPr>
      <w:tabs>
        <w:tab w:val="center" w:pos="4513"/>
        <w:tab w:val="right" w:pos="9027"/>
      </w:tabs>
      <w:jc w:val="left"/>
    </w:pPr>
    <w:rPr>
      <w:rFonts w:eastAsia="Calibri" w:cs="Times New Roman"/>
      <w:szCs w:val="18"/>
      <w:lang w:eastAsia="en-GB"/>
    </w:rPr>
  </w:style>
  <w:style w:type="paragraph" w:customStyle="1" w:styleId="Quotation">
    <w:name w:val="Quotation"/>
    <w:basedOn w:val="Normal"/>
    <w:uiPriority w:val="5"/>
    <w:qFormat/>
    <w:rsid w:val="0059611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9611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596111"/>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596111"/>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596111"/>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96111"/>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96111"/>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596111"/>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596111"/>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596111"/>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596111"/>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596111"/>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596111"/>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596111"/>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96111"/>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96111"/>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596111"/>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59611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596111"/>
    <w:rPr>
      <w:rFonts w:ascii="Tahoma" w:hAnsi="Tahoma" w:cs="Tahoma"/>
      <w:sz w:val="16"/>
      <w:szCs w:val="16"/>
    </w:rPr>
  </w:style>
  <w:style w:type="paragraph" w:styleId="Subtitle">
    <w:name w:val="Subtitle"/>
    <w:basedOn w:val="Normal"/>
    <w:next w:val="Normal"/>
    <w:link w:val="SubtitleChar"/>
    <w:uiPriority w:val="6"/>
    <w:qFormat/>
    <w:rsid w:val="00596111"/>
    <w:pPr>
      <w:numPr>
        <w:ilvl w:val="1"/>
      </w:numPr>
    </w:pPr>
    <w:rPr>
      <w:rFonts w:eastAsiaTheme="majorEastAsia" w:cstheme="majorBidi"/>
      <w:b/>
      <w:iCs/>
      <w:szCs w:val="24"/>
    </w:rPr>
  </w:style>
  <w:style w:type="paragraph" w:customStyle="1" w:styleId="SummaryHeader">
    <w:name w:val="SummaryHeader"/>
    <w:basedOn w:val="Normal"/>
    <w:uiPriority w:val="4"/>
    <w:qFormat/>
    <w:rsid w:val="00596111"/>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96111"/>
    <w:pPr>
      <w:spacing w:after="240"/>
      <w:outlineLvl w:val="1"/>
    </w:pPr>
    <w:rPr>
      <w:b/>
      <w:color w:val="006283"/>
    </w:rPr>
  </w:style>
  <w:style w:type="paragraph" w:customStyle="1" w:styleId="SummaryText">
    <w:name w:val="SummaryText"/>
    <w:basedOn w:val="Normal"/>
    <w:uiPriority w:val="4"/>
    <w:qFormat/>
    <w:rsid w:val="00596111"/>
    <w:pPr>
      <w:numPr>
        <w:numId w:val="8"/>
      </w:numPr>
      <w:spacing w:after="240"/>
    </w:pPr>
    <w:rPr>
      <w:rFonts w:eastAsia="Calibri" w:cs="Times New Roman"/>
    </w:rPr>
  </w:style>
  <w:style w:type="paragraph" w:styleId="ListParagraph">
    <w:name w:val="List Paragraph"/>
    <w:basedOn w:val="Normal"/>
    <w:uiPriority w:val="59"/>
    <w:semiHidden/>
    <w:qFormat/>
    <w:rsid w:val="00596111"/>
    <w:pPr>
      <w:ind w:left="720"/>
      <w:contextualSpacing/>
    </w:pPr>
  </w:style>
  <w:style w:type="table" w:customStyle="1" w:styleId="WTOBox1">
    <w:name w:val="WTOBox1"/>
    <w:basedOn w:val="TableNormal"/>
    <w:uiPriority w:val="99"/>
    <w:rsid w:val="0059611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9611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596111"/>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5961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
    <w:unhideWhenUsed/>
    <w:rsid w:val="00596111"/>
    <w:rPr>
      <w:color w:val="0000FF" w:themeColor="hyperlink"/>
      <w:u w:val="single"/>
    </w:rPr>
  </w:style>
  <w:style w:type="paragraph" w:customStyle="1" w:styleId="TitleDate">
    <w:name w:val="Title Date"/>
    <w:basedOn w:val="Normal"/>
    <w:next w:val="Normal"/>
    <w:uiPriority w:val="5"/>
    <w:qFormat/>
    <w:rsid w:val="00596111"/>
    <w:pPr>
      <w:spacing w:after="240"/>
      <w:jc w:val="center"/>
    </w:pPr>
    <w:rPr>
      <w:rFonts w:eastAsia="Calibri" w:cs="Times New Roman"/>
      <w:color w:val="006283"/>
    </w:rPr>
  </w:style>
  <w:style w:type="paragraph" w:customStyle="1" w:styleId="NoteText">
    <w:name w:val="Note Text"/>
    <w:basedOn w:val="Normal"/>
    <w:uiPriority w:val="4"/>
    <w:qFormat/>
    <w:rsid w:val="00596111"/>
    <w:pPr>
      <w:tabs>
        <w:tab w:val="left" w:pos="851"/>
      </w:tabs>
      <w:ind w:left="851" w:hanging="851"/>
      <w:jc w:val="left"/>
    </w:pPr>
    <w:rPr>
      <w:sz w:val="16"/>
    </w:rPr>
  </w:style>
  <w:style w:type="paragraph" w:styleId="Bibliography">
    <w:name w:val="Bibliography"/>
    <w:basedOn w:val="Normal"/>
    <w:next w:val="Normal"/>
    <w:uiPriority w:val="49"/>
    <w:semiHidden/>
    <w:unhideWhenUsed/>
    <w:rsid w:val="00596111"/>
  </w:style>
  <w:style w:type="paragraph" w:styleId="BlockText">
    <w:name w:val="Block Text"/>
    <w:basedOn w:val="Normal"/>
    <w:uiPriority w:val="99"/>
    <w:semiHidden/>
    <w:unhideWhenUsed/>
    <w:rsid w:val="0059611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96111"/>
    <w:pPr>
      <w:numPr>
        <w:ilvl w:val="0"/>
        <w:numId w:val="0"/>
      </w:numPr>
      <w:spacing w:after="0"/>
      <w:ind w:firstLine="360"/>
    </w:pPr>
  </w:style>
  <w:style w:type="paragraph" w:styleId="BodyTextIndent">
    <w:name w:val="Body Text Indent"/>
    <w:basedOn w:val="Normal"/>
    <w:link w:val="BodyTextIndentChar"/>
    <w:uiPriority w:val="99"/>
    <w:semiHidden/>
    <w:unhideWhenUsed/>
    <w:rsid w:val="00596111"/>
    <w:pPr>
      <w:spacing w:after="120"/>
      <w:ind w:left="283"/>
    </w:pPr>
  </w:style>
  <w:style w:type="paragraph" w:styleId="BodyTextFirstIndent2">
    <w:name w:val="Body Text First Indent 2"/>
    <w:basedOn w:val="BodyTextIndent"/>
    <w:link w:val="BodyTextFirstIndent2Char"/>
    <w:uiPriority w:val="99"/>
    <w:semiHidden/>
    <w:unhideWhenUsed/>
    <w:rsid w:val="00596111"/>
    <w:pPr>
      <w:spacing w:after="0"/>
      <w:ind w:left="360" w:firstLine="360"/>
    </w:pPr>
  </w:style>
  <w:style w:type="paragraph" w:styleId="BodyTextIndent2">
    <w:name w:val="Body Text Indent 2"/>
    <w:basedOn w:val="Normal"/>
    <w:link w:val="BodyTextIndent2Char"/>
    <w:uiPriority w:val="99"/>
    <w:semiHidden/>
    <w:unhideWhenUsed/>
    <w:rsid w:val="00596111"/>
    <w:pPr>
      <w:spacing w:after="120" w:line="480" w:lineRule="auto"/>
      <w:ind w:left="283"/>
    </w:pPr>
  </w:style>
  <w:style w:type="paragraph" w:styleId="BodyTextIndent3">
    <w:name w:val="Body Text Indent 3"/>
    <w:basedOn w:val="Normal"/>
    <w:link w:val="BodyTextIndent3Char"/>
    <w:uiPriority w:val="99"/>
    <w:semiHidden/>
    <w:unhideWhenUsed/>
    <w:rsid w:val="00596111"/>
    <w:pPr>
      <w:spacing w:after="120"/>
      <w:ind w:left="283"/>
    </w:pPr>
    <w:rPr>
      <w:sz w:val="16"/>
      <w:szCs w:val="16"/>
    </w:rPr>
  </w:style>
  <w:style w:type="character" w:styleId="BookTitle">
    <w:name w:val="Book Title"/>
    <w:basedOn w:val="DefaultParagraphFont"/>
    <w:uiPriority w:val="99"/>
    <w:semiHidden/>
    <w:qFormat/>
    <w:rsid w:val="00596111"/>
    <w:rPr>
      <w:b/>
      <w:bCs/>
      <w:smallCaps/>
      <w:spacing w:val="5"/>
    </w:rPr>
  </w:style>
  <w:style w:type="paragraph" w:styleId="Closing">
    <w:name w:val="Closing"/>
    <w:basedOn w:val="Normal"/>
    <w:link w:val="ClosingChar"/>
    <w:uiPriority w:val="99"/>
    <w:semiHidden/>
    <w:unhideWhenUsed/>
    <w:rsid w:val="00596111"/>
    <w:pPr>
      <w:ind w:left="4252"/>
    </w:pPr>
  </w:style>
  <w:style w:type="character" w:styleId="CommentReference">
    <w:name w:val="annotation reference"/>
    <w:basedOn w:val="DefaultParagraphFont"/>
    <w:uiPriority w:val="99"/>
    <w:semiHidden/>
    <w:unhideWhenUsed/>
    <w:rsid w:val="00596111"/>
    <w:rPr>
      <w:sz w:val="16"/>
      <w:szCs w:val="16"/>
    </w:rPr>
  </w:style>
  <w:style w:type="paragraph" w:styleId="CommentText">
    <w:name w:val="annotation text"/>
    <w:basedOn w:val="Normal"/>
    <w:link w:val="CommentTextChar"/>
    <w:uiPriority w:val="99"/>
    <w:unhideWhenUsed/>
    <w:rsid w:val="00596111"/>
    <w:rPr>
      <w:sz w:val="20"/>
      <w:szCs w:val="20"/>
    </w:rPr>
  </w:style>
  <w:style w:type="paragraph" w:styleId="CommentSubject">
    <w:name w:val="annotation subject"/>
    <w:basedOn w:val="CommentText"/>
    <w:next w:val="CommentText"/>
    <w:link w:val="CommentSubjectChar"/>
    <w:uiPriority w:val="99"/>
    <w:unhideWhenUsed/>
    <w:rsid w:val="00596111"/>
    <w:rPr>
      <w:b/>
      <w:bCs/>
    </w:rPr>
  </w:style>
  <w:style w:type="paragraph" w:styleId="Date">
    <w:name w:val="Date"/>
    <w:basedOn w:val="Normal"/>
    <w:next w:val="Normal"/>
    <w:link w:val="DateChar"/>
    <w:uiPriority w:val="99"/>
    <w:semiHidden/>
    <w:unhideWhenUsed/>
    <w:rsid w:val="00596111"/>
  </w:style>
  <w:style w:type="paragraph" w:styleId="DocumentMap">
    <w:name w:val="Document Map"/>
    <w:basedOn w:val="Normal"/>
    <w:link w:val="DocumentMapChar"/>
    <w:uiPriority w:val="99"/>
    <w:semiHidden/>
    <w:unhideWhenUsed/>
    <w:rsid w:val="00596111"/>
    <w:rPr>
      <w:rFonts w:ascii="Tahoma" w:hAnsi="Tahoma" w:cs="Tahoma"/>
      <w:sz w:val="16"/>
      <w:szCs w:val="16"/>
    </w:rPr>
  </w:style>
  <w:style w:type="paragraph" w:styleId="E-mailSignature">
    <w:name w:val="E-mail Signature"/>
    <w:basedOn w:val="Normal"/>
    <w:link w:val="E-mailSignatureChar"/>
    <w:uiPriority w:val="99"/>
    <w:semiHidden/>
    <w:unhideWhenUsed/>
    <w:rsid w:val="00596111"/>
  </w:style>
  <w:style w:type="character" w:styleId="Emphasis">
    <w:name w:val="Emphasis"/>
    <w:basedOn w:val="DefaultParagraphFont"/>
    <w:uiPriority w:val="99"/>
    <w:semiHidden/>
    <w:qFormat/>
    <w:rsid w:val="00596111"/>
    <w:rPr>
      <w:i/>
      <w:iCs/>
    </w:rPr>
  </w:style>
  <w:style w:type="paragraph" w:styleId="EnvelopeAddress">
    <w:name w:val="envelope address"/>
    <w:basedOn w:val="Normal"/>
    <w:uiPriority w:val="99"/>
    <w:semiHidden/>
    <w:unhideWhenUsed/>
    <w:rsid w:val="0059611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9611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96111"/>
    <w:rPr>
      <w:color w:val="800080" w:themeColor="followedHyperlink"/>
      <w:u w:val="single"/>
    </w:rPr>
  </w:style>
  <w:style w:type="character" w:styleId="HTMLAcronym">
    <w:name w:val="HTML Acronym"/>
    <w:basedOn w:val="DefaultParagraphFont"/>
    <w:uiPriority w:val="99"/>
    <w:semiHidden/>
    <w:unhideWhenUsed/>
    <w:rsid w:val="00596111"/>
  </w:style>
  <w:style w:type="paragraph" w:styleId="HTMLAddress">
    <w:name w:val="HTML Address"/>
    <w:basedOn w:val="Normal"/>
    <w:link w:val="HTMLAddressChar"/>
    <w:uiPriority w:val="99"/>
    <w:semiHidden/>
    <w:unhideWhenUsed/>
    <w:rsid w:val="00596111"/>
    <w:rPr>
      <w:i/>
      <w:iCs/>
    </w:rPr>
  </w:style>
  <w:style w:type="character" w:styleId="HTMLCite">
    <w:name w:val="HTML Cite"/>
    <w:basedOn w:val="DefaultParagraphFont"/>
    <w:uiPriority w:val="99"/>
    <w:semiHidden/>
    <w:unhideWhenUsed/>
    <w:rsid w:val="00596111"/>
    <w:rPr>
      <w:i/>
      <w:iCs/>
    </w:rPr>
  </w:style>
  <w:style w:type="character" w:styleId="HTMLCode">
    <w:name w:val="HTML Code"/>
    <w:basedOn w:val="DefaultParagraphFont"/>
    <w:uiPriority w:val="99"/>
    <w:semiHidden/>
    <w:unhideWhenUsed/>
    <w:rsid w:val="00596111"/>
    <w:rPr>
      <w:rFonts w:ascii="Consolas" w:hAnsi="Consolas" w:cs="Consolas"/>
      <w:sz w:val="20"/>
      <w:szCs w:val="20"/>
    </w:rPr>
  </w:style>
  <w:style w:type="character" w:styleId="HTMLDefinition">
    <w:name w:val="HTML Definition"/>
    <w:basedOn w:val="DefaultParagraphFont"/>
    <w:uiPriority w:val="99"/>
    <w:semiHidden/>
    <w:unhideWhenUsed/>
    <w:rsid w:val="00596111"/>
    <w:rPr>
      <w:i/>
      <w:iCs/>
    </w:rPr>
  </w:style>
  <w:style w:type="character" w:styleId="HTMLKeyboard">
    <w:name w:val="HTML Keyboard"/>
    <w:basedOn w:val="DefaultParagraphFont"/>
    <w:uiPriority w:val="99"/>
    <w:semiHidden/>
    <w:unhideWhenUsed/>
    <w:rsid w:val="00596111"/>
    <w:rPr>
      <w:rFonts w:ascii="Consolas" w:hAnsi="Consolas" w:cs="Consolas"/>
      <w:sz w:val="20"/>
      <w:szCs w:val="20"/>
    </w:rPr>
  </w:style>
  <w:style w:type="paragraph" w:styleId="HTMLPreformatted">
    <w:name w:val="HTML Preformatted"/>
    <w:basedOn w:val="Normal"/>
    <w:link w:val="HTMLPreformattedChar"/>
    <w:uiPriority w:val="99"/>
    <w:semiHidden/>
    <w:unhideWhenUsed/>
    <w:rsid w:val="00596111"/>
    <w:rPr>
      <w:rFonts w:ascii="Consolas" w:hAnsi="Consolas" w:cs="Consolas"/>
      <w:sz w:val="20"/>
      <w:szCs w:val="20"/>
    </w:rPr>
  </w:style>
  <w:style w:type="character" w:styleId="HTMLSample">
    <w:name w:val="HTML Sample"/>
    <w:basedOn w:val="DefaultParagraphFont"/>
    <w:uiPriority w:val="99"/>
    <w:semiHidden/>
    <w:unhideWhenUsed/>
    <w:rsid w:val="00596111"/>
    <w:rPr>
      <w:rFonts w:ascii="Consolas" w:hAnsi="Consolas" w:cs="Consolas"/>
      <w:sz w:val="24"/>
      <w:szCs w:val="24"/>
    </w:rPr>
  </w:style>
  <w:style w:type="character" w:styleId="HTMLTypewriter">
    <w:name w:val="HTML Typewriter"/>
    <w:basedOn w:val="DefaultParagraphFont"/>
    <w:uiPriority w:val="99"/>
    <w:semiHidden/>
    <w:unhideWhenUsed/>
    <w:rsid w:val="00596111"/>
    <w:rPr>
      <w:rFonts w:ascii="Consolas" w:hAnsi="Consolas" w:cs="Consolas"/>
      <w:sz w:val="20"/>
      <w:szCs w:val="20"/>
    </w:rPr>
  </w:style>
  <w:style w:type="character" w:styleId="HTMLVariable">
    <w:name w:val="HTML Variable"/>
    <w:basedOn w:val="DefaultParagraphFont"/>
    <w:uiPriority w:val="99"/>
    <w:semiHidden/>
    <w:unhideWhenUsed/>
    <w:rsid w:val="00596111"/>
    <w:rPr>
      <w:i/>
      <w:iCs/>
    </w:rPr>
  </w:style>
  <w:style w:type="paragraph" w:styleId="Index1">
    <w:name w:val="index 1"/>
    <w:basedOn w:val="Normal"/>
    <w:next w:val="Normal"/>
    <w:autoRedefine/>
    <w:uiPriority w:val="99"/>
    <w:semiHidden/>
    <w:unhideWhenUsed/>
    <w:rsid w:val="00596111"/>
    <w:pPr>
      <w:ind w:left="180" w:hanging="180"/>
    </w:pPr>
  </w:style>
  <w:style w:type="paragraph" w:styleId="Index2">
    <w:name w:val="index 2"/>
    <w:basedOn w:val="Normal"/>
    <w:next w:val="Normal"/>
    <w:autoRedefine/>
    <w:uiPriority w:val="99"/>
    <w:semiHidden/>
    <w:unhideWhenUsed/>
    <w:rsid w:val="00596111"/>
    <w:pPr>
      <w:ind w:left="360" w:hanging="180"/>
    </w:pPr>
  </w:style>
  <w:style w:type="paragraph" w:styleId="Index3">
    <w:name w:val="index 3"/>
    <w:basedOn w:val="Normal"/>
    <w:next w:val="Normal"/>
    <w:autoRedefine/>
    <w:uiPriority w:val="99"/>
    <w:semiHidden/>
    <w:unhideWhenUsed/>
    <w:rsid w:val="00596111"/>
    <w:pPr>
      <w:ind w:left="540" w:hanging="180"/>
    </w:pPr>
  </w:style>
  <w:style w:type="paragraph" w:styleId="Index4">
    <w:name w:val="index 4"/>
    <w:basedOn w:val="Normal"/>
    <w:next w:val="Normal"/>
    <w:autoRedefine/>
    <w:uiPriority w:val="99"/>
    <w:semiHidden/>
    <w:unhideWhenUsed/>
    <w:rsid w:val="00596111"/>
    <w:pPr>
      <w:ind w:left="720" w:hanging="180"/>
    </w:pPr>
  </w:style>
  <w:style w:type="paragraph" w:styleId="Index5">
    <w:name w:val="index 5"/>
    <w:basedOn w:val="Normal"/>
    <w:next w:val="Normal"/>
    <w:autoRedefine/>
    <w:uiPriority w:val="99"/>
    <w:semiHidden/>
    <w:unhideWhenUsed/>
    <w:rsid w:val="00596111"/>
    <w:pPr>
      <w:ind w:left="900" w:hanging="180"/>
    </w:pPr>
  </w:style>
  <w:style w:type="paragraph" w:styleId="Index6">
    <w:name w:val="index 6"/>
    <w:basedOn w:val="Normal"/>
    <w:next w:val="Normal"/>
    <w:autoRedefine/>
    <w:uiPriority w:val="99"/>
    <w:semiHidden/>
    <w:unhideWhenUsed/>
    <w:rsid w:val="00596111"/>
    <w:pPr>
      <w:ind w:left="1080" w:hanging="180"/>
    </w:pPr>
  </w:style>
  <w:style w:type="paragraph" w:styleId="Index7">
    <w:name w:val="index 7"/>
    <w:basedOn w:val="Normal"/>
    <w:next w:val="Normal"/>
    <w:autoRedefine/>
    <w:uiPriority w:val="99"/>
    <w:semiHidden/>
    <w:unhideWhenUsed/>
    <w:rsid w:val="00596111"/>
    <w:pPr>
      <w:ind w:left="1260" w:hanging="180"/>
    </w:pPr>
  </w:style>
  <w:style w:type="paragraph" w:styleId="Index8">
    <w:name w:val="index 8"/>
    <w:basedOn w:val="Normal"/>
    <w:next w:val="Normal"/>
    <w:autoRedefine/>
    <w:uiPriority w:val="99"/>
    <w:semiHidden/>
    <w:unhideWhenUsed/>
    <w:rsid w:val="00596111"/>
    <w:pPr>
      <w:ind w:left="1440" w:hanging="180"/>
    </w:pPr>
  </w:style>
  <w:style w:type="paragraph" w:styleId="Index9">
    <w:name w:val="index 9"/>
    <w:basedOn w:val="Normal"/>
    <w:next w:val="Normal"/>
    <w:autoRedefine/>
    <w:uiPriority w:val="99"/>
    <w:semiHidden/>
    <w:unhideWhenUsed/>
    <w:rsid w:val="00596111"/>
    <w:pPr>
      <w:ind w:left="1620" w:hanging="180"/>
    </w:pPr>
  </w:style>
  <w:style w:type="paragraph" w:styleId="IndexHeading">
    <w:name w:val="index heading"/>
    <w:basedOn w:val="Normal"/>
    <w:next w:val="Index1"/>
    <w:uiPriority w:val="99"/>
    <w:semiHidden/>
    <w:unhideWhenUsed/>
    <w:rsid w:val="0059611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96111"/>
    <w:rPr>
      <w:b/>
      <w:bCs/>
      <w:i/>
      <w:iCs/>
      <w:color w:val="4F81BD" w:themeColor="accent1"/>
    </w:rPr>
  </w:style>
  <w:style w:type="paragraph" w:styleId="IntenseQuote">
    <w:name w:val="Intense Quote"/>
    <w:basedOn w:val="Normal"/>
    <w:next w:val="Normal"/>
    <w:link w:val="IntenseQuoteChar"/>
    <w:uiPriority w:val="59"/>
    <w:semiHidden/>
    <w:qFormat/>
    <w:rsid w:val="00596111"/>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596111"/>
    <w:rPr>
      <w:b/>
      <w:bCs/>
      <w:smallCaps/>
      <w:color w:val="C0504D" w:themeColor="accent2"/>
      <w:spacing w:val="5"/>
      <w:u w:val="single"/>
    </w:rPr>
  </w:style>
  <w:style w:type="character" w:styleId="LineNumber">
    <w:name w:val="line number"/>
    <w:basedOn w:val="DefaultParagraphFont"/>
    <w:uiPriority w:val="99"/>
    <w:semiHidden/>
    <w:unhideWhenUsed/>
    <w:rsid w:val="00596111"/>
  </w:style>
  <w:style w:type="paragraph" w:styleId="List">
    <w:name w:val="List"/>
    <w:basedOn w:val="Normal"/>
    <w:uiPriority w:val="99"/>
    <w:semiHidden/>
    <w:unhideWhenUsed/>
    <w:rsid w:val="00596111"/>
    <w:pPr>
      <w:ind w:left="283" w:hanging="283"/>
      <w:contextualSpacing/>
    </w:pPr>
  </w:style>
  <w:style w:type="paragraph" w:styleId="List2">
    <w:name w:val="List 2"/>
    <w:basedOn w:val="Normal"/>
    <w:uiPriority w:val="99"/>
    <w:semiHidden/>
    <w:unhideWhenUsed/>
    <w:rsid w:val="00596111"/>
    <w:pPr>
      <w:ind w:left="566" w:hanging="283"/>
      <w:contextualSpacing/>
    </w:pPr>
  </w:style>
  <w:style w:type="paragraph" w:styleId="List3">
    <w:name w:val="List 3"/>
    <w:basedOn w:val="Normal"/>
    <w:uiPriority w:val="99"/>
    <w:semiHidden/>
    <w:unhideWhenUsed/>
    <w:rsid w:val="00596111"/>
    <w:pPr>
      <w:ind w:left="849" w:hanging="283"/>
      <w:contextualSpacing/>
    </w:pPr>
  </w:style>
  <w:style w:type="paragraph" w:styleId="List4">
    <w:name w:val="List 4"/>
    <w:basedOn w:val="Normal"/>
    <w:uiPriority w:val="99"/>
    <w:semiHidden/>
    <w:unhideWhenUsed/>
    <w:rsid w:val="00596111"/>
    <w:pPr>
      <w:ind w:left="1132" w:hanging="283"/>
      <w:contextualSpacing/>
    </w:pPr>
  </w:style>
  <w:style w:type="paragraph" w:styleId="List5">
    <w:name w:val="List 5"/>
    <w:basedOn w:val="Normal"/>
    <w:uiPriority w:val="99"/>
    <w:semiHidden/>
    <w:unhideWhenUsed/>
    <w:rsid w:val="00596111"/>
    <w:pPr>
      <w:ind w:left="1415" w:hanging="283"/>
      <w:contextualSpacing/>
    </w:pPr>
  </w:style>
  <w:style w:type="paragraph" w:styleId="ListContinue">
    <w:name w:val="List Continue"/>
    <w:basedOn w:val="Normal"/>
    <w:uiPriority w:val="99"/>
    <w:semiHidden/>
    <w:unhideWhenUsed/>
    <w:rsid w:val="00596111"/>
    <w:pPr>
      <w:spacing w:after="120"/>
      <w:ind w:left="283"/>
      <w:contextualSpacing/>
    </w:pPr>
  </w:style>
  <w:style w:type="paragraph" w:styleId="ListContinue2">
    <w:name w:val="List Continue 2"/>
    <w:basedOn w:val="Normal"/>
    <w:uiPriority w:val="99"/>
    <w:semiHidden/>
    <w:unhideWhenUsed/>
    <w:rsid w:val="00596111"/>
    <w:pPr>
      <w:spacing w:after="120"/>
      <w:ind w:left="566"/>
      <w:contextualSpacing/>
    </w:pPr>
  </w:style>
  <w:style w:type="paragraph" w:styleId="ListContinue3">
    <w:name w:val="List Continue 3"/>
    <w:basedOn w:val="Normal"/>
    <w:uiPriority w:val="99"/>
    <w:semiHidden/>
    <w:unhideWhenUsed/>
    <w:rsid w:val="00596111"/>
    <w:pPr>
      <w:spacing w:after="120"/>
      <w:ind w:left="849"/>
      <w:contextualSpacing/>
    </w:pPr>
  </w:style>
  <w:style w:type="paragraph" w:styleId="ListContinue4">
    <w:name w:val="List Continue 4"/>
    <w:basedOn w:val="Normal"/>
    <w:uiPriority w:val="99"/>
    <w:semiHidden/>
    <w:unhideWhenUsed/>
    <w:rsid w:val="00596111"/>
    <w:pPr>
      <w:spacing w:after="120"/>
      <w:ind w:left="1132"/>
      <w:contextualSpacing/>
    </w:pPr>
  </w:style>
  <w:style w:type="paragraph" w:styleId="ListContinue5">
    <w:name w:val="List Continue 5"/>
    <w:basedOn w:val="Normal"/>
    <w:uiPriority w:val="99"/>
    <w:semiHidden/>
    <w:unhideWhenUsed/>
    <w:rsid w:val="00596111"/>
    <w:pPr>
      <w:spacing w:after="120"/>
      <w:ind w:left="1415"/>
      <w:contextualSpacing/>
    </w:pPr>
  </w:style>
  <w:style w:type="paragraph" w:styleId="ListNumber">
    <w:name w:val="List Number"/>
    <w:basedOn w:val="Normal"/>
    <w:uiPriority w:val="49"/>
    <w:semiHidden/>
    <w:unhideWhenUsed/>
    <w:rsid w:val="00596111"/>
    <w:pPr>
      <w:numPr>
        <w:numId w:val="2"/>
      </w:numPr>
      <w:contextualSpacing/>
    </w:pPr>
  </w:style>
  <w:style w:type="paragraph" w:styleId="ListNumber2">
    <w:name w:val="List Number 2"/>
    <w:basedOn w:val="Normal"/>
    <w:uiPriority w:val="49"/>
    <w:semiHidden/>
    <w:unhideWhenUsed/>
    <w:rsid w:val="00596111"/>
    <w:pPr>
      <w:numPr>
        <w:numId w:val="3"/>
      </w:numPr>
      <w:contextualSpacing/>
    </w:pPr>
  </w:style>
  <w:style w:type="paragraph" w:styleId="ListNumber3">
    <w:name w:val="List Number 3"/>
    <w:basedOn w:val="Normal"/>
    <w:uiPriority w:val="49"/>
    <w:semiHidden/>
    <w:unhideWhenUsed/>
    <w:rsid w:val="00596111"/>
    <w:pPr>
      <w:numPr>
        <w:numId w:val="4"/>
      </w:numPr>
      <w:contextualSpacing/>
    </w:pPr>
  </w:style>
  <w:style w:type="paragraph" w:styleId="ListNumber4">
    <w:name w:val="List Number 4"/>
    <w:basedOn w:val="Normal"/>
    <w:uiPriority w:val="49"/>
    <w:semiHidden/>
    <w:unhideWhenUsed/>
    <w:rsid w:val="00596111"/>
    <w:pPr>
      <w:numPr>
        <w:numId w:val="5"/>
      </w:numPr>
      <w:contextualSpacing/>
    </w:pPr>
  </w:style>
  <w:style w:type="paragraph" w:styleId="ListNumber5">
    <w:name w:val="List Number 5"/>
    <w:basedOn w:val="Normal"/>
    <w:uiPriority w:val="49"/>
    <w:semiHidden/>
    <w:unhideWhenUsed/>
    <w:rsid w:val="00596111"/>
    <w:pPr>
      <w:numPr>
        <w:numId w:val="6"/>
      </w:numPr>
      <w:contextualSpacing/>
    </w:pPr>
  </w:style>
  <w:style w:type="paragraph" w:styleId="MacroText">
    <w:name w:val="macro"/>
    <w:link w:val="MacroTextChar"/>
    <w:uiPriority w:val="99"/>
    <w:semiHidden/>
    <w:unhideWhenUsed/>
    <w:rsid w:val="0059611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paragraph" w:styleId="MessageHeader">
    <w:name w:val="Message Header"/>
    <w:basedOn w:val="Normal"/>
    <w:link w:val="MessageHeaderChar"/>
    <w:uiPriority w:val="99"/>
    <w:semiHidden/>
    <w:unhideWhenUsed/>
    <w:rsid w:val="005961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596111"/>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596111"/>
    <w:rPr>
      <w:rFonts w:ascii="Times New Roman" w:hAnsi="Times New Roman" w:cs="Times New Roman"/>
      <w:sz w:val="24"/>
      <w:szCs w:val="24"/>
    </w:rPr>
  </w:style>
  <w:style w:type="paragraph" w:styleId="NormalIndent">
    <w:name w:val="Normal Indent"/>
    <w:basedOn w:val="Normal"/>
    <w:uiPriority w:val="99"/>
    <w:semiHidden/>
    <w:unhideWhenUsed/>
    <w:rsid w:val="00596111"/>
    <w:pPr>
      <w:ind w:left="720"/>
    </w:pPr>
  </w:style>
  <w:style w:type="paragraph" w:styleId="NoteHeading">
    <w:name w:val="Note Heading"/>
    <w:basedOn w:val="Normal"/>
    <w:next w:val="Normal"/>
    <w:link w:val="NoteHeadingChar"/>
    <w:uiPriority w:val="99"/>
    <w:semiHidden/>
    <w:unhideWhenUsed/>
    <w:rsid w:val="00596111"/>
  </w:style>
  <w:style w:type="character" w:styleId="PageNumber">
    <w:name w:val="page number"/>
    <w:basedOn w:val="DefaultParagraphFont"/>
    <w:uiPriority w:val="99"/>
    <w:semiHidden/>
    <w:unhideWhenUsed/>
    <w:rsid w:val="00596111"/>
  </w:style>
  <w:style w:type="character" w:styleId="PlaceholderText">
    <w:name w:val="Placeholder Text"/>
    <w:basedOn w:val="DefaultParagraphFont"/>
    <w:uiPriority w:val="99"/>
    <w:semiHidden/>
    <w:rsid w:val="00596111"/>
    <w:rPr>
      <w:color w:val="808080"/>
    </w:rPr>
  </w:style>
  <w:style w:type="paragraph" w:styleId="PlainText">
    <w:name w:val="Plain Text"/>
    <w:basedOn w:val="Normal"/>
    <w:link w:val="PlainTextChar"/>
    <w:uiPriority w:val="99"/>
    <w:unhideWhenUsed/>
    <w:rsid w:val="00596111"/>
    <w:rPr>
      <w:rFonts w:ascii="Consolas" w:hAnsi="Consolas" w:cs="Consolas"/>
      <w:sz w:val="21"/>
      <w:szCs w:val="21"/>
    </w:rPr>
  </w:style>
  <w:style w:type="paragraph" w:styleId="Quote">
    <w:name w:val="Quote"/>
    <w:basedOn w:val="Normal"/>
    <w:next w:val="Normal"/>
    <w:link w:val="QuoteChar"/>
    <w:uiPriority w:val="59"/>
    <w:qFormat/>
    <w:rsid w:val="00596111"/>
    <w:rPr>
      <w:i/>
      <w:iCs/>
      <w:color w:val="000000" w:themeColor="text1"/>
    </w:rPr>
  </w:style>
  <w:style w:type="paragraph" w:styleId="Salutation">
    <w:name w:val="Salutation"/>
    <w:basedOn w:val="Normal"/>
    <w:next w:val="Normal"/>
    <w:link w:val="SalutationChar"/>
    <w:uiPriority w:val="99"/>
    <w:semiHidden/>
    <w:unhideWhenUsed/>
    <w:rsid w:val="00596111"/>
  </w:style>
  <w:style w:type="paragraph" w:styleId="Signature">
    <w:name w:val="Signature"/>
    <w:basedOn w:val="Normal"/>
    <w:link w:val="SignatureChar"/>
    <w:uiPriority w:val="99"/>
    <w:semiHidden/>
    <w:unhideWhenUsed/>
    <w:rsid w:val="00596111"/>
    <w:pPr>
      <w:ind w:left="4252"/>
    </w:pPr>
  </w:style>
  <w:style w:type="character" w:styleId="Strong">
    <w:name w:val="Strong"/>
    <w:basedOn w:val="DefaultParagraphFont"/>
    <w:uiPriority w:val="99"/>
    <w:semiHidden/>
    <w:qFormat/>
    <w:rsid w:val="00596111"/>
    <w:rPr>
      <w:b/>
      <w:bCs/>
    </w:rPr>
  </w:style>
  <w:style w:type="character" w:styleId="SubtleEmphasis">
    <w:name w:val="Subtle Emphasis"/>
    <w:basedOn w:val="DefaultParagraphFont"/>
    <w:uiPriority w:val="99"/>
    <w:semiHidden/>
    <w:qFormat/>
    <w:rsid w:val="00596111"/>
    <w:rPr>
      <w:i/>
      <w:iCs/>
      <w:color w:val="808080" w:themeColor="text1" w:themeTint="7F"/>
    </w:rPr>
  </w:style>
  <w:style w:type="character" w:styleId="SubtleReference">
    <w:name w:val="Subtle Reference"/>
    <w:basedOn w:val="DefaultParagraphFont"/>
    <w:uiPriority w:val="99"/>
    <w:semiHidden/>
    <w:qFormat/>
    <w:rsid w:val="00596111"/>
    <w:rPr>
      <w:smallCaps/>
      <w:color w:val="C0504D" w:themeColor="accent2"/>
      <w:u w:val="single"/>
    </w:rPr>
  </w:style>
  <w:style w:type="paragraph" w:styleId="TOAHeading">
    <w:name w:val="toa heading"/>
    <w:basedOn w:val="Normal"/>
    <w:next w:val="Normal"/>
    <w:uiPriority w:val="39"/>
    <w:unhideWhenUsed/>
    <w:rsid w:val="00596111"/>
    <w:pPr>
      <w:spacing w:before="120"/>
    </w:pPr>
    <w:rPr>
      <w:rFonts w:asciiTheme="majorHAnsi" w:eastAsiaTheme="majorEastAsia" w:hAnsiTheme="majorHAnsi" w:cstheme="majorBidi"/>
      <w:b/>
      <w:bCs/>
      <w:sz w:val="24"/>
      <w:szCs w:val="24"/>
    </w:rPr>
  </w:style>
  <w:style w:type="character" w:styleId="Hashtag">
    <w:name w:val="Hashtag"/>
    <w:basedOn w:val="DefaultParagraphFont"/>
    <w:uiPriority w:val="99"/>
    <w:semiHidden/>
    <w:unhideWhenUsed/>
    <w:rsid w:val="00617042"/>
    <w:rPr>
      <w:color w:val="2B579A"/>
      <w:shd w:val="clear" w:color="auto" w:fill="E1DFDD"/>
    </w:rPr>
  </w:style>
  <w:style w:type="character" w:styleId="Mention">
    <w:name w:val="Mention"/>
    <w:basedOn w:val="DefaultParagraphFont"/>
    <w:uiPriority w:val="99"/>
    <w:semiHidden/>
    <w:unhideWhenUsed/>
    <w:rsid w:val="00617042"/>
    <w:rPr>
      <w:color w:val="2B579A"/>
      <w:shd w:val="clear" w:color="auto" w:fill="E1DFDD"/>
    </w:rPr>
  </w:style>
  <w:style w:type="character" w:styleId="SmartHyperlink">
    <w:name w:val="Smart Hyperlink"/>
    <w:basedOn w:val="DefaultParagraphFont"/>
    <w:uiPriority w:val="99"/>
    <w:semiHidden/>
    <w:unhideWhenUsed/>
    <w:rsid w:val="00617042"/>
    <w:rPr>
      <w:u w:val="dotted"/>
    </w:rPr>
  </w:style>
  <w:style w:type="character" w:styleId="UnresolvedMention">
    <w:name w:val="Unresolved Mention"/>
    <w:basedOn w:val="DefaultParagraphFont"/>
    <w:uiPriority w:val="99"/>
    <w:semiHidden/>
    <w:unhideWhenUsed/>
    <w:rsid w:val="00617042"/>
    <w:rPr>
      <w:color w:val="605E5C"/>
      <w:shd w:val="clear" w:color="auto" w:fill="E1DFDD"/>
    </w:rPr>
  </w:style>
  <w:style w:type="character" w:customStyle="1" w:styleId="AnswerChar">
    <w:name w:val="Answer Char"/>
    <w:link w:val="Answer"/>
    <w:uiPriority w:val="6"/>
    <w:rsid w:val="00596111"/>
    <w:rPr>
      <w:rFonts w:ascii="Verdana" w:hAnsi="Verdana"/>
      <w:sz w:val="18"/>
      <w:szCs w:val="22"/>
      <w:lang w:eastAsia="en-US"/>
    </w:rPr>
  </w:style>
  <w:style w:type="character" w:customStyle="1" w:styleId="BalloonTextChar">
    <w:name w:val="Balloon Text Char"/>
    <w:basedOn w:val="DefaultParagraphFont"/>
    <w:link w:val="BalloonText"/>
    <w:uiPriority w:val="99"/>
    <w:semiHidden/>
    <w:rsid w:val="00596111"/>
    <w:rPr>
      <w:rFonts w:ascii="Tahoma" w:eastAsiaTheme="minorHAnsi" w:hAnsi="Tahoma" w:cs="Tahoma"/>
      <w:sz w:val="16"/>
      <w:szCs w:val="16"/>
      <w:lang w:eastAsia="en-US"/>
    </w:rPr>
  </w:style>
  <w:style w:type="character" w:customStyle="1" w:styleId="BodyTextChar">
    <w:name w:val="Body Text Char"/>
    <w:basedOn w:val="DefaultParagraphFont"/>
    <w:link w:val="BodyText"/>
    <w:uiPriority w:val="1"/>
    <w:rsid w:val="00596111"/>
    <w:rPr>
      <w:rFonts w:ascii="Verdana" w:eastAsiaTheme="minorHAnsi" w:hAnsi="Verdana" w:cstheme="minorBidi"/>
      <w:sz w:val="18"/>
      <w:szCs w:val="22"/>
      <w:lang w:eastAsia="en-US"/>
    </w:rPr>
  </w:style>
  <w:style w:type="character" w:customStyle="1" w:styleId="BodyText2Char">
    <w:name w:val="Body Text 2 Char"/>
    <w:basedOn w:val="DefaultParagraphFont"/>
    <w:link w:val="BodyText2"/>
    <w:uiPriority w:val="1"/>
    <w:rsid w:val="00596111"/>
    <w:rPr>
      <w:rFonts w:ascii="Verdana" w:eastAsiaTheme="minorHAnsi" w:hAnsi="Verdana" w:cstheme="minorBidi"/>
      <w:sz w:val="18"/>
      <w:szCs w:val="22"/>
      <w:lang w:eastAsia="en-US"/>
    </w:rPr>
  </w:style>
  <w:style w:type="character" w:customStyle="1" w:styleId="BodyText3Char">
    <w:name w:val="Body Text 3 Char"/>
    <w:basedOn w:val="DefaultParagraphFont"/>
    <w:link w:val="BodyText3"/>
    <w:uiPriority w:val="1"/>
    <w:rsid w:val="00596111"/>
    <w:rPr>
      <w:rFonts w:ascii="Verdana" w:eastAsiaTheme="minorHAnsi" w:hAnsi="Verdana" w:cstheme="minorBidi"/>
      <w:sz w:val="18"/>
      <w:szCs w:val="16"/>
      <w:lang w:eastAsia="en-US"/>
    </w:rPr>
  </w:style>
  <w:style w:type="character" w:customStyle="1" w:styleId="BodyTextFirstIndentChar">
    <w:name w:val="Body Text First Indent Char"/>
    <w:basedOn w:val="BodyTextChar"/>
    <w:link w:val="BodyTextFirstIndent"/>
    <w:uiPriority w:val="99"/>
    <w:semiHidden/>
    <w:rsid w:val="00596111"/>
    <w:rPr>
      <w:rFonts w:ascii="Verdana" w:eastAsiaTheme="minorHAnsi" w:hAnsi="Verdana" w:cstheme="minorBidi"/>
      <w:sz w:val="18"/>
      <w:szCs w:val="22"/>
      <w:lang w:eastAsia="en-US"/>
    </w:rPr>
  </w:style>
  <w:style w:type="character" w:customStyle="1" w:styleId="BodyTextFirstIndent2Char">
    <w:name w:val="Body Text First Indent 2 Char"/>
    <w:basedOn w:val="BodyTextIndentChar"/>
    <w:link w:val="BodyTextFirstIndent2"/>
    <w:uiPriority w:val="99"/>
    <w:semiHidden/>
    <w:rsid w:val="00596111"/>
    <w:rPr>
      <w:rFonts w:ascii="Verdana" w:eastAsiaTheme="minorHAnsi" w:hAnsi="Verdana" w:cstheme="minorBidi"/>
      <w:sz w:val="18"/>
      <w:szCs w:val="22"/>
      <w:lang w:eastAsia="en-US"/>
    </w:rPr>
  </w:style>
  <w:style w:type="character" w:customStyle="1" w:styleId="BodyTextIndentChar">
    <w:name w:val="Body Text Indent Char"/>
    <w:basedOn w:val="DefaultParagraphFont"/>
    <w:link w:val="BodyTextIndent"/>
    <w:uiPriority w:val="99"/>
    <w:semiHidden/>
    <w:rsid w:val="00596111"/>
    <w:rPr>
      <w:rFonts w:ascii="Verdana" w:eastAsiaTheme="minorHAnsi" w:hAnsi="Verdana" w:cstheme="minorBidi"/>
      <w:sz w:val="18"/>
      <w:szCs w:val="22"/>
      <w:lang w:eastAsia="en-US"/>
    </w:rPr>
  </w:style>
  <w:style w:type="character" w:customStyle="1" w:styleId="BodyTextIndent2Char">
    <w:name w:val="Body Text Indent 2 Char"/>
    <w:basedOn w:val="DefaultParagraphFont"/>
    <w:link w:val="BodyTextIndent2"/>
    <w:uiPriority w:val="99"/>
    <w:semiHidden/>
    <w:rsid w:val="00596111"/>
    <w:rPr>
      <w:rFonts w:ascii="Verdana" w:eastAsiaTheme="minorHAnsi" w:hAnsi="Verdana" w:cstheme="minorBidi"/>
      <w:sz w:val="18"/>
      <w:szCs w:val="22"/>
      <w:lang w:eastAsia="en-US"/>
    </w:rPr>
  </w:style>
  <w:style w:type="character" w:customStyle="1" w:styleId="BodyTextIndent3Char">
    <w:name w:val="Body Text Indent 3 Char"/>
    <w:basedOn w:val="DefaultParagraphFont"/>
    <w:link w:val="BodyTextIndent3"/>
    <w:uiPriority w:val="99"/>
    <w:semiHidden/>
    <w:rsid w:val="00596111"/>
    <w:rPr>
      <w:rFonts w:ascii="Verdana" w:eastAsiaTheme="minorHAnsi" w:hAnsi="Verdana" w:cstheme="minorBidi"/>
      <w:sz w:val="16"/>
      <w:szCs w:val="16"/>
      <w:lang w:eastAsia="en-US"/>
    </w:rPr>
  </w:style>
  <w:style w:type="character" w:customStyle="1" w:styleId="ClosingChar">
    <w:name w:val="Closing Char"/>
    <w:basedOn w:val="DefaultParagraphFont"/>
    <w:link w:val="Closing"/>
    <w:uiPriority w:val="99"/>
    <w:semiHidden/>
    <w:rsid w:val="00596111"/>
    <w:rPr>
      <w:rFonts w:ascii="Verdana" w:eastAsiaTheme="minorHAnsi" w:hAnsi="Verdana" w:cstheme="minorBidi"/>
      <w:sz w:val="18"/>
      <w:szCs w:val="22"/>
      <w:lang w:eastAsia="en-US"/>
    </w:rPr>
  </w:style>
  <w:style w:type="character" w:customStyle="1" w:styleId="CommentSubjectChar">
    <w:name w:val="Comment Subject Char"/>
    <w:basedOn w:val="CommentTextChar"/>
    <w:link w:val="CommentSubject"/>
    <w:uiPriority w:val="99"/>
    <w:rsid w:val="00596111"/>
    <w:rPr>
      <w:rFonts w:ascii="Verdana" w:eastAsiaTheme="minorHAnsi" w:hAnsi="Verdana" w:cstheme="minorBidi"/>
      <w:b/>
      <w:bCs/>
      <w:lang w:eastAsia="en-US"/>
    </w:rPr>
  </w:style>
  <w:style w:type="character" w:customStyle="1" w:styleId="CommentTextChar">
    <w:name w:val="Comment Text Char"/>
    <w:basedOn w:val="DefaultParagraphFont"/>
    <w:link w:val="CommentText"/>
    <w:uiPriority w:val="99"/>
    <w:rsid w:val="00596111"/>
    <w:rPr>
      <w:rFonts w:ascii="Verdana" w:eastAsiaTheme="minorHAnsi" w:hAnsi="Verdana" w:cstheme="minorBidi"/>
      <w:lang w:eastAsia="en-US"/>
    </w:rPr>
  </w:style>
  <w:style w:type="character" w:customStyle="1" w:styleId="DateChar">
    <w:name w:val="Date Char"/>
    <w:basedOn w:val="DefaultParagraphFont"/>
    <w:link w:val="Date"/>
    <w:uiPriority w:val="99"/>
    <w:semiHidden/>
    <w:rsid w:val="00596111"/>
    <w:rPr>
      <w:rFonts w:ascii="Verdana" w:eastAsiaTheme="minorHAnsi" w:hAnsi="Verdana" w:cstheme="minorBidi"/>
      <w:sz w:val="18"/>
      <w:szCs w:val="22"/>
      <w:lang w:eastAsia="en-US"/>
    </w:rPr>
  </w:style>
  <w:style w:type="character" w:customStyle="1" w:styleId="DocumentMapChar">
    <w:name w:val="Document Map Char"/>
    <w:basedOn w:val="DefaultParagraphFont"/>
    <w:link w:val="DocumentMap"/>
    <w:uiPriority w:val="99"/>
    <w:semiHidden/>
    <w:rsid w:val="00596111"/>
    <w:rPr>
      <w:rFonts w:ascii="Tahoma" w:eastAsiaTheme="minorHAnsi" w:hAnsi="Tahoma" w:cs="Tahoma"/>
      <w:sz w:val="16"/>
      <w:szCs w:val="16"/>
      <w:lang w:eastAsia="en-US"/>
    </w:rPr>
  </w:style>
  <w:style w:type="character" w:customStyle="1" w:styleId="E-mailSignatureChar">
    <w:name w:val="E-mail Signature Char"/>
    <w:basedOn w:val="DefaultParagraphFont"/>
    <w:link w:val="E-mailSignature"/>
    <w:uiPriority w:val="99"/>
    <w:semiHidden/>
    <w:rsid w:val="00596111"/>
    <w:rPr>
      <w:rFonts w:ascii="Verdana" w:eastAsiaTheme="minorHAnsi" w:hAnsi="Verdana" w:cstheme="minorBidi"/>
      <w:sz w:val="18"/>
      <w:szCs w:val="22"/>
      <w:lang w:eastAsia="en-US"/>
    </w:rPr>
  </w:style>
  <w:style w:type="character" w:customStyle="1" w:styleId="EndnoteTextChar">
    <w:name w:val="Endnote Text Char"/>
    <w:link w:val="EndnoteText"/>
    <w:uiPriority w:val="49"/>
    <w:rsid w:val="00596111"/>
    <w:rPr>
      <w:rFonts w:ascii="Verdana" w:hAnsi="Verdana"/>
      <w:sz w:val="16"/>
    </w:rPr>
  </w:style>
  <w:style w:type="character" w:customStyle="1" w:styleId="FollowUpChar">
    <w:name w:val="FollowUp Char"/>
    <w:link w:val="FollowUp"/>
    <w:uiPriority w:val="6"/>
    <w:rsid w:val="00596111"/>
    <w:rPr>
      <w:rFonts w:ascii="Verdana" w:hAnsi="Verdana"/>
      <w:i/>
      <w:sz w:val="18"/>
      <w:szCs w:val="22"/>
      <w:lang w:eastAsia="en-US"/>
    </w:rPr>
  </w:style>
  <w:style w:type="character" w:customStyle="1" w:styleId="FooterChar">
    <w:name w:val="Footer Char"/>
    <w:link w:val="Footer"/>
    <w:uiPriority w:val="3"/>
    <w:rsid w:val="00596111"/>
    <w:rPr>
      <w:rFonts w:ascii="Verdana" w:hAnsi="Verdana"/>
      <w:sz w:val="18"/>
      <w:szCs w:val="18"/>
    </w:rPr>
  </w:style>
  <w:style w:type="character" w:customStyle="1" w:styleId="FootnoteTextChar">
    <w:name w:val="Footnote Text Char"/>
    <w:link w:val="FootnoteText"/>
    <w:uiPriority w:val="5"/>
    <w:rsid w:val="00596111"/>
    <w:rPr>
      <w:rFonts w:ascii="Verdana" w:hAnsi="Verdana"/>
      <w:sz w:val="16"/>
      <w:szCs w:val="18"/>
    </w:rPr>
  </w:style>
  <w:style w:type="character" w:customStyle="1" w:styleId="HeaderChar">
    <w:name w:val="Header Char"/>
    <w:link w:val="Header"/>
    <w:uiPriority w:val="5"/>
    <w:rsid w:val="00596111"/>
    <w:rPr>
      <w:rFonts w:ascii="Verdana" w:hAnsi="Verdana"/>
      <w:sz w:val="18"/>
      <w:szCs w:val="18"/>
    </w:rPr>
  </w:style>
  <w:style w:type="character" w:customStyle="1" w:styleId="Heading1Char">
    <w:name w:val="Heading 1 Char"/>
    <w:basedOn w:val="DefaultParagraphFont"/>
    <w:link w:val="Heading1"/>
    <w:uiPriority w:val="2"/>
    <w:rsid w:val="00596111"/>
    <w:rPr>
      <w:rFonts w:ascii="Verdana" w:eastAsiaTheme="majorEastAsia" w:hAnsi="Verdana" w:cstheme="majorBidi"/>
      <w:b/>
      <w:bCs/>
      <w:caps/>
      <w:color w:val="006283"/>
      <w:sz w:val="18"/>
      <w:szCs w:val="28"/>
      <w:lang w:eastAsia="en-US"/>
    </w:rPr>
  </w:style>
  <w:style w:type="character" w:customStyle="1" w:styleId="Heading2Char">
    <w:name w:val="Heading 2 Char"/>
    <w:basedOn w:val="DefaultParagraphFont"/>
    <w:link w:val="Heading2"/>
    <w:uiPriority w:val="2"/>
    <w:rsid w:val="00596111"/>
    <w:rPr>
      <w:rFonts w:ascii="Verdana" w:eastAsiaTheme="majorEastAsia" w:hAnsi="Verdana" w:cstheme="majorBidi"/>
      <w:b/>
      <w:bCs/>
      <w:color w:val="006283"/>
      <w:sz w:val="18"/>
      <w:szCs w:val="26"/>
      <w:lang w:eastAsia="en-US"/>
    </w:rPr>
  </w:style>
  <w:style w:type="character" w:customStyle="1" w:styleId="Heading3Char">
    <w:name w:val="Heading 3 Char"/>
    <w:basedOn w:val="DefaultParagraphFont"/>
    <w:link w:val="Heading3"/>
    <w:uiPriority w:val="2"/>
    <w:rsid w:val="00596111"/>
    <w:rPr>
      <w:rFonts w:ascii="Verdana" w:eastAsiaTheme="majorEastAsia" w:hAnsi="Verdana" w:cstheme="majorBidi"/>
      <w:b/>
      <w:bCs/>
      <w:color w:val="006283"/>
      <w:sz w:val="18"/>
      <w:szCs w:val="22"/>
      <w:lang w:eastAsia="en-US"/>
    </w:rPr>
  </w:style>
  <w:style w:type="character" w:customStyle="1" w:styleId="Heading4Char">
    <w:name w:val="Heading 4 Char"/>
    <w:basedOn w:val="DefaultParagraphFont"/>
    <w:link w:val="Heading4"/>
    <w:uiPriority w:val="2"/>
    <w:rsid w:val="00596111"/>
    <w:rPr>
      <w:rFonts w:ascii="Verdana" w:eastAsiaTheme="majorEastAsia" w:hAnsi="Verdana" w:cstheme="majorBidi"/>
      <w:b/>
      <w:bCs/>
      <w:iCs/>
      <w:color w:val="006283"/>
      <w:sz w:val="18"/>
      <w:szCs w:val="22"/>
      <w:lang w:eastAsia="en-US"/>
    </w:rPr>
  </w:style>
  <w:style w:type="character" w:customStyle="1" w:styleId="Heading5Char">
    <w:name w:val="Heading 5 Char"/>
    <w:basedOn w:val="DefaultParagraphFont"/>
    <w:link w:val="Heading5"/>
    <w:uiPriority w:val="2"/>
    <w:rsid w:val="00596111"/>
    <w:rPr>
      <w:rFonts w:ascii="Verdana" w:eastAsiaTheme="majorEastAsia" w:hAnsi="Verdana" w:cstheme="majorBidi"/>
      <w:b/>
      <w:color w:val="006283"/>
      <w:sz w:val="18"/>
      <w:szCs w:val="22"/>
      <w:lang w:eastAsia="en-US"/>
    </w:rPr>
  </w:style>
  <w:style w:type="character" w:customStyle="1" w:styleId="Heading6Char">
    <w:name w:val="Heading 6 Char"/>
    <w:basedOn w:val="DefaultParagraphFont"/>
    <w:link w:val="Heading6"/>
    <w:uiPriority w:val="2"/>
    <w:rsid w:val="00596111"/>
    <w:rPr>
      <w:rFonts w:ascii="Verdana" w:eastAsiaTheme="majorEastAsia" w:hAnsi="Verdana" w:cstheme="majorBidi"/>
      <w:b/>
      <w:iCs/>
      <w:color w:val="006283"/>
      <w:sz w:val="18"/>
      <w:szCs w:val="22"/>
      <w:lang w:eastAsia="en-US"/>
    </w:rPr>
  </w:style>
  <w:style w:type="character" w:customStyle="1" w:styleId="Heading7Char">
    <w:name w:val="Heading 7 Char"/>
    <w:basedOn w:val="DefaultParagraphFont"/>
    <w:link w:val="Heading7"/>
    <w:uiPriority w:val="2"/>
    <w:rsid w:val="00596111"/>
    <w:rPr>
      <w:rFonts w:ascii="Verdana" w:eastAsiaTheme="majorEastAsia" w:hAnsi="Verdana" w:cstheme="majorBidi"/>
      <w:b/>
      <w:iCs/>
      <w:color w:val="006283"/>
      <w:sz w:val="18"/>
      <w:szCs w:val="22"/>
      <w:lang w:eastAsia="en-US"/>
    </w:rPr>
  </w:style>
  <w:style w:type="character" w:customStyle="1" w:styleId="Heading8Char">
    <w:name w:val="Heading 8 Char"/>
    <w:basedOn w:val="DefaultParagraphFont"/>
    <w:link w:val="Heading8"/>
    <w:uiPriority w:val="2"/>
    <w:rsid w:val="00596111"/>
    <w:rPr>
      <w:rFonts w:ascii="Verdana" w:eastAsiaTheme="majorEastAsia" w:hAnsi="Verdana" w:cstheme="majorBidi"/>
      <w:b/>
      <w:i/>
      <w:color w:val="006283"/>
      <w:sz w:val="18"/>
      <w:lang w:eastAsia="en-US"/>
    </w:rPr>
  </w:style>
  <w:style w:type="character" w:customStyle="1" w:styleId="Heading9Char">
    <w:name w:val="Heading 9 Char"/>
    <w:basedOn w:val="DefaultParagraphFont"/>
    <w:link w:val="Heading9"/>
    <w:uiPriority w:val="2"/>
    <w:rsid w:val="00596111"/>
    <w:rPr>
      <w:rFonts w:ascii="Verdana" w:eastAsiaTheme="majorEastAsia" w:hAnsi="Verdana" w:cstheme="majorBidi"/>
      <w:b/>
      <w:iCs/>
      <w:color w:val="006283"/>
      <w:sz w:val="18"/>
      <w:u w:val="single"/>
      <w:lang w:eastAsia="en-US"/>
    </w:rPr>
  </w:style>
  <w:style w:type="character" w:customStyle="1" w:styleId="HTMLAddressChar">
    <w:name w:val="HTML Address Char"/>
    <w:basedOn w:val="DefaultParagraphFont"/>
    <w:link w:val="HTMLAddress"/>
    <w:uiPriority w:val="99"/>
    <w:semiHidden/>
    <w:rsid w:val="00596111"/>
    <w:rPr>
      <w:rFonts w:ascii="Verdana" w:eastAsiaTheme="minorHAnsi" w:hAnsi="Verdana" w:cstheme="minorBidi"/>
      <w:i/>
      <w:iCs/>
      <w:sz w:val="18"/>
      <w:szCs w:val="22"/>
      <w:lang w:eastAsia="en-US"/>
    </w:rPr>
  </w:style>
  <w:style w:type="character" w:customStyle="1" w:styleId="HTMLPreformattedChar">
    <w:name w:val="HTML Preformatted Char"/>
    <w:basedOn w:val="DefaultParagraphFont"/>
    <w:link w:val="HTMLPreformatted"/>
    <w:uiPriority w:val="99"/>
    <w:semiHidden/>
    <w:rsid w:val="00596111"/>
    <w:rPr>
      <w:rFonts w:ascii="Consolas" w:eastAsiaTheme="minorHAnsi" w:hAnsi="Consolas" w:cs="Consolas"/>
      <w:lang w:eastAsia="en-US"/>
    </w:rPr>
  </w:style>
  <w:style w:type="character" w:customStyle="1" w:styleId="IntenseQuoteChar">
    <w:name w:val="Intense Quote Char"/>
    <w:basedOn w:val="DefaultParagraphFont"/>
    <w:link w:val="IntenseQuote"/>
    <w:uiPriority w:val="59"/>
    <w:semiHidden/>
    <w:rsid w:val="00596111"/>
    <w:rPr>
      <w:rFonts w:ascii="Verdana" w:eastAsiaTheme="minorHAnsi" w:hAnsi="Verdana" w:cstheme="minorBidi"/>
      <w:b/>
      <w:bCs/>
      <w:i/>
      <w:iCs/>
      <w:color w:val="4F81BD" w:themeColor="accent1"/>
      <w:sz w:val="18"/>
      <w:szCs w:val="22"/>
      <w:lang w:eastAsia="en-US"/>
    </w:rPr>
  </w:style>
  <w:style w:type="character" w:customStyle="1" w:styleId="MacroTextChar">
    <w:name w:val="Macro Text Char"/>
    <w:basedOn w:val="DefaultParagraphFont"/>
    <w:link w:val="MacroText"/>
    <w:uiPriority w:val="99"/>
    <w:semiHidden/>
    <w:rsid w:val="00596111"/>
    <w:rPr>
      <w:rFonts w:ascii="Consolas" w:eastAsiaTheme="minorHAnsi" w:hAnsi="Consolas" w:cs="Consolas"/>
      <w:lang w:eastAsia="en-US"/>
    </w:rPr>
  </w:style>
  <w:style w:type="character" w:customStyle="1" w:styleId="MessageHeaderChar">
    <w:name w:val="Message Header Char"/>
    <w:basedOn w:val="DefaultParagraphFont"/>
    <w:link w:val="MessageHeader"/>
    <w:uiPriority w:val="99"/>
    <w:semiHidden/>
    <w:rsid w:val="00596111"/>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semiHidden/>
    <w:rsid w:val="00596111"/>
    <w:rPr>
      <w:rFonts w:ascii="Verdana" w:eastAsiaTheme="minorHAnsi" w:hAnsi="Verdana" w:cstheme="minorBidi"/>
      <w:sz w:val="18"/>
      <w:szCs w:val="22"/>
      <w:lang w:eastAsia="en-US"/>
    </w:rPr>
  </w:style>
  <w:style w:type="character" w:customStyle="1" w:styleId="PlainTextChar">
    <w:name w:val="Plain Text Char"/>
    <w:basedOn w:val="DefaultParagraphFont"/>
    <w:link w:val="PlainText"/>
    <w:uiPriority w:val="99"/>
    <w:rsid w:val="00596111"/>
    <w:rPr>
      <w:rFonts w:ascii="Consolas" w:eastAsiaTheme="minorHAnsi" w:hAnsi="Consolas" w:cs="Consolas"/>
      <w:sz w:val="21"/>
      <w:szCs w:val="21"/>
      <w:lang w:eastAsia="en-US"/>
    </w:rPr>
  </w:style>
  <w:style w:type="character" w:customStyle="1" w:styleId="QuoteChar">
    <w:name w:val="Quote Char"/>
    <w:basedOn w:val="DefaultParagraphFont"/>
    <w:link w:val="Quote"/>
    <w:uiPriority w:val="59"/>
    <w:rsid w:val="00596111"/>
    <w:rPr>
      <w:rFonts w:ascii="Verdana" w:eastAsiaTheme="minorHAnsi" w:hAnsi="Verdana" w:cstheme="minorBidi"/>
      <w:i/>
      <w:iCs/>
      <w:color w:val="000000" w:themeColor="text1"/>
      <w:sz w:val="18"/>
      <w:szCs w:val="22"/>
      <w:lang w:eastAsia="en-US"/>
    </w:rPr>
  </w:style>
  <w:style w:type="character" w:customStyle="1" w:styleId="SalutationChar">
    <w:name w:val="Salutation Char"/>
    <w:basedOn w:val="DefaultParagraphFont"/>
    <w:link w:val="Salutation"/>
    <w:uiPriority w:val="99"/>
    <w:semiHidden/>
    <w:rsid w:val="00596111"/>
    <w:rPr>
      <w:rFonts w:ascii="Verdana" w:eastAsiaTheme="minorHAnsi" w:hAnsi="Verdana" w:cstheme="minorBidi"/>
      <w:sz w:val="18"/>
      <w:szCs w:val="22"/>
      <w:lang w:eastAsia="en-US"/>
    </w:rPr>
  </w:style>
  <w:style w:type="character" w:customStyle="1" w:styleId="SignatureChar">
    <w:name w:val="Signature Char"/>
    <w:basedOn w:val="DefaultParagraphFont"/>
    <w:link w:val="Signature"/>
    <w:uiPriority w:val="99"/>
    <w:semiHidden/>
    <w:rsid w:val="00596111"/>
    <w:rPr>
      <w:rFonts w:ascii="Verdana" w:eastAsiaTheme="minorHAnsi" w:hAnsi="Verdana" w:cstheme="minorBidi"/>
      <w:sz w:val="18"/>
      <w:szCs w:val="22"/>
      <w:lang w:eastAsia="en-US"/>
    </w:rPr>
  </w:style>
  <w:style w:type="character" w:customStyle="1" w:styleId="SubtitleChar">
    <w:name w:val="Subtitle Char"/>
    <w:basedOn w:val="DefaultParagraphFont"/>
    <w:link w:val="Subtitle"/>
    <w:uiPriority w:val="6"/>
    <w:rsid w:val="00596111"/>
    <w:rPr>
      <w:rFonts w:ascii="Verdana" w:eastAsiaTheme="majorEastAsia" w:hAnsi="Verdana" w:cstheme="majorBidi"/>
      <w:b/>
      <w:iCs/>
      <w:sz w:val="18"/>
      <w:szCs w:val="24"/>
      <w:lang w:eastAsia="en-US"/>
    </w:rPr>
  </w:style>
  <w:style w:type="character" w:customStyle="1" w:styleId="TitleChar">
    <w:name w:val="Title Char"/>
    <w:basedOn w:val="DefaultParagraphFont"/>
    <w:link w:val="Title"/>
    <w:uiPriority w:val="5"/>
    <w:rsid w:val="00596111"/>
    <w:rPr>
      <w:rFonts w:ascii="Verdana" w:eastAsiaTheme="majorEastAsia" w:hAnsi="Verdana" w:cstheme="majorBidi"/>
      <w:b/>
      <w:caps/>
      <w:color w:val="006283"/>
      <w:kern w:val="28"/>
      <w:sz w:val="18"/>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65879">
      <w:bodyDiv w:val="1"/>
      <w:marLeft w:val="0"/>
      <w:marRight w:val="0"/>
      <w:marTop w:val="0"/>
      <w:marBottom w:val="0"/>
      <w:divBdr>
        <w:top w:val="none" w:sz="0" w:space="0" w:color="auto"/>
        <w:left w:val="none" w:sz="0" w:space="0" w:color="auto"/>
        <w:bottom w:val="none" w:sz="0" w:space="0" w:color="auto"/>
        <w:right w:val="none" w:sz="0" w:space="0" w:color="auto"/>
      </w:divBdr>
    </w:div>
    <w:div w:id="910846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392FAC6-5056-4F31-8BC8-678D2EED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Morocco - Hot-Rolled Steel (AB)</dc:title>
  <dc:creator>Simon Lester</dc:creator>
  <cp:lastModifiedBy>Simon Lester</cp:lastModifiedBy>
  <cp:revision>2</cp:revision>
  <cp:lastPrinted>2019-12-09T13:19:00Z</cp:lastPrinted>
  <dcterms:created xsi:type="dcterms:W3CDTF">2019-12-10T22:33:00Z</dcterms:created>
  <dcterms:modified xsi:type="dcterms:W3CDTF">2019-12-10T22:33:00Z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WT/DS513/AB/R/AB/R</vt:lpwstr>
  </property>
</Properties>
</file>