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3A" w:rsidRPr="007321E4" w:rsidRDefault="00460BE9" w:rsidP="003E3C32">
      <w:pPr>
        <w:pStyle w:val="PanelTitle"/>
      </w:pPr>
      <w:bookmarkStart w:id="0" w:name="_GoBack"/>
      <w:bookmarkEnd w:id="0"/>
      <w:r w:rsidRPr="007321E4">
        <w:t xml:space="preserve">Indonesia – importation of horticultural products, </w:t>
      </w:r>
      <w:r w:rsidR="009A15B9" w:rsidRPr="007321E4">
        <w:br/>
      </w:r>
      <w:r w:rsidRPr="007321E4">
        <w:t>animals and animal products</w:t>
      </w:r>
    </w:p>
    <w:p w:rsidR="00EF273A" w:rsidRPr="007321E4" w:rsidRDefault="00CE371F" w:rsidP="00EF273A">
      <w:pPr>
        <w:pStyle w:val="Title2"/>
      </w:pPr>
      <w:r w:rsidRPr="007321E4">
        <w:t>AB-</w:t>
      </w:r>
      <w:r w:rsidR="00460BE9" w:rsidRPr="007321E4">
        <w:t>2017</w:t>
      </w:r>
      <w:r w:rsidRPr="007321E4">
        <w:t>-</w:t>
      </w:r>
      <w:r w:rsidR="00460BE9" w:rsidRPr="007321E4">
        <w:t>2</w:t>
      </w:r>
    </w:p>
    <w:p w:rsidR="00FB03D2" w:rsidRPr="007321E4" w:rsidRDefault="00EF273A" w:rsidP="000E6D82">
      <w:pPr>
        <w:pStyle w:val="Title3"/>
      </w:pPr>
      <w:r w:rsidRPr="007321E4">
        <w:t>Report of the Appellate Body</w:t>
      </w:r>
    </w:p>
    <w:p w:rsidR="00EF273A" w:rsidRPr="007321E4" w:rsidRDefault="00EF273A" w:rsidP="00EF273A">
      <w:pPr>
        <w:rPr>
          <w:lang w:eastAsia="en-GB"/>
        </w:rPr>
      </w:pPr>
    </w:p>
    <w:p w:rsidR="009E153A" w:rsidRPr="007321E4" w:rsidRDefault="00EF273A" w:rsidP="007500F7">
      <w:pPr>
        <w:pStyle w:val="TOCHeading"/>
      </w:pPr>
      <w:r w:rsidRPr="007321E4">
        <w:br w:type="page"/>
      </w:r>
      <w:r w:rsidR="00E44285" w:rsidRPr="007321E4">
        <w:lastRenderedPageBreak/>
        <w:t xml:space="preserve">Table </w:t>
      </w:r>
      <w:r w:rsidR="00BB7DD3" w:rsidRPr="007321E4">
        <w:t>o</w:t>
      </w:r>
      <w:r w:rsidR="00E44285" w:rsidRPr="007321E4">
        <w:t>f Contents</w:t>
      </w:r>
    </w:p>
    <w:p w:rsidR="00EF273A" w:rsidRPr="007321E4" w:rsidRDefault="00EF273A" w:rsidP="00EF273A"/>
    <w:p w:rsidR="00080D6D" w:rsidRPr="007321E4" w:rsidRDefault="000A48A1">
      <w:pPr>
        <w:pStyle w:val="TOC1"/>
        <w:rPr>
          <w:rFonts w:asciiTheme="minorHAnsi" w:eastAsiaTheme="minorEastAsia" w:hAnsiTheme="minorHAnsi" w:cstheme="minorBidi"/>
          <w:b w:val="0"/>
          <w:caps w:val="0"/>
          <w:noProof/>
          <w:sz w:val="22"/>
          <w:szCs w:val="22"/>
        </w:rPr>
      </w:pPr>
      <w:r w:rsidRPr="007321E4">
        <w:fldChar w:fldCharType="begin"/>
      </w:r>
      <w:r w:rsidRPr="007321E4">
        <w:instrText xml:space="preserve"> TOC \o "1-4" \h \z \u </w:instrText>
      </w:r>
      <w:r w:rsidRPr="007321E4">
        <w:fldChar w:fldCharType="separate"/>
      </w:r>
      <w:hyperlink w:anchor="_Toc497915383" w:history="1">
        <w:r w:rsidR="00080D6D" w:rsidRPr="007321E4">
          <w:rPr>
            <w:rStyle w:val="Hyperlink"/>
            <w:noProof/>
          </w:rPr>
          <w:t>1   Introduction</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_Toc497915383 \h </w:instrText>
        </w:r>
        <w:r w:rsidR="00080D6D" w:rsidRPr="007321E4">
          <w:rPr>
            <w:noProof/>
            <w:webHidden/>
          </w:rPr>
        </w:r>
        <w:r w:rsidR="00080D6D" w:rsidRPr="007321E4">
          <w:rPr>
            <w:noProof/>
            <w:webHidden/>
          </w:rPr>
          <w:fldChar w:fldCharType="separate"/>
        </w:r>
        <w:r w:rsidR="00080D6D" w:rsidRPr="007321E4">
          <w:rPr>
            <w:noProof/>
            <w:webHidden/>
          </w:rPr>
          <w:t>8</w:t>
        </w:r>
        <w:r w:rsidR="00080D6D" w:rsidRPr="007321E4">
          <w:rPr>
            <w:noProof/>
            <w:webHidden/>
          </w:rPr>
          <w:fldChar w:fldCharType="end"/>
        </w:r>
      </w:hyperlink>
    </w:p>
    <w:p w:rsidR="00080D6D" w:rsidRPr="007321E4" w:rsidRDefault="008E128A">
      <w:pPr>
        <w:pStyle w:val="TOC1"/>
        <w:rPr>
          <w:rFonts w:asciiTheme="minorHAnsi" w:eastAsiaTheme="minorEastAsia" w:hAnsiTheme="minorHAnsi" w:cstheme="minorBidi"/>
          <w:b w:val="0"/>
          <w:caps w:val="0"/>
          <w:noProof/>
          <w:sz w:val="22"/>
          <w:szCs w:val="22"/>
        </w:rPr>
      </w:pPr>
      <w:hyperlink w:anchor="_Toc497915384" w:history="1">
        <w:r w:rsidR="00080D6D" w:rsidRPr="007321E4">
          <w:rPr>
            <w:rStyle w:val="Hyperlink"/>
            <w:noProof/>
          </w:rPr>
          <w:t>2   Arguments of the Participants</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_Toc497915384 \h </w:instrText>
        </w:r>
        <w:r w:rsidR="00080D6D" w:rsidRPr="007321E4">
          <w:rPr>
            <w:noProof/>
            <w:webHidden/>
          </w:rPr>
        </w:r>
        <w:r w:rsidR="00080D6D" w:rsidRPr="007321E4">
          <w:rPr>
            <w:noProof/>
            <w:webHidden/>
          </w:rPr>
          <w:fldChar w:fldCharType="separate"/>
        </w:r>
        <w:r w:rsidR="00080D6D" w:rsidRPr="007321E4">
          <w:rPr>
            <w:noProof/>
            <w:webHidden/>
          </w:rPr>
          <w:t>14</w:t>
        </w:r>
        <w:r w:rsidR="00080D6D" w:rsidRPr="007321E4">
          <w:rPr>
            <w:noProof/>
            <w:webHidden/>
          </w:rPr>
          <w:fldChar w:fldCharType="end"/>
        </w:r>
      </w:hyperlink>
    </w:p>
    <w:p w:rsidR="00080D6D" w:rsidRPr="007321E4" w:rsidRDefault="008E128A">
      <w:pPr>
        <w:pStyle w:val="TOC1"/>
        <w:rPr>
          <w:rFonts w:asciiTheme="minorHAnsi" w:eastAsiaTheme="minorEastAsia" w:hAnsiTheme="minorHAnsi" w:cstheme="minorBidi"/>
          <w:b w:val="0"/>
          <w:caps w:val="0"/>
          <w:noProof/>
          <w:sz w:val="22"/>
          <w:szCs w:val="22"/>
        </w:rPr>
      </w:pPr>
      <w:hyperlink w:anchor="_Toc497915385" w:history="1">
        <w:r w:rsidR="00080D6D" w:rsidRPr="007321E4">
          <w:rPr>
            <w:rStyle w:val="Hyperlink"/>
            <w:noProof/>
          </w:rPr>
          <w:t>3   Arguments of the third participants</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_Toc497915385 \h </w:instrText>
        </w:r>
        <w:r w:rsidR="00080D6D" w:rsidRPr="007321E4">
          <w:rPr>
            <w:noProof/>
            <w:webHidden/>
          </w:rPr>
        </w:r>
        <w:r w:rsidR="00080D6D" w:rsidRPr="007321E4">
          <w:rPr>
            <w:noProof/>
            <w:webHidden/>
          </w:rPr>
          <w:fldChar w:fldCharType="separate"/>
        </w:r>
        <w:r w:rsidR="00080D6D" w:rsidRPr="007321E4">
          <w:rPr>
            <w:noProof/>
            <w:webHidden/>
          </w:rPr>
          <w:t>14</w:t>
        </w:r>
        <w:r w:rsidR="00080D6D" w:rsidRPr="007321E4">
          <w:rPr>
            <w:noProof/>
            <w:webHidden/>
          </w:rPr>
          <w:fldChar w:fldCharType="end"/>
        </w:r>
      </w:hyperlink>
    </w:p>
    <w:p w:rsidR="00080D6D" w:rsidRPr="007321E4" w:rsidRDefault="008E128A">
      <w:pPr>
        <w:pStyle w:val="TOC1"/>
        <w:rPr>
          <w:rFonts w:asciiTheme="minorHAnsi" w:eastAsiaTheme="minorEastAsia" w:hAnsiTheme="minorHAnsi" w:cstheme="minorBidi"/>
          <w:b w:val="0"/>
          <w:caps w:val="0"/>
          <w:noProof/>
          <w:sz w:val="22"/>
          <w:szCs w:val="22"/>
        </w:rPr>
      </w:pPr>
      <w:hyperlink w:anchor="_Toc497915386" w:history="1">
        <w:r w:rsidR="00080D6D" w:rsidRPr="007321E4">
          <w:rPr>
            <w:rStyle w:val="Hyperlink"/>
            <w:noProof/>
          </w:rPr>
          <w:t>4   Issues Raised in This Appeal</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_Toc497915386 \h </w:instrText>
        </w:r>
        <w:r w:rsidR="00080D6D" w:rsidRPr="007321E4">
          <w:rPr>
            <w:noProof/>
            <w:webHidden/>
          </w:rPr>
        </w:r>
        <w:r w:rsidR="00080D6D" w:rsidRPr="007321E4">
          <w:rPr>
            <w:noProof/>
            <w:webHidden/>
          </w:rPr>
          <w:fldChar w:fldCharType="separate"/>
        </w:r>
        <w:r w:rsidR="00080D6D" w:rsidRPr="007321E4">
          <w:rPr>
            <w:noProof/>
            <w:webHidden/>
          </w:rPr>
          <w:t>14</w:t>
        </w:r>
        <w:r w:rsidR="00080D6D" w:rsidRPr="007321E4">
          <w:rPr>
            <w:noProof/>
            <w:webHidden/>
          </w:rPr>
          <w:fldChar w:fldCharType="end"/>
        </w:r>
      </w:hyperlink>
    </w:p>
    <w:p w:rsidR="00080D6D" w:rsidRPr="007321E4" w:rsidRDefault="008E128A">
      <w:pPr>
        <w:pStyle w:val="TOC1"/>
        <w:rPr>
          <w:rFonts w:asciiTheme="minorHAnsi" w:eastAsiaTheme="minorEastAsia" w:hAnsiTheme="minorHAnsi" w:cstheme="minorBidi"/>
          <w:b w:val="0"/>
          <w:caps w:val="0"/>
          <w:noProof/>
          <w:sz w:val="22"/>
          <w:szCs w:val="22"/>
        </w:rPr>
      </w:pPr>
      <w:hyperlink w:anchor="_Toc497915387" w:history="1">
        <w:r w:rsidR="00080D6D" w:rsidRPr="007321E4">
          <w:rPr>
            <w:rStyle w:val="Hyperlink"/>
            <w:noProof/>
          </w:rPr>
          <w:t>5   Analysis of the Appellate Body</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_Toc497915387 \h </w:instrText>
        </w:r>
        <w:r w:rsidR="00080D6D" w:rsidRPr="007321E4">
          <w:rPr>
            <w:noProof/>
            <w:webHidden/>
          </w:rPr>
        </w:r>
        <w:r w:rsidR="00080D6D" w:rsidRPr="007321E4">
          <w:rPr>
            <w:noProof/>
            <w:webHidden/>
          </w:rPr>
          <w:fldChar w:fldCharType="separate"/>
        </w:r>
        <w:r w:rsidR="00080D6D" w:rsidRPr="007321E4">
          <w:rPr>
            <w:noProof/>
            <w:webHidden/>
          </w:rPr>
          <w:t>15</w:t>
        </w:r>
        <w:r w:rsidR="00080D6D" w:rsidRPr="007321E4">
          <w:rPr>
            <w:noProof/>
            <w:webHidden/>
          </w:rPr>
          <w:fldChar w:fldCharType="end"/>
        </w:r>
      </w:hyperlink>
    </w:p>
    <w:p w:rsidR="00080D6D" w:rsidRPr="007321E4" w:rsidRDefault="008E128A">
      <w:pPr>
        <w:pStyle w:val="TOC2"/>
        <w:rPr>
          <w:rFonts w:asciiTheme="minorHAnsi" w:eastAsiaTheme="minorEastAsia" w:hAnsiTheme="minorHAnsi" w:cstheme="minorBidi"/>
          <w:noProof/>
          <w:sz w:val="22"/>
          <w:szCs w:val="22"/>
        </w:rPr>
      </w:pPr>
      <w:hyperlink w:anchor="_Toc497915388" w:history="1">
        <w:r w:rsidR="00080D6D" w:rsidRPr="007321E4">
          <w:rPr>
            <w:rStyle w:val="Hyperlink"/>
            <w:noProof/>
          </w:rPr>
          <w:t>5.1   The Panel's decision to commence its legal analysis with the claims under Article XI:1 of the GATT 1994</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_Toc497915388 \h </w:instrText>
        </w:r>
        <w:r w:rsidR="00080D6D" w:rsidRPr="007321E4">
          <w:rPr>
            <w:noProof/>
            <w:webHidden/>
          </w:rPr>
        </w:r>
        <w:r w:rsidR="00080D6D" w:rsidRPr="007321E4">
          <w:rPr>
            <w:noProof/>
            <w:webHidden/>
          </w:rPr>
          <w:fldChar w:fldCharType="separate"/>
        </w:r>
        <w:r w:rsidR="00080D6D" w:rsidRPr="007321E4">
          <w:rPr>
            <w:noProof/>
            <w:webHidden/>
          </w:rPr>
          <w:t>15</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389" w:history="1">
        <w:r w:rsidR="00080D6D" w:rsidRPr="007321E4">
          <w:rPr>
            <w:rStyle w:val="Hyperlink"/>
            <w:noProof/>
          </w:rPr>
          <w:t>5.1.1   Whether the Panel erred in assessing the claims regarding the measures at issue under Article XI:1 of the GATT 1994, rather than Article 4.2 of the Agreement on Agriculture</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_Toc497915389 \h </w:instrText>
        </w:r>
        <w:r w:rsidR="00080D6D" w:rsidRPr="007321E4">
          <w:rPr>
            <w:noProof/>
            <w:webHidden/>
          </w:rPr>
        </w:r>
        <w:r w:rsidR="00080D6D" w:rsidRPr="007321E4">
          <w:rPr>
            <w:noProof/>
            <w:webHidden/>
          </w:rPr>
          <w:fldChar w:fldCharType="separate"/>
        </w:r>
        <w:r w:rsidR="00080D6D" w:rsidRPr="007321E4">
          <w:rPr>
            <w:noProof/>
            <w:webHidden/>
          </w:rPr>
          <w:t>16</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390" w:history="1">
        <w:r w:rsidR="00080D6D" w:rsidRPr="007321E4">
          <w:rPr>
            <w:rStyle w:val="Hyperlink"/>
            <w:noProof/>
            <w14:scene3d>
              <w14:camera w14:prst="orthographicFront"/>
              <w14:lightRig w14:rig="threePt" w14:dir="t">
                <w14:rot w14:lat="0" w14:lon="0" w14:rev="0"/>
              </w14:lightRig>
            </w14:scene3d>
          </w:rPr>
          <w:t>5.1.2  </w:t>
        </w:r>
        <w:r w:rsidR="00080D6D" w:rsidRPr="007321E4">
          <w:rPr>
            <w:rStyle w:val="Hyperlink"/>
            <w:noProof/>
          </w:rPr>
          <w:t xml:space="preserve"> Whether a mandatory sequence of analysis exists between Article XI:1 of the GATT 1994 and Article 4.2 of the Agreement on Agriculture</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_Toc497915390 \h </w:instrText>
        </w:r>
        <w:r w:rsidR="00080D6D" w:rsidRPr="007321E4">
          <w:rPr>
            <w:noProof/>
            <w:webHidden/>
          </w:rPr>
        </w:r>
        <w:r w:rsidR="00080D6D" w:rsidRPr="007321E4">
          <w:rPr>
            <w:noProof/>
            <w:webHidden/>
          </w:rPr>
          <w:fldChar w:fldCharType="separate"/>
        </w:r>
        <w:r w:rsidR="00080D6D" w:rsidRPr="007321E4">
          <w:rPr>
            <w:noProof/>
            <w:webHidden/>
          </w:rPr>
          <w:t>19</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391" w:history="1">
        <w:r w:rsidR="00080D6D" w:rsidRPr="007321E4">
          <w:rPr>
            <w:rStyle w:val="Hyperlink"/>
            <w:noProof/>
            <w14:scene3d>
              <w14:camera w14:prst="orthographicFront"/>
              <w14:lightRig w14:rig="threePt" w14:dir="t">
                <w14:rot w14:lat="0" w14:lon="0" w14:rev="0"/>
              </w14:lightRig>
            </w14:scene3d>
          </w:rPr>
          <w:t>5.1.3  </w:t>
        </w:r>
        <w:r w:rsidR="00080D6D" w:rsidRPr="007321E4">
          <w:rPr>
            <w:rStyle w:val="Hyperlink"/>
            <w:noProof/>
          </w:rPr>
          <w:t xml:space="preserve"> Whether the Panel failed to make an objective assessment of the applicability of Article 4.2 of the Agreement on Agriculture</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_Toc497915391 \h </w:instrText>
        </w:r>
        <w:r w:rsidR="00080D6D" w:rsidRPr="007321E4">
          <w:rPr>
            <w:noProof/>
            <w:webHidden/>
          </w:rPr>
        </w:r>
        <w:r w:rsidR="00080D6D" w:rsidRPr="007321E4">
          <w:rPr>
            <w:noProof/>
            <w:webHidden/>
          </w:rPr>
          <w:fldChar w:fldCharType="separate"/>
        </w:r>
        <w:r w:rsidR="00080D6D" w:rsidRPr="007321E4">
          <w:rPr>
            <w:noProof/>
            <w:webHidden/>
          </w:rPr>
          <w:t>21</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392" w:history="1">
        <w:r w:rsidR="00080D6D" w:rsidRPr="007321E4">
          <w:rPr>
            <w:rStyle w:val="Hyperlink"/>
            <w:noProof/>
            <w14:scene3d>
              <w14:camera w14:prst="orthographicFront"/>
              <w14:lightRig w14:rig="threePt" w14:dir="t">
                <w14:rot w14:lat="0" w14:lon="0" w14:rev="0"/>
              </w14:lightRig>
            </w14:scene3d>
          </w:rPr>
          <w:t>5.1.4  </w:t>
        </w:r>
        <w:r w:rsidR="00080D6D" w:rsidRPr="007321E4">
          <w:rPr>
            <w:rStyle w:val="Hyperlink"/>
            <w:noProof/>
          </w:rPr>
          <w:t xml:space="preserve"> Conclusions</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_Toc497915392 \h </w:instrText>
        </w:r>
        <w:r w:rsidR="00080D6D" w:rsidRPr="007321E4">
          <w:rPr>
            <w:noProof/>
            <w:webHidden/>
          </w:rPr>
        </w:r>
        <w:r w:rsidR="00080D6D" w:rsidRPr="007321E4">
          <w:rPr>
            <w:noProof/>
            <w:webHidden/>
          </w:rPr>
          <w:fldChar w:fldCharType="separate"/>
        </w:r>
        <w:r w:rsidR="00080D6D" w:rsidRPr="007321E4">
          <w:rPr>
            <w:noProof/>
            <w:webHidden/>
          </w:rPr>
          <w:t>23</w:t>
        </w:r>
        <w:r w:rsidR="00080D6D" w:rsidRPr="007321E4">
          <w:rPr>
            <w:noProof/>
            <w:webHidden/>
          </w:rPr>
          <w:fldChar w:fldCharType="end"/>
        </w:r>
      </w:hyperlink>
    </w:p>
    <w:p w:rsidR="00080D6D" w:rsidRPr="007321E4" w:rsidRDefault="008E128A">
      <w:pPr>
        <w:pStyle w:val="TOC2"/>
        <w:rPr>
          <w:rFonts w:asciiTheme="minorHAnsi" w:eastAsiaTheme="minorEastAsia" w:hAnsiTheme="minorHAnsi" w:cstheme="minorBidi"/>
          <w:noProof/>
          <w:sz w:val="22"/>
          <w:szCs w:val="22"/>
        </w:rPr>
      </w:pPr>
      <w:hyperlink w:anchor="_Toc497915393" w:history="1">
        <w:r w:rsidR="00080D6D" w:rsidRPr="007321E4">
          <w:rPr>
            <w:rStyle w:val="Hyperlink"/>
            <w:noProof/>
          </w:rPr>
          <w:t>5.2   Whether the Panel erred in determining that Indonesia bears the burden of proof under the second part of footnote 1 to Article 4.2 of the Agreement on Agriculture</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_Toc497915393 \h </w:instrText>
        </w:r>
        <w:r w:rsidR="00080D6D" w:rsidRPr="007321E4">
          <w:rPr>
            <w:noProof/>
            <w:webHidden/>
          </w:rPr>
        </w:r>
        <w:r w:rsidR="00080D6D" w:rsidRPr="007321E4">
          <w:rPr>
            <w:noProof/>
            <w:webHidden/>
          </w:rPr>
          <w:fldChar w:fldCharType="separate"/>
        </w:r>
        <w:r w:rsidR="00080D6D" w:rsidRPr="007321E4">
          <w:rPr>
            <w:noProof/>
            <w:webHidden/>
          </w:rPr>
          <w:t>23</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394" w:history="1">
        <w:r w:rsidR="00080D6D" w:rsidRPr="007321E4">
          <w:rPr>
            <w:rStyle w:val="Hyperlink"/>
            <w:noProof/>
          </w:rPr>
          <w:t>5.2.1   Whether findings in respect of the burden of proof under the second part of footnote 1 to Article 4.2 of the Agreement on Agriculture are necessary</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_Toc497915394 \h </w:instrText>
        </w:r>
        <w:r w:rsidR="00080D6D" w:rsidRPr="007321E4">
          <w:rPr>
            <w:noProof/>
            <w:webHidden/>
          </w:rPr>
        </w:r>
        <w:r w:rsidR="00080D6D" w:rsidRPr="007321E4">
          <w:rPr>
            <w:noProof/>
            <w:webHidden/>
          </w:rPr>
          <w:fldChar w:fldCharType="separate"/>
        </w:r>
        <w:r w:rsidR="00080D6D" w:rsidRPr="007321E4">
          <w:rPr>
            <w:noProof/>
            <w:webHidden/>
          </w:rPr>
          <w:t>24</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395" w:history="1">
        <w:r w:rsidR="00080D6D" w:rsidRPr="007321E4">
          <w:rPr>
            <w:rStyle w:val="Hyperlink"/>
            <w:noProof/>
            <w14:scene3d>
              <w14:camera w14:prst="orthographicFront"/>
              <w14:lightRig w14:rig="threePt" w14:dir="t">
                <w14:rot w14:lat="0" w14:lon="0" w14:rev="0"/>
              </w14:lightRig>
            </w14:scene3d>
          </w:rPr>
          <w:t>5.2.2  </w:t>
        </w:r>
        <w:r w:rsidR="00080D6D" w:rsidRPr="007321E4">
          <w:rPr>
            <w:rStyle w:val="Hyperlink"/>
            <w:noProof/>
          </w:rPr>
          <w:t xml:space="preserve"> Whether the Panel erred in allocating to Indonesia the burden of proof under the second part of footnote 1 to Article 4.2 of the Agreement on Agriculture</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_Toc497915395 \h </w:instrText>
        </w:r>
        <w:r w:rsidR="00080D6D" w:rsidRPr="007321E4">
          <w:rPr>
            <w:noProof/>
            <w:webHidden/>
          </w:rPr>
        </w:r>
        <w:r w:rsidR="00080D6D" w:rsidRPr="007321E4">
          <w:rPr>
            <w:noProof/>
            <w:webHidden/>
          </w:rPr>
          <w:fldChar w:fldCharType="separate"/>
        </w:r>
        <w:r w:rsidR="00080D6D" w:rsidRPr="007321E4">
          <w:rPr>
            <w:noProof/>
            <w:webHidden/>
          </w:rPr>
          <w:t>24</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396" w:history="1">
        <w:r w:rsidR="00080D6D" w:rsidRPr="007321E4">
          <w:rPr>
            <w:rStyle w:val="Hyperlink"/>
            <w:noProof/>
          </w:rPr>
          <w:t>5.2.3   Whether the Panel failed to make an objective assessment of which party bears the burden of proof under the second part of footnote 1 to Article 4.2 of the Agreement on Agriculture</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_Toc497915396 \h </w:instrText>
        </w:r>
        <w:r w:rsidR="00080D6D" w:rsidRPr="007321E4">
          <w:rPr>
            <w:noProof/>
            <w:webHidden/>
          </w:rPr>
        </w:r>
        <w:r w:rsidR="00080D6D" w:rsidRPr="007321E4">
          <w:rPr>
            <w:noProof/>
            <w:webHidden/>
          </w:rPr>
          <w:fldChar w:fldCharType="separate"/>
        </w:r>
        <w:r w:rsidR="00080D6D" w:rsidRPr="007321E4">
          <w:rPr>
            <w:noProof/>
            <w:webHidden/>
          </w:rPr>
          <w:t>28</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397" w:history="1">
        <w:r w:rsidR="00080D6D" w:rsidRPr="007321E4">
          <w:rPr>
            <w:rStyle w:val="Hyperlink"/>
            <w:noProof/>
          </w:rPr>
          <w:t>5.2.4   Conclusions</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_Toc497915397 \h </w:instrText>
        </w:r>
        <w:r w:rsidR="00080D6D" w:rsidRPr="007321E4">
          <w:rPr>
            <w:noProof/>
            <w:webHidden/>
          </w:rPr>
        </w:r>
        <w:r w:rsidR="00080D6D" w:rsidRPr="007321E4">
          <w:rPr>
            <w:noProof/>
            <w:webHidden/>
          </w:rPr>
          <w:fldChar w:fldCharType="separate"/>
        </w:r>
        <w:r w:rsidR="00080D6D" w:rsidRPr="007321E4">
          <w:rPr>
            <w:noProof/>
            <w:webHidden/>
          </w:rPr>
          <w:t>30</w:t>
        </w:r>
        <w:r w:rsidR="00080D6D" w:rsidRPr="007321E4">
          <w:rPr>
            <w:noProof/>
            <w:webHidden/>
          </w:rPr>
          <w:fldChar w:fldCharType="end"/>
        </w:r>
      </w:hyperlink>
    </w:p>
    <w:p w:rsidR="00080D6D" w:rsidRPr="007321E4" w:rsidRDefault="008E128A">
      <w:pPr>
        <w:pStyle w:val="TOC2"/>
        <w:rPr>
          <w:rFonts w:asciiTheme="minorHAnsi" w:eastAsiaTheme="minorEastAsia" w:hAnsiTheme="minorHAnsi" w:cstheme="minorBidi"/>
          <w:noProof/>
          <w:sz w:val="22"/>
          <w:szCs w:val="22"/>
        </w:rPr>
      </w:pPr>
      <w:hyperlink w:anchor="_Toc497915398" w:history="1">
        <w:r w:rsidR="00080D6D" w:rsidRPr="007321E4">
          <w:rPr>
            <w:rStyle w:val="Hyperlink"/>
            <w:noProof/>
          </w:rPr>
          <w:t>5.3   Indonesia's alternative claim that the Panel erred in finding that Article XI:2(c) of the GATT 1994 has been rendered "inoperative" by Article 4.2 of the Agreement on Agriculture</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_Toc497915398 \h </w:instrText>
        </w:r>
        <w:r w:rsidR="00080D6D" w:rsidRPr="007321E4">
          <w:rPr>
            <w:noProof/>
            <w:webHidden/>
          </w:rPr>
        </w:r>
        <w:r w:rsidR="00080D6D" w:rsidRPr="007321E4">
          <w:rPr>
            <w:noProof/>
            <w:webHidden/>
          </w:rPr>
          <w:fldChar w:fldCharType="separate"/>
        </w:r>
        <w:r w:rsidR="00080D6D" w:rsidRPr="007321E4">
          <w:rPr>
            <w:noProof/>
            <w:webHidden/>
          </w:rPr>
          <w:t>30</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399" w:history="1">
        <w:r w:rsidR="00080D6D" w:rsidRPr="007321E4">
          <w:rPr>
            <w:rStyle w:val="Hyperlink"/>
            <w:noProof/>
          </w:rPr>
          <w:t>5.3.1   Whether the Appellate Body should decline to rule on Indonesia's alternative claim on appeal</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_Toc497915399 \h </w:instrText>
        </w:r>
        <w:r w:rsidR="00080D6D" w:rsidRPr="007321E4">
          <w:rPr>
            <w:noProof/>
            <w:webHidden/>
          </w:rPr>
        </w:r>
        <w:r w:rsidR="00080D6D" w:rsidRPr="007321E4">
          <w:rPr>
            <w:noProof/>
            <w:webHidden/>
          </w:rPr>
          <w:fldChar w:fldCharType="separate"/>
        </w:r>
        <w:r w:rsidR="00080D6D" w:rsidRPr="007321E4">
          <w:rPr>
            <w:noProof/>
            <w:webHidden/>
          </w:rPr>
          <w:t>31</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400" w:history="1">
        <w:r w:rsidR="00080D6D" w:rsidRPr="007321E4">
          <w:rPr>
            <w:rStyle w:val="Hyperlink"/>
            <w:noProof/>
          </w:rPr>
          <w:t>5.3.2   Whether the Panel erred in finding that Article XI:2(c) of the GATT 1994 has been rendered "inoperative" with respect to agricultural measures</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_Toc497915400 \h </w:instrText>
        </w:r>
        <w:r w:rsidR="00080D6D" w:rsidRPr="007321E4">
          <w:rPr>
            <w:noProof/>
            <w:webHidden/>
          </w:rPr>
        </w:r>
        <w:r w:rsidR="00080D6D" w:rsidRPr="007321E4">
          <w:rPr>
            <w:noProof/>
            <w:webHidden/>
          </w:rPr>
          <w:fldChar w:fldCharType="separate"/>
        </w:r>
        <w:r w:rsidR="00080D6D" w:rsidRPr="007321E4">
          <w:rPr>
            <w:noProof/>
            <w:webHidden/>
          </w:rPr>
          <w:t>31</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401" w:history="1">
        <w:r w:rsidR="00080D6D" w:rsidRPr="007321E4">
          <w:rPr>
            <w:rStyle w:val="Hyperlink"/>
            <w:noProof/>
          </w:rPr>
          <w:t>5.3.3   Conclusions</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_Toc497915401 \h </w:instrText>
        </w:r>
        <w:r w:rsidR="00080D6D" w:rsidRPr="007321E4">
          <w:rPr>
            <w:noProof/>
            <w:webHidden/>
          </w:rPr>
        </w:r>
        <w:r w:rsidR="00080D6D" w:rsidRPr="007321E4">
          <w:rPr>
            <w:noProof/>
            <w:webHidden/>
          </w:rPr>
          <w:fldChar w:fldCharType="separate"/>
        </w:r>
        <w:r w:rsidR="00080D6D" w:rsidRPr="007321E4">
          <w:rPr>
            <w:noProof/>
            <w:webHidden/>
          </w:rPr>
          <w:t>36</w:t>
        </w:r>
        <w:r w:rsidR="00080D6D" w:rsidRPr="007321E4">
          <w:rPr>
            <w:noProof/>
            <w:webHidden/>
          </w:rPr>
          <w:fldChar w:fldCharType="end"/>
        </w:r>
      </w:hyperlink>
    </w:p>
    <w:p w:rsidR="00080D6D" w:rsidRPr="007321E4" w:rsidRDefault="008E128A">
      <w:pPr>
        <w:pStyle w:val="TOC2"/>
        <w:rPr>
          <w:rFonts w:asciiTheme="minorHAnsi" w:eastAsiaTheme="minorEastAsia" w:hAnsiTheme="minorHAnsi" w:cstheme="minorBidi"/>
          <w:noProof/>
          <w:sz w:val="22"/>
          <w:szCs w:val="22"/>
        </w:rPr>
      </w:pPr>
      <w:hyperlink w:anchor="_Toc497915402" w:history="1">
        <w:r w:rsidR="00080D6D" w:rsidRPr="007321E4">
          <w:rPr>
            <w:rStyle w:val="Hyperlink"/>
            <w:noProof/>
          </w:rPr>
          <w:t>5.4   Indonesia's claim under Article XX of the GATT 1994</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_Toc497915402 \h </w:instrText>
        </w:r>
        <w:r w:rsidR="00080D6D" w:rsidRPr="007321E4">
          <w:rPr>
            <w:noProof/>
            <w:webHidden/>
          </w:rPr>
        </w:r>
        <w:r w:rsidR="00080D6D" w:rsidRPr="007321E4">
          <w:rPr>
            <w:noProof/>
            <w:webHidden/>
          </w:rPr>
          <w:fldChar w:fldCharType="separate"/>
        </w:r>
        <w:r w:rsidR="00080D6D" w:rsidRPr="007321E4">
          <w:rPr>
            <w:noProof/>
            <w:webHidden/>
          </w:rPr>
          <w:t>37</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403" w:history="1">
        <w:r w:rsidR="00080D6D" w:rsidRPr="007321E4">
          <w:rPr>
            <w:rStyle w:val="Hyperlink"/>
            <w:noProof/>
          </w:rPr>
          <w:t>5.4.1   The Panel's conclusions and findings</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_Toc497915403 \h </w:instrText>
        </w:r>
        <w:r w:rsidR="00080D6D" w:rsidRPr="007321E4">
          <w:rPr>
            <w:noProof/>
            <w:webHidden/>
          </w:rPr>
        </w:r>
        <w:r w:rsidR="00080D6D" w:rsidRPr="007321E4">
          <w:rPr>
            <w:noProof/>
            <w:webHidden/>
          </w:rPr>
          <w:fldChar w:fldCharType="separate"/>
        </w:r>
        <w:r w:rsidR="00080D6D" w:rsidRPr="007321E4">
          <w:rPr>
            <w:noProof/>
            <w:webHidden/>
          </w:rPr>
          <w:t>37</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404" w:history="1">
        <w:r w:rsidR="00080D6D" w:rsidRPr="007321E4">
          <w:rPr>
            <w:rStyle w:val="Hyperlink"/>
            <w:noProof/>
          </w:rPr>
          <w:t>5.4.2   The order of analysis under Article XX of the GATT 1994</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_Toc497915404 \h </w:instrText>
        </w:r>
        <w:r w:rsidR="00080D6D" w:rsidRPr="007321E4">
          <w:rPr>
            <w:noProof/>
            <w:webHidden/>
          </w:rPr>
        </w:r>
        <w:r w:rsidR="00080D6D" w:rsidRPr="007321E4">
          <w:rPr>
            <w:noProof/>
            <w:webHidden/>
          </w:rPr>
          <w:fldChar w:fldCharType="separate"/>
        </w:r>
        <w:r w:rsidR="00080D6D" w:rsidRPr="007321E4">
          <w:rPr>
            <w:noProof/>
            <w:webHidden/>
          </w:rPr>
          <w:t>38</w:t>
        </w:r>
        <w:r w:rsidR="00080D6D" w:rsidRPr="007321E4">
          <w:rPr>
            <w:noProof/>
            <w:webHidden/>
          </w:rPr>
          <w:fldChar w:fldCharType="end"/>
        </w:r>
      </w:hyperlink>
    </w:p>
    <w:p w:rsidR="00080D6D" w:rsidRPr="007321E4" w:rsidRDefault="008E128A">
      <w:pPr>
        <w:pStyle w:val="TOC3"/>
        <w:rPr>
          <w:rFonts w:asciiTheme="minorHAnsi" w:eastAsiaTheme="minorEastAsia" w:hAnsiTheme="minorHAnsi" w:cstheme="minorBidi"/>
          <w:noProof/>
          <w:sz w:val="22"/>
          <w:szCs w:val="22"/>
        </w:rPr>
      </w:pPr>
      <w:hyperlink w:anchor="_Toc497915405" w:history="1">
        <w:r w:rsidR="00080D6D" w:rsidRPr="007321E4">
          <w:rPr>
            <w:rStyle w:val="Hyperlink"/>
            <w:noProof/>
          </w:rPr>
          <w:t>5.4.3   Conclusions</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_Toc497915405 \h </w:instrText>
        </w:r>
        <w:r w:rsidR="00080D6D" w:rsidRPr="007321E4">
          <w:rPr>
            <w:noProof/>
            <w:webHidden/>
          </w:rPr>
        </w:r>
        <w:r w:rsidR="00080D6D" w:rsidRPr="007321E4">
          <w:rPr>
            <w:noProof/>
            <w:webHidden/>
          </w:rPr>
          <w:fldChar w:fldCharType="separate"/>
        </w:r>
        <w:r w:rsidR="00080D6D" w:rsidRPr="007321E4">
          <w:rPr>
            <w:noProof/>
            <w:webHidden/>
          </w:rPr>
          <w:t>42</w:t>
        </w:r>
        <w:r w:rsidR="00080D6D" w:rsidRPr="007321E4">
          <w:rPr>
            <w:noProof/>
            <w:webHidden/>
          </w:rPr>
          <w:fldChar w:fldCharType="end"/>
        </w:r>
      </w:hyperlink>
    </w:p>
    <w:p w:rsidR="00080D6D" w:rsidRPr="007321E4" w:rsidRDefault="008E128A">
      <w:pPr>
        <w:pStyle w:val="TOC1"/>
        <w:rPr>
          <w:rFonts w:asciiTheme="minorHAnsi" w:eastAsiaTheme="minorEastAsia" w:hAnsiTheme="minorHAnsi" w:cstheme="minorBidi"/>
          <w:b w:val="0"/>
          <w:caps w:val="0"/>
          <w:noProof/>
          <w:sz w:val="22"/>
          <w:szCs w:val="22"/>
        </w:rPr>
      </w:pPr>
      <w:hyperlink w:anchor="_Toc497915406" w:history="1">
        <w:r w:rsidR="00080D6D" w:rsidRPr="007321E4">
          <w:rPr>
            <w:rStyle w:val="Hyperlink"/>
            <w:noProof/>
          </w:rPr>
          <w:t>6   Findings And Conclusions</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_Toc497915406 \h </w:instrText>
        </w:r>
        <w:r w:rsidR="00080D6D" w:rsidRPr="007321E4">
          <w:rPr>
            <w:noProof/>
            <w:webHidden/>
          </w:rPr>
        </w:r>
        <w:r w:rsidR="00080D6D" w:rsidRPr="007321E4">
          <w:rPr>
            <w:noProof/>
            <w:webHidden/>
          </w:rPr>
          <w:fldChar w:fldCharType="separate"/>
        </w:r>
        <w:r w:rsidR="00080D6D" w:rsidRPr="007321E4">
          <w:rPr>
            <w:noProof/>
            <w:webHidden/>
          </w:rPr>
          <w:t>42</w:t>
        </w:r>
        <w:r w:rsidR="00080D6D" w:rsidRPr="007321E4">
          <w:rPr>
            <w:noProof/>
            <w:webHidden/>
          </w:rPr>
          <w:fldChar w:fldCharType="end"/>
        </w:r>
      </w:hyperlink>
    </w:p>
    <w:p w:rsidR="00080D6D" w:rsidRPr="007321E4" w:rsidRDefault="008E128A">
      <w:pPr>
        <w:pStyle w:val="TOC2"/>
        <w:rPr>
          <w:rFonts w:asciiTheme="minorHAnsi" w:eastAsiaTheme="minorEastAsia" w:hAnsiTheme="minorHAnsi" w:cstheme="minorBidi"/>
          <w:noProof/>
          <w:sz w:val="22"/>
          <w:szCs w:val="22"/>
        </w:rPr>
      </w:pPr>
      <w:hyperlink w:anchor="_Toc497915407" w:history="1">
        <w:r w:rsidR="00080D6D" w:rsidRPr="007321E4">
          <w:rPr>
            <w:rStyle w:val="Hyperlink"/>
            <w:noProof/>
          </w:rPr>
          <w:t>6.1   The Panel's decision to commence its legal analysis with the claims under Article XI:1 of the GATT 1994</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_Toc497915407 \h </w:instrText>
        </w:r>
        <w:r w:rsidR="00080D6D" w:rsidRPr="007321E4">
          <w:rPr>
            <w:noProof/>
            <w:webHidden/>
          </w:rPr>
        </w:r>
        <w:r w:rsidR="00080D6D" w:rsidRPr="007321E4">
          <w:rPr>
            <w:noProof/>
            <w:webHidden/>
          </w:rPr>
          <w:fldChar w:fldCharType="separate"/>
        </w:r>
        <w:r w:rsidR="00080D6D" w:rsidRPr="007321E4">
          <w:rPr>
            <w:noProof/>
            <w:webHidden/>
          </w:rPr>
          <w:t>42</w:t>
        </w:r>
        <w:r w:rsidR="00080D6D" w:rsidRPr="007321E4">
          <w:rPr>
            <w:noProof/>
            <w:webHidden/>
          </w:rPr>
          <w:fldChar w:fldCharType="end"/>
        </w:r>
      </w:hyperlink>
    </w:p>
    <w:p w:rsidR="00080D6D" w:rsidRPr="007321E4" w:rsidRDefault="008E128A">
      <w:pPr>
        <w:pStyle w:val="TOC2"/>
        <w:rPr>
          <w:rFonts w:asciiTheme="minorHAnsi" w:eastAsiaTheme="minorEastAsia" w:hAnsiTheme="minorHAnsi" w:cstheme="minorBidi"/>
          <w:noProof/>
          <w:sz w:val="22"/>
          <w:szCs w:val="22"/>
        </w:rPr>
      </w:pPr>
      <w:hyperlink w:anchor="_Toc497915408" w:history="1">
        <w:r w:rsidR="00080D6D" w:rsidRPr="007321E4">
          <w:rPr>
            <w:rStyle w:val="Hyperlink"/>
            <w:noProof/>
          </w:rPr>
          <w:t>6.2   Whether the Panel erred in determining that Indonesia bears the burden of proof under the second part of footnote 1 to Article 4.2 of the Agreement on Agriculture</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_Toc497915408 \h </w:instrText>
        </w:r>
        <w:r w:rsidR="00080D6D" w:rsidRPr="007321E4">
          <w:rPr>
            <w:noProof/>
            <w:webHidden/>
          </w:rPr>
        </w:r>
        <w:r w:rsidR="00080D6D" w:rsidRPr="007321E4">
          <w:rPr>
            <w:noProof/>
            <w:webHidden/>
          </w:rPr>
          <w:fldChar w:fldCharType="separate"/>
        </w:r>
        <w:r w:rsidR="00080D6D" w:rsidRPr="007321E4">
          <w:rPr>
            <w:noProof/>
            <w:webHidden/>
          </w:rPr>
          <w:t>43</w:t>
        </w:r>
        <w:r w:rsidR="00080D6D" w:rsidRPr="007321E4">
          <w:rPr>
            <w:noProof/>
            <w:webHidden/>
          </w:rPr>
          <w:fldChar w:fldCharType="end"/>
        </w:r>
      </w:hyperlink>
    </w:p>
    <w:p w:rsidR="00080D6D" w:rsidRPr="007321E4" w:rsidRDefault="008E128A">
      <w:pPr>
        <w:pStyle w:val="TOC2"/>
        <w:rPr>
          <w:rFonts w:asciiTheme="minorHAnsi" w:eastAsiaTheme="minorEastAsia" w:hAnsiTheme="minorHAnsi" w:cstheme="minorBidi"/>
          <w:noProof/>
          <w:sz w:val="22"/>
          <w:szCs w:val="22"/>
        </w:rPr>
      </w:pPr>
      <w:hyperlink w:anchor="_Toc497915409" w:history="1">
        <w:r w:rsidR="00080D6D" w:rsidRPr="007321E4">
          <w:rPr>
            <w:rStyle w:val="Hyperlink"/>
            <w:noProof/>
          </w:rPr>
          <w:t>6.3   Indonesia's alternative claim that the Panel erred in finding that Article XI:2(c) of the GATT 1994 has been rendered "inoperative" by Article 4.2 of the Agreement on Agriculture</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_Toc497915409 \h </w:instrText>
        </w:r>
        <w:r w:rsidR="00080D6D" w:rsidRPr="007321E4">
          <w:rPr>
            <w:noProof/>
            <w:webHidden/>
          </w:rPr>
        </w:r>
        <w:r w:rsidR="00080D6D" w:rsidRPr="007321E4">
          <w:rPr>
            <w:noProof/>
            <w:webHidden/>
          </w:rPr>
          <w:fldChar w:fldCharType="separate"/>
        </w:r>
        <w:r w:rsidR="00080D6D" w:rsidRPr="007321E4">
          <w:rPr>
            <w:noProof/>
            <w:webHidden/>
          </w:rPr>
          <w:t>44</w:t>
        </w:r>
        <w:r w:rsidR="00080D6D" w:rsidRPr="007321E4">
          <w:rPr>
            <w:noProof/>
            <w:webHidden/>
          </w:rPr>
          <w:fldChar w:fldCharType="end"/>
        </w:r>
      </w:hyperlink>
    </w:p>
    <w:p w:rsidR="00080D6D" w:rsidRPr="007321E4" w:rsidRDefault="008E128A">
      <w:pPr>
        <w:pStyle w:val="TOC2"/>
        <w:rPr>
          <w:rFonts w:asciiTheme="minorHAnsi" w:eastAsiaTheme="minorEastAsia" w:hAnsiTheme="minorHAnsi" w:cstheme="minorBidi"/>
          <w:noProof/>
          <w:sz w:val="22"/>
          <w:szCs w:val="22"/>
        </w:rPr>
      </w:pPr>
      <w:hyperlink w:anchor="_Toc497915410" w:history="1">
        <w:r w:rsidR="00080D6D" w:rsidRPr="007321E4">
          <w:rPr>
            <w:rStyle w:val="Hyperlink"/>
            <w:noProof/>
          </w:rPr>
          <w:t>6.4   Indonesia's claim under Article XX of the GATT 1994</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_Toc497915410 \h </w:instrText>
        </w:r>
        <w:r w:rsidR="00080D6D" w:rsidRPr="007321E4">
          <w:rPr>
            <w:noProof/>
            <w:webHidden/>
          </w:rPr>
        </w:r>
        <w:r w:rsidR="00080D6D" w:rsidRPr="007321E4">
          <w:rPr>
            <w:noProof/>
            <w:webHidden/>
          </w:rPr>
          <w:fldChar w:fldCharType="separate"/>
        </w:r>
        <w:r w:rsidR="00080D6D" w:rsidRPr="007321E4">
          <w:rPr>
            <w:noProof/>
            <w:webHidden/>
          </w:rPr>
          <w:t>44</w:t>
        </w:r>
        <w:r w:rsidR="00080D6D" w:rsidRPr="007321E4">
          <w:rPr>
            <w:noProof/>
            <w:webHidden/>
          </w:rPr>
          <w:fldChar w:fldCharType="end"/>
        </w:r>
      </w:hyperlink>
    </w:p>
    <w:p w:rsidR="00080D6D" w:rsidRPr="007321E4" w:rsidRDefault="008E128A">
      <w:pPr>
        <w:pStyle w:val="TOC2"/>
        <w:rPr>
          <w:rFonts w:asciiTheme="minorHAnsi" w:eastAsiaTheme="minorEastAsia" w:hAnsiTheme="minorHAnsi" w:cstheme="minorBidi"/>
          <w:noProof/>
          <w:sz w:val="22"/>
          <w:szCs w:val="22"/>
        </w:rPr>
      </w:pPr>
      <w:hyperlink w:anchor="_Toc497915411" w:history="1">
        <w:r w:rsidR="00080D6D" w:rsidRPr="007321E4">
          <w:rPr>
            <w:rStyle w:val="Hyperlink"/>
            <w:noProof/>
          </w:rPr>
          <w:t>6.5   Recommendation</w:t>
        </w:r>
        <w:r w:rsidR="00080D6D" w:rsidRPr="007321E4">
          <w:rPr>
            <w:noProof/>
            <w:webHidden/>
          </w:rPr>
          <w:tab/>
        </w:r>
        <w:r w:rsidR="00080D6D" w:rsidRPr="007321E4">
          <w:rPr>
            <w:noProof/>
            <w:webHidden/>
          </w:rPr>
          <w:fldChar w:fldCharType="begin"/>
        </w:r>
        <w:r w:rsidR="00080D6D" w:rsidRPr="007321E4">
          <w:rPr>
            <w:noProof/>
            <w:webHidden/>
          </w:rPr>
          <w:instrText xml:space="preserve"> PAGEREF _Toc497915411 \h </w:instrText>
        </w:r>
        <w:r w:rsidR="00080D6D" w:rsidRPr="007321E4">
          <w:rPr>
            <w:noProof/>
            <w:webHidden/>
          </w:rPr>
        </w:r>
        <w:r w:rsidR="00080D6D" w:rsidRPr="007321E4">
          <w:rPr>
            <w:noProof/>
            <w:webHidden/>
          </w:rPr>
          <w:fldChar w:fldCharType="separate"/>
        </w:r>
        <w:r w:rsidR="00080D6D" w:rsidRPr="007321E4">
          <w:rPr>
            <w:noProof/>
            <w:webHidden/>
          </w:rPr>
          <w:t>45</w:t>
        </w:r>
        <w:r w:rsidR="00080D6D" w:rsidRPr="007321E4">
          <w:rPr>
            <w:noProof/>
            <w:webHidden/>
          </w:rPr>
          <w:fldChar w:fldCharType="end"/>
        </w:r>
      </w:hyperlink>
    </w:p>
    <w:p w:rsidR="00CE371F" w:rsidRPr="007321E4" w:rsidRDefault="000A48A1">
      <w:pPr>
        <w:jc w:val="left"/>
      </w:pPr>
      <w:r w:rsidRPr="007321E4">
        <w:fldChar w:fldCharType="end"/>
      </w:r>
      <w:r w:rsidR="00CE371F" w:rsidRPr="007321E4">
        <w:br w:type="page"/>
      </w:r>
    </w:p>
    <w:p w:rsidR="00CE371F" w:rsidRPr="007321E4" w:rsidRDefault="00CE371F" w:rsidP="00CE371F">
      <w:pPr>
        <w:pStyle w:val="Title"/>
      </w:pPr>
      <w:bookmarkStart w:id="1" w:name="Abbreviations"/>
      <w:r w:rsidRPr="007321E4">
        <w:lastRenderedPageBreak/>
        <w:t xml:space="preserve">ABBREVIATIONS </w:t>
      </w:r>
      <w:bookmarkEnd w:id="1"/>
      <w:r w:rsidRPr="007321E4">
        <w:t>USED IN THIS REPORT</w:t>
      </w:r>
    </w:p>
    <w:tbl>
      <w:tblPr>
        <w:tblStyle w:val="WTOTable1"/>
        <w:tblW w:w="9221" w:type="dxa"/>
        <w:tblLayout w:type="fixed"/>
        <w:tblLook w:val="0060" w:firstRow="1" w:lastRow="1" w:firstColumn="0" w:lastColumn="0" w:noHBand="0" w:noVBand="0"/>
      </w:tblPr>
      <w:tblGrid>
        <w:gridCol w:w="2600"/>
        <w:gridCol w:w="6621"/>
      </w:tblGrid>
      <w:tr w:rsidR="00EC146C" w:rsidRPr="007321E4" w:rsidTr="002076F0">
        <w:trPr>
          <w:cnfStyle w:val="100000000000" w:firstRow="1" w:lastRow="0" w:firstColumn="0" w:lastColumn="0" w:oddVBand="0" w:evenVBand="0" w:oddHBand="0" w:evenHBand="0" w:firstRowFirstColumn="0" w:firstRowLastColumn="0" w:lastRowFirstColumn="0" w:lastRowLastColumn="0"/>
        </w:trPr>
        <w:tc>
          <w:tcPr>
            <w:tcW w:w="2600" w:type="dxa"/>
          </w:tcPr>
          <w:p w:rsidR="00EC146C" w:rsidRPr="007321E4" w:rsidRDefault="00EC146C" w:rsidP="00EC146C">
            <w:pPr>
              <w:keepLines/>
              <w:tabs>
                <w:tab w:val="left" w:pos="2268"/>
                <w:tab w:val="left" w:pos="4536"/>
              </w:tabs>
              <w:spacing w:before="60" w:after="60"/>
              <w:jc w:val="center"/>
              <w:rPr>
                <w:szCs w:val="18"/>
              </w:rPr>
            </w:pPr>
            <w:r w:rsidRPr="007321E4">
              <w:rPr>
                <w:szCs w:val="18"/>
              </w:rPr>
              <w:t>Abbreviation</w:t>
            </w:r>
          </w:p>
        </w:tc>
        <w:tc>
          <w:tcPr>
            <w:tcW w:w="6621" w:type="dxa"/>
          </w:tcPr>
          <w:p w:rsidR="00EC146C" w:rsidRPr="007321E4" w:rsidRDefault="00EC146C" w:rsidP="00EC146C">
            <w:pPr>
              <w:keepLines/>
              <w:tabs>
                <w:tab w:val="left" w:pos="2268"/>
                <w:tab w:val="left" w:pos="4536"/>
              </w:tabs>
              <w:spacing w:before="60" w:after="60"/>
              <w:jc w:val="center"/>
              <w:rPr>
                <w:szCs w:val="18"/>
              </w:rPr>
            </w:pPr>
            <w:r w:rsidRPr="007321E4">
              <w:rPr>
                <w:szCs w:val="18"/>
              </w:rPr>
              <w:t>Description</w:t>
            </w:r>
          </w:p>
        </w:tc>
      </w:tr>
      <w:tr w:rsidR="002057DA" w:rsidRPr="007321E4" w:rsidTr="002076F0">
        <w:tc>
          <w:tcPr>
            <w:tcW w:w="2600" w:type="dxa"/>
          </w:tcPr>
          <w:p w:rsidR="002057DA" w:rsidRPr="007321E4" w:rsidRDefault="000849F2" w:rsidP="000849F2">
            <w:pPr>
              <w:spacing w:before="40" w:after="40"/>
              <w:jc w:val="left"/>
              <w:rPr>
                <w:bCs/>
                <w:szCs w:val="18"/>
                <w:lang w:eastAsia="ja-JP"/>
              </w:rPr>
            </w:pPr>
            <w:r w:rsidRPr="007321E4">
              <w:rPr>
                <w:bCs/>
                <w:szCs w:val="18"/>
                <w:lang w:eastAsia="ja-JP"/>
              </w:rPr>
              <w:t>c</w:t>
            </w:r>
            <w:r w:rsidR="002057DA" w:rsidRPr="007321E4">
              <w:rPr>
                <w:bCs/>
                <w:szCs w:val="18"/>
                <w:lang w:eastAsia="ja-JP"/>
              </w:rPr>
              <w:t>o-complainants</w:t>
            </w:r>
          </w:p>
        </w:tc>
        <w:tc>
          <w:tcPr>
            <w:tcW w:w="6621" w:type="dxa"/>
          </w:tcPr>
          <w:p w:rsidR="002057DA" w:rsidRPr="007321E4" w:rsidRDefault="002057DA" w:rsidP="009A6E71">
            <w:pPr>
              <w:spacing w:before="40" w:after="40"/>
              <w:jc w:val="left"/>
              <w:rPr>
                <w:szCs w:val="18"/>
              </w:rPr>
            </w:pPr>
            <w:r w:rsidRPr="007321E4">
              <w:rPr>
                <w:szCs w:val="18"/>
              </w:rPr>
              <w:t>New Zealand and the United States</w:t>
            </w:r>
          </w:p>
        </w:tc>
      </w:tr>
      <w:tr w:rsidR="002057DA" w:rsidRPr="007321E4" w:rsidTr="002076F0">
        <w:trPr>
          <w:cnfStyle w:val="000000010000" w:firstRow="0" w:lastRow="0" w:firstColumn="0" w:lastColumn="0" w:oddVBand="0" w:evenVBand="0" w:oddHBand="0" w:evenHBand="1" w:firstRowFirstColumn="0" w:firstRowLastColumn="0" w:lastRowFirstColumn="0" w:lastRowLastColumn="0"/>
        </w:trPr>
        <w:tc>
          <w:tcPr>
            <w:tcW w:w="2600" w:type="dxa"/>
          </w:tcPr>
          <w:p w:rsidR="002057DA" w:rsidRPr="007321E4" w:rsidRDefault="002057DA" w:rsidP="00EC146C">
            <w:pPr>
              <w:spacing w:before="40" w:after="40"/>
              <w:jc w:val="left"/>
              <w:rPr>
                <w:bCs/>
                <w:szCs w:val="18"/>
                <w:lang w:eastAsia="ja-JP"/>
              </w:rPr>
            </w:pPr>
            <w:r w:rsidRPr="007321E4">
              <w:rPr>
                <w:rFonts w:eastAsia="MS Mincho"/>
                <w:szCs w:val="18"/>
                <w:lang w:eastAsia="en-GB"/>
              </w:rPr>
              <w:t>DSB</w:t>
            </w:r>
          </w:p>
        </w:tc>
        <w:tc>
          <w:tcPr>
            <w:tcW w:w="6621" w:type="dxa"/>
          </w:tcPr>
          <w:p w:rsidR="002057DA" w:rsidRPr="007321E4" w:rsidRDefault="002057DA" w:rsidP="009A6E71">
            <w:pPr>
              <w:spacing w:before="40" w:after="40"/>
              <w:jc w:val="left"/>
              <w:rPr>
                <w:szCs w:val="18"/>
                <w:lang w:eastAsia="en-GB"/>
              </w:rPr>
            </w:pPr>
            <w:r w:rsidRPr="007321E4">
              <w:rPr>
                <w:szCs w:val="18"/>
                <w:lang w:eastAsia="en-GB"/>
              </w:rPr>
              <w:t>Dispute Settlement Body</w:t>
            </w:r>
          </w:p>
        </w:tc>
      </w:tr>
      <w:tr w:rsidR="002057DA" w:rsidRPr="007321E4" w:rsidTr="002076F0">
        <w:tc>
          <w:tcPr>
            <w:tcW w:w="2600" w:type="dxa"/>
          </w:tcPr>
          <w:p w:rsidR="002057DA" w:rsidRPr="007321E4" w:rsidRDefault="002057DA" w:rsidP="00EC146C">
            <w:pPr>
              <w:spacing w:before="40" w:after="40"/>
              <w:jc w:val="left"/>
              <w:rPr>
                <w:bCs/>
                <w:szCs w:val="18"/>
                <w:lang w:eastAsia="ja-JP"/>
              </w:rPr>
            </w:pPr>
            <w:r w:rsidRPr="007321E4">
              <w:rPr>
                <w:szCs w:val="18"/>
                <w:lang w:eastAsia="en-GB"/>
              </w:rPr>
              <w:t>DSU</w:t>
            </w:r>
          </w:p>
        </w:tc>
        <w:tc>
          <w:tcPr>
            <w:tcW w:w="6621" w:type="dxa"/>
          </w:tcPr>
          <w:p w:rsidR="002057DA" w:rsidRPr="007321E4" w:rsidRDefault="002057DA" w:rsidP="009A6E71">
            <w:pPr>
              <w:spacing w:before="40" w:after="40"/>
              <w:jc w:val="left"/>
              <w:rPr>
                <w:szCs w:val="18"/>
              </w:rPr>
            </w:pPr>
            <w:r w:rsidRPr="007321E4">
              <w:rPr>
                <w:szCs w:val="18"/>
                <w:lang w:eastAsia="en-GB"/>
              </w:rPr>
              <w:t>Understanding on Rules and Procedures Governing the Settlement of Disputes</w:t>
            </w:r>
          </w:p>
        </w:tc>
      </w:tr>
      <w:tr w:rsidR="002057DA" w:rsidRPr="007321E4" w:rsidTr="002076F0">
        <w:trPr>
          <w:cnfStyle w:val="000000010000" w:firstRow="0" w:lastRow="0" w:firstColumn="0" w:lastColumn="0" w:oddVBand="0" w:evenVBand="0" w:oddHBand="0" w:evenHBand="1" w:firstRowFirstColumn="0" w:firstRowLastColumn="0" w:lastRowFirstColumn="0" w:lastRowLastColumn="0"/>
        </w:trPr>
        <w:tc>
          <w:tcPr>
            <w:tcW w:w="2600" w:type="dxa"/>
          </w:tcPr>
          <w:p w:rsidR="002057DA" w:rsidRPr="007321E4" w:rsidRDefault="002057DA" w:rsidP="00EC146C">
            <w:pPr>
              <w:spacing w:before="40" w:after="40"/>
              <w:jc w:val="left"/>
              <w:rPr>
                <w:szCs w:val="18"/>
              </w:rPr>
            </w:pPr>
            <w:r w:rsidRPr="007321E4">
              <w:rPr>
                <w:szCs w:val="18"/>
              </w:rPr>
              <w:t>GATT 1994</w:t>
            </w:r>
          </w:p>
        </w:tc>
        <w:tc>
          <w:tcPr>
            <w:tcW w:w="6621" w:type="dxa"/>
          </w:tcPr>
          <w:p w:rsidR="002057DA" w:rsidRPr="007321E4" w:rsidRDefault="002057DA" w:rsidP="009A6E71">
            <w:pPr>
              <w:spacing w:before="40" w:after="40"/>
              <w:jc w:val="left"/>
              <w:rPr>
                <w:szCs w:val="18"/>
              </w:rPr>
            </w:pPr>
            <w:r w:rsidRPr="007321E4">
              <w:rPr>
                <w:szCs w:val="18"/>
                <w:lang w:eastAsia="en-GB"/>
              </w:rPr>
              <w:t>General Agreement on Tariffs and Trade 1994</w:t>
            </w:r>
          </w:p>
        </w:tc>
      </w:tr>
      <w:tr w:rsidR="002057DA" w:rsidRPr="007321E4" w:rsidTr="002076F0">
        <w:tc>
          <w:tcPr>
            <w:tcW w:w="2600" w:type="dxa"/>
          </w:tcPr>
          <w:p w:rsidR="002057DA" w:rsidRPr="007321E4" w:rsidRDefault="002057DA" w:rsidP="00EC146C">
            <w:pPr>
              <w:spacing w:before="40" w:after="40"/>
              <w:jc w:val="left"/>
              <w:rPr>
                <w:bCs/>
                <w:szCs w:val="18"/>
                <w:lang w:eastAsia="ja-JP"/>
              </w:rPr>
            </w:pPr>
            <w:r w:rsidRPr="007321E4">
              <w:rPr>
                <w:szCs w:val="18"/>
                <w:lang w:eastAsia="en-GB"/>
              </w:rPr>
              <w:t>Import Licensing Agreement</w:t>
            </w:r>
          </w:p>
        </w:tc>
        <w:tc>
          <w:tcPr>
            <w:tcW w:w="6621" w:type="dxa"/>
          </w:tcPr>
          <w:p w:rsidR="002057DA" w:rsidRPr="007321E4" w:rsidRDefault="002057DA" w:rsidP="009A6E71">
            <w:pPr>
              <w:tabs>
                <w:tab w:val="left" w:pos="3735"/>
              </w:tabs>
              <w:spacing w:before="40" w:after="40"/>
              <w:jc w:val="left"/>
              <w:rPr>
                <w:szCs w:val="18"/>
                <w:lang w:eastAsia="en-GB"/>
              </w:rPr>
            </w:pPr>
            <w:r w:rsidRPr="007321E4">
              <w:rPr>
                <w:szCs w:val="18"/>
                <w:lang w:eastAsia="en-GB"/>
              </w:rPr>
              <w:t>Agreement on Import Licensing Procedures</w:t>
            </w:r>
          </w:p>
        </w:tc>
      </w:tr>
      <w:tr w:rsidR="00EC44C2" w:rsidRPr="007321E4" w:rsidTr="002076F0">
        <w:trPr>
          <w:cnfStyle w:val="000000010000" w:firstRow="0" w:lastRow="0" w:firstColumn="0" w:lastColumn="0" w:oddVBand="0" w:evenVBand="0" w:oddHBand="0" w:evenHBand="1" w:firstRowFirstColumn="0" w:firstRowLastColumn="0" w:lastRowFirstColumn="0" w:lastRowLastColumn="0"/>
        </w:trPr>
        <w:tc>
          <w:tcPr>
            <w:tcW w:w="2600" w:type="dxa"/>
          </w:tcPr>
          <w:p w:rsidR="00EC44C2" w:rsidRPr="007321E4" w:rsidRDefault="00EC44C2" w:rsidP="00EC146C">
            <w:pPr>
              <w:spacing w:before="40" w:after="40"/>
              <w:jc w:val="left"/>
              <w:rPr>
                <w:szCs w:val="18"/>
                <w:lang w:eastAsia="en-GB"/>
              </w:rPr>
            </w:pPr>
            <w:r w:rsidRPr="007321E4">
              <w:rPr>
                <w:szCs w:val="18"/>
                <w:lang w:eastAsia="en-GB"/>
              </w:rPr>
              <w:t xml:space="preserve">New Zealand's Panel Request </w:t>
            </w:r>
          </w:p>
        </w:tc>
        <w:tc>
          <w:tcPr>
            <w:tcW w:w="6621" w:type="dxa"/>
          </w:tcPr>
          <w:p w:rsidR="00EC44C2" w:rsidRPr="007321E4" w:rsidRDefault="00EC44C2" w:rsidP="009A6E71">
            <w:pPr>
              <w:tabs>
                <w:tab w:val="left" w:pos="3735"/>
              </w:tabs>
              <w:spacing w:before="40" w:after="40"/>
              <w:jc w:val="left"/>
              <w:rPr>
                <w:szCs w:val="18"/>
                <w:lang w:eastAsia="en-GB"/>
              </w:rPr>
            </w:pPr>
            <w:r w:rsidRPr="007321E4">
              <w:t>Request for the Establishment of a Panel by New Zealand, WT/DS477/9</w:t>
            </w:r>
          </w:p>
        </w:tc>
      </w:tr>
      <w:tr w:rsidR="002057DA" w:rsidRPr="007321E4" w:rsidTr="002076F0">
        <w:tc>
          <w:tcPr>
            <w:tcW w:w="2600" w:type="dxa"/>
          </w:tcPr>
          <w:p w:rsidR="002057DA" w:rsidRPr="007321E4" w:rsidRDefault="002057DA" w:rsidP="00EC146C">
            <w:pPr>
              <w:spacing w:before="40" w:after="40"/>
              <w:jc w:val="left"/>
              <w:rPr>
                <w:bCs/>
                <w:szCs w:val="18"/>
                <w:lang w:eastAsia="ja-JP"/>
              </w:rPr>
            </w:pPr>
            <w:r w:rsidRPr="007321E4">
              <w:rPr>
                <w:szCs w:val="18"/>
                <w:lang w:eastAsia="en-GB"/>
              </w:rPr>
              <w:t>Panel</w:t>
            </w:r>
          </w:p>
        </w:tc>
        <w:tc>
          <w:tcPr>
            <w:tcW w:w="6621" w:type="dxa"/>
          </w:tcPr>
          <w:p w:rsidR="002057DA" w:rsidRPr="007321E4" w:rsidRDefault="002057DA" w:rsidP="009A6E71">
            <w:pPr>
              <w:spacing w:before="40" w:after="40"/>
              <w:jc w:val="left"/>
              <w:rPr>
                <w:szCs w:val="18"/>
                <w:lang w:eastAsia="en-GB"/>
              </w:rPr>
            </w:pPr>
            <w:r w:rsidRPr="007321E4">
              <w:rPr>
                <w:szCs w:val="18"/>
                <w:lang w:eastAsia="en-GB"/>
              </w:rPr>
              <w:t>Panel in these proceedings</w:t>
            </w:r>
          </w:p>
        </w:tc>
      </w:tr>
      <w:tr w:rsidR="002057DA" w:rsidRPr="007321E4" w:rsidTr="002076F0">
        <w:trPr>
          <w:cnfStyle w:val="000000010000" w:firstRow="0" w:lastRow="0" w:firstColumn="0" w:lastColumn="0" w:oddVBand="0" w:evenVBand="0" w:oddHBand="0" w:evenHBand="1" w:firstRowFirstColumn="0" w:firstRowLastColumn="0" w:lastRowFirstColumn="0" w:lastRowLastColumn="0"/>
        </w:trPr>
        <w:tc>
          <w:tcPr>
            <w:tcW w:w="2600" w:type="dxa"/>
          </w:tcPr>
          <w:p w:rsidR="002057DA" w:rsidRPr="007321E4" w:rsidRDefault="002057DA" w:rsidP="00EC146C">
            <w:pPr>
              <w:spacing w:before="40" w:after="40"/>
              <w:jc w:val="left"/>
              <w:rPr>
                <w:szCs w:val="18"/>
              </w:rPr>
            </w:pPr>
            <w:r w:rsidRPr="007321E4">
              <w:rPr>
                <w:szCs w:val="18"/>
                <w:lang w:eastAsia="en-GB"/>
              </w:rPr>
              <w:t>Panel Report</w:t>
            </w:r>
          </w:p>
        </w:tc>
        <w:tc>
          <w:tcPr>
            <w:tcW w:w="6621" w:type="dxa"/>
          </w:tcPr>
          <w:p w:rsidR="002057DA" w:rsidRPr="007321E4" w:rsidRDefault="00593574" w:rsidP="009A6E71">
            <w:pPr>
              <w:spacing w:before="40" w:after="40"/>
              <w:jc w:val="left"/>
              <w:rPr>
                <w:szCs w:val="18"/>
              </w:rPr>
            </w:pPr>
            <w:r w:rsidRPr="007321E4">
              <w:rPr>
                <w:szCs w:val="18"/>
                <w:lang w:eastAsia="en-GB"/>
              </w:rPr>
              <w:t xml:space="preserve">Panel Report, </w:t>
            </w:r>
            <w:r w:rsidR="002057DA" w:rsidRPr="007321E4">
              <w:rPr>
                <w:i/>
                <w:szCs w:val="18"/>
                <w:lang w:eastAsia="en-GB"/>
              </w:rPr>
              <w:t>Indonesia – Importation of Horticultural Products, Animals and Animal Products</w:t>
            </w:r>
            <w:r w:rsidR="002057DA" w:rsidRPr="007321E4">
              <w:rPr>
                <w:szCs w:val="18"/>
                <w:lang w:eastAsia="en-GB"/>
              </w:rPr>
              <w:t xml:space="preserve">, </w:t>
            </w:r>
            <w:hyperlink r:id="rId9" w:history="1">
              <w:r w:rsidR="002057DA" w:rsidRPr="007321E4">
                <w:rPr>
                  <w:color w:val="0000FF" w:themeColor="hyperlink"/>
                  <w:szCs w:val="18"/>
                  <w:u w:val="single"/>
                  <w:lang w:eastAsia="en-GB"/>
                </w:rPr>
                <w:t>WT/DS477/R</w:t>
              </w:r>
            </w:hyperlink>
            <w:r w:rsidR="002057DA" w:rsidRPr="007321E4">
              <w:rPr>
                <w:szCs w:val="18"/>
                <w:lang w:eastAsia="en-GB"/>
              </w:rPr>
              <w:t xml:space="preserve">, </w:t>
            </w:r>
            <w:hyperlink r:id="rId10" w:history="1">
              <w:r w:rsidR="002057DA" w:rsidRPr="007321E4">
                <w:rPr>
                  <w:color w:val="0000FF" w:themeColor="hyperlink"/>
                  <w:szCs w:val="18"/>
                  <w:u w:val="single"/>
                  <w:lang w:eastAsia="en-GB"/>
                </w:rPr>
                <w:t>WT/DS478/R</w:t>
              </w:r>
            </w:hyperlink>
          </w:p>
        </w:tc>
      </w:tr>
      <w:tr w:rsidR="002057DA" w:rsidRPr="007321E4" w:rsidTr="002076F0">
        <w:tc>
          <w:tcPr>
            <w:tcW w:w="2600" w:type="dxa"/>
          </w:tcPr>
          <w:p w:rsidR="002057DA" w:rsidRPr="007321E4" w:rsidRDefault="002057DA" w:rsidP="00EC146C">
            <w:pPr>
              <w:spacing w:before="40" w:after="40"/>
              <w:jc w:val="left"/>
              <w:rPr>
                <w:bCs/>
                <w:szCs w:val="18"/>
                <w:lang w:eastAsia="ja-JP"/>
              </w:rPr>
            </w:pPr>
            <w:r w:rsidRPr="007321E4">
              <w:rPr>
                <w:szCs w:val="18"/>
                <w:lang w:eastAsia="en-GB"/>
              </w:rPr>
              <w:t>SCM Agreement</w:t>
            </w:r>
          </w:p>
        </w:tc>
        <w:tc>
          <w:tcPr>
            <w:tcW w:w="6621" w:type="dxa"/>
          </w:tcPr>
          <w:p w:rsidR="002057DA" w:rsidRPr="007321E4" w:rsidRDefault="002057DA" w:rsidP="009A6E71">
            <w:pPr>
              <w:spacing w:before="40" w:after="40"/>
              <w:jc w:val="left"/>
              <w:rPr>
                <w:szCs w:val="18"/>
                <w:lang w:eastAsia="en-GB"/>
              </w:rPr>
            </w:pPr>
            <w:r w:rsidRPr="007321E4">
              <w:rPr>
                <w:szCs w:val="18"/>
                <w:lang w:eastAsia="en-GB"/>
              </w:rPr>
              <w:t>Agreement on Subsidies and Countervailing Measures</w:t>
            </w:r>
          </w:p>
        </w:tc>
      </w:tr>
      <w:tr w:rsidR="002057DA" w:rsidRPr="007321E4" w:rsidTr="002076F0">
        <w:trPr>
          <w:cnfStyle w:val="000000010000" w:firstRow="0" w:lastRow="0" w:firstColumn="0" w:lastColumn="0" w:oddVBand="0" w:evenVBand="0" w:oddHBand="0" w:evenHBand="1" w:firstRowFirstColumn="0" w:firstRowLastColumn="0" w:lastRowFirstColumn="0" w:lastRowLastColumn="0"/>
        </w:trPr>
        <w:tc>
          <w:tcPr>
            <w:tcW w:w="2600" w:type="dxa"/>
          </w:tcPr>
          <w:p w:rsidR="002057DA" w:rsidRPr="007321E4" w:rsidRDefault="002057DA" w:rsidP="00EC146C">
            <w:pPr>
              <w:spacing w:before="40" w:after="40"/>
              <w:jc w:val="left"/>
              <w:rPr>
                <w:bCs/>
                <w:szCs w:val="18"/>
                <w:lang w:eastAsia="ja-JP"/>
              </w:rPr>
            </w:pPr>
            <w:r w:rsidRPr="007321E4">
              <w:rPr>
                <w:szCs w:val="18"/>
                <w:lang w:eastAsia="en-GB"/>
              </w:rPr>
              <w:t>SPS Agreement</w:t>
            </w:r>
          </w:p>
        </w:tc>
        <w:tc>
          <w:tcPr>
            <w:tcW w:w="6621" w:type="dxa"/>
          </w:tcPr>
          <w:p w:rsidR="002057DA" w:rsidRPr="007321E4" w:rsidRDefault="002057DA" w:rsidP="009A6E71">
            <w:pPr>
              <w:tabs>
                <w:tab w:val="left" w:pos="3735"/>
              </w:tabs>
              <w:spacing w:before="40" w:after="40"/>
              <w:jc w:val="left"/>
              <w:rPr>
                <w:szCs w:val="18"/>
                <w:lang w:eastAsia="en-GB"/>
              </w:rPr>
            </w:pPr>
            <w:r w:rsidRPr="007321E4">
              <w:rPr>
                <w:szCs w:val="18"/>
                <w:lang w:eastAsia="en-GB"/>
              </w:rPr>
              <w:t>Agreement on the Application of Sanitary and Phytosanitary Measures</w:t>
            </w:r>
          </w:p>
        </w:tc>
      </w:tr>
      <w:tr w:rsidR="002057DA" w:rsidRPr="007321E4" w:rsidTr="002076F0">
        <w:tc>
          <w:tcPr>
            <w:tcW w:w="2600" w:type="dxa"/>
          </w:tcPr>
          <w:p w:rsidR="002057DA" w:rsidRPr="007321E4" w:rsidRDefault="002057DA" w:rsidP="00EC146C">
            <w:pPr>
              <w:spacing w:before="40" w:after="40"/>
              <w:jc w:val="left"/>
              <w:rPr>
                <w:szCs w:val="18"/>
              </w:rPr>
            </w:pPr>
            <w:r w:rsidRPr="007321E4">
              <w:rPr>
                <w:szCs w:val="18"/>
                <w:lang w:eastAsia="en-GB"/>
              </w:rPr>
              <w:t>TBT Agreement</w:t>
            </w:r>
          </w:p>
        </w:tc>
        <w:tc>
          <w:tcPr>
            <w:tcW w:w="6621" w:type="dxa"/>
          </w:tcPr>
          <w:p w:rsidR="002057DA" w:rsidRPr="007321E4" w:rsidRDefault="002057DA" w:rsidP="009A6E71">
            <w:pPr>
              <w:spacing w:before="40" w:after="40"/>
              <w:jc w:val="left"/>
              <w:rPr>
                <w:szCs w:val="18"/>
              </w:rPr>
            </w:pPr>
            <w:r w:rsidRPr="007321E4">
              <w:rPr>
                <w:szCs w:val="18"/>
                <w:lang w:eastAsia="en-GB"/>
              </w:rPr>
              <w:t>Agreement on Technical Barriers to Trade</w:t>
            </w:r>
          </w:p>
        </w:tc>
      </w:tr>
      <w:tr w:rsidR="002057DA" w:rsidRPr="007321E4" w:rsidTr="002076F0">
        <w:trPr>
          <w:cnfStyle w:val="000000010000" w:firstRow="0" w:lastRow="0" w:firstColumn="0" w:lastColumn="0" w:oddVBand="0" w:evenVBand="0" w:oddHBand="0" w:evenHBand="1" w:firstRowFirstColumn="0" w:firstRowLastColumn="0" w:lastRowFirstColumn="0" w:lastRowLastColumn="0"/>
        </w:trPr>
        <w:tc>
          <w:tcPr>
            <w:tcW w:w="2600" w:type="dxa"/>
          </w:tcPr>
          <w:p w:rsidR="002057DA" w:rsidRPr="007321E4" w:rsidRDefault="002057DA" w:rsidP="00EC146C">
            <w:pPr>
              <w:spacing w:before="40" w:after="40"/>
              <w:jc w:val="left"/>
              <w:rPr>
                <w:bCs/>
                <w:szCs w:val="18"/>
                <w:lang w:eastAsia="ja-JP"/>
              </w:rPr>
            </w:pPr>
            <w:r w:rsidRPr="007321E4">
              <w:rPr>
                <w:szCs w:val="18"/>
                <w:lang w:eastAsia="en-GB"/>
              </w:rPr>
              <w:t>TRIMs Agreement</w:t>
            </w:r>
          </w:p>
        </w:tc>
        <w:tc>
          <w:tcPr>
            <w:tcW w:w="6621" w:type="dxa"/>
          </w:tcPr>
          <w:p w:rsidR="002057DA" w:rsidRPr="007321E4" w:rsidRDefault="002057DA" w:rsidP="009A6E71">
            <w:pPr>
              <w:spacing w:before="40" w:after="40"/>
              <w:jc w:val="left"/>
              <w:rPr>
                <w:szCs w:val="18"/>
              </w:rPr>
            </w:pPr>
            <w:r w:rsidRPr="007321E4">
              <w:rPr>
                <w:szCs w:val="18"/>
                <w:lang w:eastAsia="en-GB"/>
              </w:rPr>
              <w:t>Agreement on Trade-Related Investment Measures</w:t>
            </w:r>
          </w:p>
        </w:tc>
      </w:tr>
      <w:tr w:rsidR="00EC44C2" w:rsidRPr="007321E4" w:rsidTr="002076F0">
        <w:tc>
          <w:tcPr>
            <w:tcW w:w="2600" w:type="dxa"/>
          </w:tcPr>
          <w:p w:rsidR="00EC44C2" w:rsidRPr="007321E4" w:rsidRDefault="00593574" w:rsidP="00EC146C">
            <w:pPr>
              <w:spacing w:before="40" w:after="40"/>
              <w:jc w:val="left"/>
              <w:rPr>
                <w:szCs w:val="18"/>
                <w:lang w:eastAsia="en-GB"/>
              </w:rPr>
            </w:pPr>
            <w:r w:rsidRPr="007321E4">
              <w:rPr>
                <w:szCs w:val="18"/>
                <w:lang w:eastAsia="en-GB"/>
              </w:rPr>
              <w:t>United States'</w:t>
            </w:r>
            <w:r w:rsidR="00EC44C2" w:rsidRPr="007321E4">
              <w:rPr>
                <w:szCs w:val="18"/>
                <w:lang w:eastAsia="en-GB"/>
              </w:rPr>
              <w:t xml:space="preserve"> Panel Request</w:t>
            </w:r>
          </w:p>
        </w:tc>
        <w:tc>
          <w:tcPr>
            <w:tcW w:w="6621" w:type="dxa"/>
          </w:tcPr>
          <w:p w:rsidR="00EC44C2" w:rsidRPr="007321E4" w:rsidRDefault="00EC44C2" w:rsidP="009A6E71">
            <w:pPr>
              <w:spacing w:before="40" w:after="40"/>
              <w:jc w:val="left"/>
              <w:rPr>
                <w:szCs w:val="18"/>
                <w:lang w:eastAsia="en-GB"/>
              </w:rPr>
            </w:pPr>
            <w:r w:rsidRPr="007321E4">
              <w:t>Request for the Establishment of a Panel by the United States, WT/DS478/9</w:t>
            </w:r>
          </w:p>
        </w:tc>
      </w:tr>
      <w:tr w:rsidR="002057DA" w:rsidRPr="007321E4" w:rsidTr="002076F0">
        <w:trPr>
          <w:cnfStyle w:val="000000010000" w:firstRow="0" w:lastRow="0" w:firstColumn="0" w:lastColumn="0" w:oddVBand="0" w:evenVBand="0" w:oddHBand="0" w:evenHBand="1" w:firstRowFirstColumn="0" w:firstRowLastColumn="0" w:lastRowFirstColumn="0" w:lastRowLastColumn="0"/>
        </w:trPr>
        <w:tc>
          <w:tcPr>
            <w:tcW w:w="2600" w:type="dxa"/>
          </w:tcPr>
          <w:p w:rsidR="002057DA" w:rsidRPr="007321E4" w:rsidRDefault="002057DA" w:rsidP="00EC146C">
            <w:pPr>
              <w:spacing w:before="40" w:after="40"/>
              <w:jc w:val="left"/>
              <w:rPr>
                <w:bCs/>
                <w:szCs w:val="18"/>
                <w:lang w:eastAsia="ja-JP"/>
              </w:rPr>
            </w:pPr>
            <w:r w:rsidRPr="007321E4">
              <w:rPr>
                <w:rFonts w:eastAsia="MS Mincho"/>
                <w:szCs w:val="18"/>
                <w:lang w:eastAsia="en-GB"/>
              </w:rPr>
              <w:t>Working Procedures</w:t>
            </w:r>
          </w:p>
        </w:tc>
        <w:tc>
          <w:tcPr>
            <w:tcW w:w="6621" w:type="dxa"/>
          </w:tcPr>
          <w:p w:rsidR="002057DA" w:rsidRPr="007321E4" w:rsidRDefault="002057DA" w:rsidP="009A6E71">
            <w:pPr>
              <w:spacing w:before="40" w:after="40"/>
              <w:jc w:val="left"/>
              <w:rPr>
                <w:szCs w:val="18"/>
                <w:lang w:eastAsia="en-GB"/>
              </w:rPr>
            </w:pPr>
            <w:r w:rsidRPr="007321E4">
              <w:rPr>
                <w:rFonts w:eastAsia="MS Mincho"/>
                <w:szCs w:val="18"/>
                <w:lang w:eastAsia="en-GB"/>
              </w:rPr>
              <w:t>Working Procedures for Appellate Review, WT/AB/WP/6, 16 August 2010</w:t>
            </w:r>
          </w:p>
        </w:tc>
      </w:tr>
      <w:tr w:rsidR="002057DA" w:rsidRPr="007321E4" w:rsidTr="002076F0">
        <w:tc>
          <w:tcPr>
            <w:tcW w:w="2600" w:type="dxa"/>
          </w:tcPr>
          <w:p w:rsidR="002057DA" w:rsidRPr="007321E4" w:rsidRDefault="002057DA" w:rsidP="00EC146C">
            <w:pPr>
              <w:spacing w:before="40" w:after="40"/>
              <w:jc w:val="left"/>
              <w:rPr>
                <w:bCs/>
                <w:szCs w:val="18"/>
                <w:lang w:eastAsia="ja-JP"/>
              </w:rPr>
            </w:pPr>
            <w:r w:rsidRPr="007321E4">
              <w:rPr>
                <w:bCs/>
                <w:szCs w:val="18"/>
                <w:lang w:eastAsia="ja-JP"/>
              </w:rPr>
              <w:t>WTO</w:t>
            </w:r>
          </w:p>
        </w:tc>
        <w:tc>
          <w:tcPr>
            <w:tcW w:w="6621" w:type="dxa"/>
          </w:tcPr>
          <w:p w:rsidR="002057DA" w:rsidRPr="007321E4" w:rsidRDefault="002057DA" w:rsidP="009A6E71">
            <w:pPr>
              <w:spacing w:before="40" w:after="40"/>
              <w:jc w:val="left"/>
              <w:rPr>
                <w:szCs w:val="18"/>
                <w:lang w:eastAsia="en-GB"/>
              </w:rPr>
            </w:pPr>
            <w:r w:rsidRPr="007321E4">
              <w:rPr>
                <w:szCs w:val="18"/>
                <w:lang w:eastAsia="en-GB"/>
              </w:rPr>
              <w:t>World Trade Organization</w:t>
            </w:r>
          </w:p>
        </w:tc>
      </w:tr>
      <w:tr w:rsidR="002057DA" w:rsidRPr="007321E4" w:rsidTr="002076F0">
        <w:trPr>
          <w:cnfStyle w:val="000000010000" w:firstRow="0" w:lastRow="0" w:firstColumn="0" w:lastColumn="0" w:oddVBand="0" w:evenVBand="0" w:oddHBand="0" w:evenHBand="1" w:firstRowFirstColumn="0" w:firstRowLastColumn="0" w:lastRowFirstColumn="0" w:lastRowLastColumn="0"/>
        </w:trPr>
        <w:tc>
          <w:tcPr>
            <w:tcW w:w="2600" w:type="dxa"/>
          </w:tcPr>
          <w:p w:rsidR="002057DA" w:rsidRPr="007321E4" w:rsidRDefault="002057DA" w:rsidP="00EC146C">
            <w:pPr>
              <w:spacing w:before="40" w:after="40"/>
              <w:jc w:val="left"/>
              <w:rPr>
                <w:bCs/>
                <w:szCs w:val="18"/>
                <w:lang w:eastAsia="ja-JP"/>
              </w:rPr>
            </w:pPr>
            <w:r w:rsidRPr="007321E4">
              <w:rPr>
                <w:bCs/>
                <w:szCs w:val="18"/>
                <w:lang w:eastAsia="ja-JP"/>
              </w:rPr>
              <w:t>WTO Agreement</w:t>
            </w:r>
          </w:p>
        </w:tc>
        <w:tc>
          <w:tcPr>
            <w:tcW w:w="6621" w:type="dxa"/>
          </w:tcPr>
          <w:p w:rsidR="002057DA" w:rsidRPr="007321E4" w:rsidRDefault="002057DA" w:rsidP="009A6E71">
            <w:pPr>
              <w:spacing w:before="40" w:after="40"/>
              <w:jc w:val="left"/>
              <w:rPr>
                <w:szCs w:val="18"/>
                <w:lang w:eastAsia="en-GB"/>
              </w:rPr>
            </w:pPr>
            <w:r w:rsidRPr="007321E4">
              <w:rPr>
                <w:szCs w:val="18"/>
                <w:lang w:eastAsia="en-GB"/>
              </w:rPr>
              <w:t>Marrakesh Agreement Establishing the World Trade Organization</w:t>
            </w:r>
          </w:p>
        </w:tc>
      </w:tr>
    </w:tbl>
    <w:p w:rsidR="00CE371F" w:rsidRPr="007321E4" w:rsidRDefault="00CE371F" w:rsidP="00CE371F"/>
    <w:p w:rsidR="00C27356" w:rsidRPr="007321E4" w:rsidRDefault="00C27356">
      <w:pPr>
        <w:jc w:val="left"/>
        <w:rPr>
          <w:rFonts w:eastAsia="Times New Roman"/>
          <w:b/>
          <w:caps/>
          <w:color w:val="006283"/>
          <w:kern w:val="28"/>
          <w:szCs w:val="52"/>
          <w:lang w:eastAsia="en-GB"/>
        </w:rPr>
      </w:pPr>
      <w:r w:rsidRPr="007321E4">
        <w:br w:type="page"/>
      </w:r>
    </w:p>
    <w:p w:rsidR="00BB7DD3" w:rsidRPr="007321E4" w:rsidRDefault="00BB7DD3" w:rsidP="00BB7DD3">
      <w:pPr>
        <w:pStyle w:val="Title"/>
      </w:pPr>
      <w:r w:rsidRPr="007321E4">
        <w:lastRenderedPageBreak/>
        <w:t>CASES CITED IN THIS REPORT</w:t>
      </w:r>
    </w:p>
    <w:tbl>
      <w:tblPr>
        <w:tblStyle w:val="WTOTable1"/>
        <w:tblW w:w="5000" w:type="pct"/>
        <w:tblLayout w:type="fixed"/>
        <w:tblLook w:val="04A0" w:firstRow="1" w:lastRow="0" w:firstColumn="1" w:lastColumn="0" w:noHBand="0" w:noVBand="1"/>
      </w:tblPr>
      <w:tblGrid>
        <w:gridCol w:w="2773"/>
        <w:gridCol w:w="6469"/>
      </w:tblGrid>
      <w:tr w:rsidR="006E3D9B" w:rsidRPr="007321E4" w:rsidTr="002076F0">
        <w:trPr>
          <w:cnfStyle w:val="100000000000" w:firstRow="1" w:lastRow="0" w:firstColumn="0" w:lastColumn="0" w:oddVBand="0" w:evenVBand="0" w:oddHBand="0" w:evenHBand="0" w:firstRowFirstColumn="0" w:firstRowLastColumn="0" w:lastRowFirstColumn="0" w:lastRowLastColumn="0"/>
          <w:cantSplit/>
          <w:trHeight w:val="20"/>
          <w:tblHeader/>
        </w:trPr>
        <w:tc>
          <w:tcPr>
            <w:tcW w:w="1500" w:type="pct"/>
          </w:tcPr>
          <w:p w:rsidR="006E3D9B" w:rsidRPr="007321E4" w:rsidRDefault="006E3D9B" w:rsidP="00190BF6">
            <w:pPr>
              <w:spacing w:before="40" w:after="40"/>
              <w:jc w:val="center"/>
              <w:rPr>
                <w:sz w:val="16"/>
                <w:szCs w:val="16"/>
              </w:rPr>
            </w:pPr>
            <w:r w:rsidRPr="007321E4">
              <w:rPr>
                <w:sz w:val="16"/>
                <w:szCs w:val="16"/>
              </w:rPr>
              <w:t>Short title</w:t>
            </w:r>
          </w:p>
        </w:tc>
        <w:tc>
          <w:tcPr>
            <w:tcW w:w="3500" w:type="pct"/>
          </w:tcPr>
          <w:p w:rsidR="006E3D9B" w:rsidRPr="007321E4" w:rsidRDefault="006E3D9B" w:rsidP="00190BF6">
            <w:pPr>
              <w:spacing w:before="40" w:after="40"/>
              <w:jc w:val="center"/>
              <w:rPr>
                <w:sz w:val="16"/>
                <w:szCs w:val="16"/>
              </w:rPr>
            </w:pPr>
            <w:r w:rsidRPr="007321E4">
              <w:rPr>
                <w:sz w:val="16"/>
                <w:szCs w:val="16"/>
              </w:rPr>
              <w:t>Full case title and citation</w:t>
            </w:r>
          </w:p>
        </w:tc>
      </w:tr>
      <w:tr w:rsidR="006E3D9B" w:rsidRPr="007321E4" w:rsidTr="002076F0">
        <w:trPr>
          <w:cantSplit/>
          <w:trHeight w:val="20"/>
        </w:trPr>
        <w:tc>
          <w:tcPr>
            <w:tcW w:w="1500" w:type="pct"/>
          </w:tcPr>
          <w:p w:rsidR="006E3D9B" w:rsidRPr="007321E4" w:rsidRDefault="006E3D9B" w:rsidP="00190BF6">
            <w:pPr>
              <w:spacing w:before="40" w:after="40"/>
              <w:jc w:val="left"/>
              <w:rPr>
                <w:color w:val="000000"/>
                <w:sz w:val="16"/>
                <w:szCs w:val="16"/>
              </w:rPr>
            </w:pPr>
            <w:r w:rsidRPr="007321E4">
              <w:rPr>
                <w:i/>
                <w:color w:val="000000"/>
                <w:sz w:val="16"/>
                <w:szCs w:val="16"/>
              </w:rPr>
              <w:t>Argentina – Import Measures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Reports, </w:t>
            </w:r>
            <w:r w:rsidRPr="007321E4">
              <w:rPr>
                <w:i/>
                <w:color w:val="000000"/>
                <w:sz w:val="16"/>
                <w:szCs w:val="16"/>
              </w:rPr>
              <w:t>Argentina – Measures Affecting the Importation of Goods</w:t>
            </w:r>
            <w:r w:rsidRPr="007321E4">
              <w:rPr>
                <w:color w:val="000000"/>
                <w:sz w:val="16"/>
                <w:szCs w:val="16"/>
              </w:rPr>
              <w:t xml:space="preserve">, </w:t>
            </w:r>
            <w:hyperlink r:id="rId11" w:history="1">
              <w:r w:rsidRPr="007321E4">
                <w:rPr>
                  <w:rStyle w:val="Hyperlink"/>
                  <w:sz w:val="16"/>
                  <w:szCs w:val="16"/>
                </w:rPr>
                <w:t>WT/DS438/AB/R</w:t>
              </w:r>
            </w:hyperlink>
            <w:r w:rsidRPr="007321E4">
              <w:rPr>
                <w:color w:val="000000"/>
                <w:sz w:val="16"/>
                <w:szCs w:val="16"/>
              </w:rPr>
              <w:t xml:space="preserve"> / </w:t>
            </w:r>
            <w:hyperlink r:id="rId12" w:history="1">
              <w:r w:rsidRPr="007321E4">
                <w:rPr>
                  <w:rStyle w:val="Hyperlink"/>
                  <w:sz w:val="16"/>
                  <w:szCs w:val="16"/>
                </w:rPr>
                <w:t>WT/DS444/AB/R</w:t>
              </w:r>
            </w:hyperlink>
            <w:r w:rsidRPr="007321E4">
              <w:rPr>
                <w:color w:val="000000"/>
                <w:sz w:val="16"/>
                <w:szCs w:val="16"/>
              </w:rPr>
              <w:t xml:space="preserve"> / </w:t>
            </w:r>
            <w:hyperlink r:id="rId13" w:history="1">
              <w:r w:rsidRPr="007321E4">
                <w:rPr>
                  <w:rStyle w:val="Hyperlink"/>
                  <w:sz w:val="16"/>
                  <w:szCs w:val="16"/>
                </w:rPr>
                <w:t>WT/DS445/AB/R</w:t>
              </w:r>
            </w:hyperlink>
            <w:r w:rsidRPr="007321E4">
              <w:rPr>
                <w:color w:val="000000"/>
                <w:sz w:val="16"/>
                <w:szCs w:val="16"/>
              </w:rPr>
              <w:t>, adopted 26</w:t>
            </w:r>
            <w:r w:rsidR="0058524E" w:rsidRPr="007321E4">
              <w:rPr>
                <w:color w:val="000000"/>
                <w:sz w:val="16"/>
                <w:szCs w:val="16"/>
              </w:rPr>
              <w:t> </w:t>
            </w:r>
            <w:r w:rsidRPr="007321E4">
              <w:rPr>
                <w:color w:val="000000"/>
                <w:sz w:val="16"/>
                <w:szCs w:val="16"/>
              </w:rPr>
              <w:t>January 2015</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Australia – Apples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Australia – Measures Affecting the Importation of Apples from New Zealand</w:t>
            </w:r>
            <w:r w:rsidRPr="007321E4">
              <w:rPr>
                <w:iCs/>
                <w:color w:val="000000"/>
                <w:sz w:val="16"/>
                <w:szCs w:val="16"/>
              </w:rPr>
              <w:t xml:space="preserve">, </w:t>
            </w:r>
            <w:hyperlink r:id="rId14" w:history="1">
              <w:r w:rsidRPr="007321E4">
                <w:rPr>
                  <w:rStyle w:val="Hyperlink"/>
                  <w:iCs/>
                  <w:sz w:val="16"/>
                  <w:szCs w:val="16"/>
                </w:rPr>
                <w:t>WT/DS367/AB/R</w:t>
              </w:r>
            </w:hyperlink>
            <w:r w:rsidRPr="007321E4">
              <w:rPr>
                <w:iCs/>
                <w:color w:val="000000"/>
                <w:sz w:val="16"/>
                <w:szCs w:val="16"/>
              </w:rPr>
              <w:t xml:space="preserve">, </w:t>
            </w:r>
            <w:r w:rsidRPr="007321E4">
              <w:rPr>
                <w:color w:val="000000"/>
                <w:sz w:val="16"/>
                <w:szCs w:val="16"/>
              </w:rPr>
              <w:t>adopted 17 December 2010, DSR 2010:V, p. 2175</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 xml:space="preserve">Brazil – </w:t>
            </w:r>
            <w:proofErr w:type="spellStart"/>
            <w:r w:rsidRPr="007321E4">
              <w:rPr>
                <w:i/>
                <w:color w:val="000000"/>
                <w:sz w:val="16"/>
                <w:szCs w:val="16"/>
              </w:rPr>
              <w:t>Retreaded</w:t>
            </w:r>
            <w:proofErr w:type="spellEnd"/>
            <w:r w:rsidRPr="007321E4">
              <w:rPr>
                <w:i/>
                <w:color w:val="000000"/>
                <w:sz w:val="16"/>
                <w:szCs w:val="16"/>
              </w:rPr>
              <w:t xml:space="preserve"> Tyres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 xml:space="preserve">Brazil – Measures Affecting Imports of </w:t>
            </w:r>
            <w:proofErr w:type="spellStart"/>
            <w:r w:rsidRPr="007321E4">
              <w:rPr>
                <w:i/>
                <w:color w:val="000000"/>
                <w:sz w:val="16"/>
                <w:szCs w:val="16"/>
              </w:rPr>
              <w:t>Retreaded</w:t>
            </w:r>
            <w:proofErr w:type="spellEnd"/>
            <w:r w:rsidRPr="007321E4">
              <w:rPr>
                <w:i/>
                <w:color w:val="000000"/>
                <w:sz w:val="16"/>
                <w:szCs w:val="16"/>
              </w:rPr>
              <w:t xml:space="preserve"> Tyres</w:t>
            </w:r>
            <w:r w:rsidRPr="007321E4">
              <w:rPr>
                <w:color w:val="000000"/>
                <w:sz w:val="16"/>
                <w:szCs w:val="16"/>
              </w:rPr>
              <w:t xml:space="preserve">, </w:t>
            </w:r>
            <w:hyperlink r:id="rId15" w:history="1">
              <w:r w:rsidRPr="007321E4">
                <w:rPr>
                  <w:rStyle w:val="Hyperlink"/>
                  <w:sz w:val="16"/>
                  <w:szCs w:val="16"/>
                </w:rPr>
                <w:t>WT/DS332/AB/R</w:t>
              </w:r>
            </w:hyperlink>
            <w:r w:rsidRPr="007321E4">
              <w:rPr>
                <w:color w:val="000000"/>
                <w:sz w:val="16"/>
                <w:szCs w:val="16"/>
              </w:rPr>
              <w:t>, adopted 17 December 2007, DSR 2007:IV, p. 1527</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Canada – Autos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Canada – Certain Measures Affecting the Automotive Industry</w:t>
            </w:r>
            <w:r w:rsidRPr="007321E4">
              <w:rPr>
                <w:color w:val="000000"/>
                <w:sz w:val="16"/>
                <w:szCs w:val="16"/>
              </w:rPr>
              <w:t xml:space="preserve">, </w:t>
            </w:r>
            <w:hyperlink r:id="rId16" w:history="1">
              <w:r w:rsidRPr="007321E4">
                <w:rPr>
                  <w:rStyle w:val="Hyperlink"/>
                  <w:sz w:val="16"/>
                  <w:szCs w:val="16"/>
                </w:rPr>
                <w:t>WT/DS139/AB/R</w:t>
              </w:r>
            </w:hyperlink>
            <w:r w:rsidRPr="007321E4">
              <w:rPr>
                <w:color w:val="000000"/>
                <w:sz w:val="16"/>
                <w:szCs w:val="16"/>
              </w:rPr>
              <w:t xml:space="preserve">, </w:t>
            </w:r>
            <w:hyperlink r:id="rId17" w:history="1">
              <w:r w:rsidRPr="007321E4">
                <w:rPr>
                  <w:rStyle w:val="Hyperlink"/>
                  <w:sz w:val="16"/>
                  <w:szCs w:val="16"/>
                </w:rPr>
                <w:t>WT/DS142/AB/R</w:t>
              </w:r>
            </w:hyperlink>
            <w:r w:rsidRPr="007321E4">
              <w:rPr>
                <w:color w:val="000000"/>
                <w:sz w:val="16"/>
                <w:szCs w:val="16"/>
              </w:rPr>
              <w:t>, adopted 19 June 2000, DSR</w:t>
            </w:r>
            <w:r w:rsidR="0058524E" w:rsidRPr="007321E4">
              <w:rPr>
                <w:color w:val="000000"/>
                <w:sz w:val="16"/>
                <w:szCs w:val="16"/>
              </w:rPr>
              <w:t> </w:t>
            </w:r>
            <w:r w:rsidRPr="007321E4">
              <w:rPr>
                <w:color w:val="000000"/>
                <w:sz w:val="16"/>
                <w:szCs w:val="16"/>
              </w:rPr>
              <w:t>2000:VI, p. 2985</w:t>
            </w:r>
          </w:p>
        </w:tc>
      </w:tr>
      <w:tr w:rsidR="006E3D9B" w:rsidRPr="007321E4" w:rsidTr="002076F0">
        <w:trPr>
          <w:cantSplit/>
          <w:trHeight w:val="20"/>
        </w:trPr>
        <w:tc>
          <w:tcPr>
            <w:tcW w:w="1500" w:type="pct"/>
          </w:tcPr>
          <w:p w:rsidR="006E3D9B" w:rsidRPr="007321E4" w:rsidRDefault="006E3D9B" w:rsidP="00190BF6">
            <w:pPr>
              <w:keepNext/>
              <w:keepLines/>
              <w:spacing w:before="40" w:after="40"/>
              <w:jc w:val="left"/>
              <w:rPr>
                <w:i/>
                <w:color w:val="000000"/>
                <w:sz w:val="16"/>
                <w:szCs w:val="16"/>
              </w:rPr>
            </w:pPr>
            <w:r w:rsidRPr="007321E4">
              <w:rPr>
                <w:i/>
                <w:color w:val="000000"/>
                <w:sz w:val="16"/>
                <w:szCs w:val="16"/>
              </w:rPr>
              <w:t xml:space="preserve">Canada – Renewable Energy / Canada – Feed-in Tariff Program </w:t>
            </w:r>
          </w:p>
        </w:tc>
        <w:tc>
          <w:tcPr>
            <w:tcW w:w="3500" w:type="pct"/>
          </w:tcPr>
          <w:p w:rsidR="006E3D9B" w:rsidRPr="007321E4" w:rsidRDefault="006E3D9B" w:rsidP="00190BF6">
            <w:pPr>
              <w:keepNext/>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Reports, </w:t>
            </w:r>
            <w:r w:rsidRPr="007321E4">
              <w:rPr>
                <w:i/>
                <w:color w:val="000000"/>
                <w:sz w:val="16"/>
                <w:szCs w:val="16"/>
              </w:rPr>
              <w:t>Canada – Certain Measures Affecting the Renewable Energy Generation Sector / Canada – Measures Relating to the Feed-in Tariff Program</w:t>
            </w:r>
            <w:r w:rsidRPr="007321E4">
              <w:rPr>
                <w:color w:val="000000"/>
                <w:sz w:val="16"/>
                <w:szCs w:val="16"/>
              </w:rPr>
              <w:t xml:space="preserve">, </w:t>
            </w:r>
            <w:hyperlink r:id="rId18" w:history="1">
              <w:r w:rsidRPr="007321E4">
                <w:rPr>
                  <w:rStyle w:val="Hyperlink"/>
                  <w:sz w:val="16"/>
                  <w:szCs w:val="16"/>
                </w:rPr>
                <w:t>WT/DS412/AB/R</w:t>
              </w:r>
            </w:hyperlink>
            <w:r w:rsidRPr="007321E4">
              <w:rPr>
                <w:color w:val="000000"/>
                <w:sz w:val="16"/>
                <w:szCs w:val="16"/>
              </w:rPr>
              <w:t xml:space="preserve"> / </w:t>
            </w:r>
            <w:hyperlink r:id="rId19" w:history="1">
              <w:r w:rsidRPr="007321E4">
                <w:rPr>
                  <w:rStyle w:val="Hyperlink"/>
                  <w:sz w:val="16"/>
                  <w:szCs w:val="16"/>
                </w:rPr>
                <w:t>WT/DS426/AB/R</w:t>
              </w:r>
            </w:hyperlink>
            <w:r w:rsidRPr="007321E4">
              <w:rPr>
                <w:color w:val="000000"/>
                <w:sz w:val="16"/>
                <w:szCs w:val="16"/>
              </w:rPr>
              <w:t xml:space="preserve">, adopted 24 May 2013, </w:t>
            </w:r>
            <w:r w:rsidRPr="007321E4">
              <w:rPr>
                <w:color w:val="000000"/>
                <w:spacing w:val="-2"/>
                <w:sz w:val="16"/>
                <w:szCs w:val="16"/>
              </w:rPr>
              <w:t>DSR</w:t>
            </w:r>
            <w:r w:rsidR="0058524E" w:rsidRPr="007321E4">
              <w:rPr>
                <w:color w:val="000000"/>
                <w:spacing w:val="-2"/>
                <w:sz w:val="16"/>
                <w:szCs w:val="16"/>
              </w:rPr>
              <w:t> </w:t>
            </w:r>
            <w:r w:rsidRPr="007321E4">
              <w:rPr>
                <w:color w:val="000000"/>
                <w:spacing w:val="-2"/>
                <w:sz w:val="16"/>
                <w:szCs w:val="16"/>
              </w:rPr>
              <w:t>2013:I, p. 7</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Canada – Wheat Exports and Grain Imports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Canada – Measures Relating to Exports of Wheat and Treatment of Imported Grain</w:t>
            </w:r>
            <w:r w:rsidRPr="007321E4">
              <w:rPr>
                <w:color w:val="000000"/>
                <w:sz w:val="16"/>
                <w:szCs w:val="16"/>
              </w:rPr>
              <w:t xml:space="preserve">, </w:t>
            </w:r>
            <w:hyperlink r:id="rId20" w:history="1">
              <w:r w:rsidRPr="007321E4">
                <w:rPr>
                  <w:rStyle w:val="Hyperlink"/>
                  <w:sz w:val="16"/>
                  <w:szCs w:val="16"/>
                </w:rPr>
                <w:t>WT/DS276/AB/R</w:t>
              </w:r>
            </w:hyperlink>
            <w:r w:rsidRPr="007321E4">
              <w:rPr>
                <w:color w:val="000000"/>
                <w:sz w:val="16"/>
                <w:szCs w:val="16"/>
              </w:rPr>
              <w:t>, adopted 27 September 2004, DSR 2004:VI, p. 2739</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Chile – Price Band System</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Chile – Price Band System and Safeguard Measures Relating to Certain Agricultural Products</w:t>
            </w:r>
            <w:r w:rsidRPr="007321E4">
              <w:rPr>
                <w:color w:val="000000"/>
                <w:sz w:val="16"/>
                <w:szCs w:val="16"/>
              </w:rPr>
              <w:t xml:space="preserve">, </w:t>
            </w:r>
            <w:hyperlink r:id="rId21" w:history="1">
              <w:r w:rsidRPr="007321E4">
                <w:rPr>
                  <w:rStyle w:val="Hyperlink"/>
                  <w:sz w:val="16"/>
                  <w:szCs w:val="16"/>
                </w:rPr>
                <w:t>WT/DS207/AB/R</w:t>
              </w:r>
            </w:hyperlink>
            <w:r w:rsidRPr="007321E4">
              <w:rPr>
                <w:color w:val="000000"/>
                <w:sz w:val="16"/>
                <w:szCs w:val="16"/>
              </w:rPr>
              <w:t>, adopted 23</w:t>
            </w:r>
            <w:r w:rsidR="0058524E" w:rsidRPr="007321E4">
              <w:rPr>
                <w:color w:val="000000"/>
                <w:sz w:val="16"/>
                <w:szCs w:val="16"/>
              </w:rPr>
              <w:t> </w:t>
            </w:r>
            <w:r w:rsidR="00E5385E" w:rsidRPr="007321E4">
              <w:rPr>
                <w:color w:val="000000"/>
                <w:sz w:val="16"/>
                <w:szCs w:val="16"/>
              </w:rPr>
              <w:t>October 2002, DSR 2002:VIII, p. </w:t>
            </w:r>
            <w:r w:rsidRPr="007321E4">
              <w:rPr>
                <w:color w:val="000000"/>
                <w:sz w:val="16"/>
                <w:szCs w:val="16"/>
              </w:rPr>
              <w:t>3045 (Corr.1, DSR 2006:XII, p. 5473)</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Chile – Price Band System (Article 21.5 – Argentina)</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Chile – Price Band System and Safeguard Measures Relating to Certain Agricultural Products – Recourse to Article 21.5 of the DSU by Argentina</w:t>
            </w:r>
            <w:r w:rsidRPr="007321E4">
              <w:rPr>
                <w:color w:val="000000"/>
                <w:sz w:val="16"/>
                <w:szCs w:val="16"/>
              </w:rPr>
              <w:t xml:space="preserve">, </w:t>
            </w:r>
            <w:hyperlink r:id="rId22" w:history="1">
              <w:r w:rsidRPr="007321E4">
                <w:rPr>
                  <w:rStyle w:val="Hyperlink"/>
                  <w:sz w:val="16"/>
                  <w:szCs w:val="16"/>
                </w:rPr>
                <w:t>WT/DS207/AB/RW</w:t>
              </w:r>
            </w:hyperlink>
            <w:r w:rsidRPr="007321E4">
              <w:rPr>
                <w:color w:val="000000"/>
                <w:sz w:val="16"/>
                <w:szCs w:val="16"/>
              </w:rPr>
              <w:t>, adopted 22 May 2007, DSR 2007:II, p. 513</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China – Rare Earths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Reports, </w:t>
            </w:r>
            <w:r w:rsidRPr="007321E4">
              <w:rPr>
                <w:i/>
                <w:color w:val="000000"/>
                <w:sz w:val="16"/>
                <w:szCs w:val="16"/>
              </w:rPr>
              <w:t>China – Measures Related to the Exportation of Rare Earths, Tungsten, and Molybdenum</w:t>
            </w:r>
            <w:r w:rsidRPr="007321E4">
              <w:rPr>
                <w:color w:val="000000"/>
                <w:sz w:val="16"/>
                <w:szCs w:val="16"/>
              </w:rPr>
              <w:t xml:space="preserve">, </w:t>
            </w:r>
            <w:hyperlink r:id="rId23" w:history="1">
              <w:r w:rsidRPr="007321E4">
                <w:rPr>
                  <w:rStyle w:val="Hyperlink"/>
                  <w:sz w:val="16"/>
                  <w:szCs w:val="16"/>
                </w:rPr>
                <w:t>WT/DS431/AB/R</w:t>
              </w:r>
            </w:hyperlink>
            <w:r w:rsidRPr="007321E4">
              <w:rPr>
                <w:color w:val="000000"/>
                <w:sz w:val="16"/>
                <w:szCs w:val="16"/>
              </w:rPr>
              <w:t xml:space="preserve"> / </w:t>
            </w:r>
            <w:hyperlink r:id="rId24" w:history="1">
              <w:r w:rsidRPr="007321E4">
                <w:rPr>
                  <w:rStyle w:val="Hyperlink"/>
                  <w:sz w:val="16"/>
                  <w:szCs w:val="16"/>
                </w:rPr>
                <w:t>WT/DS432/AB/R</w:t>
              </w:r>
            </w:hyperlink>
            <w:r w:rsidRPr="007321E4">
              <w:rPr>
                <w:color w:val="000000"/>
                <w:sz w:val="16"/>
                <w:szCs w:val="16"/>
              </w:rPr>
              <w:t xml:space="preserve"> / </w:t>
            </w:r>
            <w:hyperlink r:id="rId25" w:history="1">
              <w:r w:rsidRPr="007321E4">
                <w:rPr>
                  <w:rStyle w:val="Hyperlink"/>
                  <w:sz w:val="16"/>
                  <w:szCs w:val="16"/>
                </w:rPr>
                <w:t>WT/DS433/AB/R</w:t>
              </w:r>
            </w:hyperlink>
            <w:r w:rsidR="00E5385E" w:rsidRPr="007321E4">
              <w:rPr>
                <w:color w:val="000000"/>
                <w:sz w:val="16"/>
                <w:szCs w:val="16"/>
              </w:rPr>
              <w:t>, adopted 29 </w:t>
            </w:r>
            <w:r w:rsidRPr="007321E4">
              <w:rPr>
                <w:color w:val="000000"/>
                <w:sz w:val="16"/>
                <w:szCs w:val="16"/>
              </w:rPr>
              <w:t>August 2014, DSR 2014:III, p. 805</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keepNext/>
              <w:keepLines/>
              <w:spacing w:before="40" w:after="40"/>
              <w:jc w:val="left"/>
              <w:rPr>
                <w:i/>
                <w:color w:val="000000"/>
                <w:sz w:val="16"/>
                <w:szCs w:val="16"/>
              </w:rPr>
            </w:pPr>
            <w:r w:rsidRPr="007321E4">
              <w:rPr>
                <w:i/>
                <w:color w:val="000000"/>
                <w:sz w:val="16"/>
                <w:szCs w:val="16"/>
              </w:rPr>
              <w:t>China – Raw Materials</w:t>
            </w:r>
          </w:p>
        </w:tc>
        <w:tc>
          <w:tcPr>
            <w:tcW w:w="3500" w:type="pct"/>
          </w:tcPr>
          <w:p w:rsidR="006E3D9B" w:rsidRPr="007321E4" w:rsidRDefault="006E3D9B" w:rsidP="00190BF6">
            <w:pPr>
              <w:keepNext/>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Reports, </w:t>
            </w:r>
            <w:r w:rsidRPr="007321E4">
              <w:rPr>
                <w:i/>
                <w:color w:val="000000"/>
                <w:sz w:val="16"/>
                <w:szCs w:val="16"/>
              </w:rPr>
              <w:t>China – Measures Related to the Exportation of Various Raw Materials</w:t>
            </w:r>
            <w:r w:rsidRPr="007321E4">
              <w:rPr>
                <w:color w:val="000000"/>
                <w:sz w:val="16"/>
                <w:szCs w:val="16"/>
              </w:rPr>
              <w:t xml:space="preserve">, </w:t>
            </w:r>
            <w:hyperlink r:id="rId26" w:history="1">
              <w:r w:rsidRPr="007321E4">
                <w:rPr>
                  <w:rStyle w:val="Hyperlink"/>
                  <w:sz w:val="16"/>
                  <w:szCs w:val="16"/>
                </w:rPr>
                <w:t>WT/DS394/AB/R</w:t>
              </w:r>
            </w:hyperlink>
            <w:r w:rsidRPr="007321E4">
              <w:rPr>
                <w:color w:val="000000"/>
                <w:sz w:val="16"/>
                <w:szCs w:val="16"/>
              </w:rPr>
              <w:t xml:space="preserve"> / </w:t>
            </w:r>
            <w:hyperlink r:id="rId27" w:history="1">
              <w:r w:rsidRPr="007321E4">
                <w:rPr>
                  <w:rStyle w:val="Hyperlink"/>
                  <w:sz w:val="16"/>
                  <w:szCs w:val="16"/>
                </w:rPr>
                <w:t>WT/DS395/AB/R</w:t>
              </w:r>
            </w:hyperlink>
            <w:r w:rsidRPr="007321E4">
              <w:rPr>
                <w:color w:val="000000"/>
                <w:sz w:val="16"/>
                <w:szCs w:val="16"/>
              </w:rPr>
              <w:t xml:space="preserve"> / </w:t>
            </w:r>
            <w:hyperlink r:id="rId28" w:history="1">
              <w:r w:rsidRPr="007321E4">
                <w:rPr>
                  <w:rStyle w:val="Hyperlink"/>
                  <w:sz w:val="16"/>
                  <w:szCs w:val="16"/>
                </w:rPr>
                <w:t>WT/DS398/AB/R</w:t>
              </w:r>
            </w:hyperlink>
            <w:r w:rsidRPr="007321E4">
              <w:rPr>
                <w:color w:val="000000"/>
                <w:sz w:val="16"/>
                <w:szCs w:val="16"/>
              </w:rPr>
              <w:t>, adopted 22 February 2012, DSR 2012:VII, p. 3295</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Colombia – Textiles</w:t>
            </w:r>
          </w:p>
        </w:tc>
        <w:tc>
          <w:tcPr>
            <w:tcW w:w="3500" w:type="pct"/>
          </w:tcPr>
          <w:p w:rsidR="006E3D9B" w:rsidRPr="007321E4" w:rsidRDefault="006E3D9B" w:rsidP="00190BF6">
            <w:pPr>
              <w:keepNext/>
              <w:tabs>
                <w:tab w:val="left" w:pos="1701"/>
                <w:tab w:val="left" w:pos="3402"/>
                <w:tab w:val="right" w:pos="9072"/>
              </w:tabs>
              <w:jc w:val="left"/>
              <w:rPr>
                <w:color w:val="000000"/>
                <w:sz w:val="16"/>
                <w:szCs w:val="16"/>
              </w:rPr>
            </w:pPr>
            <w:r w:rsidRPr="007321E4">
              <w:rPr>
                <w:color w:val="000000"/>
                <w:sz w:val="16"/>
                <w:szCs w:val="16"/>
              </w:rPr>
              <w:t xml:space="preserve">Appellate Body Report, </w:t>
            </w:r>
            <w:r w:rsidRPr="007321E4">
              <w:rPr>
                <w:i/>
                <w:color w:val="000000"/>
                <w:sz w:val="16"/>
                <w:szCs w:val="16"/>
              </w:rPr>
              <w:t>Colombia – Measures Relating to the Importation of Textiles, Apparel and Footwear</w:t>
            </w:r>
            <w:r w:rsidRPr="007321E4">
              <w:rPr>
                <w:color w:val="000000"/>
                <w:sz w:val="16"/>
                <w:szCs w:val="16"/>
              </w:rPr>
              <w:t xml:space="preserve">, </w:t>
            </w:r>
            <w:hyperlink r:id="rId29" w:history="1">
              <w:r w:rsidRPr="007321E4">
                <w:rPr>
                  <w:rStyle w:val="Hyperlink"/>
                  <w:sz w:val="16"/>
                  <w:szCs w:val="16"/>
                </w:rPr>
                <w:t>WT/DS461/AB/R</w:t>
              </w:r>
            </w:hyperlink>
            <w:r w:rsidRPr="007321E4">
              <w:rPr>
                <w:color w:val="000000"/>
                <w:sz w:val="16"/>
                <w:szCs w:val="16"/>
              </w:rPr>
              <w:t xml:space="preserve"> and Add.</w:t>
            </w:r>
            <w:r w:rsidRPr="007321E4">
              <w:rPr>
                <w:sz w:val="16"/>
                <w:szCs w:val="16"/>
              </w:rPr>
              <w:t>1, adopted 22</w:t>
            </w:r>
            <w:r w:rsidR="00ED4414" w:rsidRPr="007321E4">
              <w:rPr>
                <w:sz w:val="16"/>
                <w:szCs w:val="16"/>
              </w:rPr>
              <w:t> </w:t>
            </w:r>
            <w:r w:rsidRPr="007321E4">
              <w:rPr>
                <w:sz w:val="16"/>
                <w:szCs w:val="16"/>
              </w:rPr>
              <w:t>June 2016</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Dominican Republic – Import and Sale of Cigarettes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Dominican Republic – Measures Affecting the Importation and Internal Sale of Cigarettes</w:t>
            </w:r>
            <w:r w:rsidRPr="007321E4">
              <w:rPr>
                <w:color w:val="000000"/>
                <w:sz w:val="16"/>
                <w:szCs w:val="16"/>
              </w:rPr>
              <w:t xml:space="preserve">, </w:t>
            </w:r>
            <w:hyperlink r:id="rId30" w:history="1">
              <w:r w:rsidRPr="007321E4">
                <w:rPr>
                  <w:rStyle w:val="Hyperlink"/>
                  <w:sz w:val="16"/>
                  <w:szCs w:val="16"/>
                </w:rPr>
                <w:t>WT/DS302/AB/R</w:t>
              </w:r>
            </w:hyperlink>
            <w:r w:rsidRPr="007321E4">
              <w:rPr>
                <w:color w:val="000000"/>
                <w:sz w:val="16"/>
                <w:szCs w:val="16"/>
              </w:rPr>
              <w:t>, adopted 19</w:t>
            </w:r>
            <w:r w:rsidR="0058524E" w:rsidRPr="007321E4">
              <w:rPr>
                <w:color w:val="000000"/>
                <w:sz w:val="16"/>
                <w:szCs w:val="16"/>
              </w:rPr>
              <w:t> </w:t>
            </w:r>
            <w:r w:rsidRPr="007321E4">
              <w:rPr>
                <w:color w:val="000000"/>
                <w:sz w:val="16"/>
                <w:szCs w:val="16"/>
              </w:rPr>
              <w:t>May 2005, DSR 2005:XV, p. 7367</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EC – Bananas III</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European Communities – Regime for the Importation, Sale and Distribution of Bananas</w:t>
            </w:r>
            <w:r w:rsidRPr="007321E4">
              <w:rPr>
                <w:color w:val="000000"/>
                <w:sz w:val="16"/>
                <w:szCs w:val="16"/>
              </w:rPr>
              <w:t xml:space="preserve">, </w:t>
            </w:r>
            <w:hyperlink r:id="rId31" w:history="1">
              <w:r w:rsidRPr="007321E4">
                <w:rPr>
                  <w:rStyle w:val="Hyperlink"/>
                  <w:sz w:val="16"/>
                  <w:szCs w:val="16"/>
                </w:rPr>
                <w:t>WT/DS27/AB/R</w:t>
              </w:r>
            </w:hyperlink>
            <w:r w:rsidRPr="007321E4">
              <w:rPr>
                <w:color w:val="000000"/>
                <w:sz w:val="16"/>
                <w:szCs w:val="16"/>
              </w:rPr>
              <w:t>, adopted 25</w:t>
            </w:r>
            <w:r w:rsidR="0058524E" w:rsidRPr="007321E4">
              <w:rPr>
                <w:color w:val="000000"/>
                <w:sz w:val="16"/>
                <w:szCs w:val="16"/>
              </w:rPr>
              <w:t> </w:t>
            </w:r>
            <w:r w:rsidRPr="007321E4">
              <w:rPr>
                <w:color w:val="000000"/>
                <w:sz w:val="16"/>
                <w:szCs w:val="16"/>
              </w:rPr>
              <w:t>September 1997, DSR 1997:II, p. 591</w:t>
            </w:r>
          </w:p>
        </w:tc>
      </w:tr>
      <w:tr w:rsidR="00541E57"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541E57" w:rsidRPr="007321E4" w:rsidRDefault="00541E57" w:rsidP="00190BF6">
            <w:pPr>
              <w:spacing w:before="40" w:after="40"/>
              <w:jc w:val="left"/>
              <w:rPr>
                <w:i/>
                <w:color w:val="000000"/>
                <w:sz w:val="16"/>
                <w:szCs w:val="16"/>
              </w:rPr>
            </w:pPr>
            <w:r w:rsidRPr="007321E4">
              <w:rPr>
                <w:i/>
                <w:color w:val="000000"/>
                <w:sz w:val="16"/>
                <w:szCs w:val="16"/>
              </w:rPr>
              <w:t>EC – Bananas III</w:t>
            </w:r>
          </w:p>
        </w:tc>
        <w:tc>
          <w:tcPr>
            <w:tcW w:w="3500" w:type="pct"/>
          </w:tcPr>
          <w:p w:rsidR="00541E57" w:rsidRPr="007321E4" w:rsidRDefault="00541E57" w:rsidP="00190BF6">
            <w:pPr>
              <w:keepLines/>
              <w:tabs>
                <w:tab w:val="left" w:pos="2268"/>
                <w:tab w:val="left" w:pos="4536"/>
              </w:tabs>
              <w:spacing w:before="40" w:after="40"/>
              <w:jc w:val="left"/>
              <w:rPr>
                <w:color w:val="000000"/>
                <w:sz w:val="16"/>
                <w:szCs w:val="16"/>
              </w:rPr>
            </w:pPr>
            <w:r w:rsidRPr="007321E4">
              <w:rPr>
                <w:spacing w:val="-2"/>
                <w:sz w:val="16"/>
                <w:szCs w:val="16"/>
              </w:rPr>
              <w:t xml:space="preserve">Panel Reports, </w:t>
            </w:r>
            <w:r w:rsidRPr="007321E4">
              <w:rPr>
                <w:i/>
                <w:spacing w:val="-2"/>
                <w:sz w:val="16"/>
                <w:szCs w:val="16"/>
              </w:rPr>
              <w:t>European Communities – Regime for the Importation, Sale and Distribution of Bananas</w:t>
            </w:r>
            <w:r w:rsidRPr="007321E4">
              <w:rPr>
                <w:spacing w:val="-2"/>
                <w:sz w:val="16"/>
                <w:szCs w:val="16"/>
              </w:rPr>
              <w:t xml:space="preserve">, WT/DS27/R/ECU </w:t>
            </w:r>
            <w:r w:rsidRPr="007321E4">
              <w:rPr>
                <w:i/>
                <w:spacing w:val="-2"/>
                <w:sz w:val="16"/>
                <w:szCs w:val="16"/>
              </w:rPr>
              <w:t>(Ecuador)</w:t>
            </w:r>
            <w:r w:rsidRPr="007321E4">
              <w:rPr>
                <w:iCs/>
                <w:spacing w:val="-2"/>
                <w:sz w:val="16"/>
                <w:szCs w:val="16"/>
              </w:rPr>
              <w:t xml:space="preserve"> /</w:t>
            </w:r>
            <w:r w:rsidRPr="007321E4">
              <w:rPr>
                <w:spacing w:val="-2"/>
                <w:sz w:val="16"/>
                <w:szCs w:val="16"/>
              </w:rPr>
              <w:t xml:space="preserve"> WT/DS27/R/GTM, WT/DS27/R/HND </w:t>
            </w:r>
            <w:r w:rsidRPr="007321E4">
              <w:rPr>
                <w:i/>
                <w:spacing w:val="-2"/>
                <w:sz w:val="16"/>
                <w:szCs w:val="16"/>
              </w:rPr>
              <w:t>(Guatemala and Honduras)</w:t>
            </w:r>
            <w:r w:rsidRPr="007321E4">
              <w:rPr>
                <w:spacing w:val="-2"/>
                <w:sz w:val="16"/>
                <w:szCs w:val="16"/>
              </w:rPr>
              <w:t xml:space="preserve"> / WT/DS27/R/MEX </w:t>
            </w:r>
            <w:r w:rsidRPr="007321E4">
              <w:rPr>
                <w:i/>
                <w:spacing w:val="-2"/>
                <w:sz w:val="16"/>
                <w:szCs w:val="16"/>
              </w:rPr>
              <w:t>(Mexico)</w:t>
            </w:r>
            <w:r w:rsidRPr="007321E4">
              <w:rPr>
                <w:spacing w:val="-2"/>
                <w:sz w:val="16"/>
                <w:szCs w:val="16"/>
              </w:rPr>
              <w:t xml:space="preserve"> / WT/DS27/R/USA </w:t>
            </w:r>
            <w:r w:rsidRPr="007321E4">
              <w:rPr>
                <w:i/>
                <w:spacing w:val="-2"/>
                <w:sz w:val="16"/>
                <w:szCs w:val="16"/>
              </w:rPr>
              <w:t>(US)</w:t>
            </w:r>
            <w:r w:rsidRPr="007321E4">
              <w:rPr>
                <w:spacing w:val="-2"/>
                <w:sz w:val="16"/>
                <w:szCs w:val="16"/>
              </w:rPr>
              <w:t>, adopted 25 September 1997, as modified by Appellate Body Report WT/DS27/AB/R, DSR 1997:II, p. 695 to DSR 1997:III, p. 1085</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EC – Hormones</w:t>
            </w:r>
          </w:p>
        </w:tc>
        <w:tc>
          <w:tcPr>
            <w:tcW w:w="3500" w:type="pct"/>
          </w:tcPr>
          <w:p w:rsidR="006E3D9B" w:rsidRPr="007321E4" w:rsidRDefault="006E3D9B" w:rsidP="00E5385E">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EC Measures Concerning Meat and Meat Products (Hormones)</w:t>
            </w:r>
            <w:r w:rsidRPr="007321E4">
              <w:rPr>
                <w:color w:val="000000"/>
                <w:sz w:val="16"/>
                <w:szCs w:val="16"/>
              </w:rPr>
              <w:t xml:space="preserve">, </w:t>
            </w:r>
            <w:hyperlink r:id="rId32" w:history="1">
              <w:r w:rsidRPr="007321E4">
                <w:rPr>
                  <w:rStyle w:val="Hyperlink"/>
                  <w:sz w:val="16"/>
                  <w:szCs w:val="16"/>
                </w:rPr>
                <w:t>WT/DS26/AB/R</w:t>
              </w:r>
            </w:hyperlink>
            <w:r w:rsidRPr="007321E4">
              <w:rPr>
                <w:color w:val="000000"/>
                <w:sz w:val="16"/>
                <w:szCs w:val="16"/>
              </w:rPr>
              <w:t xml:space="preserve">, </w:t>
            </w:r>
            <w:hyperlink r:id="rId33" w:history="1">
              <w:r w:rsidRPr="007321E4">
                <w:rPr>
                  <w:rStyle w:val="Hyperlink"/>
                  <w:sz w:val="16"/>
                  <w:szCs w:val="16"/>
                </w:rPr>
                <w:t>WT/DS48/AB/R</w:t>
              </w:r>
            </w:hyperlink>
            <w:r w:rsidRPr="007321E4">
              <w:rPr>
                <w:color w:val="000000"/>
                <w:sz w:val="16"/>
                <w:szCs w:val="16"/>
              </w:rPr>
              <w:t>, adopted 13</w:t>
            </w:r>
            <w:r w:rsidR="00E5385E" w:rsidRPr="007321E4">
              <w:rPr>
                <w:color w:val="000000"/>
                <w:sz w:val="16"/>
                <w:szCs w:val="16"/>
              </w:rPr>
              <w:t> </w:t>
            </w:r>
            <w:r w:rsidRPr="007321E4">
              <w:rPr>
                <w:color w:val="000000"/>
                <w:sz w:val="16"/>
                <w:szCs w:val="16"/>
              </w:rPr>
              <w:t>February 1998, DSR 1998:I, p. 135</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EC – Export Subsidies on Sugar</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European Communities – Export Subsidies on Sugar</w:t>
            </w:r>
            <w:r w:rsidRPr="007321E4">
              <w:rPr>
                <w:color w:val="000000"/>
                <w:sz w:val="16"/>
                <w:szCs w:val="16"/>
              </w:rPr>
              <w:t xml:space="preserve">, </w:t>
            </w:r>
            <w:hyperlink r:id="rId34" w:history="1">
              <w:r w:rsidRPr="007321E4">
                <w:rPr>
                  <w:rStyle w:val="Hyperlink"/>
                  <w:sz w:val="16"/>
                  <w:szCs w:val="16"/>
                </w:rPr>
                <w:t>WT/DS265/AB/R</w:t>
              </w:r>
            </w:hyperlink>
            <w:r w:rsidRPr="007321E4">
              <w:rPr>
                <w:color w:val="000000"/>
                <w:sz w:val="16"/>
                <w:szCs w:val="16"/>
              </w:rPr>
              <w:t xml:space="preserve">, </w:t>
            </w:r>
            <w:hyperlink r:id="rId35" w:history="1">
              <w:r w:rsidRPr="007321E4">
                <w:rPr>
                  <w:rStyle w:val="Hyperlink"/>
                  <w:sz w:val="16"/>
                  <w:szCs w:val="16"/>
                </w:rPr>
                <w:t>WT/DS266/AB/R</w:t>
              </w:r>
            </w:hyperlink>
            <w:r w:rsidRPr="007321E4">
              <w:rPr>
                <w:color w:val="000000"/>
                <w:sz w:val="16"/>
                <w:szCs w:val="16"/>
              </w:rPr>
              <w:t xml:space="preserve">, </w:t>
            </w:r>
            <w:hyperlink r:id="rId36" w:history="1">
              <w:r w:rsidRPr="007321E4">
                <w:rPr>
                  <w:rStyle w:val="Hyperlink"/>
                  <w:sz w:val="16"/>
                  <w:szCs w:val="16"/>
                </w:rPr>
                <w:t>WT/DS283/AB/R</w:t>
              </w:r>
            </w:hyperlink>
            <w:r w:rsidRPr="007321E4">
              <w:rPr>
                <w:color w:val="000000"/>
                <w:sz w:val="16"/>
                <w:szCs w:val="16"/>
              </w:rPr>
              <w:t>, adopted 19 May 2005, DSR 2005:XIII, p. 6365</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iCs/>
                <w:color w:val="000000"/>
                <w:sz w:val="16"/>
                <w:szCs w:val="16"/>
              </w:rPr>
              <w:t>EC – Fasteners (China)</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iCs/>
                <w:color w:val="000000"/>
                <w:sz w:val="16"/>
                <w:szCs w:val="16"/>
              </w:rPr>
              <w:t>European Communities – Definitive Anti-Dumping Measures on Certain Iron or Steel Fasteners from China</w:t>
            </w:r>
            <w:r w:rsidRPr="007321E4">
              <w:rPr>
                <w:color w:val="000000"/>
                <w:sz w:val="16"/>
                <w:szCs w:val="16"/>
              </w:rPr>
              <w:t xml:space="preserve">, </w:t>
            </w:r>
            <w:hyperlink r:id="rId37" w:history="1">
              <w:r w:rsidRPr="007321E4">
                <w:rPr>
                  <w:rStyle w:val="Hyperlink"/>
                  <w:sz w:val="16"/>
                  <w:szCs w:val="16"/>
                </w:rPr>
                <w:t>WT/DS397/AB/R</w:t>
              </w:r>
            </w:hyperlink>
            <w:r w:rsidRPr="007321E4">
              <w:rPr>
                <w:color w:val="000000"/>
                <w:sz w:val="16"/>
                <w:szCs w:val="16"/>
              </w:rPr>
              <w:t>, adopted 28 July 2011, DSR 2011:VII, p. 3995</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EC – Poultry</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European Communities – Measures Affecting the Importation of Certain Poultry Products</w:t>
            </w:r>
            <w:r w:rsidRPr="007321E4">
              <w:rPr>
                <w:color w:val="000000"/>
                <w:sz w:val="16"/>
                <w:szCs w:val="16"/>
              </w:rPr>
              <w:t xml:space="preserve">, </w:t>
            </w:r>
            <w:hyperlink r:id="rId38" w:history="1">
              <w:r w:rsidRPr="007321E4">
                <w:rPr>
                  <w:rStyle w:val="Hyperlink"/>
                  <w:sz w:val="16"/>
                  <w:szCs w:val="16"/>
                </w:rPr>
                <w:t>WT/DS69/AB/R</w:t>
              </w:r>
            </w:hyperlink>
            <w:r w:rsidRPr="007321E4">
              <w:rPr>
                <w:color w:val="000000"/>
                <w:sz w:val="16"/>
                <w:szCs w:val="16"/>
              </w:rPr>
              <w:t>, adopted 23 July 1998, DSR 1998:V, p. 2031</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lastRenderedPageBreak/>
              <w:t>EC – Sardines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European Communities – Trade Description of Sardines</w:t>
            </w:r>
            <w:r w:rsidRPr="007321E4">
              <w:rPr>
                <w:color w:val="000000"/>
                <w:sz w:val="16"/>
                <w:szCs w:val="16"/>
              </w:rPr>
              <w:t xml:space="preserve">, </w:t>
            </w:r>
            <w:hyperlink r:id="rId39" w:history="1">
              <w:r w:rsidRPr="007321E4">
                <w:rPr>
                  <w:rStyle w:val="Hyperlink"/>
                  <w:sz w:val="16"/>
                  <w:szCs w:val="16"/>
                </w:rPr>
                <w:t>WT/DS231/AB/R</w:t>
              </w:r>
            </w:hyperlink>
            <w:r w:rsidR="00E5385E" w:rsidRPr="007321E4">
              <w:rPr>
                <w:color w:val="000000"/>
                <w:sz w:val="16"/>
                <w:szCs w:val="16"/>
              </w:rPr>
              <w:t>, adopted 23 October 2002, DSR </w:t>
            </w:r>
            <w:r w:rsidRPr="007321E4">
              <w:rPr>
                <w:color w:val="000000"/>
                <w:sz w:val="16"/>
                <w:szCs w:val="16"/>
              </w:rPr>
              <w:t>2002:VIII, p.</w:t>
            </w:r>
            <w:r w:rsidR="0058524E" w:rsidRPr="007321E4">
              <w:rPr>
                <w:color w:val="000000"/>
                <w:sz w:val="16"/>
                <w:szCs w:val="16"/>
              </w:rPr>
              <w:t> </w:t>
            </w:r>
            <w:r w:rsidRPr="007321E4">
              <w:rPr>
                <w:color w:val="000000"/>
                <w:sz w:val="16"/>
                <w:szCs w:val="16"/>
              </w:rPr>
              <w:t>3359</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EC – Seal Products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Reports, </w:t>
            </w:r>
            <w:r w:rsidRPr="007321E4">
              <w:rPr>
                <w:i/>
                <w:color w:val="000000"/>
                <w:sz w:val="16"/>
                <w:szCs w:val="16"/>
              </w:rPr>
              <w:t>European Communities – Measures Prohibiting the Importation and Marketing of Seal Products</w:t>
            </w:r>
            <w:r w:rsidRPr="007321E4">
              <w:rPr>
                <w:color w:val="000000"/>
                <w:sz w:val="16"/>
                <w:szCs w:val="16"/>
              </w:rPr>
              <w:t xml:space="preserve">, </w:t>
            </w:r>
            <w:hyperlink r:id="rId40" w:history="1">
              <w:r w:rsidRPr="007321E4">
                <w:rPr>
                  <w:rStyle w:val="Hyperlink"/>
                  <w:sz w:val="16"/>
                  <w:szCs w:val="16"/>
                </w:rPr>
                <w:t>WT/DS400/AB/R</w:t>
              </w:r>
            </w:hyperlink>
            <w:r w:rsidRPr="007321E4">
              <w:rPr>
                <w:color w:val="000000"/>
                <w:sz w:val="16"/>
                <w:szCs w:val="16"/>
              </w:rPr>
              <w:t xml:space="preserve"> / </w:t>
            </w:r>
            <w:hyperlink r:id="rId41" w:history="1">
              <w:r w:rsidRPr="007321E4">
                <w:rPr>
                  <w:rStyle w:val="Hyperlink"/>
                  <w:sz w:val="16"/>
                  <w:szCs w:val="16"/>
                </w:rPr>
                <w:t>WT/DS401/AB/R</w:t>
              </w:r>
            </w:hyperlink>
            <w:r w:rsidR="00E5385E" w:rsidRPr="007321E4">
              <w:rPr>
                <w:color w:val="000000"/>
                <w:sz w:val="16"/>
                <w:szCs w:val="16"/>
              </w:rPr>
              <w:t>, adopted 18 June 2014, DSR </w:t>
            </w:r>
            <w:r w:rsidRPr="007321E4">
              <w:rPr>
                <w:color w:val="000000"/>
                <w:sz w:val="16"/>
                <w:szCs w:val="16"/>
              </w:rPr>
              <w:t>2014:I, p. 7</w:t>
            </w:r>
          </w:p>
        </w:tc>
      </w:tr>
      <w:tr w:rsidR="00D509E7" w:rsidRPr="007321E4" w:rsidDel="00D509E7" w:rsidTr="002076F0">
        <w:trPr>
          <w:cantSplit/>
          <w:trHeight w:val="20"/>
        </w:trPr>
        <w:tc>
          <w:tcPr>
            <w:tcW w:w="1500" w:type="pct"/>
          </w:tcPr>
          <w:p w:rsidR="00D509E7" w:rsidRPr="007321E4" w:rsidDel="00D509E7" w:rsidRDefault="00D509E7">
            <w:pPr>
              <w:spacing w:before="40" w:after="40"/>
              <w:jc w:val="left"/>
              <w:rPr>
                <w:i/>
                <w:color w:val="000000"/>
                <w:sz w:val="16"/>
                <w:szCs w:val="16"/>
              </w:rPr>
            </w:pPr>
            <w:r w:rsidRPr="007321E4">
              <w:rPr>
                <w:i/>
                <w:color w:val="000000"/>
                <w:sz w:val="16"/>
                <w:szCs w:val="16"/>
              </w:rPr>
              <w:t>Guatemala – Cement I</w:t>
            </w:r>
            <w:r w:rsidRPr="007321E4">
              <w:rPr>
                <w:i/>
                <w:color w:val="000000"/>
                <w:sz w:val="16"/>
                <w:szCs w:val="16"/>
              </w:rPr>
              <w:tab/>
            </w:r>
          </w:p>
        </w:tc>
        <w:tc>
          <w:tcPr>
            <w:tcW w:w="3500" w:type="pct"/>
          </w:tcPr>
          <w:p w:rsidR="00D509E7" w:rsidRPr="007321E4" w:rsidDel="00D509E7" w:rsidRDefault="00D509E7" w:rsidP="00190BF6">
            <w:pPr>
              <w:tabs>
                <w:tab w:val="left" w:pos="2268"/>
                <w:tab w:val="left" w:pos="4536"/>
              </w:tabs>
              <w:spacing w:before="40" w:after="40"/>
              <w:jc w:val="left"/>
              <w:rPr>
                <w:color w:val="000000"/>
                <w:sz w:val="16"/>
                <w:szCs w:val="16"/>
              </w:rPr>
            </w:pPr>
            <w:r w:rsidRPr="007321E4">
              <w:rPr>
                <w:color w:val="000000"/>
                <w:sz w:val="16"/>
                <w:szCs w:val="16"/>
              </w:rPr>
              <w:t>Appellate Body Report,</w:t>
            </w:r>
            <w:r w:rsidRPr="007321E4">
              <w:rPr>
                <w:i/>
                <w:color w:val="000000"/>
                <w:sz w:val="16"/>
                <w:szCs w:val="16"/>
              </w:rPr>
              <w:t xml:space="preserve"> Guatemala – Anti-Dumping Investigation Regarding Portland Cement from Mexico</w:t>
            </w:r>
            <w:r w:rsidRPr="007321E4">
              <w:rPr>
                <w:color w:val="000000"/>
                <w:sz w:val="16"/>
                <w:szCs w:val="16"/>
              </w:rPr>
              <w:t>, WT/DS60/AB/R, adopted 25 November 1998, DSR 1998:IX, p. 3767</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India – Autos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Panel Report, </w:t>
            </w:r>
            <w:r w:rsidRPr="007321E4">
              <w:rPr>
                <w:i/>
                <w:color w:val="000000"/>
                <w:sz w:val="16"/>
                <w:szCs w:val="16"/>
              </w:rPr>
              <w:t>India – Measures Affecting the Automotive Sector</w:t>
            </w:r>
            <w:r w:rsidRPr="007321E4">
              <w:rPr>
                <w:color w:val="000000"/>
                <w:sz w:val="16"/>
                <w:szCs w:val="16"/>
              </w:rPr>
              <w:t xml:space="preserve">, </w:t>
            </w:r>
            <w:hyperlink r:id="rId42" w:history="1">
              <w:r w:rsidRPr="007321E4">
                <w:rPr>
                  <w:rStyle w:val="Hyperlink"/>
                  <w:sz w:val="16"/>
                  <w:szCs w:val="16"/>
                </w:rPr>
                <w:t>WT/DS146/R</w:t>
              </w:r>
            </w:hyperlink>
            <w:r w:rsidRPr="007321E4">
              <w:rPr>
                <w:color w:val="000000"/>
                <w:sz w:val="16"/>
                <w:szCs w:val="16"/>
              </w:rPr>
              <w:t xml:space="preserve">, </w:t>
            </w:r>
            <w:hyperlink r:id="rId43" w:history="1">
              <w:r w:rsidRPr="007321E4">
                <w:rPr>
                  <w:rStyle w:val="Hyperlink"/>
                  <w:sz w:val="16"/>
                  <w:szCs w:val="16"/>
                </w:rPr>
                <w:t>WT/DS175/R</w:t>
              </w:r>
            </w:hyperlink>
            <w:r w:rsidRPr="007321E4">
              <w:rPr>
                <w:color w:val="000000"/>
                <w:sz w:val="16"/>
                <w:szCs w:val="16"/>
              </w:rPr>
              <w:t>, and Co</w:t>
            </w:r>
            <w:r w:rsidR="00E5385E" w:rsidRPr="007321E4">
              <w:rPr>
                <w:color w:val="000000"/>
                <w:sz w:val="16"/>
                <w:szCs w:val="16"/>
              </w:rPr>
              <w:t>rr.1, adopted 5 April 2002, DSR </w:t>
            </w:r>
            <w:r w:rsidRPr="007321E4">
              <w:rPr>
                <w:color w:val="000000"/>
                <w:sz w:val="16"/>
                <w:szCs w:val="16"/>
              </w:rPr>
              <w:t>2002:V, p. 1827</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Peru – Agricultural Products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Peru – Additional Duty on Imports of Certain Agricultural Products</w:t>
            </w:r>
            <w:r w:rsidRPr="007321E4">
              <w:rPr>
                <w:color w:val="000000"/>
                <w:sz w:val="16"/>
                <w:szCs w:val="16"/>
              </w:rPr>
              <w:t xml:space="preserve">, </w:t>
            </w:r>
            <w:hyperlink r:id="rId44" w:history="1">
              <w:r w:rsidRPr="007321E4">
                <w:rPr>
                  <w:rStyle w:val="Hyperlink"/>
                  <w:sz w:val="16"/>
                  <w:szCs w:val="16"/>
                </w:rPr>
                <w:t>WT/DS457/AB/R</w:t>
              </w:r>
            </w:hyperlink>
            <w:r w:rsidRPr="007321E4">
              <w:rPr>
                <w:color w:val="000000"/>
                <w:sz w:val="16"/>
                <w:szCs w:val="16"/>
              </w:rPr>
              <w:t xml:space="preserve"> and Add.1, adopted 31 July 2015 </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iCs/>
                <w:color w:val="000000"/>
                <w:sz w:val="16"/>
                <w:szCs w:val="16"/>
              </w:rPr>
              <w:t>US – Anti-Dumping and Countervailing Duties (China)</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iCs/>
                <w:color w:val="000000"/>
                <w:sz w:val="16"/>
                <w:szCs w:val="16"/>
              </w:rPr>
              <w:t>United States – Definitive Anti-Dumping and Countervailing Duties on Certain Products from China</w:t>
            </w:r>
            <w:r w:rsidRPr="007321E4">
              <w:rPr>
                <w:color w:val="000000"/>
                <w:sz w:val="16"/>
                <w:szCs w:val="16"/>
              </w:rPr>
              <w:t xml:space="preserve">, </w:t>
            </w:r>
            <w:hyperlink r:id="rId45" w:history="1">
              <w:r w:rsidRPr="007321E4">
                <w:rPr>
                  <w:rStyle w:val="Hyperlink"/>
                  <w:sz w:val="16"/>
                  <w:szCs w:val="16"/>
                </w:rPr>
                <w:t>WT/DS379/AB/R</w:t>
              </w:r>
            </w:hyperlink>
            <w:r w:rsidRPr="007321E4">
              <w:rPr>
                <w:color w:val="000000"/>
                <w:sz w:val="16"/>
                <w:szCs w:val="16"/>
              </w:rPr>
              <w:t>, adopted 25 March 2011, DSR 2011:V, p. 2869</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US – Clove Cigarettes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United States – Measures Affecting the Production and Sale of Clove Cigarettes</w:t>
            </w:r>
            <w:r w:rsidRPr="007321E4">
              <w:rPr>
                <w:color w:val="000000"/>
                <w:sz w:val="16"/>
                <w:szCs w:val="16"/>
              </w:rPr>
              <w:t xml:space="preserve">, </w:t>
            </w:r>
            <w:hyperlink r:id="rId46" w:history="1">
              <w:r w:rsidRPr="007321E4">
                <w:rPr>
                  <w:rStyle w:val="Hyperlink"/>
                  <w:sz w:val="16"/>
                  <w:szCs w:val="16"/>
                </w:rPr>
                <w:t>WT/DS406/AB/R</w:t>
              </w:r>
            </w:hyperlink>
            <w:r w:rsidRPr="007321E4">
              <w:rPr>
                <w:color w:val="000000"/>
                <w:sz w:val="16"/>
                <w:szCs w:val="16"/>
              </w:rPr>
              <w:t>, adopted 24 April 2012, DSR</w:t>
            </w:r>
            <w:r w:rsidR="0058524E" w:rsidRPr="007321E4">
              <w:rPr>
                <w:color w:val="000000"/>
                <w:sz w:val="16"/>
                <w:szCs w:val="16"/>
              </w:rPr>
              <w:t> </w:t>
            </w:r>
            <w:r w:rsidRPr="007321E4">
              <w:rPr>
                <w:color w:val="000000"/>
                <w:sz w:val="16"/>
                <w:szCs w:val="16"/>
              </w:rPr>
              <w:t>2012: XI, p. 5751</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keepNext/>
              <w:keepLines/>
              <w:spacing w:before="40" w:after="40"/>
              <w:jc w:val="left"/>
              <w:rPr>
                <w:i/>
                <w:color w:val="000000"/>
                <w:sz w:val="16"/>
                <w:szCs w:val="16"/>
              </w:rPr>
            </w:pPr>
            <w:r w:rsidRPr="007321E4">
              <w:rPr>
                <w:i/>
                <w:color w:val="000000"/>
                <w:sz w:val="16"/>
                <w:szCs w:val="16"/>
              </w:rPr>
              <w:t>US – Gambling</w:t>
            </w:r>
          </w:p>
        </w:tc>
        <w:tc>
          <w:tcPr>
            <w:tcW w:w="3500" w:type="pct"/>
          </w:tcPr>
          <w:p w:rsidR="006E3D9B" w:rsidRPr="007321E4" w:rsidRDefault="006E3D9B" w:rsidP="00190BF6">
            <w:pPr>
              <w:keepNext/>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United States – Measures Affecting the Cross-Border Supply of Gambling and Betting Services</w:t>
            </w:r>
            <w:r w:rsidRPr="007321E4">
              <w:rPr>
                <w:color w:val="000000"/>
                <w:sz w:val="16"/>
                <w:szCs w:val="16"/>
              </w:rPr>
              <w:t xml:space="preserve">, </w:t>
            </w:r>
            <w:hyperlink r:id="rId47" w:history="1">
              <w:r w:rsidRPr="007321E4">
                <w:rPr>
                  <w:rStyle w:val="Hyperlink"/>
                  <w:sz w:val="16"/>
                  <w:szCs w:val="16"/>
                </w:rPr>
                <w:t>WT/DS285/AB/R</w:t>
              </w:r>
            </w:hyperlink>
            <w:r w:rsidRPr="007321E4">
              <w:rPr>
                <w:color w:val="000000"/>
                <w:sz w:val="16"/>
                <w:szCs w:val="16"/>
              </w:rPr>
              <w:t>, adopted 20 April 2005, DSR 2005:XII, p. 5663 (and Corr.1, DSR 2006:XII, p. 5475)</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US – Gasoline</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United States – Standards for Reformulated and Conventional Gasoline</w:t>
            </w:r>
            <w:r w:rsidRPr="007321E4">
              <w:rPr>
                <w:color w:val="000000"/>
                <w:sz w:val="16"/>
                <w:szCs w:val="16"/>
              </w:rPr>
              <w:t xml:space="preserve">, </w:t>
            </w:r>
            <w:hyperlink r:id="rId48" w:history="1">
              <w:r w:rsidRPr="007321E4">
                <w:rPr>
                  <w:rStyle w:val="Hyperlink"/>
                  <w:sz w:val="16"/>
                  <w:szCs w:val="16"/>
                </w:rPr>
                <w:t>WT/DS2/AB/R</w:t>
              </w:r>
            </w:hyperlink>
            <w:r w:rsidRPr="007321E4">
              <w:rPr>
                <w:color w:val="000000"/>
                <w:sz w:val="16"/>
                <w:szCs w:val="16"/>
              </w:rPr>
              <w:t>, adopted 20 May 1996, DSR 1996:I, p.</w:t>
            </w:r>
            <w:r w:rsidR="0058524E" w:rsidRPr="007321E4">
              <w:rPr>
                <w:color w:val="000000"/>
                <w:sz w:val="16"/>
                <w:szCs w:val="16"/>
              </w:rPr>
              <w:t> </w:t>
            </w:r>
            <w:r w:rsidRPr="007321E4">
              <w:rPr>
                <w:color w:val="000000"/>
                <w:sz w:val="16"/>
                <w:szCs w:val="16"/>
              </w:rPr>
              <w:t>3</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US – Shrimp</w:t>
            </w:r>
          </w:p>
        </w:tc>
        <w:tc>
          <w:tcPr>
            <w:tcW w:w="3500" w:type="pct"/>
          </w:tcPr>
          <w:p w:rsidR="006E3D9B" w:rsidRPr="007321E4" w:rsidRDefault="006E3D9B" w:rsidP="00ED4414">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United States – Import Prohibition of Certain Shrimp and Shrimp Products</w:t>
            </w:r>
            <w:r w:rsidRPr="007321E4">
              <w:rPr>
                <w:color w:val="000000"/>
                <w:sz w:val="16"/>
                <w:szCs w:val="16"/>
              </w:rPr>
              <w:t xml:space="preserve">, </w:t>
            </w:r>
            <w:hyperlink r:id="rId49" w:history="1">
              <w:r w:rsidRPr="007321E4">
                <w:rPr>
                  <w:rStyle w:val="Hyperlink"/>
                  <w:sz w:val="16"/>
                  <w:szCs w:val="16"/>
                </w:rPr>
                <w:t>WT/DS58/AB/R</w:t>
              </w:r>
            </w:hyperlink>
            <w:r w:rsidRPr="007321E4">
              <w:rPr>
                <w:color w:val="000000"/>
                <w:sz w:val="16"/>
                <w:szCs w:val="16"/>
              </w:rPr>
              <w:t>, adopted 6 November 1998, DSR</w:t>
            </w:r>
            <w:r w:rsidR="00ED4414" w:rsidRPr="007321E4">
              <w:rPr>
                <w:color w:val="000000"/>
                <w:sz w:val="16"/>
                <w:szCs w:val="16"/>
              </w:rPr>
              <w:t> </w:t>
            </w:r>
            <w:r w:rsidRPr="007321E4">
              <w:rPr>
                <w:color w:val="000000"/>
                <w:sz w:val="16"/>
                <w:szCs w:val="16"/>
              </w:rPr>
              <w:t>1998:VII, p. 2755</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US – Shrimp (Article 21.5 – Malaysia)</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United States – Import Prohibition of Certain Shrimp and Shrimp Products – Recourse to Article 21.5 of the DSU by Malaysia</w:t>
            </w:r>
            <w:r w:rsidRPr="007321E4">
              <w:rPr>
                <w:color w:val="000000"/>
                <w:sz w:val="16"/>
                <w:szCs w:val="16"/>
              </w:rPr>
              <w:t xml:space="preserve">, </w:t>
            </w:r>
            <w:hyperlink r:id="rId50" w:history="1">
              <w:r w:rsidRPr="007321E4">
                <w:rPr>
                  <w:rStyle w:val="Hyperlink"/>
                  <w:sz w:val="16"/>
                  <w:szCs w:val="16"/>
                </w:rPr>
                <w:t>WT/DS58/AB/RW</w:t>
              </w:r>
            </w:hyperlink>
            <w:r w:rsidR="00E5385E" w:rsidRPr="007321E4">
              <w:rPr>
                <w:color w:val="000000"/>
                <w:sz w:val="16"/>
                <w:szCs w:val="16"/>
              </w:rPr>
              <w:t>, adopted 21 November 2001, DSR </w:t>
            </w:r>
            <w:r w:rsidRPr="007321E4">
              <w:rPr>
                <w:color w:val="000000"/>
                <w:sz w:val="16"/>
                <w:szCs w:val="16"/>
              </w:rPr>
              <w:t>2001:XIII, p. 6481</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US – Steel Safeguards</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United States – Definitive Safeguard Measures on Imports of Certain Steel Products</w:t>
            </w:r>
            <w:r w:rsidRPr="007321E4">
              <w:rPr>
                <w:color w:val="000000"/>
                <w:sz w:val="16"/>
                <w:szCs w:val="16"/>
              </w:rPr>
              <w:t xml:space="preserve">, </w:t>
            </w:r>
            <w:hyperlink r:id="rId51" w:history="1">
              <w:r w:rsidRPr="007321E4">
                <w:rPr>
                  <w:rStyle w:val="Hyperlink"/>
                  <w:sz w:val="16"/>
                  <w:szCs w:val="16"/>
                </w:rPr>
                <w:t>WT/DS248/AB/R</w:t>
              </w:r>
            </w:hyperlink>
            <w:r w:rsidRPr="007321E4">
              <w:rPr>
                <w:color w:val="000000"/>
                <w:sz w:val="16"/>
                <w:szCs w:val="16"/>
              </w:rPr>
              <w:t xml:space="preserve">, </w:t>
            </w:r>
            <w:hyperlink r:id="rId52" w:history="1">
              <w:r w:rsidRPr="007321E4">
                <w:rPr>
                  <w:rStyle w:val="Hyperlink"/>
                  <w:sz w:val="16"/>
                  <w:szCs w:val="16"/>
                </w:rPr>
                <w:t>WT/DS249/AB/R</w:t>
              </w:r>
            </w:hyperlink>
            <w:r w:rsidRPr="007321E4">
              <w:rPr>
                <w:color w:val="000000"/>
                <w:sz w:val="16"/>
                <w:szCs w:val="16"/>
              </w:rPr>
              <w:t xml:space="preserve">, </w:t>
            </w:r>
            <w:hyperlink r:id="rId53" w:history="1">
              <w:r w:rsidRPr="007321E4">
                <w:rPr>
                  <w:rStyle w:val="Hyperlink"/>
                  <w:sz w:val="16"/>
                  <w:szCs w:val="16"/>
                </w:rPr>
                <w:t>WT/DS251/AB/R</w:t>
              </w:r>
            </w:hyperlink>
            <w:r w:rsidRPr="007321E4">
              <w:rPr>
                <w:color w:val="000000"/>
                <w:sz w:val="16"/>
                <w:szCs w:val="16"/>
              </w:rPr>
              <w:t xml:space="preserve">, </w:t>
            </w:r>
            <w:hyperlink r:id="rId54" w:history="1">
              <w:r w:rsidRPr="007321E4">
                <w:rPr>
                  <w:rStyle w:val="Hyperlink"/>
                  <w:sz w:val="16"/>
                  <w:szCs w:val="16"/>
                </w:rPr>
                <w:t>WT/DS252/AB/R</w:t>
              </w:r>
            </w:hyperlink>
            <w:r w:rsidRPr="007321E4">
              <w:rPr>
                <w:color w:val="000000"/>
                <w:sz w:val="16"/>
                <w:szCs w:val="16"/>
              </w:rPr>
              <w:t xml:space="preserve">, </w:t>
            </w:r>
            <w:hyperlink r:id="rId55" w:history="1">
              <w:r w:rsidRPr="007321E4">
                <w:rPr>
                  <w:rStyle w:val="Hyperlink"/>
                  <w:sz w:val="16"/>
                  <w:szCs w:val="16"/>
                </w:rPr>
                <w:t>WT/DS253/AB/R</w:t>
              </w:r>
            </w:hyperlink>
            <w:r w:rsidRPr="007321E4">
              <w:rPr>
                <w:color w:val="000000"/>
                <w:sz w:val="16"/>
                <w:szCs w:val="16"/>
              </w:rPr>
              <w:t xml:space="preserve">, </w:t>
            </w:r>
            <w:hyperlink r:id="rId56" w:history="1">
              <w:r w:rsidRPr="007321E4">
                <w:rPr>
                  <w:rStyle w:val="Hyperlink"/>
                  <w:sz w:val="16"/>
                  <w:szCs w:val="16"/>
                </w:rPr>
                <w:t>WT/DS254/AB/R</w:t>
              </w:r>
            </w:hyperlink>
            <w:r w:rsidRPr="007321E4">
              <w:rPr>
                <w:color w:val="000000"/>
                <w:sz w:val="16"/>
                <w:szCs w:val="16"/>
              </w:rPr>
              <w:t xml:space="preserve">, </w:t>
            </w:r>
            <w:hyperlink r:id="rId57" w:history="1">
              <w:r w:rsidRPr="007321E4">
                <w:rPr>
                  <w:rStyle w:val="Hyperlink"/>
                  <w:sz w:val="16"/>
                  <w:szCs w:val="16"/>
                </w:rPr>
                <w:t>WT/DS258/AB/R</w:t>
              </w:r>
            </w:hyperlink>
            <w:r w:rsidRPr="007321E4">
              <w:rPr>
                <w:color w:val="000000"/>
                <w:sz w:val="16"/>
                <w:szCs w:val="16"/>
              </w:rPr>
              <w:t xml:space="preserve">, </w:t>
            </w:r>
            <w:hyperlink r:id="rId58" w:history="1">
              <w:r w:rsidRPr="007321E4">
                <w:rPr>
                  <w:rStyle w:val="Hyperlink"/>
                  <w:sz w:val="16"/>
                  <w:szCs w:val="16"/>
                </w:rPr>
                <w:t>WT/DS259/AB/R</w:t>
              </w:r>
            </w:hyperlink>
            <w:r w:rsidRPr="007321E4">
              <w:rPr>
                <w:color w:val="000000"/>
                <w:sz w:val="16"/>
                <w:szCs w:val="16"/>
              </w:rPr>
              <w:t>, adopted 10 December 2003, DSR</w:t>
            </w:r>
            <w:r w:rsidR="0058524E" w:rsidRPr="007321E4">
              <w:rPr>
                <w:color w:val="000000"/>
                <w:sz w:val="16"/>
                <w:szCs w:val="16"/>
              </w:rPr>
              <w:t> </w:t>
            </w:r>
            <w:r w:rsidRPr="007321E4">
              <w:rPr>
                <w:color w:val="000000"/>
                <w:sz w:val="16"/>
                <w:szCs w:val="16"/>
              </w:rPr>
              <w:t>2003:V</w:t>
            </w:r>
            <w:r w:rsidR="00E5385E" w:rsidRPr="007321E4">
              <w:rPr>
                <w:color w:val="000000"/>
                <w:sz w:val="16"/>
                <w:szCs w:val="16"/>
              </w:rPr>
              <w:t>II, p. </w:t>
            </w:r>
            <w:r w:rsidRPr="007321E4">
              <w:rPr>
                <w:color w:val="000000"/>
                <w:sz w:val="16"/>
                <w:szCs w:val="16"/>
              </w:rPr>
              <w:t>3117</w:t>
            </w:r>
          </w:p>
        </w:tc>
      </w:tr>
      <w:tr w:rsidR="006E3D9B" w:rsidRPr="007321E4" w:rsidTr="002076F0">
        <w:trPr>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US – Tuna II (Mexico)</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United States – Measures Concerning the Importation, Marketing and Sale of Tuna and Tuna Products</w:t>
            </w:r>
            <w:r w:rsidRPr="007321E4">
              <w:rPr>
                <w:color w:val="000000"/>
                <w:sz w:val="16"/>
                <w:szCs w:val="16"/>
              </w:rPr>
              <w:t xml:space="preserve">, </w:t>
            </w:r>
            <w:hyperlink r:id="rId59" w:history="1">
              <w:r w:rsidRPr="007321E4">
                <w:rPr>
                  <w:rStyle w:val="Hyperlink"/>
                  <w:sz w:val="16"/>
                  <w:szCs w:val="16"/>
                </w:rPr>
                <w:t>WT/DS381/AB/R</w:t>
              </w:r>
            </w:hyperlink>
            <w:r w:rsidRPr="007321E4">
              <w:rPr>
                <w:color w:val="000000"/>
                <w:sz w:val="16"/>
                <w:szCs w:val="16"/>
              </w:rPr>
              <w:t>, adopted 13 June 2012, DSR 2012:IV, p. 1837</w:t>
            </w:r>
          </w:p>
        </w:tc>
      </w:tr>
      <w:tr w:rsidR="006E3D9B" w:rsidRPr="007321E4" w:rsidTr="002076F0">
        <w:trPr>
          <w:cnfStyle w:val="000000010000" w:firstRow="0" w:lastRow="0" w:firstColumn="0" w:lastColumn="0" w:oddVBand="0" w:evenVBand="0" w:oddHBand="0" w:evenHBand="1" w:firstRowFirstColumn="0" w:firstRowLastColumn="0" w:lastRowFirstColumn="0" w:lastRowLastColumn="0"/>
          <w:cantSplit/>
          <w:trHeight w:val="20"/>
        </w:trPr>
        <w:tc>
          <w:tcPr>
            <w:tcW w:w="1500" w:type="pct"/>
          </w:tcPr>
          <w:p w:rsidR="006E3D9B" w:rsidRPr="007321E4" w:rsidRDefault="006E3D9B" w:rsidP="00190BF6">
            <w:pPr>
              <w:spacing w:before="40" w:after="40"/>
              <w:jc w:val="left"/>
              <w:rPr>
                <w:i/>
                <w:color w:val="000000"/>
                <w:sz w:val="16"/>
                <w:szCs w:val="16"/>
              </w:rPr>
            </w:pPr>
            <w:r w:rsidRPr="007321E4">
              <w:rPr>
                <w:i/>
                <w:color w:val="000000"/>
                <w:sz w:val="16"/>
                <w:szCs w:val="16"/>
              </w:rPr>
              <w:t>US – Upland Cotton</w:t>
            </w:r>
          </w:p>
        </w:tc>
        <w:tc>
          <w:tcPr>
            <w:tcW w:w="3500" w:type="pct"/>
          </w:tcPr>
          <w:p w:rsidR="006E3D9B" w:rsidRPr="007321E4" w:rsidRDefault="006E3D9B" w:rsidP="00190BF6">
            <w:pPr>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United States – Subsidies on Upland Cotton</w:t>
            </w:r>
            <w:r w:rsidRPr="007321E4">
              <w:rPr>
                <w:color w:val="000000"/>
                <w:sz w:val="16"/>
                <w:szCs w:val="16"/>
              </w:rPr>
              <w:t xml:space="preserve">, </w:t>
            </w:r>
            <w:hyperlink r:id="rId60" w:history="1">
              <w:r w:rsidRPr="007321E4">
                <w:rPr>
                  <w:rStyle w:val="Hyperlink"/>
                  <w:sz w:val="16"/>
                  <w:szCs w:val="16"/>
                </w:rPr>
                <w:t>WT/DS267/AB/R</w:t>
              </w:r>
            </w:hyperlink>
            <w:r w:rsidRPr="007321E4">
              <w:rPr>
                <w:color w:val="000000"/>
                <w:sz w:val="16"/>
                <w:szCs w:val="16"/>
              </w:rPr>
              <w:t>, adopted 21 March 2005, DSR 2005:I, p. 3</w:t>
            </w:r>
          </w:p>
        </w:tc>
      </w:tr>
      <w:tr w:rsidR="006E3D9B" w:rsidRPr="007321E4" w:rsidTr="002076F0">
        <w:trPr>
          <w:cantSplit/>
          <w:trHeight w:val="20"/>
        </w:trPr>
        <w:tc>
          <w:tcPr>
            <w:tcW w:w="1500" w:type="pct"/>
          </w:tcPr>
          <w:p w:rsidR="006E3D9B" w:rsidRPr="007321E4" w:rsidRDefault="006E3D9B" w:rsidP="00190BF6">
            <w:pPr>
              <w:keepNext/>
              <w:keepLines/>
              <w:spacing w:before="40" w:after="40"/>
              <w:jc w:val="left"/>
              <w:rPr>
                <w:i/>
                <w:color w:val="000000"/>
                <w:sz w:val="16"/>
                <w:szCs w:val="16"/>
              </w:rPr>
            </w:pPr>
            <w:r w:rsidRPr="007321E4">
              <w:rPr>
                <w:i/>
                <w:color w:val="000000"/>
                <w:sz w:val="16"/>
                <w:szCs w:val="16"/>
              </w:rPr>
              <w:t>US – Wool Shirts and Blouses</w:t>
            </w:r>
          </w:p>
        </w:tc>
        <w:tc>
          <w:tcPr>
            <w:tcW w:w="3500" w:type="pct"/>
          </w:tcPr>
          <w:p w:rsidR="006E3D9B" w:rsidRPr="007321E4" w:rsidRDefault="006E3D9B" w:rsidP="00190BF6">
            <w:pPr>
              <w:keepNext/>
              <w:keepLines/>
              <w:tabs>
                <w:tab w:val="left" w:pos="2268"/>
                <w:tab w:val="left" w:pos="4536"/>
              </w:tabs>
              <w:spacing w:before="40" w:after="40"/>
              <w:jc w:val="left"/>
              <w:rPr>
                <w:color w:val="000000"/>
                <w:sz w:val="16"/>
                <w:szCs w:val="16"/>
              </w:rPr>
            </w:pPr>
            <w:r w:rsidRPr="007321E4">
              <w:rPr>
                <w:color w:val="000000"/>
                <w:sz w:val="16"/>
                <w:szCs w:val="16"/>
              </w:rPr>
              <w:t xml:space="preserve">Appellate Body Report, </w:t>
            </w:r>
            <w:r w:rsidRPr="007321E4">
              <w:rPr>
                <w:i/>
                <w:color w:val="000000"/>
                <w:sz w:val="16"/>
                <w:szCs w:val="16"/>
              </w:rPr>
              <w:t>United States – Measure Affecting Imports of Woven Wool Shirts and Blouses from India</w:t>
            </w:r>
            <w:r w:rsidRPr="007321E4">
              <w:rPr>
                <w:color w:val="000000"/>
                <w:sz w:val="16"/>
                <w:szCs w:val="16"/>
              </w:rPr>
              <w:t xml:space="preserve">, </w:t>
            </w:r>
            <w:hyperlink r:id="rId61" w:history="1">
              <w:r w:rsidRPr="007321E4">
                <w:rPr>
                  <w:rStyle w:val="Hyperlink"/>
                  <w:sz w:val="16"/>
                  <w:szCs w:val="16"/>
                </w:rPr>
                <w:t>WT/DS33/AB/R</w:t>
              </w:r>
            </w:hyperlink>
            <w:r w:rsidRPr="007321E4">
              <w:rPr>
                <w:color w:val="000000"/>
                <w:sz w:val="16"/>
                <w:szCs w:val="16"/>
              </w:rPr>
              <w:t>, adopted 23 May 1997, and Corr.1, DSR 1997:I, p. 323</w:t>
            </w:r>
          </w:p>
        </w:tc>
      </w:tr>
    </w:tbl>
    <w:p w:rsidR="006E3D9B" w:rsidRPr="007321E4" w:rsidRDefault="006E3D9B" w:rsidP="00190BF6"/>
    <w:p w:rsidR="00BB7DD3" w:rsidRPr="007321E4" w:rsidRDefault="00BB7DD3" w:rsidP="00CE371F"/>
    <w:p w:rsidR="00EF273A" w:rsidRPr="007321E4" w:rsidRDefault="00EF273A" w:rsidP="00EF273A">
      <w:pPr>
        <w:jc w:val="center"/>
        <w:rPr>
          <w:smallCaps/>
        </w:rPr>
      </w:pPr>
      <w:r w:rsidRPr="007321E4">
        <w:br w:type="page"/>
      </w:r>
      <w:r w:rsidRPr="007321E4">
        <w:rPr>
          <w:smallCaps/>
        </w:rPr>
        <w:lastRenderedPageBreak/>
        <w:t>World Trade Organization</w:t>
      </w:r>
    </w:p>
    <w:p w:rsidR="00EF273A" w:rsidRPr="007321E4" w:rsidRDefault="00EF273A" w:rsidP="00EF273A">
      <w:pPr>
        <w:jc w:val="center"/>
        <w:rPr>
          <w:smallCaps/>
        </w:rPr>
      </w:pPr>
      <w:r w:rsidRPr="007321E4">
        <w:rPr>
          <w:smallCaps/>
        </w:rPr>
        <w:t>Appellate Body</w:t>
      </w:r>
    </w:p>
    <w:p w:rsidR="00EF273A" w:rsidRPr="007321E4" w:rsidRDefault="00EF273A" w:rsidP="00EF273A"/>
    <w:p w:rsidR="00D0148B" w:rsidRPr="007321E4" w:rsidRDefault="00D0148B" w:rsidP="00EF273A"/>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21"/>
        <w:gridCol w:w="4621"/>
      </w:tblGrid>
      <w:tr w:rsidR="00EF273A" w:rsidRPr="007321E4" w:rsidTr="003D2A3D">
        <w:tc>
          <w:tcPr>
            <w:tcW w:w="4621" w:type="dxa"/>
            <w:shd w:val="clear" w:color="auto" w:fill="auto"/>
          </w:tcPr>
          <w:p w:rsidR="00EF273A" w:rsidRPr="007321E4" w:rsidRDefault="00C6629B" w:rsidP="009A6E71">
            <w:pPr>
              <w:jc w:val="left"/>
              <w:rPr>
                <w:b/>
              </w:rPr>
            </w:pPr>
            <w:r w:rsidRPr="007321E4">
              <w:rPr>
                <w:b/>
              </w:rPr>
              <w:t xml:space="preserve">Indonesia </w:t>
            </w:r>
            <w:r w:rsidR="00646CB0" w:rsidRPr="007321E4">
              <w:rPr>
                <w:b/>
              </w:rPr>
              <w:t>–</w:t>
            </w:r>
            <w:r w:rsidRPr="007321E4">
              <w:rPr>
                <w:b/>
              </w:rPr>
              <w:t xml:space="preserve"> Importation of Horticultural Products, Animals and Animal Products</w:t>
            </w:r>
          </w:p>
          <w:p w:rsidR="00CE371F" w:rsidRPr="007321E4" w:rsidRDefault="00CE371F" w:rsidP="00F75818"/>
          <w:p w:rsidR="00CE371F" w:rsidRPr="007321E4" w:rsidRDefault="00C87FA6" w:rsidP="00F75818">
            <w:r w:rsidRPr="007321E4">
              <w:t>Indonesia</w:t>
            </w:r>
            <w:r w:rsidR="00CE371F" w:rsidRPr="007321E4">
              <w:t xml:space="preserve">, </w:t>
            </w:r>
            <w:r w:rsidR="00C6629B" w:rsidRPr="007321E4">
              <w:rPr>
                <w:i/>
              </w:rPr>
              <w:t>Appellant</w:t>
            </w:r>
          </w:p>
          <w:p w:rsidR="00CE371F" w:rsidRPr="007321E4" w:rsidRDefault="00C87FA6" w:rsidP="00F75818">
            <w:r w:rsidRPr="007321E4">
              <w:t>New Zealand</w:t>
            </w:r>
            <w:r w:rsidR="00CE371F" w:rsidRPr="007321E4">
              <w:t xml:space="preserve">, </w:t>
            </w:r>
            <w:proofErr w:type="spellStart"/>
            <w:r w:rsidR="00BB7DD3" w:rsidRPr="007321E4">
              <w:rPr>
                <w:i/>
              </w:rPr>
              <w:t>Appellee</w:t>
            </w:r>
            <w:proofErr w:type="spellEnd"/>
          </w:p>
          <w:p w:rsidR="00CE371F" w:rsidRPr="007321E4" w:rsidRDefault="00C87FA6" w:rsidP="00F75818">
            <w:r w:rsidRPr="007321E4">
              <w:t>United States</w:t>
            </w:r>
            <w:r w:rsidR="00CE371F" w:rsidRPr="007321E4">
              <w:t xml:space="preserve">, </w:t>
            </w:r>
            <w:proofErr w:type="spellStart"/>
            <w:r w:rsidR="00BB7DD3" w:rsidRPr="007321E4">
              <w:rPr>
                <w:i/>
              </w:rPr>
              <w:t>Appellee</w:t>
            </w:r>
            <w:proofErr w:type="spellEnd"/>
          </w:p>
          <w:p w:rsidR="00CE371F" w:rsidRPr="007321E4" w:rsidRDefault="00CE371F" w:rsidP="00F75818"/>
          <w:p w:rsidR="00CE371F" w:rsidRPr="007321E4" w:rsidRDefault="00C87FA6" w:rsidP="00F75818">
            <w:r w:rsidRPr="007321E4">
              <w:t>Argentina</w:t>
            </w:r>
            <w:r w:rsidR="00CE371F" w:rsidRPr="007321E4">
              <w:t xml:space="preserve">, </w:t>
            </w:r>
            <w:r w:rsidR="00CE371F" w:rsidRPr="007321E4">
              <w:rPr>
                <w:i/>
              </w:rPr>
              <w:t xml:space="preserve">Third </w:t>
            </w:r>
            <w:r w:rsidR="00BB7DD3" w:rsidRPr="007321E4">
              <w:rPr>
                <w:i/>
              </w:rPr>
              <w:t>Participant</w:t>
            </w:r>
          </w:p>
          <w:p w:rsidR="00CE371F" w:rsidRPr="007321E4" w:rsidRDefault="00C87FA6" w:rsidP="00F75818">
            <w:r w:rsidRPr="007321E4">
              <w:t>Australia</w:t>
            </w:r>
            <w:r w:rsidR="00D0148B" w:rsidRPr="007321E4">
              <w:t xml:space="preserve">, </w:t>
            </w:r>
            <w:r w:rsidR="00D0148B" w:rsidRPr="007321E4">
              <w:rPr>
                <w:i/>
              </w:rPr>
              <w:t xml:space="preserve">Third </w:t>
            </w:r>
            <w:r w:rsidR="00BB7DD3" w:rsidRPr="007321E4">
              <w:rPr>
                <w:i/>
              </w:rPr>
              <w:t>Participant</w:t>
            </w:r>
          </w:p>
          <w:p w:rsidR="00CE371F" w:rsidRPr="007321E4" w:rsidRDefault="00C87FA6" w:rsidP="00F75818">
            <w:r w:rsidRPr="007321E4">
              <w:t>Brazil</w:t>
            </w:r>
            <w:r w:rsidR="00D0148B" w:rsidRPr="007321E4">
              <w:t xml:space="preserve">, </w:t>
            </w:r>
            <w:r w:rsidR="00D0148B" w:rsidRPr="007321E4">
              <w:rPr>
                <w:i/>
              </w:rPr>
              <w:t xml:space="preserve">Third </w:t>
            </w:r>
            <w:r w:rsidR="00BB7DD3" w:rsidRPr="007321E4">
              <w:rPr>
                <w:i/>
              </w:rPr>
              <w:t>Participant</w:t>
            </w:r>
          </w:p>
          <w:p w:rsidR="00CE371F" w:rsidRPr="007321E4" w:rsidRDefault="00C87FA6" w:rsidP="00F75818">
            <w:r w:rsidRPr="007321E4">
              <w:t>Canada</w:t>
            </w:r>
            <w:r w:rsidR="00D0148B" w:rsidRPr="007321E4">
              <w:t xml:space="preserve">, </w:t>
            </w:r>
            <w:r w:rsidR="00D0148B" w:rsidRPr="007321E4">
              <w:rPr>
                <w:i/>
              </w:rPr>
              <w:t xml:space="preserve">Third </w:t>
            </w:r>
            <w:r w:rsidR="00BB7DD3" w:rsidRPr="007321E4">
              <w:rPr>
                <w:i/>
              </w:rPr>
              <w:t>Participant</w:t>
            </w:r>
          </w:p>
          <w:p w:rsidR="00CE371F" w:rsidRPr="007321E4" w:rsidRDefault="00C87FA6" w:rsidP="00F75818">
            <w:pPr>
              <w:rPr>
                <w:i/>
              </w:rPr>
            </w:pPr>
            <w:r w:rsidRPr="007321E4">
              <w:t>China</w:t>
            </w:r>
            <w:r w:rsidR="00D0148B" w:rsidRPr="007321E4">
              <w:t xml:space="preserve">, </w:t>
            </w:r>
            <w:r w:rsidR="00D0148B" w:rsidRPr="007321E4">
              <w:rPr>
                <w:i/>
              </w:rPr>
              <w:t xml:space="preserve">Third </w:t>
            </w:r>
            <w:r w:rsidR="00BB7DD3" w:rsidRPr="007321E4">
              <w:rPr>
                <w:i/>
              </w:rPr>
              <w:t>Participant</w:t>
            </w:r>
          </w:p>
          <w:p w:rsidR="00C87FA6" w:rsidRPr="007321E4" w:rsidRDefault="00C87FA6" w:rsidP="00F75818">
            <w:pPr>
              <w:rPr>
                <w:i/>
              </w:rPr>
            </w:pPr>
            <w:r w:rsidRPr="007321E4">
              <w:t xml:space="preserve">European Union, </w:t>
            </w:r>
            <w:r w:rsidRPr="007321E4">
              <w:rPr>
                <w:i/>
              </w:rPr>
              <w:t>Third Participant</w:t>
            </w:r>
          </w:p>
          <w:p w:rsidR="00D0148B" w:rsidRPr="007321E4" w:rsidRDefault="00C87FA6" w:rsidP="00F75818">
            <w:pPr>
              <w:rPr>
                <w:i/>
              </w:rPr>
            </w:pPr>
            <w:r w:rsidRPr="007321E4">
              <w:t xml:space="preserve">Japan, </w:t>
            </w:r>
            <w:r w:rsidRPr="007321E4">
              <w:rPr>
                <w:i/>
              </w:rPr>
              <w:t>Third Participant</w:t>
            </w:r>
          </w:p>
          <w:p w:rsidR="00C87FA6" w:rsidRPr="007321E4" w:rsidRDefault="00C87FA6" w:rsidP="00F75818">
            <w:pPr>
              <w:rPr>
                <w:i/>
              </w:rPr>
            </w:pPr>
            <w:r w:rsidRPr="007321E4">
              <w:t xml:space="preserve">Korea, </w:t>
            </w:r>
            <w:r w:rsidRPr="007321E4">
              <w:rPr>
                <w:i/>
              </w:rPr>
              <w:t>Third Participant</w:t>
            </w:r>
          </w:p>
          <w:p w:rsidR="00C87FA6" w:rsidRPr="007321E4" w:rsidRDefault="00C87FA6" w:rsidP="00F75818">
            <w:pPr>
              <w:rPr>
                <w:i/>
              </w:rPr>
            </w:pPr>
            <w:r w:rsidRPr="007321E4">
              <w:t xml:space="preserve">Norway, </w:t>
            </w:r>
            <w:r w:rsidRPr="007321E4">
              <w:rPr>
                <w:i/>
              </w:rPr>
              <w:t>Third Participant</w:t>
            </w:r>
          </w:p>
          <w:p w:rsidR="00C87FA6" w:rsidRPr="007321E4" w:rsidRDefault="00C87FA6" w:rsidP="00F75818">
            <w:pPr>
              <w:rPr>
                <w:i/>
              </w:rPr>
            </w:pPr>
            <w:r w:rsidRPr="007321E4">
              <w:t xml:space="preserve">Paraguay, </w:t>
            </w:r>
            <w:r w:rsidRPr="007321E4">
              <w:rPr>
                <w:i/>
              </w:rPr>
              <w:t>Third Participant</w:t>
            </w:r>
          </w:p>
          <w:p w:rsidR="00C87FA6" w:rsidRPr="007321E4" w:rsidRDefault="00C87FA6" w:rsidP="00F75818">
            <w:pPr>
              <w:rPr>
                <w:i/>
              </w:rPr>
            </w:pPr>
            <w:r w:rsidRPr="007321E4">
              <w:t xml:space="preserve">Singapore, </w:t>
            </w:r>
            <w:r w:rsidRPr="007321E4">
              <w:rPr>
                <w:i/>
              </w:rPr>
              <w:t>Third Participant</w:t>
            </w:r>
          </w:p>
          <w:p w:rsidR="00D45D81" w:rsidRPr="007321E4" w:rsidRDefault="00C87FA6" w:rsidP="00F75818">
            <w:r w:rsidRPr="007321E4">
              <w:t>Separat</w:t>
            </w:r>
            <w:r w:rsidR="00D45D81" w:rsidRPr="007321E4">
              <w:t xml:space="preserve">e Customs Territory of Taiwan, </w:t>
            </w:r>
          </w:p>
          <w:p w:rsidR="00C87FA6" w:rsidRPr="007321E4" w:rsidRDefault="00C87FA6" w:rsidP="003D2A3D">
            <w:pPr>
              <w:ind w:firstLine="142"/>
              <w:rPr>
                <w:i/>
              </w:rPr>
            </w:pPr>
            <w:r w:rsidRPr="007321E4">
              <w:t xml:space="preserve">Penghu, Kinmen and Matsu, </w:t>
            </w:r>
            <w:r w:rsidRPr="007321E4">
              <w:rPr>
                <w:i/>
              </w:rPr>
              <w:t>Third Participant</w:t>
            </w:r>
          </w:p>
        </w:tc>
        <w:tc>
          <w:tcPr>
            <w:tcW w:w="4621" w:type="dxa"/>
            <w:shd w:val="clear" w:color="auto" w:fill="auto"/>
          </w:tcPr>
          <w:p w:rsidR="00EF273A" w:rsidRPr="007321E4" w:rsidRDefault="00D0148B" w:rsidP="00F75818">
            <w:pPr>
              <w:ind w:left="482"/>
            </w:pPr>
            <w:r w:rsidRPr="007321E4">
              <w:t>AB-</w:t>
            </w:r>
            <w:r w:rsidR="00C87FA6" w:rsidRPr="007321E4">
              <w:t>2017</w:t>
            </w:r>
            <w:r w:rsidRPr="007321E4">
              <w:t>-</w:t>
            </w:r>
            <w:r w:rsidR="00C87FA6" w:rsidRPr="007321E4">
              <w:t>2</w:t>
            </w:r>
          </w:p>
          <w:p w:rsidR="00EF273A" w:rsidRPr="007321E4" w:rsidRDefault="00EF273A" w:rsidP="00F75818">
            <w:pPr>
              <w:ind w:left="482"/>
            </w:pPr>
          </w:p>
          <w:p w:rsidR="00EF273A" w:rsidRPr="007321E4" w:rsidRDefault="00BB7DD3" w:rsidP="00F75818">
            <w:pPr>
              <w:ind w:left="482"/>
            </w:pPr>
            <w:r w:rsidRPr="007321E4">
              <w:t xml:space="preserve">Appellate Body </w:t>
            </w:r>
            <w:r w:rsidR="00D0148B" w:rsidRPr="007321E4">
              <w:t>Division</w:t>
            </w:r>
            <w:r w:rsidR="00EF273A" w:rsidRPr="007321E4">
              <w:t xml:space="preserve">: </w:t>
            </w:r>
          </w:p>
          <w:p w:rsidR="00EF273A" w:rsidRPr="007321E4" w:rsidRDefault="00EF273A" w:rsidP="00F75818">
            <w:pPr>
              <w:ind w:left="482"/>
            </w:pPr>
          </w:p>
          <w:p w:rsidR="00EF273A" w:rsidRPr="007321E4" w:rsidRDefault="00E221CC" w:rsidP="00F75818">
            <w:pPr>
              <w:ind w:left="482"/>
            </w:pPr>
            <w:r w:rsidRPr="007321E4">
              <w:t>Bhatia</w:t>
            </w:r>
            <w:r w:rsidR="00D0148B" w:rsidRPr="007321E4">
              <w:t>, Presiding Member</w:t>
            </w:r>
          </w:p>
          <w:p w:rsidR="00D0148B" w:rsidRPr="007321E4" w:rsidRDefault="00E221CC" w:rsidP="00F75818">
            <w:pPr>
              <w:ind w:left="482"/>
            </w:pPr>
            <w:r w:rsidRPr="007321E4">
              <w:t>Graham</w:t>
            </w:r>
            <w:r w:rsidR="00D0148B" w:rsidRPr="007321E4">
              <w:t>, Member</w:t>
            </w:r>
          </w:p>
          <w:p w:rsidR="00D0148B" w:rsidRPr="007321E4" w:rsidRDefault="00E221CC" w:rsidP="00F75818">
            <w:pPr>
              <w:ind w:left="482"/>
            </w:pPr>
            <w:proofErr w:type="spellStart"/>
            <w:r w:rsidRPr="007321E4">
              <w:t>Ramírez</w:t>
            </w:r>
            <w:proofErr w:type="spellEnd"/>
            <w:r w:rsidRPr="007321E4">
              <w:t>-Hernández</w:t>
            </w:r>
            <w:r w:rsidR="00D0148B" w:rsidRPr="007321E4">
              <w:t>, Member</w:t>
            </w:r>
          </w:p>
          <w:p w:rsidR="00EF273A" w:rsidRPr="007321E4" w:rsidRDefault="00EF273A" w:rsidP="00F75818">
            <w:pPr>
              <w:ind w:left="482"/>
            </w:pPr>
          </w:p>
        </w:tc>
      </w:tr>
    </w:tbl>
    <w:p w:rsidR="00EF273A" w:rsidRPr="007321E4" w:rsidRDefault="00EF273A" w:rsidP="00EF273A"/>
    <w:p w:rsidR="00EF273A" w:rsidRPr="007321E4" w:rsidRDefault="00EF273A" w:rsidP="00EF273A"/>
    <w:p w:rsidR="00D0148B" w:rsidRPr="007321E4" w:rsidRDefault="00D0148B" w:rsidP="00D0148B">
      <w:pPr>
        <w:pStyle w:val="Heading1"/>
      </w:pPr>
      <w:bookmarkStart w:id="2" w:name="_Toc440800998"/>
      <w:bookmarkStart w:id="3" w:name="_Toc454876749"/>
      <w:bookmarkStart w:id="4" w:name="_Toc487421786"/>
      <w:bookmarkStart w:id="5" w:name="_Toc498425901"/>
      <w:bookmarkStart w:id="6" w:name="_Toc328640616"/>
      <w:bookmarkStart w:id="7" w:name="_Toc333317533"/>
      <w:bookmarkStart w:id="8" w:name="_Toc333331187"/>
      <w:bookmarkStart w:id="9" w:name="_Toc333395142"/>
      <w:bookmarkStart w:id="10" w:name="_Toc333510428"/>
      <w:bookmarkStart w:id="11" w:name="_Toc333510535"/>
      <w:bookmarkStart w:id="12" w:name="_Toc343522825"/>
      <w:bookmarkStart w:id="13" w:name="_Toc493150030"/>
      <w:bookmarkStart w:id="14" w:name="_Toc493150062"/>
      <w:bookmarkStart w:id="15" w:name="_Toc493150086"/>
      <w:bookmarkStart w:id="16" w:name="_Toc493150294"/>
      <w:bookmarkStart w:id="17" w:name="_Toc493859685"/>
      <w:bookmarkStart w:id="18" w:name="_Toc494701957"/>
      <w:bookmarkStart w:id="19" w:name="_Toc494702700"/>
      <w:bookmarkStart w:id="20" w:name="_Toc494702776"/>
      <w:bookmarkStart w:id="21" w:name="_Toc494702813"/>
      <w:bookmarkStart w:id="22" w:name="_Toc496267409"/>
      <w:bookmarkStart w:id="23" w:name="_Toc497915383"/>
      <w:r w:rsidRPr="007321E4">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646CB0" w:rsidRPr="007321E4" w:rsidRDefault="00E221CC" w:rsidP="00F83A75">
      <w:pPr>
        <w:pStyle w:val="BodyText"/>
      </w:pPr>
      <w:r w:rsidRPr="007321E4">
        <w:t>Indonesia</w:t>
      </w:r>
      <w:r w:rsidR="00D0148B" w:rsidRPr="007321E4">
        <w:t xml:space="preserve"> appeals certain issues of law and legal interpr</w:t>
      </w:r>
      <w:r w:rsidR="005160F2" w:rsidRPr="007321E4">
        <w:t>etations developed in the Panel </w:t>
      </w:r>
      <w:r w:rsidR="00D0148B" w:rsidRPr="007321E4">
        <w:t>Report,</w:t>
      </w:r>
      <w:r w:rsidRPr="007321E4">
        <w:t xml:space="preserve"> </w:t>
      </w:r>
      <w:r w:rsidRPr="007321E4">
        <w:rPr>
          <w:i/>
        </w:rPr>
        <w:t xml:space="preserve">Indonesia </w:t>
      </w:r>
      <w:r w:rsidR="00646CB0" w:rsidRPr="007321E4">
        <w:rPr>
          <w:i/>
        </w:rPr>
        <w:t>–</w:t>
      </w:r>
      <w:r w:rsidRPr="007321E4">
        <w:rPr>
          <w:i/>
        </w:rPr>
        <w:t xml:space="preserve"> Importation of Horticultural Products, Animals and Animal Products</w:t>
      </w:r>
      <w:r w:rsidR="00D0148B" w:rsidRPr="007321E4">
        <w:rPr>
          <w:vertAlign w:val="superscript"/>
        </w:rPr>
        <w:footnoteReference w:id="1"/>
      </w:r>
      <w:r w:rsidR="00D0148B" w:rsidRPr="007321E4">
        <w:t xml:space="preserve"> (Panel Report). </w:t>
      </w:r>
    </w:p>
    <w:p w:rsidR="005160F2" w:rsidRPr="007321E4" w:rsidRDefault="005160F2" w:rsidP="005160F2">
      <w:pPr>
        <w:pStyle w:val="BodyText"/>
      </w:pPr>
      <w:r w:rsidRPr="007321E4">
        <w:t>On 18 March </w:t>
      </w:r>
      <w:r w:rsidR="008045B7" w:rsidRPr="007321E4">
        <w:t xml:space="preserve">2015, </w:t>
      </w:r>
      <w:r w:rsidRPr="007321E4">
        <w:t>New </w:t>
      </w:r>
      <w:r w:rsidR="00147204" w:rsidRPr="007321E4">
        <w:t>Zealand</w:t>
      </w:r>
      <w:r w:rsidR="00D0148B" w:rsidRPr="007321E4">
        <w:rPr>
          <w:rStyle w:val="FootnoteReference"/>
        </w:rPr>
        <w:footnoteReference w:id="2"/>
      </w:r>
      <w:r w:rsidR="00D0148B" w:rsidRPr="007321E4">
        <w:t xml:space="preserve"> </w:t>
      </w:r>
      <w:r w:rsidRPr="007321E4">
        <w:t>and the United </w:t>
      </w:r>
      <w:r w:rsidR="00147204" w:rsidRPr="007321E4">
        <w:t>States</w:t>
      </w:r>
      <w:r w:rsidR="00147204" w:rsidRPr="007321E4">
        <w:rPr>
          <w:rStyle w:val="FootnoteReference"/>
        </w:rPr>
        <w:footnoteReference w:id="3"/>
      </w:r>
      <w:r w:rsidR="00147204" w:rsidRPr="007321E4">
        <w:t xml:space="preserve"> </w:t>
      </w:r>
      <w:r w:rsidR="00646CB0" w:rsidRPr="007321E4">
        <w:t xml:space="preserve">(the co-complainants) </w:t>
      </w:r>
      <w:r w:rsidR="008045B7" w:rsidRPr="007321E4">
        <w:t>each requested the establishment</w:t>
      </w:r>
      <w:r w:rsidRPr="007321E4">
        <w:t xml:space="preserve"> of a panel pursuant to Article </w:t>
      </w:r>
      <w:r w:rsidR="008045B7" w:rsidRPr="007321E4">
        <w:t>6 of the Understanding on Rules and Procedures Governing the Settlement of Disputes (DSU) concerning</w:t>
      </w:r>
      <w:r w:rsidR="00FC1676" w:rsidRPr="007321E4">
        <w:t xml:space="preserve"> </w:t>
      </w:r>
      <w:r w:rsidR="008B1E7B" w:rsidRPr="007321E4">
        <w:t>18 measures imposed by Indonesia on the importation of horticultural products, animals and animal products.</w:t>
      </w:r>
      <w:r w:rsidR="008045B7" w:rsidRPr="007321E4">
        <w:t xml:space="preserve"> On</w:t>
      </w:r>
      <w:r w:rsidR="00646CB0" w:rsidRPr="007321E4">
        <w:t xml:space="preserve"> </w:t>
      </w:r>
      <w:r w:rsidR="008045B7" w:rsidRPr="007321E4">
        <w:t>20 May 2015, pursuant to the requests of the co-complainants, a single Panel was established to consider these complaints.</w:t>
      </w:r>
      <w:r w:rsidR="008045B7" w:rsidRPr="007321E4">
        <w:rPr>
          <w:rStyle w:val="FootnoteReference"/>
        </w:rPr>
        <w:footnoteReference w:id="4"/>
      </w:r>
      <w:r w:rsidR="008045B7" w:rsidRPr="007321E4">
        <w:t xml:space="preserve"> </w:t>
      </w:r>
    </w:p>
    <w:p w:rsidR="007D7734" w:rsidRPr="007321E4" w:rsidRDefault="00646CB0" w:rsidP="005160F2">
      <w:pPr>
        <w:pStyle w:val="BodyText"/>
      </w:pPr>
      <w:r w:rsidRPr="007321E4">
        <w:lastRenderedPageBreak/>
        <w:t>T</w:t>
      </w:r>
      <w:r w:rsidR="002C6242" w:rsidRPr="007321E4">
        <w:t>he</w:t>
      </w:r>
      <w:r w:rsidR="0004509E" w:rsidRPr="007321E4">
        <w:t xml:space="preserve"> 18</w:t>
      </w:r>
      <w:r w:rsidR="002C6242" w:rsidRPr="007321E4">
        <w:t xml:space="preserve"> measures challenged by the </w:t>
      </w:r>
      <w:r w:rsidRPr="007321E4">
        <w:t>co-</w:t>
      </w:r>
      <w:r w:rsidR="002C6242" w:rsidRPr="007321E4">
        <w:t xml:space="preserve">complainants </w:t>
      </w:r>
      <w:r w:rsidRPr="007321E4">
        <w:t>comprise</w:t>
      </w:r>
      <w:r w:rsidR="002C6242" w:rsidRPr="007321E4">
        <w:t>: (i)</w:t>
      </w:r>
      <w:r w:rsidR="0004509E" w:rsidRPr="007321E4">
        <w:t> </w:t>
      </w:r>
      <w:r w:rsidR="009025F2" w:rsidRPr="007321E4">
        <w:t>discrete elements</w:t>
      </w:r>
      <w:r w:rsidR="002C6242" w:rsidRPr="007321E4">
        <w:t xml:space="preserve"> of Indonesia'</w:t>
      </w:r>
      <w:r w:rsidR="00D10050" w:rsidRPr="007321E4">
        <w:t>s import licensing regime</w:t>
      </w:r>
      <w:r w:rsidR="002C6242" w:rsidRPr="007321E4">
        <w:t xml:space="preserve"> </w:t>
      </w:r>
      <w:r w:rsidR="00D10050" w:rsidRPr="007321E4">
        <w:t>for horticultural products (Measures</w:t>
      </w:r>
      <w:r w:rsidR="00177A25" w:rsidRPr="007321E4">
        <w:t> </w:t>
      </w:r>
      <w:r w:rsidR="00D10050" w:rsidRPr="007321E4">
        <w:t xml:space="preserve">1 </w:t>
      </w:r>
      <w:r w:rsidR="00177A25" w:rsidRPr="007321E4">
        <w:t>through </w:t>
      </w:r>
      <w:r w:rsidR="00D10050" w:rsidRPr="007321E4">
        <w:t>8)</w:t>
      </w:r>
      <w:r w:rsidR="004B4DD3" w:rsidRPr="007321E4">
        <w:rPr>
          <w:rStyle w:val="FootnoteReference"/>
        </w:rPr>
        <w:footnoteReference w:id="5"/>
      </w:r>
      <w:r w:rsidR="00D10050" w:rsidRPr="007321E4">
        <w:t>; (ii)</w:t>
      </w:r>
      <w:r w:rsidR="0004509E" w:rsidRPr="007321E4">
        <w:t> </w:t>
      </w:r>
      <w:r w:rsidR="00D10050" w:rsidRPr="007321E4">
        <w:t>Indonesia's import licensing regime for horticultural products as a whole (Measure</w:t>
      </w:r>
      <w:r w:rsidR="00177A25" w:rsidRPr="007321E4">
        <w:t> </w:t>
      </w:r>
      <w:r w:rsidR="00D10050" w:rsidRPr="007321E4">
        <w:t>9)</w:t>
      </w:r>
      <w:r w:rsidR="001C0D17" w:rsidRPr="007321E4">
        <w:rPr>
          <w:rStyle w:val="FootnoteReference"/>
        </w:rPr>
        <w:footnoteReference w:id="6"/>
      </w:r>
      <w:r w:rsidR="00D10050" w:rsidRPr="007321E4">
        <w:t>; (iii)</w:t>
      </w:r>
      <w:r w:rsidR="0004509E" w:rsidRPr="007321E4">
        <w:t> </w:t>
      </w:r>
      <w:r w:rsidR="00924958" w:rsidRPr="007321E4">
        <w:t xml:space="preserve">discrete elements </w:t>
      </w:r>
      <w:r w:rsidR="00D10050" w:rsidRPr="007321E4">
        <w:t>of Indonesia's import licensing regime for animals and animal products (Measures</w:t>
      </w:r>
      <w:r w:rsidR="00177A25" w:rsidRPr="007321E4">
        <w:t> </w:t>
      </w:r>
      <w:r w:rsidR="00D10050" w:rsidRPr="007321E4">
        <w:t>10 t</w:t>
      </w:r>
      <w:r w:rsidR="00177A25" w:rsidRPr="007321E4">
        <w:t>hrough </w:t>
      </w:r>
      <w:r w:rsidR="00D10050" w:rsidRPr="007321E4">
        <w:t>16)</w:t>
      </w:r>
      <w:r w:rsidR="009025F2" w:rsidRPr="007321E4">
        <w:rPr>
          <w:rStyle w:val="FootnoteReference"/>
        </w:rPr>
        <w:footnoteReference w:id="7"/>
      </w:r>
      <w:r w:rsidR="00D10050" w:rsidRPr="007321E4">
        <w:t>; (iv)</w:t>
      </w:r>
      <w:r w:rsidR="0004509E" w:rsidRPr="007321E4">
        <w:t> </w:t>
      </w:r>
      <w:r w:rsidR="00D10050" w:rsidRPr="007321E4">
        <w:t>Indonesia's import licensing regime for animals and animal products as a whole (Measure</w:t>
      </w:r>
      <w:r w:rsidR="00177A25" w:rsidRPr="007321E4">
        <w:t> </w:t>
      </w:r>
      <w:r w:rsidR="00D10050" w:rsidRPr="007321E4">
        <w:t>17)</w:t>
      </w:r>
      <w:r w:rsidR="001C0D17" w:rsidRPr="007321E4">
        <w:rPr>
          <w:rStyle w:val="FootnoteReference"/>
        </w:rPr>
        <w:footnoteReference w:id="8"/>
      </w:r>
      <w:r w:rsidR="00D10050" w:rsidRPr="007321E4">
        <w:t>; and (v)</w:t>
      </w:r>
      <w:r w:rsidR="0004509E" w:rsidRPr="007321E4">
        <w:t> </w:t>
      </w:r>
      <w:r w:rsidR="009025F2" w:rsidRPr="007321E4">
        <w:t xml:space="preserve">the requirement </w:t>
      </w:r>
      <w:r w:rsidR="0004509E" w:rsidRPr="007321E4">
        <w:t>whereby importation of horticultural products, animals and animal products depends upon Indonesia's determination of the sufficiency of domestic supply to satisfy domestic demand</w:t>
      </w:r>
      <w:r w:rsidR="0004509E" w:rsidRPr="007321E4" w:rsidDel="0004509E">
        <w:t xml:space="preserve"> </w:t>
      </w:r>
      <w:r w:rsidR="00D10050" w:rsidRPr="007321E4">
        <w:t>(Measure</w:t>
      </w:r>
      <w:r w:rsidR="00177A25" w:rsidRPr="007321E4">
        <w:t> </w:t>
      </w:r>
      <w:r w:rsidR="00D10050" w:rsidRPr="007321E4">
        <w:t>18).</w:t>
      </w:r>
      <w:r w:rsidR="00924958" w:rsidRPr="007321E4">
        <w:rPr>
          <w:rStyle w:val="FootnoteReference"/>
        </w:rPr>
        <w:footnoteReference w:id="9"/>
      </w:r>
      <w:r w:rsidR="007D7734" w:rsidRPr="007321E4">
        <w:t xml:space="preserve"> </w:t>
      </w:r>
    </w:p>
    <w:p w:rsidR="002C6242" w:rsidRPr="007321E4" w:rsidRDefault="007D7734" w:rsidP="006A4249">
      <w:pPr>
        <w:pStyle w:val="BodyText"/>
        <w:keepNext/>
      </w:pPr>
      <w:r w:rsidRPr="007321E4">
        <w:lastRenderedPageBreak/>
        <w:t>The Panel enumerated the 18 measure</w:t>
      </w:r>
      <w:r w:rsidR="005160F2" w:rsidRPr="007321E4">
        <w:t>s</w:t>
      </w:r>
      <w:r w:rsidRPr="007321E4">
        <w:t xml:space="preserve"> at issue using the following table</w:t>
      </w:r>
      <w:r w:rsidRPr="007321E4">
        <w:rPr>
          <w:rStyle w:val="FootnoteReference"/>
        </w:rPr>
        <w:footnoteReference w:id="10"/>
      </w:r>
      <w:r w:rsidRPr="007321E4">
        <w:t xml:space="preserve">: </w:t>
      </w:r>
    </w:p>
    <w:tbl>
      <w:tblPr>
        <w:tblW w:w="4660"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52"/>
        <w:gridCol w:w="6662"/>
      </w:tblGrid>
      <w:tr w:rsidR="007D7734" w:rsidRPr="007321E4" w:rsidTr="007D7734">
        <w:trPr>
          <w:trHeight w:val="401"/>
          <w:jc w:val="center"/>
        </w:trPr>
        <w:tc>
          <w:tcPr>
            <w:tcW w:w="5000" w:type="pct"/>
            <w:gridSpan w:val="2"/>
            <w:shd w:val="clear" w:color="auto" w:fill="006283"/>
          </w:tcPr>
          <w:p w:rsidR="007D7734" w:rsidRPr="007321E4" w:rsidRDefault="007D7734" w:rsidP="006A4249">
            <w:pPr>
              <w:keepNext/>
              <w:tabs>
                <w:tab w:val="left" w:pos="1244"/>
                <w:tab w:val="center" w:pos="4513"/>
              </w:tabs>
              <w:spacing w:before="120" w:after="120"/>
              <w:jc w:val="center"/>
              <w:rPr>
                <w:color w:val="FFFFFF"/>
                <w:sz w:val="16"/>
                <w:szCs w:val="16"/>
                <w:u w:val="single"/>
              </w:rPr>
            </w:pPr>
            <w:r w:rsidRPr="007321E4">
              <w:rPr>
                <w:color w:val="FFFFFF"/>
                <w:sz w:val="16"/>
                <w:szCs w:val="16"/>
              </w:rPr>
              <w:br w:type="page"/>
            </w:r>
            <w:r w:rsidRPr="007321E4">
              <w:rPr>
                <w:color w:val="FFFFFF"/>
                <w:sz w:val="16"/>
                <w:szCs w:val="16"/>
              </w:rPr>
              <w:br w:type="page"/>
            </w:r>
            <w:r w:rsidRPr="007321E4">
              <w:rPr>
                <w:smallCaps/>
                <w:color w:val="FFFFFF"/>
                <w:sz w:val="16"/>
                <w:szCs w:val="16"/>
              </w:rPr>
              <w:t>A. Import licensing regime for horticultural products</w:t>
            </w:r>
          </w:p>
        </w:tc>
      </w:tr>
      <w:tr w:rsidR="007D7734" w:rsidRPr="007321E4" w:rsidTr="007D7734">
        <w:trPr>
          <w:jc w:val="center"/>
        </w:trPr>
        <w:tc>
          <w:tcPr>
            <w:tcW w:w="5000" w:type="pct"/>
            <w:gridSpan w:val="2"/>
            <w:shd w:val="clear" w:color="auto" w:fill="auto"/>
          </w:tcPr>
          <w:p w:rsidR="007D7734" w:rsidRPr="007321E4" w:rsidRDefault="007D7734" w:rsidP="006A4249">
            <w:pPr>
              <w:keepNext/>
              <w:spacing w:before="120" w:after="120"/>
              <w:jc w:val="center"/>
              <w:rPr>
                <w:smallCaps/>
                <w:sz w:val="16"/>
                <w:szCs w:val="16"/>
              </w:rPr>
            </w:pPr>
            <w:r w:rsidRPr="007321E4">
              <w:rPr>
                <w:smallCaps/>
                <w:sz w:val="16"/>
                <w:szCs w:val="16"/>
              </w:rPr>
              <w:t>Discrete elements of the regime:</w:t>
            </w:r>
          </w:p>
        </w:tc>
      </w:tr>
      <w:tr w:rsidR="007D7734" w:rsidRPr="007321E4" w:rsidTr="007D7734">
        <w:trPr>
          <w:trHeight w:val="297"/>
          <w:jc w:val="center"/>
        </w:trPr>
        <w:tc>
          <w:tcPr>
            <w:tcW w:w="1133" w:type="pct"/>
            <w:shd w:val="clear" w:color="auto" w:fill="C9DED4"/>
          </w:tcPr>
          <w:p w:rsidR="007D7734" w:rsidRPr="007321E4" w:rsidRDefault="007D7734" w:rsidP="006A4249">
            <w:pPr>
              <w:keepNext/>
              <w:spacing w:before="60" w:after="60"/>
              <w:jc w:val="center"/>
              <w:rPr>
                <w:sz w:val="16"/>
                <w:szCs w:val="16"/>
              </w:rPr>
            </w:pPr>
            <w:r w:rsidRPr="007321E4">
              <w:rPr>
                <w:sz w:val="16"/>
                <w:szCs w:val="16"/>
              </w:rPr>
              <w:t>Measure 1</w:t>
            </w:r>
          </w:p>
        </w:tc>
        <w:tc>
          <w:tcPr>
            <w:tcW w:w="3867" w:type="pct"/>
            <w:shd w:val="clear" w:color="auto" w:fill="C9DED4"/>
          </w:tcPr>
          <w:p w:rsidR="007D7734" w:rsidRPr="007321E4" w:rsidRDefault="007D7734" w:rsidP="006A4249">
            <w:pPr>
              <w:keepNext/>
              <w:spacing w:before="60" w:after="60"/>
              <w:jc w:val="left"/>
              <w:rPr>
                <w:sz w:val="16"/>
                <w:szCs w:val="16"/>
                <w:u w:val="single"/>
              </w:rPr>
            </w:pPr>
            <w:r w:rsidRPr="007321E4">
              <w:rPr>
                <w:sz w:val="16"/>
                <w:szCs w:val="16"/>
              </w:rPr>
              <w:t>Limited application windows and validity periods</w:t>
            </w:r>
          </w:p>
        </w:tc>
      </w:tr>
      <w:tr w:rsidR="007D7734" w:rsidRPr="007321E4" w:rsidTr="007D7734">
        <w:trPr>
          <w:trHeight w:val="297"/>
          <w:jc w:val="center"/>
        </w:trPr>
        <w:tc>
          <w:tcPr>
            <w:tcW w:w="1133" w:type="pct"/>
            <w:shd w:val="clear" w:color="auto" w:fill="auto"/>
          </w:tcPr>
          <w:p w:rsidR="007D7734" w:rsidRPr="007321E4" w:rsidRDefault="007D7734" w:rsidP="007D7734">
            <w:pPr>
              <w:spacing w:before="60" w:after="60"/>
              <w:jc w:val="center"/>
              <w:rPr>
                <w:sz w:val="16"/>
                <w:szCs w:val="16"/>
              </w:rPr>
            </w:pPr>
            <w:r w:rsidRPr="007321E4">
              <w:rPr>
                <w:sz w:val="16"/>
                <w:szCs w:val="16"/>
              </w:rPr>
              <w:t>Measure 2</w:t>
            </w:r>
          </w:p>
        </w:tc>
        <w:tc>
          <w:tcPr>
            <w:tcW w:w="3867" w:type="pct"/>
            <w:shd w:val="clear" w:color="auto" w:fill="auto"/>
          </w:tcPr>
          <w:p w:rsidR="007D7734" w:rsidRPr="007321E4" w:rsidRDefault="007D7734" w:rsidP="007D7734">
            <w:pPr>
              <w:spacing w:before="60" w:after="60"/>
              <w:jc w:val="left"/>
              <w:rPr>
                <w:sz w:val="16"/>
                <w:szCs w:val="16"/>
                <w:u w:val="single"/>
              </w:rPr>
            </w:pPr>
            <w:r w:rsidRPr="007321E4">
              <w:rPr>
                <w:sz w:val="16"/>
                <w:szCs w:val="16"/>
              </w:rPr>
              <w:t>Periodic and fixed import terms</w:t>
            </w:r>
          </w:p>
        </w:tc>
      </w:tr>
      <w:tr w:rsidR="007D7734" w:rsidRPr="007321E4" w:rsidTr="007D7734">
        <w:trPr>
          <w:trHeight w:val="297"/>
          <w:jc w:val="center"/>
        </w:trPr>
        <w:tc>
          <w:tcPr>
            <w:tcW w:w="1133" w:type="pct"/>
            <w:shd w:val="clear" w:color="auto" w:fill="C9DED4"/>
          </w:tcPr>
          <w:p w:rsidR="007D7734" w:rsidRPr="007321E4" w:rsidRDefault="007D7734" w:rsidP="007D7734">
            <w:pPr>
              <w:spacing w:before="60" w:after="60"/>
              <w:jc w:val="center"/>
              <w:rPr>
                <w:sz w:val="16"/>
                <w:szCs w:val="16"/>
              </w:rPr>
            </w:pPr>
            <w:r w:rsidRPr="007321E4">
              <w:rPr>
                <w:sz w:val="16"/>
                <w:szCs w:val="16"/>
              </w:rPr>
              <w:t>Measure 3</w:t>
            </w:r>
          </w:p>
        </w:tc>
        <w:tc>
          <w:tcPr>
            <w:tcW w:w="3867" w:type="pct"/>
            <w:shd w:val="clear" w:color="auto" w:fill="C9DED4"/>
          </w:tcPr>
          <w:p w:rsidR="007D7734" w:rsidRPr="007321E4" w:rsidRDefault="007D7734" w:rsidP="007D7734">
            <w:pPr>
              <w:spacing w:before="60" w:after="60"/>
              <w:jc w:val="left"/>
              <w:rPr>
                <w:sz w:val="16"/>
                <w:szCs w:val="16"/>
                <w:u w:val="single"/>
              </w:rPr>
            </w:pPr>
            <w:r w:rsidRPr="007321E4">
              <w:rPr>
                <w:sz w:val="16"/>
                <w:szCs w:val="16"/>
              </w:rPr>
              <w:t>80% realization requirement</w:t>
            </w:r>
          </w:p>
        </w:tc>
      </w:tr>
      <w:tr w:rsidR="007D7734" w:rsidRPr="007321E4" w:rsidTr="007D7734">
        <w:trPr>
          <w:trHeight w:val="297"/>
          <w:jc w:val="center"/>
        </w:trPr>
        <w:tc>
          <w:tcPr>
            <w:tcW w:w="1133" w:type="pct"/>
            <w:shd w:val="clear" w:color="auto" w:fill="auto"/>
          </w:tcPr>
          <w:p w:rsidR="007D7734" w:rsidRPr="007321E4" w:rsidRDefault="007D7734" w:rsidP="007D7734">
            <w:pPr>
              <w:spacing w:before="60" w:after="60"/>
              <w:jc w:val="center"/>
              <w:rPr>
                <w:sz w:val="16"/>
                <w:szCs w:val="16"/>
              </w:rPr>
            </w:pPr>
            <w:r w:rsidRPr="007321E4">
              <w:rPr>
                <w:sz w:val="16"/>
                <w:szCs w:val="16"/>
              </w:rPr>
              <w:t>Measure 4</w:t>
            </w:r>
          </w:p>
        </w:tc>
        <w:tc>
          <w:tcPr>
            <w:tcW w:w="3867" w:type="pct"/>
            <w:shd w:val="clear" w:color="auto" w:fill="auto"/>
          </w:tcPr>
          <w:p w:rsidR="007D7734" w:rsidRPr="007321E4" w:rsidRDefault="007D7734" w:rsidP="007D7734">
            <w:pPr>
              <w:spacing w:before="60" w:after="60"/>
              <w:jc w:val="left"/>
              <w:rPr>
                <w:sz w:val="16"/>
                <w:szCs w:val="16"/>
                <w:u w:val="single"/>
              </w:rPr>
            </w:pPr>
            <w:r w:rsidRPr="007321E4">
              <w:rPr>
                <w:sz w:val="16"/>
                <w:szCs w:val="16"/>
              </w:rPr>
              <w:t>Harvest period requirement</w:t>
            </w:r>
          </w:p>
        </w:tc>
      </w:tr>
      <w:tr w:rsidR="007D7734" w:rsidRPr="007321E4" w:rsidTr="007D7734">
        <w:trPr>
          <w:trHeight w:val="297"/>
          <w:jc w:val="center"/>
        </w:trPr>
        <w:tc>
          <w:tcPr>
            <w:tcW w:w="1133" w:type="pct"/>
            <w:shd w:val="clear" w:color="auto" w:fill="C9DED4"/>
          </w:tcPr>
          <w:p w:rsidR="007D7734" w:rsidRPr="007321E4" w:rsidRDefault="007D7734" w:rsidP="007D7734">
            <w:pPr>
              <w:spacing w:before="60" w:after="60"/>
              <w:jc w:val="center"/>
              <w:rPr>
                <w:sz w:val="16"/>
                <w:szCs w:val="16"/>
              </w:rPr>
            </w:pPr>
            <w:r w:rsidRPr="007321E4">
              <w:rPr>
                <w:sz w:val="16"/>
                <w:szCs w:val="16"/>
              </w:rPr>
              <w:t>Measure 5</w:t>
            </w:r>
          </w:p>
        </w:tc>
        <w:tc>
          <w:tcPr>
            <w:tcW w:w="3867" w:type="pct"/>
            <w:shd w:val="clear" w:color="auto" w:fill="C9DED4"/>
          </w:tcPr>
          <w:p w:rsidR="007D7734" w:rsidRPr="007321E4" w:rsidRDefault="007D7734" w:rsidP="007D7734">
            <w:pPr>
              <w:spacing w:before="60" w:after="60"/>
              <w:jc w:val="left"/>
              <w:rPr>
                <w:sz w:val="16"/>
                <w:szCs w:val="16"/>
                <w:u w:val="single"/>
              </w:rPr>
            </w:pPr>
            <w:r w:rsidRPr="007321E4">
              <w:rPr>
                <w:sz w:val="16"/>
                <w:szCs w:val="16"/>
              </w:rPr>
              <w:t>Storage ownership and capacity requirements</w:t>
            </w:r>
          </w:p>
        </w:tc>
      </w:tr>
      <w:tr w:rsidR="007D7734" w:rsidRPr="007321E4" w:rsidTr="007D7734">
        <w:trPr>
          <w:trHeight w:val="297"/>
          <w:jc w:val="center"/>
        </w:trPr>
        <w:tc>
          <w:tcPr>
            <w:tcW w:w="1133" w:type="pct"/>
            <w:shd w:val="clear" w:color="auto" w:fill="auto"/>
          </w:tcPr>
          <w:p w:rsidR="007D7734" w:rsidRPr="007321E4" w:rsidRDefault="007D7734" w:rsidP="007D7734">
            <w:pPr>
              <w:spacing w:before="60" w:after="60"/>
              <w:jc w:val="center"/>
              <w:rPr>
                <w:sz w:val="16"/>
                <w:szCs w:val="16"/>
              </w:rPr>
            </w:pPr>
            <w:r w:rsidRPr="007321E4">
              <w:rPr>
                <w:sz w:val="16"/>
                <w:szCs w:val="16"/>
              </w:rPr>
              <w:t>Measure 6</w:t>
            </w:r>
          </w:p>
        </w:tc>
        <w:tc>
          <w:tcPr>
            <w:tcW w:w="3867" w:type="pct"/>
            <w:shd w:val="clear" w:color="auto" w:fill="auto"/>
          </w:tcPr>
          <w:p w:rsidR="007D7734" w:rsidRPr="007321E4" w:rsidRDefault="007D7734" w:rsidP="007D7734">
            <w:pPr>
              <w:spacing w:before="60" w:after="60"/>
              <w:jc w:val="left"/>
              <w:rPr>
                <w:sz w:val="16"/>
                <w:szCs w:val="16"/>
                <w:u w:val="single"/>
              </w:rPr>
            </w:pPr>
            <w:r w:rsidRPr="007321E4">
              <w:rPr>
                <w:sz w:val="16"/>
                <w:szCs w:val="16"/>
              </w:rPr>
              <w:t>Use, sale and distribution requirements for horticultural products</w:t>
            </w:r>
          </w:p>
        </w:tc>
      </w:tr>
      <w:tr w:rsidR="007D7734" w:rsidRPr="007321E4" w:rsidTr="007D7734">
        <w:trPr>
          <w:trHeight w:val="297"/>
          <w:jc w:val="center"/>
        </w:trPr>
        <w:tc>
          <w:tcPr>
            <w:tcW w:w="1133" w:type="pct"/>
            <w:shd w:val="clear" w:color="auto" w:fill="C9DED4"/>
          </w:tcPr>
          <w:p w:rsidR="007D7734" w:rsidRPr="007321E4" w:rsidRDefault="007D7734" w:rsidP="007D7734">
            <w:pPr>
              <w:spacing w:before="60" w:after="60"/>
              <w:jc w:val="center"/>
              <w:rPr>
                <w:sz w:val="16"/>
                <w:szCs w:val="16"/>
              </w:rPr>
            </w:pPr>
            <w:r w:rsidRPr="007321E4">
              <w:rPr>
                <w:sz w:val="16"/>
                <w:szCs w:val="16"/>
              </w:rPr>
              <w:t>Measure 7</w:t>
            </w:r>
          </w:p>
        </w:tc>
        <w:tc>
          <w:tcPr>
            <w:tcW w:w="3867" w:type="pct"/>
            <w:shd w:val="clear" w:color="auto" w:fill="C9DED4"/>
          </w:tcPr>
          <w:p w:rsidR="007D7734" w:rsidRPr="007321E4" w:rsidRDefault="007D7734" w:rsidP="007D7734">
            <w:pPr>
              <w:spacing w:before="60" w:after="60"/>
              <w:jc w:val="left"/>
              <w:rPr>
                <w:sz w:val="16"/>
                <w:szCs w:val="16"/>
                <w:u w:val="single"/>
              </w:rPr>
            </w:pPr>
            <w:r w:rsidRPr="007321E4">
              <w:rPr>
                <w:sz w:val="16"/>
                <w:szCs w:val="16"/>
              </w:rPr>
              <w:t>Reference prices for chillies and fresh shallots for consumption</w:t>
            </w:r>
          </w:p>
        </w:tc>
      </w:tr>
      <w:tr w:rsidR="007D7734" w:rsidRPr="007321E4" w:rsidTr="007D7734">
        <w:trPr>
          <w:trHeight w:val="297"/>
          <w:jc w:val="center"/>
        </w:trPr>
        <w:tc>
          <w:tcPr>
            <w:tcW w:w="1133" w:type="pct"/>
            <w:shd w:val="clear" w:color="auto" w:fill="auto"/>
          </w:tcPr>
          <w:p w:rsidR="007D7734" w:rsidRPr="007321E4" w:rsidRDefault="007D7734" w:rsidP="007D7734">
            <w:pPr>
              <w:spacing w:before="60" w:after="60"/>
              <w:jc w:val="center"/>
              <w:rPr>
                <w:sz w:val="16"/>
                <w:szCs w:val="16"/>
              </w:rPr>
            </w:pPr>
            <w:r w:rsidRPr="007321E4">
              <w:rPr>
                <w:sz w:val="16"/>
                <w:szCs w:val="16"/>
              </w:rPr>
              <w:t>Measure 8</w:t>
            </w:r>
          </w:p>
        </w:tc>
        <w:tc>
          <w:tcPr>
            <w:tcW w:w="3867" w:type="pct"/>
            <w:shd w:val="clear" w:color="auto" w:fill="auto"/>
          </w:tcPr>
          <w:p w:rsidR="007D7734" w:rsidRPr="007321E4" w:rsidRDefault="007D7734" w:rsidP="007D7734">
            <w:pPr>
              <w:spacing w:before="60" w:after="60"/>
              <w:jc w:val="left"/>
              <w:rPr>
                <w:sz w:val="16"/>
                <w:szCs w:val="16"/>
                <w:u w:val="single"/>
              </w:rPr>
            </w:pPr>
            <w:r w:rsidRPr="007321E4">
              <w:rPr>
                <w:sz w:val="16"/>
                <w:szCs w:val="16"/>
              </w:rPr>
              <w:t>Six-month harvest requirement</w:t>
            </w:r>
          </w:p>
        </w:tc>
      </w:tr>
      <w:tr w:rsidR="007D7734" w:rsidRPr="007321E4" w:rsidTr="007D7734">
        <w:trPr>
          <w:trHeight w:val="263"/>
          <w:jc w:val="center"/>
        </w:trPr>
        <w:tc>
          <w:tcPr>
            <w:tcW w:w="5000" w:type="pct"/>
            <w:gridSpan w:val="2"/>
            <w:shd w:val="clear" w:color="auto" w:fill="C9DED4"/>
          </w:tcPr>
          <w:p w:rsidR="007D7734" w:rsidRPr="007321E4" w:rsidRDefault="007D7734" w:rsidP="007D7734">
            <w:pPr>
              <w:spacing w:before="60" w:after="60"/>
              <w:jc w:val="center"/>
              <w:rPr>
                <w:smallCaps/>
                <w:sz w:val="16"/>
                <w:szCs w:val="16"/>
              </w:rPr>
            </w:pPr>
            <w:r w:rsidRPr="007321E4">
              <w:rPr>
                <w:smallCaps/>
                <w:sz w:val="16"/>
                <w:szCs w:val="16"/>
              </w:rPr>
              <w:t>Regime as a whole:</w:t>
            </w:r>
          </w:p>
        </w:tc>
      </w:tr>
      <w:tr w:rsidR="007D7734" w:rsidRPr="007321E4" w:rsidTr="007D7734">
        <w:trPr>
          <w:trHeight w:val="369"/>
          <w:jc w:val="center"/>
        </w:trPr>
        <w:tc>
          <w:tcPr>
            <w:tcW w:w="1133" w:type="pct"/>
            <w:shd w:val="clear" w:color="auto" w:fill="auto"/>
          </w:tcPr>
          <w:p w:rsidR="007D7734" w:rsidRPr="007321E4" w:rsidRDefault="007D7734" w:rsidP="007D7734">
            <w:pPr>
              <w:spacing w:before="60" w:after="60"/>
              <w:jc w:val="center"/>
              <w:rPr>
                <w:sz w:val="16"/>
                <w:szCs w:val="16"/>
              </w:rPr>
            </w:pPr>
            <w:r w:rsidRPr="007321E4">
              <w:rPr>
                <w:sz w:val="16"/>
                <w:szCs w:val="16"/>
              </w:rPr>
              <w:t>Measure 9</w:t>
            </w:r>
          </w:p>
        </w:tc>
        <w:tc>
          <w:tcPr>
            <w:tcW w:w="3867" w:type="pct"/>
            <w:shd w:val="clear" w:color="auto" w:fill="auto"/>
          </w:tcPr>
          <w:p w:rsidR="007D7734" w:rsidRPr="007321E4" w:rsidRDefault="007D7734" w:rsidP="007D7734">
            <w:pPr>
              <w:spacing w:before="60" w:after="60"/>
              <w:jc w:val="left"/>
              <w:rPr>
                <w:sz w:val="16"/>
                <w:szCs w:val="16"/>
                <w:u w:val="single"/>
              </w:rPr>
            </w:pPr>
            <w:r w:rsidRPr="007321E4">
              <w:rPr>
                <w:sz w:val="16"/>
                <w:szCs w:val="16"/>
              </w:rPr>
              <w:t xml:space="preserve">Import licensing regime for horticultural products </w:t>
            </w:r>
            <w:r w:rsidRPr="007321E4">
              <w:rPr>
                <w:i/>
                <w:sz w:val="16"/>
                <w:szCs w:val="16"/>
              </w:rPr>
              <w:t>as a whole</w:t>
            </w:r>
          </w:p>
        </w:tc>
      </w:tr>
      <w:tr w:rsidR="007D7734" w:rsidRPr="007321E4" w:rsidTr="007D7734">
        <w:trPr>
          <w:trHeight w:val="372"/>
          <w:jc w:val="center"/>
        </w:trPr>
        <w:tc>
          <w:tcPr>
            <w:tcW w:w="5000" w:type="pct"/>
            <w:gridSpan w:val="2"/>
            <w:shd w:val="clear" w:color="auto" w:fill="006283"/>
          </w:tcPr>
          <w:p w:rsidR="007D7734" w:rsidRPr="007321E4" w:rsidRDefault="007D7734" w:rsidP="007D7734">
            <w:pPr>
              <w:tabs>
                <w:tab w:val="left" w:pos="1244"/>
                <w:tab w:val="center" w:pos="4513"/>
              </w:tabs>
              <w:spacing w:before="120" w:after="120"/>
              <w:jc w:val="center"/>
              <w:rPr>
                <w:smallCaps/>
                <w:color w:val="FFFFFF"/>
                <w:sz w:val="16"/>
                <w:szCs w:val="16"/>
              </w:rPr>
            </w:pPr>
            <w:r w:rsidRPr="007321E4">
              <w:rPr>
                <w:smallCaps/>
                <w:color w:val="FFFFFF"/>
                <w:sz w:val="16"/>
                <w:szCs w:val="16"/>
              </w:rPr>
              <w:t>B. Import licensing regime for animals and animal products</w:t>
            </w:r>
          </w:p>
        </w:tc>
      </w:tr>
      <w:tr w:rsidR="007D7734" w:rsidRPr="007321E4" w:rsidTr="007D7734">
        <w:trPr>
          <w:trHeight w:val="407"/>
          <w:jc w:val="center"/>
        </w:trPr>
        <w:tc>
          <w:tcPr>
            <w:tcW w:w="5000" w:type="pct"/>
            <w:gridSpan w:val="2"/>
            <w:shd w:val="clear" w:color="auto" w:fill="auto"/>
          </w:tcPr>
          <w:p w:rsidR="007D7734" w:rsidRPr="007321E4" w:rsidRDefault="007D7734" w:rsidP="007D7734">
            <w:pPr>
              <w:spacing w:before="120" w:after="120"/>
              <w:jc w:val="center"/>
              <w:rPr>
                <w:smallCaps/>
                <w:sz w:val="16"/>
                <w:szCs w:val="16"/>
              </w:rPr>
            </w:pPr>
            <w:r w:rsidRPr="007321E4">
              <w:rPr>
                <w:smallCaps/>
                <w:sz w:val="16"/>
                <w:szCs w:val="16"/>
              </w:rPr>
              <w:t>Discrete elements of the regime:</w:t>
            </w:r>
          </w:p>
        </w:tc>
      </w:tr>
      <w:tr w:rsidR="007D7734" w:rsidRPr="007321E4" w:rsidTr="007D7734">
        <w:trPr>
          <w:trHeight w:val="358"/>
          <w:jc w:val="center"/>
        </w:trPr>
        <w:tc>
          <w:tcPr>
            <w:tcW w:w="1133" w:type="pct"/>
            <w:shd w:val="clear" w:color="auto" w:fill="C9DED4"/>
          </w:tcPr>
          <w:p w:rsidR="007D7734" w:rsidRPr="007321E4" w:rsidRDefault="007D7734" w:rsidP="007D7734">
            <w:pPr>
              <w:spacing w:before="60" w:after="60"/>
              <w:jc w:val="center"/>
              <w:rPr>
                <w:sz w:val="16"/>
                <w:szCs w:val="16"/>
              </w:rPr>
            </w:pPr>
            <w:r w:rsidRPr="007321E4">
              <w:rPr>
                <w:sz w:val="16"/>
                <w:szCs w:val="16"/>
              </w:rPr>
              <w:t>Measure 10</w:t>
            </w:r>
          </w:p>
        </w:tc>
        <w:tc>
          <w:tcPr>
            <w:tcW w:w="3867" w:type="pct"/>
            <w:shd w:val="clear" w:color="auto" w:fill="C9DED4"/>
          </w:tcPr>
          <w:p w:rsidR="007D7734" w:rsidRPr="007321E4" w:rsidRDefault="007D7734" w:rsidP="007D7734">
            <w:pPr>
              <w:rPr>
                <w:sz w:val="16"/>
                <w:szCs w:val="16"/>
                <w:u w:val="single"/>
              </w:rPr>
            </w:pPr>
            <w:r w:rsidRPr="007321E4">
              <w:rPr>
                <w:sz w:val="16"/>
                <w:szCs w:val="16"/>
              </w:rPr>
              <w:t>Prohibition of importation of certain animals and animal products, except in emergency circumstances</w:t>
            </w:r>
          </w:p>
        </w:tc>
      </w:tr>
      <w:tr w:rsidR="007D7734" w:rsidRPr="007321E4" w:rsidTr="007D7734">
        <w:trPr>
          <w:trHeight w:val="329"/>
          <w:jc w:val="center"/>
        </w:trPr>
        <w:tc>
          <w:tcPr>
            <w:tcW w:w="1133" w:type="pct"/>
            <w:shd w:val="clear" w:color="auto" w:fill="auto"/>
          </w:tcPr>
          <w:p w:rsidR="007D7734" w:rsidRPr="007321E4" w:rsidRDefault="007D7734" w:rsidP="007D7734">
            <w:pPr>
              <w:spacing w:before="60" w:after="60"/>
              <w:jc w:val="center"/>
              <w:rPr>
                <w:sz w:val="16"/>
                <w:szCs w:val="16"/>
              </w:rPr>
            </w:pPr>
            <w:r w:rsidRPr="007321E4">
              <w:rPr>
                <w:sz w:val="16"/>
                <w:szCs w:val="16"/>
              </w:rPr>
              <w:t>Measure 11</w:t>
            </w:r>
          </w:p>
        </w:tc>
        <w:tc>
          <w:tcPr>
            <w:tcW w:w="3867" w:type="pct"/>
            <w:shd w:val="clear" w:color="auto" w:fill="auto"/>
          </w:tcPr>
          <w:p w:rsidR="007D7734" w:rsidRPr="007321E4" w:rsidRDefault="007D7734" w:rsidP="007D7734">
            <w:pPr>
              <w:spacing w:before="60" w:after="60"/>
              <w:rPr>
                <w:sz w:val="16"/>
                <w:szCs w:val="16"/>
                <w:u w:val="single"/>
              </w:rPr>
            </w:pPr>
            <w:r w:rsidRPr="007321E4">
              <w:rPr>
                <w:sz w:val="16"/>
                <w:szCs w:val="16"/>
              </w:rPr>
              <w:t>Limited application windows and validity periods</w:t>
            </w:r>
          </w:p>
        </w:tc>
      </w:tr>
      <w:tr w:rsidR="007D7734" w:rsidRPr="007321E4" w:rsidTr="007D7734">
        <w:trPr>
          <w:trHeight w:val="329"/>
          <w:jc w:val="center"/>
        </w:trPr>
        <w:tc>
          <w:tcPr>
            <w:tcW w:w="1133" w:type="pct"/>
            <w:shd w:val="clear" w:color="auto" w:fill="C9DED4"/>
          </w:tcPr>
          <w:p w:rsidR="007D7734" w:rsidRPr="007321E4" w:rsidRDefault="007D7734" w:rsidP="007D7734">
            <w:pPr>
              <w:spacing w:before="60" w:after="60"/>
              <w:jc w:val="center"/>
              <w:rPr>
                <w:sz w:val="16"/>
                <w:szCs w:val="16"/>
              </w:rPr>
            </w:pPr>
            <w:r w:rsidRPr="007321E4">
              <w:rPr>
                <w:sz w:val="16"/>
                <w:szCs w:val="16"/>
              </w:rPr>
              <w:t>Measure 12</w:t>
            </w:r>
          </w:p>
        </w:tc>
        <w:tc>
          <w:tcPr>
            <w:tcW w:w="3867" w:type="pct"/>
            <w:shd w:val="clear" w:color="auto" w:fill="C9DED4"/>
          </w:tcPr>
          <w:p w:rsidR="007D7734" w:rsidRPr="007321E4" w:rsidRDefault="007D7734" w:rsidP="007D7734">
            <w:pPr>
              <w:spacing w:before="60" w:after="60"/>
              <w:rPr>
                <w:sz w:val="16"/>
                <w:szCs w:val="16"/>
                <w:u w:val="single"/>
              </w:rPr>
            </w:pPr>
            <w:r w:rsidRPr="007321E4">
              <w:rPr>
                <w:sz w:val="16"/>
                <w:szCs w:val="16"/>
              </w:rPr>
              <w:t>Periodic and fixed import terms</w:t>
            </w:r>
          </w:p>
        </w:tc>
      </w:tr>
      <w:tr w:rsidR="007D7734" w:rsidRPr="007321E4" w:rsidTr="007D7734">
        <w:trPr>
          <w:trHeight w:val="329"/>
          <w:jc w:val="center"/>
        </w:trPr>
        <w:tc>
          <w:tcPr>
            <w:tcW w:w="1133" w:type="pct"/>
            <w:shd w:val="clear" w:color="auto" w:fill="auto"/>
          </w:tcPr>
          <w:p w:rsidR="007D7734" w:rsidRPr="007321E4" w:rsidRDefault="007D7734" w:rsidP="007D7734">
            <w:pPr>
              <w:spacing w:before="60" w:after="60"/>
              <w:jc w:val="center"/>
              <w:rPr>
                <w:sz w:val="16"/>
                <w:szCs w:val="16"/>
              </w:rPr>
            </w:pPr>
            <w:r w:rsidRPr="007321E4">
              <w:rPr>
                <w:sz w:val="16"/>
                <w:szCs w:val="16"/>
              </w:rPr>
              <w:t>Measure 13</w:t>
            </w:r>
          </w:p>
        </w:tc>
        <w:tc>
          <w:tcPr>
            <w:tcW w:w="3867" w:type="pct"/>
            <w:shd w:val="clear" w:color="auto" w:fill="auto"/>
          </w:tcPr>
          <w:p w:rsidR="007D7734" w:rsidRPr="007321E4" w:rsidRDefault="007D7734" w:rsidP="007D7734">
            <w:pPr>
              <w:spacing w:before="60" w:after="60"/>
              <w:rPr>
                <w:sz w:val="16"/>
                <w:szCs w:val="16"/>
                <w:u w:val="single"/>
              </w:rPr>
            </w:pPr>
            <w:r w:rsidRPr="007321E4">
              <w:rPr>
                <w:sz w:val="16"/>
                <w:szCs w:val="16"/>
              </w:rPr>
              <w:t>80% realization requirement</w:t>
            </w:r>
          </w:p>
        </w:tc>
      </w:tr>
      <w:tr w:rsidR="007D7734" w:rsidRPr="007321E4" w:rsidTr="007D7734">
        <w:trPr>
          <w:trHeight w:val="329"/>
          <w:jc w:val="center"/>
        </w:trPr>
        <w:tc>
          <w:tcPr>
            <w:tcW w:w="1133" w:type="pct"/>
            <w:shd w:val="clear" w:color="auto" w:fill="C9DED4"/>
          </w:tcPr>
          <w:p w:rsidR="007D7734" w:rsidRPr="007321E4" w:rsidRDefault="007D7734" w:rsidP="007D7734">
            <w:pPr>
              <w:spacing w:before="60" w:after="60"/>
              <w:jc w:val="center"/>
              <w:rPr>
                <w:sz w:val="16"/>
                <w:szCs w:val="16"/>
              </w:rPr>
            </w:pPr>
            <w:r w:rsidRPr="007321E4">
              <w:rPr>
                <w:sz w:val="16"/>
                <w:szCs w:val="16"/>
              </w:rPr>
              <w:t>Measure 14</w:t>
            </w:r>
          </w:p>
        </w:tc>
        <w:tc>
          <w:tcPr>
            <w:tcW w:w="3867" w:type="pct"/>
            <w:shd w:val="clear" w:color="auto" w:fill="C9DED4"/>
          </w:tcPr>
          <w:p w:rsidR="007D7734" w:rsidRPr="007321E4" w:rsidRDefault="007D7734" w:rsidP="007D7734">
            <w:pPr>
              <w:spacing w:before="60" w:after="60"/>
              <w:rPr>
                <w:sz w:val="16"/>
                <w:szCs w:val="16"/>
                <w:u w:val="single"/>
              </w:rPr>
            </w:pPr>
            <w:r w:rsidRPr="007321E4">
              <w:rPr>
                <w:sz w:val="16"/>
                <w:szCs w:val="16"/>
              </w:rPr>
              <w:t>Use, sale and distribution of imported bovine meat and offal requirements</w:t>
            </w:r>
          </w:p>
        </w:tc>
      </w:tr>
      <w:tr w:rsidR="007D7734" w:rsidRPr="007321E4" w:rsidTr="007D7734">
        <w:trPr>
          <w:trHeight w:val="329"/>
          <w:jc w:val="center"/>
        </w:trPr>
        <w:tc>
          <w:tcPr>
            <w:tcW w:w="1133" w:type="pct"/>
            <w:shd w:val="clear" w:color="auto" w:fill="auto"/>
          </w:tcPr>
          <w:p w:rsidR="007D7734" w:rsidRPr="007321E4" w:rsidRDefault="007D7734" w:rsidP="007D7734">
            <w:pPr>
              <w:spacing w:before="60" w:after="60"/>
              <w:jc w:val="center"/>
              <w:rPr>
                <w:sz w:val="16"/>
                <w:szCs w:val="16"/>
              </w:rPr>
            </w:pPr>
            <w:r w:rsidRPr="007321E4">
              <w:rPr>
                <w:sz w:val="16"/>
                <w:szCs w:val="16"/>
              </w:rPr>
              <w:t>Measure 15</w:t>
            </w:r>
          </w:p>
        </w:tc>
        <w:tc>
          <w:tcPr>
            <w:tcW w:w="3867" w:type="pct"/>
            <w:shd w:val="clear" w:color="auto" w:fill="auto"/>
          </w:tcPr>
          <w:p w:rsidR="007D7734" w:rsidRPr="007321E4" w:rsidRDefault="007D7734" w:rsidP="007D7734">
            <w:pPr>
              <w:spacing w:before="60" w:after="60"/>
              <w:rPr>
                <w:sz w:val="16"/>
                <w:szCs w:val="16"/>
                <w:u w:val="single"/>
              </w:rPr>
            </w:pPr>
            <w:r w:rsidRPr="007321E4">
              <w:rPr>
                <w:sz w:val="16"/>
                <w:szCs w:val="16"/>
              </w:rPr>
              <w:t xml:space="preserve">Domestic purchase requirement </w:t>
            </w:r>
          </w:p>
        </w:tc>
      </w:tr>
      <w:tr w:rsidR="007D7734" w:rsidRPr="007321E4" w:rsidTr="007D7734">
        <w:trPr>
          <w:trHeight w:val="329"/>
          <w:jc w:val="center"/>
        </w:trPr>
        <w:tc>
          <w:tcPr>
            <w:tcW w:w="1133" w:type="pct"/>
            <w:shd w:val="clear" w:color="auto" w:fill="C9DED4"/>
          </w:tcPr>
          <w:p w:rsidR="007D7734" w:rsidRPr="007321E4" w:rsidRDefault="007D7734" w:rsidP="007D7734">
            <w:pPr>
              <w:spacing w:before="60" w:after="60"/>
              <w:jc w:val="center"/>
              <w:rPr>
                <w:sz w:val="16"/>
                <w:szCs w:val="16"/>
              </w:rPr>
            </w:pPr>
            <w:r w:rsidRPr="007321E4">
              <w:rPr>
                <w:sz w:val="16"/>
                <w:szCs w:val="16"/>
              </w:rPr>
              <w:t>Measure 16</w:t>
            </w:r>
          </w:p>
        </w:tc>
        <w:tc>
          <w:tcPr>
            <w:tcW w:w="3867" w:type="pct"/>
            <w:shd w:val="clear" w:color="auto" w:fill="C9DED4"/>
          </w:tcPr>
          <w:p w:rsidR="007D7734" w:rsidRPr="007321E4" w:rsidRDefault="007D7734" w:rsidP="007D7734">
            <w:pPr>
              <w:spacing w:before="60" w:after="60"/>
              <w:rPr>
                <w:sz w:val="16"/>
                <w:szCs w:val="16"/>
                <w:u w:val="single"/>
              </w:rPr>
            </w:pPr>
            <w:r w:rsidRPr="007321E4">
              <w:rPr>
                <w:sz w:val="16"/>
                <w:szCs w:val="16"/>
              </w:rPr>
              <w:t>Beef reference price</w:t>
            </w:r>
          </w:p>
        </w:tc>
      </w:tr>
      <w:tr w:rsidR="007D7734" w:rsidRPr="007321E4" w:rsidTr="007D7734">
        <w:trPr>
          <w:trHeight w:val="407"/>
          <w:jc w:val="center"/>
        </w:trPr>
        <w:tc>
          <w:tcPr>
            <w:tcW w:w="5000" w:type="pct"/>
            <w:gridSpan w:val="2"/>
            <w:shd w:val="clear" w:color="auto" w:fill="auto"/>
          </w:tcPr>
          <w:p w:rsidR="007D7734" w:rsidRPr="007321E4" w:rsidRDefault="007D7734" w:rsidP="007D7734">
            <w:pPr>
              <w:spacing w:before="120" w:after="120"/>
              <w:jc w:val="center"/>
              <w:rPr>
                <w:smallCaps/>
                <w:sz w:val="16"/>
                <w:szCs w:val="16"/>
              </w:rPr>
            </w:pPr>
            <w:r w:rsidRPr="007321E4">
              <w:rPr>
                <w:smallCaps/>
                <w:sz w:val="16"/>
                <w:szCs w:val="16"/>
              </w:rPr>
              <w:t>Regime as a whole:</w:t>
            </w:r>
          </w:p>
        </w:tc>
      </w:tr>
      <w:tr w:rsidR="007D7734" w:rsidRPr="007321E4" w:rsidTr="007D7734">
        <w:trPr>
          <w:trHeight w:val="306"/>
          <w:jc w:val="center"/>
        </w:trPr>
        <w:tc>
          <w:tcPr>
            <w:tcW w:w="1133" w:type="pct"/>
            <w:shd w:val="clear" w:color="auto" w:fill="C9DED4"/>
          </w:tcPr>
          <w:p w:rsidR="007D7734" w:rsidRPr="007321E4" w:rsidRDefault="007D7734" w:rsidP="007D7734">
            <w:pPr>
              <w:spacing w:before="60" w:after="60"/>
              <w:jc w:val="center"/>
              <w:rPr>
                <w:sz w:val="16"/>
                <w:szCs w:val="16"/>
              </w:rPr>
            </w:pPr>
            <w:r w:rsidRPr="007321E4">
              <w:rPr>
                <w:sz w:val="16"/>
                <w:szCs w:val="16"/>
              </w:rPr>
              <w:t>Measure 17</w:t>
            </w:r>
          </w:p>
        </w:tc>
        <w:tc>
          <w:tcPr>
            <w:tcW w:w="3867" w:type="pct"/>
            <w:shd w:val="clear" w:color="auto" w:fill="C9DED4"/>
          </w:tcPr>
          <w:p w:rsidR="007D7734" w:rsidRPr="007321E4" w:rsidRDefault="007D7734" w:rsidP="007D7734">
            <w:pPr>
              <w:spacing w:before="60" w:after="60"/>
              <w:rPr>
                <w:sz w:val="16"/>
                <w:szCs w:val="16"/>
                <w:u w:val="single"/>
              </w:rPr>
            </w:pPr>
            <w:r w:rsidRPr="007321E4">
              <w:rPr>
                <w:sz w:val="16"/>
                <w:szCs w:val="16"/>
              </w:rPr>
              <w:t xml:space="preserve">Import licensing regime for animals and animal products </w:t>
            </w:r>
            <w:r w:rsidRPr="007321E4">
              <w:rPr>
                <w:i/>
                <w:sz w:val="16"/>
                <w:szCs w:val="16"/>
              </w:rPr>
              <w:t>as a whole</w:t>
            </w:r>
          </w:p>
        </w:tc>
      </w:tr>
      <w:tr w:rsidR="007D7734" w:rsidRPr="007321E4" w:rsidTr="007D7734">
        <w:trPr>
          <w:jc w:val="center"/>
        </w:trPr>
        <w:tc>
          <w:tcPr>
            <w:tcW w:w="5000" w:type="pct"/>
            <w:gridSpan w:val="2"/>
            <w:shd w:val="clear" w:color="auto" w:fill="006283"/>
          </w:tcPr>
          <w:p w:rsidR="007D7734" w:rsidRPr="007321E4" w:rsidRDefault="007D7734">
            <w:pPr>
              <w:tabs>
                <w:tab w:val="left" w:pos="1244"/>
                <w:tab w:val="center" w:pos="4513"/>
              </w:tabs>
              <w:spacing w:before="120" w:after="120"/>
              <w:jc w:val="center"/>
              <w:rPr>
                <w:smallCaps/>
                <w:color w:val="FFFFFF"/>
                <w:sz w:val="16"/>
                <w:szCs w:val="16"/>
              </w:rPr>
            </w:pPr>
            <w:r w:rsidRPr="007321E4">
              <w:rPr>
                <w:smallCaps/>
                <w:color w:val="FFFFFF"/>
                <w:sz w:val="16"/>
                <w:szCs w:val="16"/>
              </w:rPr>
              <w:t xml:space="preserve">c. </w:t>
            </w:r>
            <w:r w:rsidR="001C0D17" w:rsidRPr="007321E4">
              <w:rPr>
                <w:smallCaps/>
                <w:color w:val="FFFFFF" w:themeColor="background1"/>
                <w:sz w:val="16"/>
                <w:szCs w:val="16"/>
              </w:rPr>
              <w:t>S</w:t>
            </w:r>
            <w:r w:rsidRPr="007321E4">
              <w:rPr>
                <w:smallCaps/>
                <w:color w:val="FFFFFF"/>
                <w:sz w:val="16"/>
                <w:szCs w:val="16"/>
              </w:rPr>
              <w:t>ufficiency requirement</w:t>
            </w:r>
          </w:p>
        </w:tc>
      </w:tr>
      <w:tr w:rsidR="007D7734" w:rsidRPr="007321E4" w:rsidTr="007D7734">
        <w:trPr>
          <w:trHeight w:val="441"/>
          <w:jc w:val="center"/>
        </w:trPr>
        <w:tc>
          <w:tcPr>
            <w:tcW w:w="1133" w:type="pct"/>
            <w:shd w:val="clear" w:color="auto" w:fill="auto"/>
            <w:vAlign w:val="center"/>
          </w:tcPr>
          <w:p w:rsidR="007D7734" w:rsidRPr="007321E4" w:rsidRDefault="007D7734" w:rsidP="007D7734">
            <w:pPr>
              <w:spacing w:before="60" w:after="60"/>
              <w:jc w:val="center"/>
              <w:rPr>
                <w:sz w:val="16"/>
                <w:szCs w:val="16"/>
              </w:rPr>
            </w:pPr>
            <w:r w:rsidRPr="007321E4">
              <w:rPr>
                <w:sz w:val="16"/>
                <w:szCs w:val="16"/>
              </w:rPr>
              <w:t>Measure 18</w:t>
            </w:r>
          </w:p>
        </w:tc>
        <w:tc>
          <w:tcPr>
            <w:tcW w:w="3867" w:type="pct"/>
            <w:shd w:val="clear" w:color="auto" w:fill="auto"/>
            <w:vAlign w:val="center"/>
          </w:tcPr>
          <w:p w:rsidR="007D7734" w:rsidRPr="007321E4" w:rsidRDefault="007D7734" w:rsidP="007D7734">
            <w:pPr>
              <w:spacing w:before="60" w:after="60"/>
              <w:jc w:val="left"/>
              <w:rPr>
                <w:sz w:val="16"/>
                <w:szCs w:val="16"/>
                <w:u w:val="single"/>
              </w:rPr>
            </w:pPr>
            <w:r w:rsidRPr="007321E4">
              <w:rPr>
                <w:sz w:val="16"/>
                <w:szCs w:val="16"/>
              </w:rPr>
              <w:t>Sufficiency of domestic production to fulfil domestic demand</w:t>
            </w:r>
          </w:p>
        </w:tc>
      </w:tr>
    </w:tbl>
    <w:p w:rsidR="007D7734" w:rsidRPr="007321E4" w:rsidRDefault="007D7734" w:rsidP="003D2A3D">
      <w:pPr>
        <w:pStyle w:val="BodyText"/>
        <w:numPr>
          <w:ilvl w:val="0"/>
          <w:numId w:val="0"/>
        </w:numPr>
      </w:pPr>
    </w:p>
    <w:p w:rsidR="00D0148B" w:rsidRPr="007321E4" w:rsidRDefault="00E943F5" w:rsidP="00F83A75">
      <w:pPr>
        <w:pStyle w:val="BodyText"/>
      </w:pPr>
      <w:r w:rsidRPr="007321E4">
        <w:t>Additional</w:t>
      </w:r>
      <w:r w:rsidR="00D0148B" w:rsidRPr="007321E4">
        <w:t xml:space="preserve"> factual aspects of this dispute are set forth in greater detail in paragraphs </w:t>
      </w:r>
      <w:r w:rsidR="00A01B58" w:rsidRPr="007321E4">
        <w:t>2.1</w:t>
      </w:r>
      <w:r w:rsidR="0006042C" w:rsidRPr="007321E4">
        <w:t xml:space="preserve"> </w:t>
      </w:r>
      <w:r w:rsidR="001C0D17" w:rsidRPr="007321E4">
        <w:t>through</w:t>
      </w:r>
      <w:r w:rsidR="00126CA1" w:rsidRPr="007321E4">
        <w:t> </w:t>
      </w:r>
      <w:r w:rsidR="00A01B58" w:rsidRPr="007321E4">
        <w:t xml:space="preserve">2.66 </w:t>
      </w:r>
      <w:r w:rsidR="00D0148B" w:rsidRPr="007321E4">
        <w:t>of the Panel Report.</w:t>
      </w:r>
    </w:p>
    <w:p w:rsidR="00504AA7" w:rsidRPr="007321E4" w:rsidRDefault="00D13B82" w:rsidP="00F83A75">
      <w:pPr>
        <w:pStyle w:val="BodyText"/>
      </w:pPr>
      <w:r w:rsidRPr="007321E4">
        <w:t>Before the Panel,</w:t>
      </w:r>
      <w:r w:rsidR="00D45D81" w:rsidRPr="007321E4">
        <w:t xml:space="preserve"> New Zealand and the United States claimed</w:t>
      </w:r>
      <w:r w:rsidR="00DD6EC2" w:rsidRPr="007321E4">
        <w:t xml:space="preserve"> that</w:t>
      </w:r>
      <w:r w:rsidR="00D45D81" w:rsidRPr="007321E4">
        <w:t xml:space="preserve"> the </w:t>
      </w:r>
      <w:r w:rsidR="00177A25" w:rsidRPr="007321E4">
        <w:t xml:space="preserve">18 </w:t>
      </w:r>
      <w:r w:rsidR="00BB60F3" w:rsidRPr="007321E4">
        <w:t xml:space="preserve">measures imposed by </w:t>
      </w:r>
      <w:r w:rsidR="009739BD" w:rsidRPr="007321E4">
        <w:t xml:space="preserve">Indonesia </w:t>
      </w:r>
      <w:r w:rsidR="00BB60F3" w:rsidRPr="007321E4">
        <w:t>are inconsistent</w:t>
      </w:r>
      <w:r w:rsidR="00D45D81" w:rsidRPr="007321E4">
        <w:t xml:space="preserve"> </w:t>
      </w:r>
      <w:r w:rsidR="00CD3C9B" w:rsidRPr="007321E4">
        <w:t>with</w:t>
      </w:r>
      <w:r w:rsidRPr="007321E4">
        <w:t xml:space="preserve"> Article XI</w:t>
      </w:r>
      <w:proofErr w:type="gramStart"/>
      <w:r w:rsidRPr="007321E4">
        <w:t>:1</w:t>
      </w:r>
      <w:proofErr w:type="gramEnd"/>
      <w:r w:rsidR="002636CE" w:rsidRPr="007321E4">
        <w:t xml:space="preserve"> </w:t>
      </w:r>
      <w:r w:rsidR="00CD3C9B" w:rsidRPr="007321E4">
        <w:t xml:space="preserve">of the </w:t>
      </w:r>
      <w:r w:rsidR="00BB60F3" w:rsidRPr="007321E4">
        <w:t xml:space="preserve">General Agreement on Tariffs and Trade </w:t>
      </w:r>
      <w:r w:rsidR="001C0D17" w:rsidRPr="007321E4">
        <w:t xml:space="preserve">1994 </w:t>
      </w:r>
      <w:r w:rsidR="00BB60F3" w:rsidRPr="007321E4">
        <w:t>(</w:t>
      </w:r>
      <w:r w:rsidR="00CD3C9B" w:rsidRPr="007321E4">
        <w:t>GATT 1994</w:t>
      </w:r>
      <w:r w:rsidR="00BB60F3" w:rsidRPr="007321E4">
        <w:t>)</w:t>
      </w:r>
      <w:r w:rsidR="00CD3C9B" w:rsidRPr="007321E4">
        <w:t xml:space="preserve"> </w:t>
      </w:r>
      <w:r w:rsidR="002636CE" w:rsidRPr="007321E4">
        <w:t>and</w:t>
      </w:r>
      <w:r w:rsidRPr="007321E4">
        <w:t xml:space="preserve"> Article 4.2 of the Agree</w:t>
      </w:r>
      <w:r w:rsidR="00C70D41" w:rsidRPr="007321E4">
        <w:t>ment on Agriculture</w:t>
      </w:r>
      <w:r w:rsidR="002636CE" w:rsidRPr="007321E4">
        <w:t xml:space="preserve">. </w:t>
      </w:r>
      <w:r w:rsidR="00177A25" w:rsidRPr="007321E4">
        <w:t xml:space="preserve">Specifically, </w:t>
      </w:r>
      <w:r w:rsidR="001C0D17" w:rsidRPr="007321E4">
        <w:t xml:space="preserve">they </w:t>
      </w:r>
      <w:r w:rsidR="00177A25" w:rsidRPr="007321E4">
        <w:t>claimed that the following measures are inconsistent with these provisions</w:t>
      </w:r>
      <w:r w:rsidR="0058524E" w:rsidRPr="007321E4">
        <w:t>:</w:t>
      </w:r>
      <w:r w:rsidR="00177A25" w:rsidRPr="007321E4">
        <w:t xml:space="preserve"> (i) </w:t>
      </w:r>
      <w:r w:rsidR="004212F8" w:rsidRPr="007321E4">
        <w:t>Indonesia's import licensing regime for horticultural product</w:t>
      </w:r>
      <w:r w:rsidR="00126CA1" w:rsidRPr="007321E4">
        <w:t>s, both when viewed as a single </w:t>
      </w:r>
      <w:r w:rsidR="004212F8" w:rsidRPr="007321E4">
        <w:t>measure and when its components are viewed as individual measures</w:t>
      </w:r>
      <w:r w:rsidR="00177A25" w:rsidRPr="007321E4">
        <w:t>; (ii) </w:t>
      </w:r>
      <w:r w:rsidR="004212F8" w:rsidRPr="007321E4">
        <w:t>Indonesia's import licensing regime for animals and animal products, both when viewed as a single measure and when its components are viewed as individual measures</w:t>
      </w:r>
      <w:r w:rsidR="00177A25" w:rsidRPr="007321E4">
        <w:t>; and (iii) Indonesia's import restrictions based on the sufficiency of domestic production.</w:t>
      </w:r>
      <w:r w:rsidR="00177A25" w:rsidRPr="007321E4">
        <w:rPr>
          <w:rStyle w:val="FootnoteReference"/>
        </w:rPr>
        <w:footnoteReference w:id="11"/>
      </w:r>
      <w:r w:rsidR="00177A25" w:rsidRPr="007321E4">
        <w:t xml:space="preserve"> Moreover, the co-complainants claimed that Measures 6, 14, and 15 are inconsistent </w:t>
      </w:r>
      <w:r w:rsidR="00177A25" w:rsidRPr="007321E4">
        <w:lastRenderedPageBreak/>
        <w:t>with Article</w:t>
      </w:r>
      <w:r w:rsidR="004212F8" w:rsidRPr="007321E4">
        <w:t> </w:t>
      </w:r>
      <w:r w:rsidR="00177A25" w:rsidRPr="007321E4">
        <w:t>III</w:t>
      </w:r>
      <w:proofErr w:type="gramStart"/>
      <w:r w:rsidR="00177A25" w:rsidRPr="007321E4">
        <w:t>:4</w:t>
      </w:r>
      <w:proofErr w:type="gramEnd"/>
      <w:r w:rsidR="00177A25" w:rsidRPr="007321E4">
        <w:t xml:space="preserve"> of the GATT 1994.</w:t>
      </w:r>
      <w:r w:rsidR="00177A25" w:rsidRPr="007321E4">
        <w:rPr>
          <w:rStyle w:val="FootnoteReference"/>
        </w:rPr>
        <w:footnoteReference w:id="12"/>
      </w:r>
      <w:r w:rsidR="00177A25" w:rsidRPr="007321E4">
        <w:t xml:space="preserve"> Finally, </w:t>
      </w:r>
      <w:r w:rsidR="00306521" w:rsidRPr="007321E4">
        <w:t xml:space="preserve">to the extent </w:t>
      </w:r>
      <w:r w:rsidR="00480923" w:rsidRPr="007321E4">
        <w:t xml:space="preserve">that </w:t>
      </w:r>
      <w:r w:rsidR="00306521" w:rsidRPr="007321E4">
        <w:t xml:space="preserve">these measures are subject to the disciplines of the Agreement on Import Licensing Procedures (Import Licensing Agreement), </w:t>
      </w:r>
      <w:r w:rsidR="00177A25" w:rsidRPr="007321E4">
        <w:t xml:space="preserve">the </w:t>
      </w:r>
      <w:r w:rsidR="007D7734" w:rsidRPr="007321E4">
        <w:t>co-</w:t>
      </w:r>
      <w:r w:rsidR="00940E2C" w:rsidRPr="007321E4">
        <w:t>complainants</w:t>
      </w:r>
      <w:r w:rsidR="002636CE" w:rsidRPr="007321E4">
        <w:t xml:space="preserve"> claimed </w:t>
      </w:r>
      <w:r w:rsidR="00BB60F3" w:rsidRPr="007321E4">
        <w:t>that</w:t>
      </w:r>
      <w:r w:rsidR="00306521" w:rsidRPr="007321E4">
        <w:t xml:space="preserve"> </w:t>
      </w:r>
      <w:r w:rsidR="002636CE" w:rsidRPr="007321E4">
        <w:t>Measures</w:t>
      </w:r>
      <w:r w:rsidR="004212F8" w:rsidRPr="007321E4">
        <w:t> </w:t>
      </w:r>
      <w:r w:rsidR="002636CE" w:rsidRPr="007321E4">
        <w:t>1 and 11</w:t>
      </w:r>
      <w:r w:rsidR="00C70D41" w:rsidRPr="007321E4">
        <w:t xml:space="preserve"> </w:t>
      </w:r>
      <w:r w:rsidR="00BB60F3" w:rsidRPr="007321E4">
        <w:t xml:space="preserve">are inconsistent </w:t>
      </w:r>
      <w:r w:rsidR="00CD3C9B" w:rsidRPr="007321E4">
        <w:t>with</w:t>
      </w:r>
      <w:r w:rsidR="00C70D41" w:rsidRPr="007321E4">
        <w:t xml:space="preserve"> Article</w:t>
      </w:r>
      <w:r w:rsidR="004212F8" w:rsidRPr="007321E4">
        <w:t> </w:t>
      </w:r>
      <w:r w:rsidRPr="007321E4">
        <w:t>3.2 of the</w:t>
      </w:r>
      <w:r w:rsidR="00306521" w:rsidRPr="007321E4">
        <w:t xml:space="preserve"> </w:t>
      </w:r>
      <w:r w:rsidRPr="007321E4">
        <w:t>Import Licensing Agreement</w:t>
      </w:r>
      <w:r w:rsidR="009739BD" w:rsidRPr="007321E4">
        <w:rPr>
          <w:rStyle w:val="FootnoteReference"/>
        </w:rPr>
        <w:footnoteReference w:id="13"/>
      </w:r>
      <w:r w:rsidR="00306521" w:rsidRPr="007321E4">
        <w:t>,</w:t>
      </w:r>
      <w:r w:rsidR="00DD6EC2" w:rsidRPr="007321E4">
        <w:t xml:space="preserve"> </w:t>
      </w:r>
      <w:r w:rsidR="001C0D17" w:rsidRPr="007321E4">
        <w:t>or</w:t>
      </w:r>
      <w:r w:rsidR="000460BC" w:rsidRPr="007321E4">
        <w:t>,</w:t>
      </w:r>
      <w:r w:rsidR="00940E2C" w:rsidRPr="007321E4">
        <w:t xml:space="preserve"> alternatively</w:t>
      </w:r>
      <w:r w:rsidR="000460BC" w:rsidRPr="007321E4">
        <w:t>,</w:t>
      </w:r>
      <w:r w:rsidR="00940E2C" w:rsidRPr="007321E4">
        <w:t xml:space="preserve"> with Article</w:t>
      </w:r>
      <w:r w:rsidR="000109EF" w:rsidRPr="007321E4">
        <w:t> </w:t>
      </w:r>
      <w:r w:rsidR="00940E2C" w:rsidRPr="007321E4">
        <w:t>2.2(a) o</w:t>
      </w:r>
      <w:r w:rsidR="00480923" w:rsidRPr="007321E4">
        <w:t>f that Agreement</w:t>
      </w:r>
      <w:r w:rsidRPr="007321E4">
        <w:t>.</w:t>
      </w:r>
      <w:r w:rsidR="00EC46E6" w:rsidRPr="007321E4">
        <w:rPr>
          <w:rStyle w:val="FootnoteReference"/>
        </w:rPr>
        <w:footnoteReference w:id="14"/>
      </w:r>
      <w:r w:rsidR="00D45D81" w:rsidRPr="007321E4">
        <w:t xml:space="preserve"> </w:t>
      </w:r>
    </w:p>
    <w:p w:rsidR="008401D0" w:rsidRPr="007321E4" w:rsidRDefault="00D13B82" w:rsidP="00254DD9">
      <w:pPr>
        <w:pStyle w:val="BodyText"/>
      </w:pPr>
      <w:r w:rsidRPr="007321E4">
        <w:t xml:space="preserve">Indonesia </w:t>
      </w:r>
      <w:r w:rsidR="00A843E6" w:rsidRPr="007321E4">
        <w:t xml:space="preserve">requested the Panel to reject the </w:t>
      </w:r>
      <w:r w:rsidR="00480923" w:rsidRPr="007321E4">
        <w:t>co-</w:t>
      </w:r>
      <w:r w:rsidR="00A843E6" w:rsidRPr="007321E4">
        <w:t>complainants</w:t>
      </w:r>
      <w:r w:rsidR="00480923" w:rsidRPr="007321E4">
        <w:t>'</w:t>
      </w:r>
      <w:r w:rsidR="00A843E6" w:rsidRPr="007321E4">
        <w:t xml:space="preserve"> claims in their entirety.</w:t>
      </w:r>
      <w:r w:rsidR="00A843E6" w:rsidRPr="007321E4">
        <w:rPr>
          <w:rStyle w:val="FootnoteReference"/>
        </w:rPr>
        <w:footnoteReference w:id="15"/>
      </w:r>
      <w:r w:rsidR="00A843E6" w:rsidRPr="007321E4">
        <w:t xml:space="preserve"> </w:t>
      </w:r>
      <w:r w:rsidR="00480923" w:rsidRPr="007321E4">
        <w:t xml:space="preserve">In particular, </w:t>
      </w:r>
      <w:r w:rsidR="00F60353" w:rsidRPr="007321E4">
        <w:t xml:space="preserve">Indonesia argued that the measures at issue </w:t>
      </w:r>
      <w:r w:rsidR="006E3195" w:rsidRPr="007321E4">
        <w:t xml:space="preserve">are </w:t>
      </w:r>
      <w:r w:rsidR="00F60353" w:rsidRPr="007321E4">
        <w:t>not</w:t>
      </w:r>
      <w:r w:rsidR="00B41F29" w:rsidRPr="007321E4">
        <w:t xml:space="preserve"> </w:t>
      </w:r>
      <w:r w:rsidR="006E3195" w:rsidRPr="007321E4">
        <w:t xml:space="preserve">inconsistent with </w:t>
      </w:r>
      <w:r w:rsidR="00F60353" w:rsidRPr="007321E4">
        <w:t>Article XI</w:t>
      </w:r>
      <w:proofErr w:type="gramStart"/>
      <w:r w:rsidR="00F60353" w:rsidRPr="007321E4">
        <w:t>:1</w:t>
      </w:r>
      <w:proofErr w:type="gramEnd"/>
      <w:r w:rsidR="00F60353" w:rsidRPr="007321E4">
        <w:t xml:space="preserve"> of the GATT 1994</w:t>
      </w:r>
      <w:r w:rsidR="006E3195" w:rsidRPr="007321E4">
        <w:t xml:space="preserve"> and Article 4.2 of the Agreement on Agriculture</w:t>
      </w:r>
      <w:r w:rsidR="00F60353" w:rsidRPr="007321E4">
        <w:t>.</w:t>
      </w:r>
      <w:r w:rsidR="00F60353" w:rsidRPr="007321E4">
        <w:rPr>
          <w:rStyle w:val="FootnoteReference"/>
        </w:rPr>
        <w:footnoteReference w:id="16"/>
      </w:r>
      <w:r w:rsidR="00F60353" w:rsidRPr="007321E4">
        <w:t xml:space="preserve"> In addition, </w:t>
      </w:r>
      <w:r w:rsidR="002C6242" w:rsidRPr="007321E4">
        <w:t xml:space="preserve">Indonesia </w:t>
      </w:r>
      <w:r w:rsidRPr="007321E4">
        <w:t>raised defences under Article</w:t>
      </w:r>
      <w:r w:rsidR="004212F8" w:rsidRPr="007321E4">
        <w:t> </w:t>
      </w:r>
      <w:proofErr w:type="gramStart"/>
      <w:r w:rsidRPr="007321E4">
        <w:t>XX(</w:t>
      </w:r>
      <w:proofErr w:type="gramEnd"/>
      <w:r w:rsidRPr="007321E4">
        <w:t>a),</w:t>
      </w:r>
      <w:r w:rsidR="00DD6EC2" w:rsidRPr="007321E4">
        <w:t xml:space="preserve"> </w:t>
      </w:r>
      <w:r w:rsidRPr="007321E4">
        <w:t>(b)</w:t>
      </w:r>
      <w:r w:rsidR="001C0D17" w:rsidRPr="007321E4">
        <w:t>,</w:t>
      </w:r>
      <w:r w:rsidRPr="007321E4">
        <w:t xml:space="preserve"> and (d) of the GATT 1994 with respect to the claims of violation under Articles</w:t>
      </w:r>
      <w:r w:rsidR="00F60353" w:rsidRPr="007321E4">
        <w:t> </w:t>
      </w:r>
      <w:r w:rsidRPr="007321E4">
        <w:t>XI:1 and III:4 of the GATT 1994 and Article 4.2 of the Agreement on Agriculture.</w:t>
      </w:r>
      <w:r w:rsidR="006E6C52" w:rsidRPr="007321E4">
        <w:rPr>
          <w:rStyle w:val="FootnoteReference"/>
        </w:rPr>
        <w:footnoteReference w:id="17"/>
      </w:r>
      <w:r w:rsidRPr="007321E4">
        <w:t xml:space="preserve"> </w:t>
      </w:r>
      <w:r w:rsidR="00B113BC" w:rsidRPr="007321E4">
        <w:t>Indonesia also invoked</w:t>
      </w:r>
      <w:r w:rsidR="00A374F3" w:rsidRPr="007321E4">
        <w:t xml:space="preserve"> </w:t>
      </w:r>
      <w:r w:rsidR="00B113BC" w:rsidRPr="007321E4">
        <w:t>Article XI</w:t>
      </w:r>
      <w:proofErr w:type="gramStart"/>
      <w:r w:rsidR="00B113BC" w:rsidRPr="007321E4">
        <w:t>:2</w:t>
      </w:r>
      <w:proofErr w:type="gramEnd"/>
      <w:r w:rsidR="00B113BC" w:rsidRPr="007321E4">
        <w:t xml:space="preserve">(c)(ii) of the GATT 1994 </w:t>
      </w:r>
      <w:r w:rsidR="00765563" w:rsidRPr="007321E4">
        <w:t xml:space="preserve">as a defence with respect to the claims of violation </w:t>
      </w:r>
      <w:r w:rsidR="001C0D17" w:rsidRPr="007321E4">
        <w:t>under</w:t>
      </w:r>
      <w:r w:rsidR="00765563" w:rsidRPr="007321E4">
        <w:t xml:space="preserve"> Article XI:1 of the GATT 1994 concerning </w:t>
      </w:r>
      <w:r w:rsidR="00B113BC" w:rsidRPr="007321E4">
        <w:t>Measures</w:t>
      </w:r>
      <w:r w:rsidR="00765563" w:rsidRPr="007321E4">
        <w:t> </w:t>
      </w:r>
      <w:r w:rsidR="00B113BC" w:rsidRPr="007321E4">
        <w:t>4, 7</w:t>
      </w:r>
      <w:r w:rsidR="000460BC" w:rsidRPr="007321E4">
        <w:t>,</w:t>
      </w:r>
      <w:r w:rsidR="00B113BC" w:rsidRPr="007321E4">
        <w:t xml:space="preserve"> and 16</w:t>
      </w:r>
      <w:r w:rsidR="00A374F3" w:rsidRPr="007321E4">
        <w:t>.</w:t>
      </w:r>
      <w:r w:rsidR="00B113BC" w:rsidRPr="007321E4">
        <w:rPr>
          <w:rStyle w:val="FootnoteReference"/>
        </w:rPr>
        <w:footnoteReference w:id="18"/>
      </w:r>
    </w:p>
    <w:p w:rsidR="00FF09A2" w:rsidRPr="007321E4" w:rsidRDefault="00D0148B" w:rsidP="00546EB5">
      <w:pPr>
        <w:pStyle w:val="BodyText"/>
      </w:pPr>
      <w:r w:rsidRPr="007321E4">
        <w:t>In the Panel Report, circulated to Members of the World</w:t>
      </w:r>
      <w:r w:rsidR="0050585A" w:rsidRPr="007321E4">
        <w:t> </w:t>
      </w:r>
      <w:r w:rsidRPr="007321E4">
        <w:t>Trade</w:t>
      </w:r>
      <w:r w:rsidR="0050585A" w:rsidRPr="007321E4">
        <w:t> </w:t>
      </w:r>
      <w:r w:rsidRPr="007321E4">
        <w:t xml:space="preserve">Organization (WTO) on </w:t>
      </w:r>
      <w:r w:rsidR="00D45D81" w:rsidRPr="007321E4">
        <w:t>22</w:t>
      </w:r>
      <w:r w:rsidR="007D7734" w:rsidRPr="007321E4">
        <w:t> </w:t>
      </w:r>
      <w:r w:rsidR="00D45D81" w:rsidRPr="007321E4">
        <w:t>December 2016</w:t>
      </w:r>
      <w:r w:rsidRPr="007321E4">
        <w:t xml:space="preserve">, </w:t>
      </w:r>
      <w:r w:rsidR="00546EB5" w:rsidRPr="007321E4">
        <w:t xml:space="preserve">the Panel addressed </w:t>
      </w:r>
      <w:r w:rsidR="001C0D17" w:rsidRPr="007321E4">
        <w:t xml:space="preserve">as a preliminary matter </w:t>
      </w:r>
      <w:r w:rsidR="00546EB5" w:rsidRPr="007321E4">
        <w:t xml:space="preserve">the issue of the order of analysis of the co-complainants' claims. The Panel </w:t>
      </w:r>
      <w:r w:rsidR="00FF09A2" w:rsidRPr="007321E4">
        <w:t>considered that Article</w:t>
      </w:r>
      <w:r w:rsidR="0050585A" w:rsidRPr="007321E4">
        <w:t> </w:t>
      </w:r>
      <w:r w:rsidR="00FF09A2" w:rsidRPr="007321E4">
        <w:t>XI</w:t>
      </w:r>
      <w:proofErr w:type="gramStart"/>
      <w:r w:rsidR="00FF09A2" w:rsidRPr="007321E4">
        <w:t>:1</w:t>
      </w:r>
      <w:proofErr w:type="gramEnd"/>
      <w:r w:rsidR="00FF09A2" w:rsidRPr="007321E4">
        <w:t xml:space="preserve"> of the GATT 1994 is the provision that deals specifically with quantitative restrictions, and thus </w:t>
      </w:r>
      <w:r w:rsidR="00546EB5" w:rsidRPr="007321E4">
        <w:t xml:space="preserve">decided to commence its examination </w:t>
      </w:r>
      <w:r w:rsidR="00A374F3" w:rsidRPr="007321E4">
        <w:t xml:space="preserve">of the co-complainants' claims </w:t>
      </w:r>
      <w:r w:rsidR="00546EB5" w:rsidRPr="007321E4">
        <w:t>with Article</w:t>
      </w:r>
      <w:r w:rsidR="0050585A" w:rsidRPr="007321E4">
        <w:t> </w:t>
      </w:r>
      <w:r w:rsidR="00546EB5" w:rsidRPr="007321E4">
        <w:t>XI:1</w:t>
      </w:r>
      <w:r w:rsidR="001C0D17" w:rsidRPr="007321E4">
        <w:t xml:space="preserve"> of the GATT 1994</w:t>
      </w:r>
      <w:r w:rsidR="00546EB5" w:rsidRPr="007321E4">
        <w:t xml:space="preserve">, rather than </w:t>
      </w:r>
      <w:r w:rsidR="001C0D17" w:rsidRPr="007321E4">
        <w:t xml:space="preserve">under </w:t>
      </w:r>
      <w:r w:rsidR="00546EB5" w:rsidRPr="007321E4">
        <w:t>Article</w:t>
      </w:r>
      <w:r w:rsidR="0050585A" w:rsidRPr="007321E4">
        <w:t> </w:t>
      </w:r>
      <w:r w:rsidR="00546EB5" w:rsidRPr="007321E4">
        <w:t>4.2 of the Agreement on Agriculture.</w:t>
      </w:r>
      <w:r w:rsidR="00FF09A2" w:rsidRPr="007321E4">
        <w:rPr>
          <w:rStyle w:val="FootnoteReference"/>
        </w:rPr>
        <w:footnoteReference w:id="19"/>
      </w:r>
      <w:r w:rsidR="00546EB5" w:rsidRPr="007321E4">
        <w:t xml:space="preserve"> </w:t>
      </w:r>
      <w:r w:rsidR="00FF09A2" w:rsidRPr="007321E4">
        <w:t>The Panel added that</w:t>
      </w:r>
      <w:r w:rsidR="001C0D17" w:rsidRPr="007321E4">
        <w:t>,</w:t>
      </w:r>
      <w:r w:rsidR="00FF09A2" w:rsidRPr="007321E4">
        <w:t xml:space="preserve"> if the measures were to be justified under Article</w:t>
      </w:r>
      <w:r w:rsidR="0050585A" w:rsidRPr="007321E4">
        <w:t> </w:t>
      </w:r>
      <w:r w:rsidR="00FF09A2" w:rsidRPr="007321E4">
        <w:t>XX</w:t>
      </w:r>
      <w:r w:rsidR="001C0D17" w:rsidRPr="007321E4">
        <w:t xml:space="preserve"> of the GATT 1994</w:t>
      </w:r>
      <w:r w:rsidR="00FF09A2" w:rsidRPr="007321E4">
        <w:t>, it would not need to analyse the claims under Article</w:t>
      </w:r>
      <w:r w:rsidR="0050585A" w:rsidRPr="007321E4">
        <w:t> </w:t>
      </w:r>
      <w:r w:rsidR="00FF09A2" w:rsidRPr="007321E4">
        <w:t>4.2 of the Agreement on Agriculture. This is because footnote 1 to Article</w:t>
      </w:r>
      <w:r w:rsidR="0050585A" w:rsidRPr="007321E4">
        <w:t> </w:t>
      </w:r>
      <w:r w:rsidR="00FF09A2" w:rsidRPr="007321E4">
        <w:t>4.2 of the Agreement</w:t>
      </w:r>
      <w:r w:rsidR="0050585A" w:rsidRPr="007321E4">
        <w:t> </w:t>
      </w:r>
      <w:r w:rsidR="00FF09A2" w:rsidRPr="007321E4">
        <w:t>on</w:t>
      </w:r>
      <w:r w:rsidR="0050585A" w:rsidRPr="007321E4">
        <w:t> </w:t>
      </w:r>
      <w:r w:rsidR="00FF09A2" w:rsidRPr="007321E4">
        <w:t>Agriculture excludes from the scope of this provision those "measures maintained … under other general, non</w:t>
      </w:r>
      <w:r w:rsidR="001F2C03" w:rsidRPr="007321E4">
        <w:t>-</w:t>
      </w:r>
      <w:r w:rsidR="00FF09A2" w:rsidRPr="007321E4">
        <w:t>agriculture-specific provisions of GATT 1994".</w:t>
      </w:r>
      <w:r w:rsidR="00FF09A2" w:rsidRPr="007321E4">
        <w:rPr>
          <w:rStyle w:val="FootnoteReference"/>
        </w:rPr>
        <w:footnoteReference w:id="20"/>
      </w:r>
      <w:r w:rsidR="00FF09A2" w:rsidRPr="007321E4">
        <w:t xml:space="preserve"> In this context, the Panel noted Indonesia's argument that, because the co-complainants </w:t>
      </w:r>
      <w:r w:rsidR="0086032B" w:rsidRPr="007321E4">
        <w:t xml:space="preserve">had </w:t>
      </w:r>
      <w:r w:rsidR="00FF09A2" w:rsidRPr="007321E4">
        <w:t>failed to provide evidence that the challenged measures are not justified under Article XX, the "Panel</w:t>
      </w:r>
      <w:r w:rsidR="0086032B" w:rsidRPr="007321E4">
        <w:t xml:space="preserve"> [could not]</w:t>
      </w:r>
      <w:r w:rsidR="00FF09A2" w:rsidRPr="007321E4">
        <w:t xml:space="preserve">, as a matter of law, rule in the complainants' </w:t>
      </w:r>
      <w:proofErr w:type="spellStart"/>
      <w:r w:rsidR="00FF09A2" w:rsidRPr="007321E4">
        <w:t>favor</w:t>
      </w:r>
      <w:proofErr w:type="spellEnd"/>
      <w:r w:rsidR="00FF09A2" w:rsidRPr="007321E4">
        <w:t xml:space="preserve"> under Article 4.2".</w:t>
      </w:r>
      <w:r w:rsidR="00FF09A2" w:rsidRPr="007321E4">
        <w:rPr>
          <w:rStyle w:val="FootnoteReference"/>
        </w:rPr>
        <w:footnoteReference w:id="21"/>
      </w:r>
      <w:r w:rsidR="00FF09A2" w:rsidRPr="007321E4">
        <w:t xml:space="preserve"> The Panel</w:t>
      </w:r>
      <w:r w:rsidR="0086032B" w:rsidRPr="007321E4">
        <w:t>,</w:t>
      </w:r>
      <w:r w:rsidR="00FF09A2" w:rsidRPr="007321E4">
        <w:t xml:space="preserve"> however</w:t>
      </w:r>
      <w:r w:rsidR="0086032B" w:rsidRPr="007321E4">
        <w:t>,</w:t>
      </w:r>
      <w:r w:rsidR="00FF09A2" w:rsidRPr="007321E4">
        <w:t xml:space="preserve"> considered</w:t>
      </w:r>
      <w:r w:rsidR="00546EB5" w:rsidRPr="007321E4">
        <w:t xml:space="preserve"> that it </w:t>
      </w:r>
      <w:r w:rsidR="0086032B" w:rsidRPr="007321E4">
        <w:t>wa</w:t>
      </w:r>
      <w:r w:rsidR="00546EB5" w:rsidRPr="007321E4">
        <w:t>s for Indonesia, not the co-complainants, to establish the defence under Article</w:t>
      </w:r>
      <w:r w:rsidR="0050585A" w:rsidRPr="007321E4">
        <w:t> </w:t>
      </w:r>
      <w:r w:rsidR="00BF55AB" w:rsidRPr="007321E4">
        <w:t>XX of the GATT </w:t>
      </w:r>
      <w:r w:rsidR="00546EB5" w:rsidRPr="007321E4">
        <w:t>1994.</w:t>
      </w:r>
      <w:r w:rsidR="00FF09A2" w:rsidRPr="007321E4">
        <w:rPr>
          <w:rStyle w:val="FootnoteReference"/>
        </w:rPr>
        <w:footnoteReference w:id="22"/>
      </w:r>
      <w:r w:rsidR="00546EB5" w:rsidRPr="007321E4">
        <w:t xml:space="preserve"> </w:t>
      </w:r>
    </w:p>
    <w:p w:rsidR="00546EB5" w:rsidRPr="007321E4" w:rsidRDefault="00A374F3" w:rsidP="00546EB5">
      <w:pPr>
        <w:pStyle w:val="BodyText"/>
      </w:pPr>
      <w:r w:rsidRPr="007321E4">
        <w:t>Turning</w:t>
      </w:r>
      <w:r w:rsidR="00FF09A2" w:rsidRPr="007321E4">
        <w:t xml:space="preserve"> to</w:t>
      </w:r>
      <w:r w:rsidR="00546EB5" w:rsidRPr="007321E4">
        <w:t xml:space="preserve"> its analysis </w:t>
      </w:r>
      <w:r w:rsidR="00FF09A2" w:rsidRPr="007321E4">
        <w:t>under Article</w:t>
      </w:r>
      <w:r w:rsidR="0050585A" w:rsidRPr="007321E4">
        <w:t> </w:t>
      </w:r>
      <w:r w:rsidRPr="007321E4">
        <w:t>XI</w:t>
      </w:r>
      <w:proofErr w:type="gramStart"/>
      <w:r w:rsidRPr="007321E4">
        <w:t>:1</w:t>
      </w:r>
      <w:proofErr w:type="gramEnd"/>
      <w:r w:rsidR="00D509E7" w:rsidRPr="007321E4">
        <w:t xml:space="preserve"> of the GATT 1994</w:t>
      </w:r>
      <w:r w:rsidRPr="007321E4">
        <w:t xml:space="preserve">, </w:t>
      </w:r>
      <w:r w:rsidR="00FF09A2" w:rsidRPr="007321E4">
        <w:t>the Panel</w:t>
      </w:r>
      <w:r w:rsidR="00546EB5" w:rsidRPr="007321E4">
        <w:t xml:space="preserve"> </w:t>
      </w:r>
      <w:r w:rsidRPr="007321E4">
        <w:t>disagreed with Indonesia that</w:t>
      </w:r>
      <w:r w:rsidR="00546EB5" w:rsidRPr="007321E4">
        <w:t xml:space="preserve"> Article</w:t>
      </w:r>
      <w:r w:rsidR="0050585A" w:rsidRPr="007321E4">
        <w:t> </w:t>
      </w:r>
      <w:r w:rsidR="00546EB5" w:rsidRPr="007321E4">
        <w:t>XI:2(c)(ii) of the GATT 1994 exclude</w:t>
      </w:r>
      <w:r w:rsidR="00EC44C2" w:rsidRPr="007321E4">
        <w:t>s</w:t>
      </w:r>
      <w:r w:rsidR="00546EB5" w:rsidRPr="007321E4">
        <w:t xml:space="preserve"> Measures</w:t>
      </w:r>
      <w:r w:rsidR="0050585A" w:rsidRPr="007321E4">
        <w:t> </w:t>
      </w:r>
      <w:r w:rsidR="00546EB5" w:rsidRPr="007321E4">
        <w:t>4,</w:t>
      </w:r>
      <w:r w:rsidR="0050585A" w:rsidRPr="007321E4">
        <w:t> </w:t>
      </w:r>
      <w:r w:rsidR="00546EB5" w:rsidRPr="007321E4">
        <w:t>7, and 16 from the scope of Article</w:t>
      </w:r>
      <w:r w:rsidR="0050585A" w:rsidRPr="007321E4">
        <w:t> </w:t>
      </w:r>
      <w:r w:rsidRPr="007321E4">
        <w:t>XI:1</w:t>
      </w:r>
      <w:r w:rsidR="00546EB5" w:rsidRPr="007321E4">
        <w:t xml:space="preserve">. </w:t>
      </w:r>
      <w:r w:rsidRPr="007321E4">
        <w:t>Rather, t</w:t>
      </w:r>
      <w:r w:rsidR="00546EB5" w:rsidRPr="007321E4">
        <w:t xml:space="preserve">he Panel </w:t>
      </w:r>
      <w:r w:rsidRPr="007321E4">
        <w:t>considered</w:t>
      </w:r>
      <w:r w:rsidR="00546EB5" w:rsidRPr="007321E4">
        <w:t xml:space="preserve"> that "</w:t>
      </w:r>
      <w:r w:rsidR="00546EB5" w:rsidRPr="007321E4">
        <w:rPr>
          <w:szCs w:val="18"/>
        </w:rPr>
        <w:t xml:space="preserve">Indonesia </w:t>
      </w:r>
      <w:r w:rsidR="0058524E" w:rsidRPr="007321E4">
        <w:rPr>
          <w:szCs w:val="18"/>
        </w:rPr>
        <w:t>[could not]</w:t>
      </w:r>
      <w:r w:rsidR="00546EB5" w:rsidRPr="007321E4">
        <w:rPr>
          <w:szCs w:val="18"/>
        </w:rPr>
        <w:t xml:space="preserve"> rely upon </w:t>
      </w:r>
      <w:r w:rsidR="00BF55AB" w:rsidRPr="007321E4">
        <w:rPr>
          <w:szCs w:val="18"/>
        </w:rPr>
        <w:t>Article XI</w:t>
      </w:r>
      <w:proofErr w:type="gramStart"/>
      <w:r w:rsidR="00BF55AB" w:rsidRPr="007321E4">
        <w:rPr>
          <w:szCs w:val="18"/>
        </w:rPr>
        <w:t>:2</w:t>
      </w:r>
      <w:proofErr w:type="gramEnd"/>
      <w:r w:rsidR="00BF55AB" w:rsidRPr="007321E4">
        <w:rPr>
          <w:szCs w:val="18"/>
        </w:rPr>
        <w:t>(c)(ii) of the GATT </w:t>
      </w:r>
      <w:r w:rsidR="00546EB5" w:rsidRPr="007321E4">
        <w:rPr>
          <w:szCs w:val="18"/>
        </w:rPr>
        <w:t>1994 to exclude Measures</w:t>
      </w:r>
      <w:r w:rsidR="0050585A" w:rsidRPr="007321E4">
        <w:rPr>
          <w:szCs w:val="18"/>
        </w:rPr>
        <w:t> </w:t>
      </w:r>
      <w:r w:rsidR="00546EB5" w:rsidRPr="007321E4">
        <w:rPr>
          <w:szCs w:val="18"/>
        </w:rPr>
        <w:t>4,</w:t>
      </w:r>
      <w:r w:rsidR="0050585A" w:rsidRPr="007321E4">
        <w:rPr>
          <w:szCs w:val="18"/>
        </w:rPr>
        <w:t> </w:t>
      </w:r>
      <w:r w:rsidR="00546EB5" w:rsidRPr="007321E4">
        <w:rPr>
          <w:szCs w:val="18"/>
        </w:rPr>
        <w:t>7 and 16 from the scope of Article</w:t>
      </w:r>
      <w:r w:rsidR="0050585A" w:rsidRPr="007321E4">
        <w:rPr>
          <w:szCs w:val="18"/>
        </w:rPr>
        <w:t> </w:t>
      </w:r>
      <w:r w:rsidR="00546EB5" w:rsidRPr="007321E4">
        <w:rPr>
          <w:szCs w:val="18"/>
        </w:rPr>
        <w:t>XI:1 of the GATT 1994 because, with respect to agricultural measures, Article XI:2(c) has been rendered inoperative by Article 4.2 of the Agreement on Agriculture."</w:t>
      </w:r>
      <w:r w:rsidR="00546EB5" w:rsidRPr="007321E4">
        <w:rPr>
          <w:rStyle w:val="FootnoteReference"/>
          <w:szCs w:val="18"/>
        </w:rPr>
        <w:footnoteReference w:id="23"/>
      </w:r>
    </w:p>
    <w:p w:rsidR="00D0148B" w:rsidRPr="007321E4" w:rsidRDefault="009E63A6" w:rsidP="00262412">
      <w:pPr>
        <w:pStyle w:val="BodyText"/>
        <w:keepNext/>
      </w:pPr>
      <w:r w:rsidRPr="007321E4">
        <w:lastRenderedPageBreak/>
        <w:t>T</w:t>
      </w:r>
      <w:r w:rsidR="009E7AB3" w:rsidRPr="007321E4">
        <w:t xml:space="preserve">he Panel </w:t>
      </w:r>
      <w:r w:rsidR="00134F2F" w:rsidRPr="007321E4">
        <w:t>made the following findings</w:t>
      </w:r>
      <w:r w:rsidRPr="007321E4">
        <w:t xml:space="preserve"> with respect to the co-complainants' claims under Article</w:t>
      </w:r>
      <w:r w:rsidR="0050585A" w:rsidRPr="007321E4">
        <w:t> </w:t>
      </w:r>
      <w:r w:rsidRPr="007321E4">
        <w:t>XI:1 of the GATT 1994</w:t>
      </w:r>
      <w:r w:rsidR="00D0148B" w:rsidRPr="007321E4">
        <w:t>:</w:t>
      </w:r>
    </w:p>
    <w:p w:rsidR="00134F2F" w:rsidRPr="007321E4" w:rsidRDefault="00134F2F" w:rsidP="00262412">
      <w:pPr>
        <w:pStyle w:val="BodyText2"/>
        <w:keepNext/>
      </w:pPr>
      <w:r w:rsidRPr="007321E4">
        <w:t>Measures 1 through 7, 9</w:t>
      </w:r>
      <w:r w:rsidR="000460BC" w:rsidRPr="007321E4">
        <w:t>,</w:t>
      </w:r>
      <w:r w:rsidRPr="007321E4">
        <w:t xml:space="preserve"> and 11 through 17 are inconsistent with Article XI:1 because, by virtue of their design, architecture</w:t>
      </w:r>
      <w:r w:rsidR="0086032B" w:rsidRPr="007321E4">
        <w:t>,</w:t>
      </w:r>
      <w:r w:rsidRPr="007321E4">
        <w:t xml:space="preserve"> and revealing structure, they constitute a restriction having a limiting effect on importation</w:t>
      </w:r>
      <w:r w:rsidR="00F84E00" w:rsidRPr="007321E4">
        <w:rPr>
          <w:rStyle w:val="FootnoteReference"/>
        </w:rPr>
        <w:footnoteReference w:id="24"/>
      </w:r>
      <w:r w:rsidRPr="007321E4">
        <w:t>;</w:t>
      </w:r>
    </w:p>
    <w:p w:rsidR="00134F2F" w:rsidRPr="007321E4" w:rsidRDefault="00134F2F" w:rsidP="003D2A3D">
      <w:pPr>
        <w:pStyle w:val="BodyText2"/>
      </w:pPr>
      <w:r w:rsidRPr="007321E4">
        <w:t>Measures 8 and 10 are inconsistent with Article</w:t>
      </w:r>
      <w:r w:rsidR="0050585A" w:rsidRPr="007321E4">
        <w:t> </w:t>
      </w:r>
      <w:r w:rsidRPr="007321E4">
        <w:t>XI:1 because, by virtue of their design, architecture</w:t>
      </w:r>
      <w:r w:rsidR="0058524E" w:rsidRPr="007321E4">
        <w:t>,</w:t>
      </w:r>
      <w:r w:rsidRPr="007321E4">
        <w:t xml:space="preserve"> and revealing structure, they constitute</w:t>
      </w:r>
      <w:r w:rsidR="0086032B" w:rsidRPr="007321E4">
        <w:t xml:space="preserve"> a</w:t>
      </w:r>
      <w:r w:rsidRPr="007321E4">
        <w:t xml:space="preserve"> prohibition on importation</w:t>
      </w:r>
      <w:r w:rsidR="00E86460" w:rsidRPr="007321E4">
        <w:rPr>
          <w:rStyle w:val="FootnoteReference"/>
        </w:rPr>
        <w:footnoteReference w:id="25"/>
      </w:r>
      <w:r w:rsidRPr="007321E4">
        <w:t>; and</w:t>
      </w:r>
    </w:p>
    <w:p w:rsidR="00D0148B" w:rsidRPr="007321E4" w:rsidRDefault="00134F2F" w:rsidP="003D2A3D">
      <w:pPr>
        <w:pStyle w:val="BodyText2"/>
      </w:pPr>
      <w:r w:rsidRPr="007321E4">
        <w:t xml:space="preserve">Measure 18 is inconsistent </w:t>
      </w:r>
      <w:r w:rsidRPr="007321E4">
        <w:rPr>
          <w:i/>
        </w:rPr>
        <w:t>as such</w:t>
      </w:r>
      <w:r w:rsidRPr="007321E4">
        <w:t xml:space="preserve"> with Article</w:t>
      </w:r>
      <w:r w:rsidR="0050585A" w:rsidRPr="007321E4">
        <w:t> </w:t>
      </w:r>
      <w:r w:rsidRPr="007321E4">
        <w:t>XI</w:t>
      </w:r>
      <w:proofErr w:type="gramStart"/>
      <w:r w:rsidRPr="007321E4">
        <w:t>:1</w:t>
      </w:r>
      <w:proofErr w:type="gramEnd"/>
      <w:r w:rsidRPr="007321E4">
        <w:t xml:space="preserve"> because, by virtue of its design, architecture</w:t>
      </w:r>
      <w:r w:rsidR="0086032B" w:rsidRPr="007321E4">
        <w:t>,</w:t>
      </w:r>
      <w:r w:rsidRPr="007321E4">
        <w:t xml:space="preserve"> and revealing structure, it constitutes a restriction having a limiting effect on importation</w:t>
      </w:r>
      <w:r w:rsidR="00FF09A2" w:rsidRPr="007321E4">
        <w:t>.</w:t>
      </w:r>
      <w:r w:rsidR="00E86460" w:rsidRPr="007321E4">
        <w:rPr>
          <w:rStyle w:val="FootnoteReference"/>
        </w:rPr>
        <w:footnoteReference w:id="26"/>
      </w:r>
    </w:p>
    <w:p w:rsidR="00134F2F" w:rsidRPr="007321E4" w:rsidRDefault="00A374F3" w:rsidP="003D2A3D">
      <w:pPr>
        <w:pStyle w:val="BodyText"/>
        <w:keepNext/>
      </w:pPr>
      <w:r w:rsidRPr="007321E4">
        <w:t>Having reached these findings under Article XI:1</w:t>
      </w:r>
      <w:r w:rsidR="00D509E7" w:rsidRPr="007321E4">
        <w:t xml:space="preserve"> of the GATT 1994</w:t>
      </w:r>
      <w:r w:rsidRPr="007321E4">
        <w:t>, the Panel addressed</w:t>
      </w:r>
      <w:r w:rsidR="00134F2F" w:rsidRPr="007321E4">
        <w:t xml:space="preserve"> Indonesia's defence</w:t>
      </w:r>
      <w:r w:rsidR="005E1BC2" w:rsidRPr="007321E4">
        <w:t>s</w:t>
      </w:r>
      <w:r w:rsidR="00134F2F" w:rsidRPr="007321E4">
        <w:t xml:space="preserve"> under Article</w:t>
      </w:r>
      <w:r w:rsidR="0050585A" w:rsidRPr="007321E4">
        <w:t> </w:t>
      </w:r>
      <w:r w:rsidRPr="007321E4">
        <w:t>XX of the GATT 1994 and found that</w:t>
      </w:r>
      <w:r w:rsidR="00134F2F" w:rsidRPr="007321E4">
        <w:t>:</w:t>
      </w:r>
    </w:p>
    <w:p w:rsidR="00FF09A2" w:rsidRPr="007321E4" w:rsidRDefault="00134F2F" w:rsidP="003D2A3D">
      <w:pPr>
        <w:pStyle w:val="BodyText2"/>
      </w:pPr>
      <w:r w:rsidRPr="007321E4">
        <w:t>Indonesia ha</w:t>
      </w:r>
      <w:r w:rsidR="0086032B" w:rsidRPr="007321E4">
        <w:t>d</w:t>
      </w:r>
      <w:r w:rsidRPr="007321E4">
        <w:t xml:space="preserve"> failed to demonstrate that Measures</w:t>
      </w:r>
      <w:r w:rsidR="00D25414" w:rsidRPr="007321E4">
        <w:t> </w:t>
      </w:r>
      <w:r w:rsidRPr="007321E4">
        <w:t>1, 2</w:t>
      </w:r>
      <w:r w:rsidR="000460BC" w:rsidRPr="007321E4">
        <w:t>,</w:t>
      </w:r>
      <w:r w:rsidRPr="007321E4">
        <w:t xml:space="preserve"> and 3 are justified under Article</w:t>
      </w:r>
      <w:r w:rsidR="00D25414" w:rsidRPr="007321E4">
        <w:t> </w:t>
      </w:r>
      <w:r w:rsidRPr="007321E4">
        <w:t>XX(d) of the GATT 1994</w:t>
      </w:r>
      <w:r w:rsidR="00564339" w:rsidRPr="007321E4">
        <w:rPr>
          <w:rStyle w:val="FootnoteReference"/>
        </w:rPr>
        <w:footnoteReference w:id="27"/>
      </w:r>
      <w:r w:rsidRPr="007321E4">
        <w:t>;</w:t>
      </w:r>
    </w:p>
    <w:p w:rsidR="00134F2F" w:rsidRPr="007321E4" w:rsidRDefault="00134F2F" w:rsidP="003D2A3D">
      <w:pPr>
        <w:pStyle w:val="BodyText2"/>
      </w:pPr>
      <w:r w:rsidRPr="007321E4">
        <w:t>Indonesia ha</w:t>
      </w:r>
      <w:r w:rsidR="0086032B" w:rsidRPr="007321E4">
        <w:t>d</w:t>
      </w:r>
      <w:r w:rsidRPr="007321E4">
        <w:t xml:space="preserve"> failed to demonstrate that Measure 4 is justified under Article</w:t>
      </w:r>
      <w:r w:rsidR="00D25414" w:rsidRPr="007321E4">
        <w:t> </w:t>
      </w:r>
      <w:r w:rsidRPr="007321E4">
        <w:t>XX(b) of the GATT</w:t>
      </w:r>
      <w:r w:rsidR="00D25414" w:rsidRPr="007321E4">
        <w:t> </w:t>
      </w:r>
      <w:r w:rsidRPr="007321E4">
        <w:t>1994</w:t>
      </w:r>
      <w:r w:rsidR="008C34C8" w:rsidRPr="007321E4">
        <w:rPr>
          <w:rStyle w:val="FootnoteReference"/>
        </w:rPr>
        <w:footnoteReference w:id="28"/>
      </w:r>
      <w:r w:rsidRPr="007321E4">
        <w:t>;</w:t>
      </w:r>
    </w:p>
    <w:p w:rsidR="00134F2F" w:rsidRPr="007321E4" w:rsidRDefault="00134F2F" w:rsidP="003D2A3D">
      <w:pPr>
        <w:pStyle w:val="BodyText2"/>
      </w:pPr>
      <w:r w:rsidRPr="007321E4">
        <w:t>Indonesia ha</w:t>
      </w:r>
      <w:r w:rsidR="0086032B" w:rsidRPr="007321E4">
        <w:t>d</w:t>
      </w:r>
      <w:r w:rsidRPr="007321E4">
        <w:t xml:space="preserve"> failed to demonstrate that Measures 5 and 6 are </w:t>
      </w:r>
      <w:r w:rsidR="00A374F3" w:rsidRPr="007321E4">
        <w:t>justified under Article</w:t>
      </w:r>
      <w:r w:rsidR="00D25414" w:rsidRPr="007321E4">
        <w:t> </w:t>
      </w:r>
      <w:r w:rsidRPr="007321E4">
        <w:t>XX(a), (b)</w:t>
      </w:r>
      <w:r w:rsidR="0086032B" w:rsidRPr="007321E4">
        <w:t>,</w:t>
      </w:r>
      <w:r w:rsidRPr="007321E4">
        <w:t xml:space="preserve"> and (d) of the GATT 1994</w:t>
      </w:r>
      <w:r w:rsidR="008C34C8" w:rsidRPr="007321E4">
        <w:rPr>
          <w:rStyle w:val="FootnoteReference"/>
        </w:rPr>
        <w:footnoteReference w:id="29"/>
      </w:r>
      <w:r w:rsidRPr="007321E4">
        <w:t>;</w:t>
      </w:r>
    </w:p>
    <w:p w:rsidR="00134F2F" w:rsidRPr="007321E4" w:rsidRDefault="00134F2F" w:rsidP="003D2A3D">
      <w:pPr>
        <w:pStyle w:val="BodyText2"/>
      </w:pPr>
      <w:r w:rsidRPr="007321E4">
        <w:t>Indonesia ha</w:t>
      </w:r>
      <w:r w:rsidR="0086032B" w:rsidRPr="007321E4">
        <w:t>d</w:t>
      </w:r>
      <w:r w:rsidRPr="007321E4">
        <w:t xml:space="preserve"> failed to demonstrate that Measure 7 is justified under Article XX(b) of the GATT</w:t>
      </w:r>
      <w:r w:rsidR="00D25414" w:rsidRPr="007321E4">
        <w:t> </w:t>
      </w:r>
      <w:r w:rsidRPr="007321E4">
        <w:t>1994</w:t>
      </w:r>
      <w:r w:rsidR="007504F1" w:rsidRPr="007321E4">
        <w:rPr>
          <w:rStyle w:val="FootnoteReference"/>
        </w:rPr>
        <w:footnoteReference w:id="30"/>
      </w:r>
      <w:r w:rsidRPr="007321E4">
        <w:t>;</w:t>
      </w:r>
    </w:p>
    <w:p w:rsidR="00134F2F" w:rsidRPr="007321E4" w:rsidRDefault="00134F2F" w:rsidP="003D2A3D">
      <w:pPr>
        <w:pStyle w:val="BodyText2"/>
      </w:pPr>
      <w:r w:rsidRPr="007321E4">
        <w:t>Indonesia ha</w:t>
      </w:r>
      <w:r w:rsidR="0086032B" w:rsidRPr="007321E4">
        <w:t>d</w:t>
      </w:r>
      <w:r w:rsidRPr="007321E4">
        <w:t xml:space="preserve"> failed to demonstrate that Measure 8 is justified under Article XX(b) of the GATT</w:t>
      </w:r>
      <w:r w:rsidR="00D25414" w:rsidRPr="007321E4">
        <w:t> </w:t>
      </w:r>
      <w:r w:rsidRPr="007321E4">
        <w:t>1994</w:t>
      </w:r>
      <w:r w:rsidR="007504F1" w:rsidRPr="007321E4">
        <w:rPr>
          <w:rStyle w:val="FootnoteReference"/>
        </w:rPr>
        <w:footnoteReference w:id="31"/>
      </w:r>
      <w:r w:rsidRPr="007321E4">
        <w:t>; and</w:t>
      </w:r>
    </w:p>
    <w:p w:rsidR="00D0148B" w:rsidRPr="007321E4" w:rsidRDefault="00134F2F" w:rsidP="003D2A3D">
      <w:pPr>
        <w:pStyle w:val="BodyText2"/>
      </w:pPr>
      <w:r w:rsidRPr="007321E4">
        <w:t>Indonesia ha</w:t>
      </w:r>
      <w:r w:rsidR="00EC59AA" w:rsidRPr="007321E4">
        <w:t>d</w:t>
      </w:r>
      <w:r w:rsidRPr="007321E4">
        <w:t xml:space="preserve"> failed to demonstrate that Measures 9 through</w:t>
      </w:r>
      <w:r w:rsidR="00A374F3" w:rsidRPr="007321E4">
        <w:t xml:space="preserve"> 18 are justified under Article</w:t>
      </w:r>
      <w:r w:rsidR="00D25414" w:rsidRPr="007321E4">
        <w:t> </w:t>
      </w:r>
      <w:r w:rsidRPr="007321E4">
        <w:t>XX(a), (b)</w:t>
      </w:r>
      <w:r w:rsidR="0086032B" w:rsidRPr="007321E4">
        <w:t>,</w:t>
      </w:r>
      <w:r w:rsidRPr="007321E4">
        <w:t xml:space="preserve"> or (d) of t</w:t>
      </w:r>
      <w:r w:rsidR="00546AA4" w:rsidRPr="007321E4">
        <w:t>he GATT</w:t>
      </w:r>
      <w:r w:rsidR="00D25414" w:rsidRPr="007321E4">
        <w:t> </w:t>
      </w:r>
      <w:r w:rsidR="00546AA4" w:rsidRPr="007321E4">
        <w:t>1994, where appropriate</w:t>
      </w:r>
      <w:r w:rsidR="005E1BC2" w:rsidRPr="007321E4">
        <w:t>.</w:t>
      </w:r>
      <w:r w:rsidR="007504F1" w:rsidRPr="007321E4">
        <w:rPr>
          <w:rStyle w:val="FootnoteReference"/>
        </w:rPr>
        <w:footnoteReference w:id="32"/>
      </w:r>
      <w:r w:rsidR="00D0148B" w:rsidRPr="007321E4">
        <w:t xml:space="preserve"> </w:t>
      </w:r>
    </w:p>
    <w:p w:rsidR="00FF09A2" w:rsidRPr="007321E4" w:rsidRDefault="00A374F3" w:rsidP="008A4A3D">
      <w:pPr>
        <w:pStyle w:val="BodyText"/>
      </w:pPr>
      <w:r w:rsidRPr="007321E4">
        <w:t>In light of</w:t>
      </w:r>
      <w:r w:rsidR="00E30A1F" w:rsidRPr="007321E4">
        <w:t xml:space="preserve"> these findings</w:t>
      </w:r>
      <w:r w:rsidR="00FF09A2" w:rsidRPr="007321E4">
        <w:t>, the Panel declined to rule on the co-complainants' claims under Article 4.2 of the Agreement on Agriculture because "its findings pertaining to the inconsistency of Measures 1 through 18 with Article</w:t>
      </w:r>
      <w:r w:rsidR="00D25414" w:rsidRPr="007321E4">
        <w:t> </w:t>
      </w:r>
      <w:r w:rsidR="00FF09A2" w:rsidRPr="007321E4">
        <w:t>XI</w:t>
      </w:r>
      <w:proofErr w:type="gramStart"/>
      <w:r w:rsidR="00FF09A2" w:rsidRPr="007321E4">
        <w:t>:1</w:t>
      </w:r>
      <w:proofErr w:type="gramEnd"/>
      <w:r w:rsidR="00FF09A2" w:rsidRPr="007321E4">
        <w:t xml:space="preserve"> of the GATT 1994 and the absence of justification under Articles</w:t>
      </w:r>
      <w:r w:rsidR="00D25414" w:rsidRPr="007321E4">
        <w:t> </w:t>
      </w:r>
      <w:r w:rsidR="00FF09A2" w:rsidRPr="007321E4">
        <w:t>XX(a), (b) or (d) of the GATT 1994 ensure the effective resolution of this dispute."</w:t>
      </w:r>
      <w:r w:rsidR="00FF09A2" w:rsidRPr="007321E4">
        <w:rPr>
          <w:rStyle w:val="FootnoteReference"/>
        </w:rPr>
        <w:footnoteReference w:id="33"/>
      </w:r>
      <w:r w:rsidR="00E30A1F" w:rsidRPr="007321E4">
        <w:t xml:space="preserve"> The Panel equally declined to rule on New</w:t>
      </w:r>
      <w:r w:rsidR="00D25414" w:rsidRPr="007321E4">
        <w:t> </w:t>
      </w:r>
      <w:r w:rsidR="00E30A1F" w:rsidRPr="007321E4">
        <w:t>Zealand's claims under Article</w:t>
      </w:r>
      <w:r w:rsidR="00D25414" w:rsidRPr="007321E4">
        <w:t> </w:t>
      </w:r>
      <w:r w:rsidR="00E30A1F" w:rsidRPr="007321E4">
        <w:t>III</w:t>
      </w:r>
      <w:proofErr w:type="gramStart"/>
      <w:r w:rsidR="00E30A1F" w:rsidRPr="007321E4">
        <w:t>:4</w:t>
      </w:r>
      <w:proofErr w:type="gramEnd"/>
      <w:r w:rsidR="00E30A1F" w:rsidRPr="007321E4">
        <w:t xml:space="preserve"> of the GATT</w:t>
      </w:r>
      <w:r w:rsidR="00D25414" w:rsidRPr="007321E4">
        <w:t> </w:t>
      </w:r>
      <w:r w:rsidR="00E30A1F" w:rsidRPr="007321E4">
        <w:t>1994 and the co-complainants' claims under Article</w:t>
      </w:r>
      <w:r w:rsidR="00D25414" w:rsidRPr="007321E4">
        <w:t> </w:t>
      </w:r>
      <w:r w:rsidR="00E30A1F" w:rsidRPr="007321E4">
        <w:t xml:space="preserve">3.2 of the Import Licensing Agreement because its earlier findings in respect </w:t>
      </w:r>
      <w:r w:rsidR="00D509E7" w:rsidRPr="007321E4">
        <w:t>of</w:t>
      </w:r>
      <w:r w:rsidR="00E30A1F" w:rsidRPr="007321E4">
        <w:t xml:space="preserve"> the relevant measures ensure the effective resolution of th</w:t>
      </w:r>
      <w:r w:rsidR="0086032B" w:rsidRPr="007321E4">
        <w:t>is</w:t>
      </w:r>
      <w:r w:rsidR="00E30A1F" w:rsidRPr="007321E4">
        <w:t xml:space="preserve"> dispute.</w:t>
      </w:r>
      <w:r w:rsidR="00E30A1F" w:rsidRPr="007321E4">
        <w:rPr>
          <w:rStyle w:val="FootnoteReference"/>
        </w:rPr>
        <w:footnoteReference w:id="34"/>
      </w:r>
      <w:r w:rsidR="00E30A1F" w:rsidRPr="007321E4">
        <w:t xml:space="preserve"> The Panel further declined to rule on the United</w:t>
      </w:r>
      <w:r w:rsidR="00D25414" w:rsidRPr="007321E4">
        <w:t> </w:t>
      </w:r>
      <w:r w:rsidR="00E30A1F" w:rsidRPr="007321E4">
        <w:t>States' claims under Article</w:t>
      </w:r>
      <w:r w:rsidR="00D25414" w:rsidRPr="007321E4">
        <w:t> </w:t>
      </w:r>
      <w:r w:rsidR="00126CA1" w:rsidRPr="007321E4">
        <w:t>III</w:t>
      </w:r>
      <w:proofErr w:type="gramStart"/>
      <w:r w:rsidR="00126CA1" w:rsidRPr="007321E4">
        <w:t>:4</w:t>
      </w:r>
      <w:proofErr w:type="gramEnd"/>
      <w:r w:rsidR="00126CA1" w:rsidRPr="007321E4">
        <w:t xml:space="preserve"> of the </w:t>
      </w:r>
      <w:r w:rsidR="00126CA1" w:rsidRPr="007321E4">
        <w:lastRenderedPageBreak/>
        <w:t>GATT </w:t>
      </w:r>
      <w:r w:rsidR="00E30A1F" w:rsidRPr="007321E4">
        <w:t>1994</w:t>
      </w:r>
      <w:r w:rsidR="00E30A1F" w:rsidRPr="007321E4">
        <w:rPr>
          <w:rStyle w:val="FootnoteReference"/>
        </w:rPr>
        <w:footnoteReference w:id="35"/>
      </w:r>
      <w:r w:rsidR="00E30A1F" w:rsidRPr="007321E4">
        <w:t xml:space="preserve"> and the co-complainants' claims under Article</w:t>
      </w:r>
      <w:r w:rsidR="00D25414" w:rsidRPr="007321E4">
        <w:t> </w:t>
      </w:r>
      <w:r w:rsidR="00E30A1F" w:rsidRPr="007321E4">
        <w:t xml:space="preserve">2.2(a) of the Import Licensing Agreement because </w:t>
      </w:r>
      <w:r w:rsidR="009E63A6" w:rsidRPr="007321E4">
        <w:t>the United</w:t>
      </w:r>
      <w:r w:rsidR="00D25414" w:rsidRPr="007321E4">
        <w:t> </w:t>
      </w:r>
      <w:r w:rsidR="009E63A6" w:rsidRPr="007321E4">
        <w:t xml:space="preserve">States and </w:t>
      </w:r>
      <w:r w:rsidR="00E30A1F" w:rsidRPr="007321E4">
        <w:t>the co-complainants</w:t>
      </w:r>
      <w:r w:rsidR="009E63A6" w:rsidRPr="007321E4">
        <w:t>, respectively,</w:t>
      </w:r>
      <w:r w:rsidR="00E30A1F" w:rsidRPr="007321E4">
        <w:t xml:space="preserve"> "</w:t>
      </w:r>
      <w:r w:rsidR="0086032B" w:rsidRPr="007321E4">
        <w:t xml:space="preserve">[had] </w:t>
      </w:r>
      <w:r w:rsidR="00E30A1F" w:rsidRPr="007321E4">
        <w:t xml:space="preserve">failed to make a </w:t>
      </w:r>
      <w:r w:rsidR="00E30A1F" w:rsidRPr="007321E4">
        <w:rPr>
          <w:i/>
        </w:rPr>
        <w:t>prima facie</w:t>
      </w:r>
      <w:r w:rsidR="00E30A1F" w:rsidRPr="007321E4">
        <w:t xml:space="preserve"> case".</w:t>
      </w:r>
      <w:r w:rsidR="00E30A1F" w:rsidRPr="007321E4">
        <w:rPr>
          <w:rStyle w:val="FootnoteReference"/>
        </w:rPr>
        <w:footnoteReference w:id="36"/>
      </w:r>
    </w:p>
    <w:p w:rsidR="00A93A56" w:rsidRPr="007321E4" w:rsidRDefault="009E63A6" w:rsidP="008C34C8">
      <w:pPr>
        <w:pStyle w:val="BodyText"/>
        <w:tabs>
          <w:tab w:val="num" w:pos="862"/>
        </w:tabs>
        <w:rPr>
          <w:szCs w:val="18"/>
        </w:rPr>
      </w:pPr>
      <w:r w:rsidRPr="007321E4">
        <w:t xml:space="preserve">In </w:t>
      </w:r>
      <w:r w:rsidR="00205001" w:rsidRPr="007321E4">
        <w:t xml:space="preserve">accordance </w:t>
      </w:r>
      <w:r w:rsidRPr="007321E4">
        <w:t>with</w:t>
      </w:r>
      <w:r w:rsidR="00591F12" w:rsidRPr="007321E4">
        <w:t xml:space="preserve"> Article</w:t>
      </w:r>
      <w:r w:rsidR="00D25414" w:rsidRPr="007321E4">
        <w:t> </w:t>
      </w:r>
      <w:r w:rsidR="00591F12" w:rsidRPr="007321E4">
        <w:t xml:space="preserve">19.1 of the DSU, </w:t>
      </w:r>
      <w:r w:rsidRPr="007321E4">
        <w:t xml:space="preserve">and </w:t>
      </w:r>
      <w:r w:rsidR="002E3DD8" w:rsidRPr="007321E4">
        <w:t>having found that Indonesia acted inconsistently with its obligations under Article XI</w:t>
      </w:r>
      <w:proofErr w:type="gramStart"/>
      <w:r w:rsidR="002E3DD8" w:rsidRPr="007321E4">
        <w:t>:1</w:t>
      </w:r>
      <w:proofErr w:type="gramEnd"/>
      <w:r w:rsidR="002E3DD8" w:rsidRPr="007321E4">
        <w:t xml:space="preserve"> of the GATT 1994 with respect to Measures 1 through 18, the Panel recommended that the D</w:t>
      </w:r>
      <w:r w:rsidR="00EC44C2" w:rsidRPr="007321E4">
        <w:t xml:space="preserve">ispute </w:t>
      </w:r>
      <w:r w:rsidR="009E31A6" w:rsidRPr="007321E4">
        <w:t>Settlement</w:t>
      </w:r>
      <w:r w:rsidR="00EC44C2" w:rsidRPr="007321E4">
        <w:t xml:space="preserve"> Body (D</w:t>
      </w:r>
      <w:r w:rsidR="002E3DD8" w:rsidRPr="007321E4">
        <w:t>SB</w:t>
      </w:r>
      <w:r w:rsidR="00EC44C2" w:rsidRPr="007321E4">
        <w:t>)</w:t>
      </w:r>
      <w:r w:rsidR="002E3DD8" w:rsidRPr="007321E4">
        <w:t xml:space="preserve"> request Indonesia to bring its measures into conformity with its obligations under the GATT 1994</w:t>
      </w:r>
      <w:r w:rsidR="00591F12" w:rsidRPr="007321E4">
        <w:t>.</w:t>
      </w:r>
      <w:r w:rsidR="009A4D4B" w:rsidRPr="007321E4">
        <w:rPr>
          <w:rStyle w:val="FootnoteReference"/>
        </w:rPr>
        <w:footnoteReference w:id="37"/>
      </w:r>
      <w:r w:rsidR="009A4D4B" w:rsidRPr="007321E4">
        <w:rPr>
          <w:szCs w:val="18"/>
        </w:rPr>
        <w:t xml:space="preserve"> </w:t>
      </w:r>
    </w:p>
    <w:p w:rsidR="00900E91" w:rsidRPr="007321E4" w:rsidRDefault="00D0148B" w:rsidP="008C34C8">
      <w:pPr>
        <w:pStyle w:val="BodyText"/>
        <w:tabs>
          <w:tab w:val="num" w:pos="862"/>
        </w:tabs>
        <w:rPr>
          <w:szCs w:val="18"/>
        </w:rPr>
      </w:pPr>
      <w:r w:rsidRPr="007321E4">
        <w:rPr>
          <w:szCs w:val="18"/>
        </w:rPr>
        <w:t xml:space="preserve">On </w:t>
      </w:r>
      <w:r w:rsidR="00591F12" w:rsidRPr="007321E4">
        <w:rPr>
          <w:szCs w:val="18"/>
        </w:rPr>
        <w:t>17</w:t>
      </w:r>
      <w:r w:rsidR="00D25414" w:rsidRPr="007321E4">
        <w:rPr>
          <w:szCs w:val="18"/>
        </w:rPr>
        <w:t> </w:t>
      </w:r>
      <w:r w:rsidR="00591F12" w:rsidRPr="007321E4">
        <w:rPr>
          <w:szCs w:val="18"/>
        </w:rPr>
        <w:t>February 2017</w:t>
      </w:r>
      <w:r w:rsidRPr="007321E4">
        <w:rPr>
          <w:rFonts w:cs="Arial"/>
          <w:szCs w:val="18"/>
        </w:rPr>
        <w:t xml:space="preserve">, </w:t>
      </w:r>
      <w:r w:rsidR="00591F12" w:rsidRPr="007321E4">
        <w:rPr>
          <w:rFonts w:cs="Arial"/>
          <w:szCs w:val="18"/>
        </w:rPr>
        <w:t xml:space="preserve">Indonesia </w:t>
      </w:r>
      <w:r w:rsidRPr="007321E4">
        <w:rPr>
          <w:szCs w:val="18"/>
        </w:rPr>
        <w:t>notified the DSB, pursuant to Articles 16.4 and 17 of the DSU, of its intention to appeal certain issues of law covered in the Panel Report and certain legal interpretations developed by the Panel</w:t>
      </w:r>
      <w:r w:rsidR="0086032B" w:rsidRPr="007321E4">
        <w:rPr>
          <w:szCs w:val="18"/>
        </w:rPr>
        <w:t>,</w:t>
      </w:r>
      <w:r w:rsidRPr="007321E4">
        <w:rPr>
          <w:szCs w:val="18"/>
        </w:rPr>
        <w:t xml:space="preserve"> and filed a Notice of Appeal</w:t>
      </w:r>
      <w:r w:rsidRPr="007321E4">
        <w:rPr>
          <w:szCs w:val="18"/>
          <w:vertAlign w:val="superscript"/>
        </w:rPr>
        <w:footnoteReference w:id="38"/>
      </w:r>
      <w:r w:rsidRPr="007321E4">
        <w:rPr>
          <w:szCs w:val="18"/>
        </w:rPr>
        <w:t xml:space="preserve"> and an appellant's submission pursuant to Rule 20 and Rule 21, respectively, of the W</w:t>
      </w:r>
      <w:r w:rsidR="00BF55AB" w:rsidRPr="007321E4">
        <w:rPr>
          <w:szCs w:val="18"/>
        </w:rPr>
        <w:t>orking Procedures for Appellate </w:t>
      </w:r>
      <w:r w:rsidRPr="007321E4">
        <w:rPr>
          <w:szCs w:val="18"/>
        </w:rPr>
        <w:t>Review</w:t>
      </w:r>
      <w:r w:rsidRPr="007321E4">
        <w:rPr>
          <w:szCs w:val="18"/>
          <w:vertAlign w:val="superscript"/>
        </w:rPr>
        <w:footnoteReference w:id="39"/>
      </w:r>
      <w:r w:rsidRPr="007321E4">
        <w:rPr>
          <w:szCs w:val="18"/>
        </w:rPr>
        <w:t xml:space="preserve"> (Working Procedures). </w:t>
      </w:r>
    </w:p>
    <w:p w:rsidR="00A56DCB" w:rsidRPr="007321E4" w:rsidRDefault="00D0148B" w:rsidP="00ED7390">
      <w:pPr>
        <w:pStyle w:val="BodyText"/>
        <w:tabs>
          <w:tab w:val="num" w:pos="862"/>
        </w:tabs>
        <w:rPr>
          <w:szCs w:val="18"/>
        </w:rPr>
      </w:pPr>
      <w:r w:rsidRPr="007321E4">
        <w:rPr>
          <w:szCs w:val="18"/>
        </w:rPr>
        <w:t xml:space="preserve">On </w:t>
      </w:r>
      <w:r w:rsidR="00BF2209" w:rsidRPr="007321E4">
        <w:rPr>
          <w:szCs w:val="18"/>
        </w:rPr>
        <w:t>7 March 2017</w:t>
      </w:r>
      <w:r w:rsidRPr="007321E4">
        <w:rPr>
          <w:szCs w:val="18"/>
        </w:rPr>
        <w:t xml:space="preserve">, </w:t>
      </w:r>
      <w:r w:rsidR="00BF2209" w:rsidRPr="007321E4">
        <w:rPr>
          <w:szCs w:val="18"/>
        </w:rPr>
        <w:t xml:space="preserve">New Zealand and the United States </w:t>
      </w:r>
      <w:r w:rsidRPr="007321E4">
        <w:rPr>
          <w:szCs w:val="18"/>
        </w:rPr>
        <w:t xml:space="preserve">each filed an </w:t>
      </w:r>
      <w:proofErr w:type="spellStart"/>
      <w:r w:rsidRPr="007321E4">
        <w:rPr>
          <w:szCs w:val="18"/>
        </w:rPr>
        <w:t>appellee's</w:t>
      </w:r>
      <w:proofErr w:type="spellEnd"/>
      <w:r w:rsidRPr="007321E4">
        <w:rPr>
          <w:szCs w:val="18"/>
        </w:rPr>
        <w:t xml:space="preserve"> submission</w:t>
      </w:r>
      <w:r w:rsidR="00BB7DD3" w:rsidRPr="007321E4">
        <w:rPr>
          <w:szCs w:val="18"/>
        </w:rPr>
        <w:t>.</w:t>
      </w:r>
      <w:r w:rsidRPr="007321E4">
        <w:rPr>
          <w:rStyle w:val="FootnoteReference"/>
          <w:szCs w:val="18"/>
        </w:rPr>
        <w:footnoteReference w:id="40"/>
      </w:r>
      <w:r w:rsidRPr="007321E4">
        <w:rPr>
          <w:szCs w:val="18"/>
        </w:rPr>
        <w:t xml:space="preserve"> </w:t>
      </w:r>
      <w:r w:rsidR="00CA2FF9" w:rsidRPr="007321E4">
        <w:rPr>
          <w:szCs w:val="18"/>
        </w:rPr>
        <w:t>On 9 March 2017, Norway notified its intention to appear at the</w:t>
      </w:r>
      <w:r w:rsidR="00126CA1" w:rsidRPr="007321E4">
        <w:rPr>
          <w:szCs w:val="18"/>
        </w:rPr>
        <w:t xml:space="preserve"> oral hearing as a third </w:t>
      </w:r>
      <w:r w:rsidR="00CA2FF9" w:rsidRPr="007321E4">
        <w:rPr>
          <w:szCs w:val="18"/>
        </w:rPr>
        <w:t>participant.</w:t>
      </w:r>
      <w:r w:rsidR="00CA2FF9" w:rsidRPr="007321E4">
        <w:rPr>
          <w:rStyle w:val="FootnoteReference"/>
          <w:szCs w:val="18"/>
          <w:lang w:eastAsia="ja-JP"/>
        </w:rPr>
        <w:footnoteReference w:id="41"/>
      </w:r>
      <w:r w:rsidR="00CA2FF9" w:rsidRPr="007321E4">
        <w:rPr>
          <w:szCs w:val="18"/>
        </w:rPr>
        <w:t xml:space="preserve"> </w:t>
      </w:r>
      <w:r w:rsidRPr="007321E4">
        <w:rPr>
          <w:szCs w:val="18"/>
        </w:rPr>
        <w:t xml:space="preserve">On </w:t>
      </w:r>
      <w:r w:rsidR="00FC2903" w:rsidRPr="007321E4">
        <w:rPr>
          <w:szCs w:val="18"/>
        </w:rPr>
        <w:t>10 March 2017</w:t>
      </w:r>
      <w:r w:rsidRPr="007321E4">
        <w:rPr>
          <w:szCs w:val="18"/>
        </w:rPr>
        <w:t xml:space="preserve">, </w:t>
      </w:r>
      <w:r w:rsidR="00FC2903" w:rsidRPr="007321E4">
        <w:rPr>
          <w:szCs w:val="18"/>
        </w:rPr>
        <w:t xml:space="preserve">Australia, Brazil, </w:t>
      </w:r>
      <w:r w:rsidR="00ED7390" w:rsidRPr="007321E4">
        <w:rPr>
          <w:szCs w:val="18"/>
        </w:rPr>
        <w:t>Canada,</w:t>
      </w:r>
      <w:r w:rsidR="00FC2903" w:rsidRPr="007321E4">
        <w:rPr>
          <w:szCs w:val="18"/>
        </w:rPr>
        <w:t xml:space="preserve"> and the European Union </w:t>
      </w:r>
      <w:r w:rsidRPr="007321E4">
        <w:rPr>
          <w:rFonts w:cs="Arial"/>
          <w:szCs w:val="18"/>
        </w:rPr>
        <w:t xml:space="preserve">each </w:t>
      </w:r>
      <w:r w:rsidRPr="007321E4">
        <w:rPr>
          <w:szCs w:val="18"/>
        </w:rPr>
        <w:t>filed a third participant's submission</w:t>
      </w:r>
      <w:r w:rsidR="00BB7DD3" w:rsidRPr="007321E4">
        <w:rPr>
          <w:szCs w:val="18"/>
        </w:rPr>
        <w:t>.</w:t>
      </w:r>
      <w:r w:rsidRPr="007321E4">
        <w:rPr>
          <w:rStyle w:val="FootnoteReference"/>
          <w:szCs w:val="18"/>
        </w:rPr>
        <w:footnoteReference w:id="42"/>
      </w:r>
      <w:r w:rsidRPr="007321E4">
        <w:rPr>
          <w:szCs w:val="18"/>
        </w:rPr>
        <w:t xml:space="preserve"> On the same day, </w:t>
      </w:r>
      <w:r w:rsidR="00FC2903" w:rsidRPr="007321E4">
        <w:rPr>
          <w:szCs w:val="18"/>
        </w:rPr>
        <w:t xml:space="preserve">Argentina, Japan, Korea, Paraguay, </w:t>
      </w:r>
      <w:r w:rsidR="00A56DCB" w:rsidRPr="007321E4">
        <w:rPr>
          <w:szCs w:val="18"/>
        </w:rPr>
        <w:t>Singapore</w:t>
      </w:r>
      <w:r w:rsidR="00FC2903" w:rsidRPr="007321E4">
        <w:rPr>
          <w:szCs w:val="18"/>
        </w:rPr>
        <w:t xml:space="preserve">, </w:t>
      </w:r>
      <w:r w:rsidR="00CA2FF9" w:rsidRPr="007321E4">
        <w:rPr>
          <w:szCs w:val="18"/>
        </w:rPr>
        <w:t xml:space="preserve">and </w:t>
      </w:r>
      <w:r w:rsidR="00FC2903" w:rsidRPr="007321E4">
        <w:rPr>
          <w:szCs w:val="18"/>
        </w:rPr>
        <w:t>the Separat</w:t>
      </w:r>
      <w:r w:rsidR="00A56DCB" w:rsidRPr="007321E4">
        <w:rPr>
          <w:szCs w:val="18"/>
        </w:rPr>
        <w:t>e Customs Territory of Taiwan, Penghu, Kinmen and Matsu</w:t>
      </w:r>
      <w:r w:rsidR="00ED7390" w:rsidRPr="007321E4">
        <w:rPr>
          <w:szCs w:val="18"/>
        </w:rPr>
        <w:t xml:space="preserve"> </w:t>
      </w:r>
      <w:r w:rsidR="00A56DCB" w:rsidRPr="007321E4">
        <w:rPr>
          <w:szCs w:val="18"/>
        </w:rPr>
        <w:t xml:space="preserve">each </w:t>
      </w:r>
      <w:r w:rsidRPr="007321E4">
        <w:rPr>
          <w:szCs w:val="18"/>
        </w:rPr>
        <w:t>notified its intention to appear at the oral hearing as a third participant</w:t>
      </w:r>
      <w:r w:rsidR="00BB7DD3" w:rsidRPr="007321E4">
        <w:rPr>
          <w:szCs w:val="18"/>
        </w:rPr>
        <w:t>.</w:t>
      </w:r>
      <w:r w:rsidRPr="007321E4">
        <w:rPr>
          <w:rStyle w:val="FootnoteReference"/>
          <w:szCs w:val="18"/>
          <w:lang w:eastAsia="ja-JP"/>
        </w:rPr>
        <w:footnoteReference w:id="43"/>
      </w:r>
      <w:r w:rsidR="00CA2FF9" w:rsidRPr="007321E4">
        <w:rPr>
          <w:szCs w:val="18"/>
        </w:rPr>
        <w:t xml:space="preserve"> </w:t>
      </w:r>
      <w:r w:rsidR="00433227" w:rsidRPr="007321E4">
        <w:rPr>
          <w:szCs w:val="18"/>
        </w:rPr>
        <w:t xml:space="preserve">Subsequently, China </w:t>
      </w:r>
      <w:r w:rsidR="003B6630" w:rsidRPr="007321E4">
        <w:rPr>
          <w:szCs w:val="18"/>
        </w:rPr>
        <w:t xml:space="preserve">also </w:t>
      </w:r>
      <w:r w:rsidR="00433227" w:rsidRPr="007321E4">
        <w:rPr>
          <w:szCs w:val="18"/>
        </w:rPr>
        <w:t>notified its intention to appear at the oral hearing as a third participant.</w:t>
      </w:r>
      <w:r w:rsidR="00433227" w:rsidRPr="007321E4">
        <w:rPr>
          <w:rStyle w:val="FootnoteReference"/>
          <w:szCs w:val="18"/>
        </w:rPr>
        <w:footnoteReference w:id="44"/>
      </w:r>
      <w:r w:rsidR="00A81F1E" w:rsidRPr="007321E4">
        <w:rPr>
          <w:szCs w:val="18"/>
        </w:rPr>
        <w:t xml:space="preserve"> </w:t>
      </w:r>
    </w:p>
    <w:p w:rsidR="00A56DCB" w:rsidRPr="007321E4" w:rsidRDefault="00A56DCB" w:rsidP="008C34C8">
      <w:pPr>
        <w:pStyle w:val="BodyText"/>
        <w:tabs>
          <w:tab w:val="num" w:pos="862"/>
        </w:tabs>
        <w:rPr>
          <w:szCs w:val="18"/>
        </w:rPr>
      </w:pPr>
      <w:r w:rsidRPr="007321E4">
        <w:rPr>
          <w:szCs w:val="18"/>
        </w:rPr>
        <w:t xml:space="preserve">On 13 April 2017, the Chair of the Appellate Body notified the Chair of the DSB that the Appellate Body would not be able to circulate its Report </w:t>
      </w:r>
      <w:r w:rsidR="00F167F7" w:rsidRPr="007321E4">
        <w:rPr>
          <w:szCs w:val="18"/>
        </w:rPr>
        <w:t xml:space="preserve">in this appeal </w:t>
      </w:r>
      <w:r w:rsidRPr="007321E4">
        <w:rPr>
          <w:szCs w:val="18"/>
        </w:rPr>
        <w:t>within the 60</w:t>
      </w:r>
      <w:r w:rsidRPr="007321E4">
        <w:rPr>
          <w:szCs w:val="18"/>
        </w:rPr>
        <w:noBreakHyphen/>
        <w:t>day period pursuant to Article 17.5 of the DSU, or within the 90</w:t>
      </w:r>
      <w:r w:rsidRPr="007321E4">
        <w:rPr>
          <w:szCs w:val="18"/>
        </w:rPr>
        <w:noBreakHyphen/>
        <w:t>day period pursuant to the same provision.</w:t>
      </w:r>
      <w:r w:rsidRPr="007321E4">
        <w:rPr>
          <w:szCs w:val="18"/>
          <w:vertAlign w:val="superscript"/>
        </w:rPr>
        <w:footnoteReference w:id="45"/>
      </w:r>
      <w:r w:rsidRPr="007321E4">
        <w:rPr>
          <w:szCs w:val="18"/>
        </w:rPr>
        <w:t xml:space="preserve"> The Chair of the Appellate Body explained that this was due to a number of factors, including the </w:t>
      </w:r>
      <w:r w:rsidR="00896709" w:rsidRPr="007321E4">
        <w:rPr>
          <w:szCs w:val="18"/>
        </w:rPr>
        <w:t xml:space="preserve">enhanced </w:t>
      </w:r>
      <w:r w:rsidRPr="007321E4">
        <w:rPr>
          <w:szCs w:val="18"/>
        </w:rPr>
        <w:t>workload of the Appellate Body</w:t>
      </w:r>
      <w:r w:rsidR="00896709" w:rsidRPr="007321E4">
        <w:rPr>
          <w:szCs w:val="18"/>
        </w:rPr>
        <w:t xml:space="preserve"> in 2017</w:t>
      </w:r>
      <w:r w:rsidRPr="007321E4">
        <w:rPr>
          <w:szCs w:val="18"/>
        </w:rPr>
        <w:t xml:space="preserve">, scheduling difficulties arising from appellate proceedings running in parallel with an overlap in the composition of the Divisions hearing the appeals, </w:t>
      </w:r>
      <w:r w:rsidR="00F167F7" w:rsidRPr="007321E4">
        <w:rPr>
          <w:szCs w:val="18"/>
        </w:rPr>
        <w:t>the number and complexit</w:t>
      </w:r>
      <w:r w:rsidR="00E66336" w:rsidRPr="007321E4">
        <w:rPr>
          <w:szCs w:val="18"/>
        </w:rPr>
        <w:t>y</w:t>
      </w:r>
      <w:r w:rsidR="00F167F7" w:rsidRPr="007321E4">
        <w:rPr>
          <w:szCs w:val="18"/>
        </w:rPr>
        <w:t xml:space="preserve"> of the issues raised in this and concurrent appellate proceedings, together with </w:t>
      </w:r>
      <w:r w:rsidRPr="007321E4">
        <w:rPr>
          <w:szCs w:val="18"/>
        </w:rPr>
        <w:t xml:space="preserve">the demands that these concurrent appeals place on the WTO Secretariat's translation services, and a shortage of staff in the Appellate Body Secretariat. </w:t>
      </w:r>
      <w:r w:rsidR="00501C04" w:rsidRPr="007321E4">
        <w:t>On</w:t>
      </w:r>
      <w:r w:rsidR="00126CA1" w:rsidRPr="007321E4">
        <w:t xml:space="preserve"> </w:t>
      </w:r>
      <w:r w:rsidR="0086032B" w:rsidRPr="007321E4">
        <w:t>18 October</w:t>
      </w:r>
      <w:r w:rsidR="00126CA1" w:rsidRPr="007321E4">
        <w:t xml:space="preserve"> 2017, the Chair of the Appellate </w:t>
      </w:r>
      <w:r w:rsidR="00501C04" w:rsidRPr="007321E4">
        <w:t xml:space="preserve">Body informed the Chair of the DSB that the Report in these proceedings would be circulated no later than </w:t>
      </w:r>
      <w:r w:rsidR="00126CA1" w:rsidRPr="007321E4">
        <w:t>9</w:t>
      </w:r>
      <w:r w:rsidR="00896709" w:rsidRPr="007321E4">
        <w:t xml:space="preserve"> November 2017</w:t>
      </w:r>
      <w:r w:rsidR="00501C04" w:rsidRPr="007321E4">
        <w:t>.</w:t>
      </w:r>
      <w:r w:rsidR="003372EB" w:rsidRPr="007321E4">
        <w:rPr>
          <w:rStyle w:val="FootnoteReference"/>
        </w:rPr>
        <w:footnoteReference w:id="46"/>
      </w:r>
    </w:p>
    <w:p w:rsidR="003372EB" w:rsidRPr="007321E4" w:rsidRDefault="003372EB" w:rsidP="003372EB">
      <w:pPr>
        <w:pStyle w:val="BodyText"/>
        <w:rPr>
          <w:szCs w:val="18"/>
        </w:rPr>
      </w:pPr>
      <w:r w:rsidRPr="007321E4">
        <w:rPr>
          <w:szCs w:val="18"/>
        </w:rPr>
        <w:t>On 30 June 2017, the participants and third participants were informed that, in accordance with Rule</w:t>
      </w:r>
      <w:r w:rsidR="00D25414" w:rsidRPr="007321E4">
        <w:rPr>
          <w:szCs w:val="18"/>
        </w:rPr>
        <w:t> </w:t>
      </w:r>
      <w:r w:rsidRPr="007321E4">
        <w:rPr>
          <w:szCs w:val="18"/>
        </w:rPr>
        <w:t xml:space="preserve">15 of the Working Procedures, the </w:t>
      </w:r>
      <w:r w:rsidR="00B7063B" w:rsidRPr="007321E4">
        <w:rPr>
          <w:szCs w:val="18"/>
        </w:rPr>
        <w:t xml:space="preserve">Chair of the </w:t>
      </w:r>
      <w:r w:rsidRPr="007321E4">
        <w:rPr>
          <w:szCs w:val="18"/>
        </w:rPr>
        <w:t>Appellate</w:t>
      </w:r>
      <w:r w:rsidR="00D25414" w:rsidRPr="007321E4">
        <w:rPr>
          <w:szCs w:val="18"/>
        </w:rPr>
        <w:t> </w:t>
      </w:r>
      <w:r w:rsidRPr="007321E4">
        <w:rPr>
          <w:szCs w:val="18"/>
        </w:rPr>
        <w:t xml:space="preserve">Body had notified the Chair of the DSB of </w:t>
      </w:r>
      <w:r w:rsidR="00B7063B" w:rsidRPr="007321E4">
        <w:rPr>
          <w:szCs w:val="18"/>
        </w:rPr>
        <w:t>the Appellate Body's</w:t>
      </w:r>
      <w:r w:rsidRPr="007321E4">
        <w:rPr>
          <w:szCs w:val="18"/>
        </w:rPr>
        <w:t xml:space="preserve"> decision to authorize Appellate Body Member Mr Ricardo </w:t>
      </w:r>
      <w:proofErr w:type="spellStart"/>
      <w:r w:rsidRPr="007321E4">
        <w:rPr>
          <w:szCs w:val="18"/>
        </w:rPr>
        <w:t>Ramírez</w:t>
      </w:r>
      <w:proofErr w:type="spellEnd"/>
      <w:r w:rsidRPr="007321E4">
        <w:rPr>
          <w:szCs w:val="18"/>
        </w:rPr>
        <w:t>-Hernández to complete the disposition of this appeal, even though his second term of office was due to expire before the completion of the appellate proceedings.</w:t>
      </w:r>
    </w:p>
    <w:p w:rsidR="00D0148B" w:rsidRPr="007321E4" w:rsidRDefault="00D0148B" w:rsidP="00874BBD">
      <w:pPr>
        <w:pStyle w:val="BodyText"/>
        <w:rPr>
          <w:szCs w:val="18"/>
        </w:rPr>
      </w:pPr>
      <w:r w:rsidRPr="007321E4">
        <w:rPr>
          <w:rFonts w:cs="Arial"/>
          <w:szCs w:val="18"/>
        </w:rPr>
        <w:t>The oral hearing in this appeal was held on</w:t>
      </w:r>
      <w:r w:rsidR="006864C0" w:rsidRPr="007321E4">
        <w:rPr>
          <w:rFonts w:cs="Arial"/>
          <w:szCs w:val="18"/>
        </w:rPr>
        <w:t xml:space="preserve"> </w:t>
      </w:r>
      <w:r w:rsidR="00A56DCB" w:rsidRPr="007321E4">
        <w:rPr>
          <w:rFonts w:cs="Arial"/>
          <w:szCs w:val="18"/>
        </w:rPr>
        <w:t>28-29 August 2017</w:t>
      </w:r>
      <w:r w:rsidRPr="007321E4">
        <w:rPr>
          <w:rFonts w:cs="Arial"/>
          <w:szCs w:val="18"/>
        </w:rPr>
        <w:t xml:space="preserve">. </w:t>
      </w:r>
      <w:r w:rsidR="00874BBD" w:rsidRPr="007321E4">
        <w:rPr>
          <w:rFonts w:cs="Arial"/>
          <w:szCs w:val="18"/>
        </w:rPr>
        <w:t xml:space="preserve">The participants </w:t>
      </w:r>
      <w:r w:rsidR="00BF55AB" w:rsidRPr="007321E4">
        <w:rPr>
          <w:rFonts w:cs="Arial"/>
          <w:szCs w:val="18"/>
        </w:rPr>
        <w:t>and five </w:t>
      </w:r>
      <w:r w:rsidR="008437B9" w:rsidRPr="007321E4">
        <w:rPr>
          <w:rFonts w:cs="Arial"/>
          <w:szCs w:val="18"/>
        </w:rPr>
        <w:t xml:space="preserve">third participants (Argentina, Australia, Brazil, Japan, and Norway) </w:t>
      </w:r>
      <w:r w:rsidR="00874BBD" w:rsidRPr="007321E4">
        <w:rPr>
          <w:rFonts w:cs="Arial"/>
          <w:szCs w:val="18"/>
        </w:rPr>
        <w:t xml:space="preserve">made opening statements. The participants and </w:t>
      </w:r>
      <w:r w:rsidR="003372EB" w:rsidRPr="007321E4">
        <w:rPr>
          <w:rFonts w:cs="Arial"/>
          <w:szCs w:val="18"/>
        </w:rPr>
        <w:t>five</w:t>
      </w:r>
      <w:r w:rsidR="008437B9" w:rsidRPr="007321E4">
        <w:rPr>
          <w:rFonts w:cs="Arial"/>
          <w:szCs w:val="18"/>
        </w:rPr>
        <w:t xml:space="preserve"> </w:t>
      </w:r>
      <w:r w:rsidR="00874BBD" w:rsidRPr="007321E4">
        <w:rPr>
          <w:rFonts w:cs="Arial"/>
          <w:szCs w:val="18"/>
        </w:rPr>
        <w:t>third participants</w:t>
      </w:r>
      <w:r w:rsidR="008437B9" w:rsidRPr="007321E4">
        <w:rPr>
          <w:rFonts w:cs="Arial"/>
          <w:szCs w:val="18"/>
        </w:rPr>
        <w:t xml:space="preserve"> (</w:t>
      </w:r>
      <w:r w:rsidR="00896709" w:rsidRPr="007321E4">
        <w:rPr>
          <w:rFonts w:cs="Arial"/>
          <w:szCs w:val="18"/>
        </w:rPr>
        <w:t xml:space="preserve">Australia, Brazil, Canada, </w:t>
      </w:r>
      <w:r w:rsidR="003372EB" w:rsidRPr="007321E4">
        <w:rPr>
          <w:rFonts w:cs="Arial"/>
          <w:szCs w:val="18"/>
        </w:rPr>
        <w:t xml:space="preserve">the European Union, and </w:t>
      </w:r>
      <w:r w:rsidR="003372EB" w:rsidRPr="007321E4">
        <w:rPr>
          <w:rFonts w:cs="Arial"/>
          <w:szCs w:val="18"/>
        </w:rPr>
        <w:lastRenderedPageBreak/>
        <w:t>Japan</w:t>
      </w:r>
      <w:r w:rsidR="008437B9" w:rsidRPr="007321E4">
        <w:rPr>
          <w:rFonts w:cs="Arial"/>
          <w:szCs w:val="18"/>
        </w:rPr>
        <w:t>)</w:t>
      </w:r>
      <w:r w:rsidR="00874BBD" w:rsidRPr="007321E4">
        <w:rPr>
          <w:rFonts w:cs="Arial"/>
          <w:szCs w:val="18"/>
        </w:rPr>
        <w:t xml:space="preserve"> responded to questions posed by the Members of the Appellate Body Division hearing the appeal</w:t>
      </w:r>
      <w:r w:rsidR="00880647" w:rsidRPr="007321E4">
        <w:rPr>
          <w:rFonts w:cs="Arial"/>
          <w:szCs w:val="18"/>
        </w:rPr>
        <w:t>.</w:t>
      </w:r>
      <w:r w:rsidR="008778C6" w:rsidRPr="007321E4">
        <w:rPr>
          <w:rFonts w:cs="Arial"/>
          <w:szCs w:val="18"/>
        </w:rPr>
        <w:t xml:space="preserve"> </w:t>
      </w:r>
      <w:r w:rsidR="00E17A9C" w:rsidRPr="007321E4">
        <w:rPr>
          <w:rFonts w:cs="Arial"/>
          <w:szCs w:val="18"/>
        </w:rPr>
        <w:t>T</w:t>
      </w:r>
      <w:r w:rsidR="008778C6" w:rsidRPr="007321E4">
        <w:rPr>
          <w:rFonts w:cs="Arial"/>
          <w:szCs w:val="18"/>
        </w:rPr>
        <w:t>he participants</w:t>
      </w:r>
      <w:r w:rsidR="00926F99" w:rsidRPr="007321E4">
        <w:rPr>
          <w:rFonts w:cs="Arial"/>
          <w:szCs w:val="18"/>
        </w:rPr>
        <w:t xml:space="preserve"> and </w:t>
      </w:r>
      <w:r w:rsidR="00D363E4" w:rsidRPr="007321E4">
        <w:rPr>
          <w:rFonts w:cs="Arial"/>
          <w:szCs w:val="18"/>
        </w:rPr>
        <w:t>a</w:t>
      </w:r>
      <w:r w:rsidR="00926F99" w:rsidRPr="007321E4">
        <w:rPr>
          <w:rFonts w:cs="Arial"/>
          <w:szCs w:val="18"/>
        </w:rPr>
        <w:t xml:space="preserve"> third participant (Japan) made closing statements.</w:t>
      </w:r>
    </w:p>
    <w:p w:rsidR="00E76698" w:rsidRPr="007321E4" w:rsidRDefault="00D0148B" w:rsidP="00D0148B">
      <w:pPr>
        <w:pStyle w:val="Heading1"/>
      </w:pPr>
      <w:bookmarkStart w:id="24" w:name="_Toc493150031"/>
      <w:bookmarkStart w:id="25" w:name="_Toc493150063"/>
      <w:bookmarkStart w:id="26" w:name="_Toc493150087"/>
      <w:bookmarkStart w:id="27" w:name="_Toc493150295"/>
      <w:bookmarkStart w:id="28" w:name="_Toc493859686"/>
      <w:bookmarkStart w:id="29" w:name="_Toc494701958"/>
      <w:bookmarkStart w:id="30" w:name="_Toc494702701"/>
      <w:bookmarkStart w:id="31" w:name="_Toc494702777"/>
      <w:bookmarkStart w:id="32" w:name="_Toc494702814"/>
      <w:bookmarkStart w:id="33" w:name="_Toc496267410"/>
      <w:bookmarkStart w:id="34" w:name="_Toc497915384"/>
      <w:bookmarkStart w:id="35" w:name="_Toc314670761"/>
      <w:bookmarkStart w:id="36" w:name="_Toc328640617"/>
      <w:bookmarkStart w:id="37" w:name="_Toc333317534"/>
      <w:bookmarkStart w:id="38" w:name="_Toc333331188"/>
      <w:bookmarkStart w:id="39" w:name="_Toc333395143"/>
      <w:bookmarkStart w:id="40" w:name="_Toc333510429"/>
      <w:bookmarkStart w:id="41" w:name="_Toc333510536"/>
      <w:bookmarkStart w:id="42" w:name="_Toc343522826"/>
      <w:r w:rsidRPr="007321E4">
        <w:t>Arguments of the Participants</w:t>
      </w:r>
      <w:bookmarkEnd w:id="24"/>
      <w:bookmarkEnd w:id="25"/>
      <w:bookmarkEnd w:id="26"/>
      <w:bookmarkEnd w:id="27"/>
      <w:bookmarkEnd w:id="28"/>
      <w:bookmarkEnd w:id="29"/>
      <w:bookmarkEnd w:id="30"/>
      <w:bookmarkEnd w:id="31"/>
      <w:bookmarkEnd w:id="32"/>
      <w:bookmarkEnd w:id="33"/>
      <w:bookmarkEnd w:id="34"/>
      <w:r w:rsidRPr="007321E4">
        <w:t xml:space="preserve"> </w:t>
      </w:r>
    </w:p>
    <w:p w:rsidR="00B705A0" w:rsidRPr="007321E4" w:rsidRDefault="00B705A0" w:rsidP="002351B5">
      <w:pPr>
        <w:pStyle w:val="BodyText"/>
        <w:numPr>
          <w:ilvl w:val="6"/>
          <w:numId w:val="11"/>
        </w:numPr>
        <w:ind w:left="0"/>
        <w:rPr>
          <w:szCs w:val="18"/>
          <w:lang w:eastAsia="zh-CN"/>
        </w:rPr>
      </w:pPr>
      <w:r w:rsidRPr="007321E4">
        <w:rPr>
          <w:rFonts w:cs="Arial"/>
          <w:szCs w:val="18"/>
        </w:rPr>
        <w:t>The</w:t>
      </w:r>
      <w:r w:rsidRPr="007321E4">
        <w:rPr>
          <w:szCs w:val="18"/>
          <w:lang w:eastAsia="zh-CN"/>
        </w:rPr>
        <w:t xml:space="preserve"> claims and arguments of the participants are reflected in the executive summaries of their written submissions provided to the Appellate Body.</w:t>
      </w:r>
      <w:r w:rsidRPr="007321E4">
        <w:rPr>
          <w:rStyle w:val="FootnoteReference"/>
          <w:szCs w:val="18"/>
          <w:lang w:eastAsia="zh-CN"/>
        </w:rPr>
        <w:footnoteReference w:id="47"/>
      </w:r>
      <w:r w:rsidRPr="007321E4">
        <w:rPr>
          <w:szCs w:val="18"/>
          <w:lang w:eastAsia="zh-CN"/>
        </w:rPr>
        <w:t xml:space="preserve"> The Notice of Appeal, and the executive summaries of the participants' claims and arguments are contained in Annexes A and B </w:t>
      </w:r>
      <w:r w:rsidR="00527D93" w:rsidRPr="007321E4">
        <w:rPr>
          <w:szCs w:val="18"/>
          <w:lang w:eastAsia="zh-CN"/>
        </w:rPr>
        <w:t>of the Addendum to this</w:t>
      </w:r>
      <w:r w:rsidR="00501C04" w:rsidRPr="007321E4">
        <w:rPr>
          <w:szCs w:val="18"/>
          <w:lang w:eastAsia="zh-CN"/>
        </w:rPr>
        <w:t xml:space="preserve"> Report</w:t>
      </w:r>
      <w:r w:rsidRPr="007321E4">
        <w:rPr>
          <w:szCs w:val="18"/>
          <w:lang w:eastAsia="zh-CN"/>
        </w:rPr>
        <w:t>, WT/DS477/AB/R/Add.1</w:t>
      </w:r>
      <w:r w:rsidR="007823ED" w:rsidRPr="007321E4">
        <w:rPr>
          <w:szCs w:val="18"/>
          <w:lang w:eastAsia="zh-CN"/>
        </w:rPr>
        <w:t>,</w:t>
      </w:r>
      <w:r w:rsidRPr="007321E4">
        <w:rPr>
          <w:szCs w:val="18"/>
          <w:lang w:eastAsia="zh-CN"/>
        </w:rPr>
        <w:t xml:space="preserve"> WT/DS478/AB/R/Add.1.</w:t>
      </w:r>
    </w:p>
    <w:p w:rsidR="00D0148B" w:rsidRPr="007321E4" w:rsidRDefault="00D0148B" w:rsidP="00E76698">
      <w:pPr>
        <w:pStyle w:val="Heading1"/>
      </w:pPr>
      <w:bookmarkStart w:id="43" w:name="_Toc343522831"/>
      <w:bookmarkStart w:id="44" w:name="_Toc493150032"/>
      <w:bookmarkStart w:id="45" w:name="_Toc493150064"/>
      <w:bookmarkStart w:id="46" w:name="_Toc493150088"/>
      <w:bookmarkStart w:id="47" w:name="_Toc493150296"/>
      <w:bookmarkStart w:id="48" w:name="_Toc493859687"/>
      <w:bookmarkStart w:id="49" w:name="_Toc494701959"/>
      <w:bookmarkStart w:id="50" w:name="_Toc494702702"/>
      <w:bookmarkStart w:id="51" w:name="_Toc494702778"/>
      <w:bookmarkStart w:id="52" w:name="_Toc494702815"/>
      <w:bookmarkStart w:id="53" w:name="_Toc496267411"/>
      <w:bookmarkStart w:id="54" w:name="_Toc497915385"/>
      <w:bookmarkStart w:id="55" w:name="_Toc298321505"/>
      <w:bookmarkStart w:id="56" w:name="_Toc328640637"/>
      <w:bookmarkStart w:id="57" w:name="_Toc333317558"/>
      <w:bookmarkStart w:id="58" w:name="_Toc333331196"/>
      <w:bookmarkStart w:id="59" w:name="_Toc333395163"/>
      <w:bookmarkStart w:id="60" w:name="_Toc333510449"/>
      <w:bookmarkStart w:id="61" w:name="_Toc333510556"/>
      <w:bookmarkEnd w:id="35"/>
      <w:bookmarkEnd w:id="36"/>
      <w:bookmarkEnd w:id="37"/>
      <w:bookmarkEnd w:id="38"/>
      <w:bookmarkEnd w:id="39"/>
      <w:bookmarkEnd w:id="40"/>
      <w:bookmarkEnd w:id="41"/>
      <w:bookmarkEnd w:id="42"/>
      <w:r w:rsidRPr="007321E4">
        <w:t>Arguments of the third participants</w:t>
      </w:r>
      <w:bookmarkEnd w:id="43"/>
      <w:bookmarkEnd w:id="44"/>
      <w:bookmarkEnd w:id="45"/>
      <w:bookmarkEnd w:id="46"/>
      <w:bookmarkEnd w:id="47"/>
      <w:bookmarkEnd w:id="48"/>
      <w:bookmarkEnd w:id="49"/>
      <w:bookmarkEnd w:id="50"/>
      <w:bookmarkEnd w:id="51"/>
      <w:bookmarkEnd w:id="52"/>
      <w:bookmarkEnd w:id="53"/>
      <w:bookmarkEnd w:id="54"/>
    </w:p>
    <w:p w:rsidR="00B705A0" w:rsidRPr="007321E4" w:rsidRDefault="00B705A0" w:rsidP="00B705A0">
      <w:pPr>
        <w:pStyle w:val="BodyText"/>
      </w:pPr>
      <w:r w:rsidRPr="007321E4">
        <w:t xml:space="preserve">The arguments of </w:t>
      </w:r>
      <w:r w:rsidR="007823ED" w:rsidRPr="007321E4">
        <w:t>the third participants that filed a written submission (</w:t>
      </w:r>
      <w:r w:rsidRPr="007321E4">
        <w:t xml:space="preserve">Australia, Brazil, </w:t>
      </w:r>
      <w:r w:rsidR="00527D93" w:rsidRPr="007321E4">
        <w:t>Canada,</w:t>
      </w:r>
      <w:r w:rsidRPr="007321E4">
        <w:t xml:space="preserve"> and the </w:t>
      </w:r>
      <w:r w:rsidR="007823ED" w:rsidRPr="007321E4">
        <w:t>European Union)</w:t>
      </w:r>
      <w:r w:rsidRPr="007321E4">
        <w:t xml:space="preserve"> are reflected in the executive summar</w:t>
      </w:r>
      <w:r w:rsidR="007823ED" w:rsidRPr="007321E4">
        <w:t>ies</w:t>
      </w:r>
      <w:r w:rsidRPr="007321E4">
        <w:t xml:space="preserve"> </w:t>
      </w:r>
      <w:r w:rsidR="00527D93" w:rsidRPr="007321E4">
        <w:rPr>
          <w:szCs w:val="18"/>
          <w:lang w:eastAsia="zh-CN"/>
        </w:rPr>
        <w:t xml:space="preserve">of their written submissions </w:t>
      </w:r>
      <w:r w:rsidRPr="007321E4">
        <w:t>provided to the Appellate Body</w:t>
      </w:r>
      <w:r w:rsidRPr="007321E4">
        <w:rPr>
          <w:rStyle w:val="FootnoteReference"/>
        </w:rPr>
        <w:footnoteReference w:id="48"/>
      </w:r>
      <w:r w:rsidRPr="007321E4">
        <w:t xml:space="preserve">, </w:t>
      </w:r>
      <w:r w:rsidR="007823ED" w:rsidRPr="007321E4">
        <w:t xml:space="preserve">and are </w:t>
      </w:r>
      <w:r w:rsidRPr="007321E4">
        <w:t>contained in Annex C of the A</w:t>
      </w:r>
      <w:r w:rsidR="00501C04" w:rsidRPr="007321E4">
        <w:t xml:space="preserve">ddendum to </w:t>
      </w:r>
      <w:r w:rsidR="007823ED" w:rsidRPr="007321E4">
        <w:t xml:space="preserve">this </w:t>
      </w:r>
      <w:r w:rsidR="00501C04" w:rsidRPr="007321E4">
        <w:t>Report</w:t>
      </w:r>
      <w:r w:rsidR="00874BBD" w:rsidRPr="007321E4">
        <w:t>, WT/DS477/AB/R/Add.1</w:t>
      </w:r>
      <w:r w:rsidR="007823ED" w:rsidRPr="007321E4">
        <w:t>,</w:t>
      </w:r>
      <w:r w:rsidR="00874BBD" w:rsidRPr="007321E4">
        <w:t xml:space="preserve"> WT/DS478/AB/R/Add.1.</w:t>
      </w:r>
    </w:p>
    <w:p w:rsidR="00D0148B" w:rsidRPr="007321E4" w:rsidRDefault="00D0148B" w:rsidP="00D0148B">
      <w:pPr>
        <w:pStyle w:val="Heading1"/>
      </w:pPr>
      <w:bookmarkStart w:id="62" w:name="_Toc328640674"/>
      <w:bookmarkStart w:id="63" w:name="_Toc333317605"/>
      <w:bookmarkStart w:id="64" w:name="_Toc333331221"/>
      <w:bookmarkStart w:id="65" w:name="_Toc333395200"/>
      <w:bookmarkStart w:id="66" w:name="_Toc333510486"/>
      <w:bookmarkStart w:id="67" w:name="_Toc333510593"/>
      <w:bookmarkStart w:id="68" w:name="_Toc343522834"/>
      <w:bookmarkStart w:id="69" w:name="_Toc493150035"/>
      <w:bookmarkStart w:id="70" w:name="_Toc493150065"/>
      <w:bookmarkStart w:id="71" w:name="_Toc493150089"/>
      <w:bookmarkStart w:id="72" w:name="_Toc493150297"/>
      <w:bookmarkStart w:id="73" w:name="_Toc493859688"/>
      <w:bookmarkStart w:id="74" w:name="_Toc494701960"/>
      <w:bookmarkStart w:id="75" w:name="_Toc494702703"/>
      <w:bookmarkStart w:id="76" w:name="_Toc494702779"/>
      <w:bookmarkStart w:id="77" w:name="_Toc494702816"/>
      <w:bookmarkStart w:id="78" w:name="_Toc496267412"/>
      <w:bookmarkStart w:id="79" w:name="_Toc497915386"/>
      <w:bookmarkEnd w:id="55"/>
      <w:bookmarkEnd w:id="56"/>
      <w:bookmarkEnd w:id="57"/>
      <w:bookmarkEnd w:id="58"/>
      <w:bookmarkEnd w:id="59"/>
      <w:bookmarkEnd w:id="60"/>
      <w:bookmarkEnd w:id="61"/>
      <w:r w:rsidRPr="007321E4">
        <w:t>Issues Raised in This Appeal</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D0148B" w:rsidRPr="007321E4" w:rsidRDefault="00D0148B" w:rsidP="008F467B">
      <w:pPr>
        <w:pStyle w:val="BodyText"/>
      </w:pPr>
      <w:r w:rsidRPr="007321E4">
        <w:t>The following issues are raised</w:t>
      </w:r>
      <w:r w:rsidR="00E020F9" w:rsidRPr="007321E4">
        <w:t xml:space="preserve"> by Indonesia</w:t>
      </w:r>
      <w:r w:rsidRPr="007321E4">
        <w:t xml:space="preserve"> in this appeal:</w:t>
      </w:r>
    </w:p>
    <w:p w:rsidR="00874BBD" w:rsidRPr="007321E4" w:rsidRDefault="00205001" w:rsidP="003D2A3D">
      <w:pPr>
        <w:pStyle w:val="BodyText2"/>
        <w:tabs>
          <w:tab w:val="num" w:pos="1440"/>
        </w:tabs>
      </w:pPr>
      <w:bookmarkStart w:id="80" w:name="_Toc318903512"/>
      <w:r w:rsidRPr="007321E4">
        <w:t xml:space="preserve">whether the Panel erred in finding that </w:t>
      </w:r>
      <w:r w:rsidR="00851431" w:rsidRPr="007321E4">
        <w:t>Article XI:1 of the GATT 1994 deals more specifically with quantitative restrictions on agricultural products than Article 4.2 of the Agreement on Agriculture</w:t>
      </w:r>
      <w:r w:rsidR="00F167F7" w:rsidRPr="007321E4">
        <w:t>,</w:t>
      </w:r>
      <w:r w:rsidR="00851431" w:rsidRPr="007321E4">
        <w:t xml:space="preserve"> and</w:t>
      </w:r>
      <w:r w:rsidR="00B4612C" w:rsidRPr="007321E4">
        <w:t>,</w:t>
      </w:r>
      <w:r w:rsidR="00851431" w:rsidRPr="007321E4">
        <w:t xml:space="preserve"> accordingly</w:t>
      </w:r>
      <w:r w:rsidR="00B4612C" w:rsidRPr="007321E4">
        <w:t>,</w:t>
      </w:r>
      <w:r w:rsidR="00851431" w:rsidRPr="007321E4">
        <w:t xml:space="preserve"> </w:t>
      </w:r>
      <w:r w:rsidR="00366292" w:rsidRPr="007321E4">
        <w:t>w</w:t>
      </w:r>
      <w:r w:rsidR="00874BBD" w:rsidRPr="007321E4">
        <w:t xml:space="preserve">hether the Panel erred in </w:t>
      </w:r>
      <w:r w:rsidR="005516FA" w:rsidRPr="007321E4">
        <w:t>considering the co-complainants' claims under Article </w:t>
      </w:r>
      <w:r w:rsidR="00B4612C" w:rsidRPr="007321E4">
        <w:t xml:space="preserve">XI:1 </w:t>
      </w:r>
      <w:r w:rsidR="00F167F7" w:rsidRPr="007321E4">
        <w:t xml:space="preserve">of the GATT 1994 </w:t>
      </w:r>
      <w:r w:rsidR="00B4612C" w:rsidRPr="007321E4">
        <w:t>rather than under Article</w:t>
      </w:r>
      <w:r w:rsidR="00E66336" w:rsidRPr="007321E4">
        <w:t> </w:t>
      </w:r>
      <w:r w:rsidR="00B4612C" w:rsidRPr="007321E4">
        <w:t>4.2</w:t>
      </w:r>
      <w:r w:rsidR="00F167F7" w:rsidRPr="007321E4">
        <w:t xml:space="preserve"> of the Agreement on Agriculture</w:t>
      </w:r>
      <w:r w:rsidR="00874BBD" w:rsidRPr="007321E4">
        <w:t>;</w:t>
      </w:r>
    </w:p>
    <w:p w:rsidR="00CD18E5" w:rsidRPr="007321E4" w:rsidRDefault="00366292" w:rsidP="003D2A3D">
      <w:pPr>
        <w:pStyle w:val="BodyText2"/>
        <w:tabs>
          <w:tab w:val="num" w:pos="1440"/>
        </w:tabs>
      </w:pPr>
      <w:r w:rsidRPr="007321E4">
        <w:t>w</w:t>
      </w:r>
      <w:r w:rsidR="00CD18E5" w:rsidRPr="007321E4">
        <w:t>hether the Panel erred in determining that Indonesia bears the burden of proof under the second part of footnote</w:t>
      </w:r>
      <w:r w:rsidR="00D25414" w:rsidRPr="007321E4">
        <w:t> </w:t>
      </w:r>
      <w:r w:rsidR="00CD18E5" w:rsidRPr="007321E4">
        <w:t>1 to Article</w:t>
      </w:r>
      <w:r w:rsidR="00D25414" w:rsidRPr="007321E4">
        <w:t> </w:t>
      </w:r>
      <w:r w:rsidR="00CD18E5" w:rsidRPr="007321E4">
        <w:t>4.2 of the Agreement</w:t>
      </w:r>
      <w:r w:rsidR="00D25414" w:rsidRPr="007321E4">
        <w:t> </w:t>
      </w:r>
      <w:r w:rsidR="00CD18E5" w:rsidRPr="007321E4">
        <w:t>on</w:t>
      </w:r>
      <w:r w:rsidR="00D25414" w:rsidRPr="007321E4">
        <w:t> </w:t>
      </w:r>
      <w:r w:rsidR="00CD18E5" w:rsidRPr="007321E4">
        <w:t>Agriculture;</w:t>
      </w:r>
    </w:p>
    <w:p w:rsidR="003046B9" w:rsidRPr="007321E4" w:rsidRDefault="003046B9" w:rsidP="003D2A3D">
      <w:pPr>
        <w:pStyle w:val="BodyText2"/>
        <w:tabs>
          <w:tab w:val="num" w:pos="1440"/>
        </w:tabs>
      </w:pPr>
      <w:r w:rsidRPr="007321E4">
        <w:t>whether the Panel failed to make an objective assessment of the matter under Article</w:t>
      </w:r>
      <w:r w:rsidR="00D25414" w:rsidRPr="007321E4">
        <w:t> </w:t>
      </w:r>
      <w:r w:rsidRPr="007321E4">
        <w:t xml:space="preserve">11 of the DSU: </w:t>
      </w:r>
    </w:p>
    <w:p w:rsidR="003046B9" w:rsidRPr="007321E4" w:rsidRDefault="003046B9" w:rsidP="003D2A3D">
      <w:pPr>
        <w:pStyle w:val="BodyText3"/>
        <w:tabs>
          <w:tab w:val="num" w:pos="1440"/>
        </w:tabs>
      </w:pPr>
      <w:r w:rsidRPr="007321E4">
        <w:t>by failing to conduct an objective assessment of the applicability of Article 4.2 of the Agreement</w:t>
      </w:r>
      <w:r w:rsidR="00D25414" w:rsidRPr="007321E4">
        <w:t> </w:t>
      </w:r>
      <w:r w:rsidRPr="007321E4">
        <w:t>on</w:t>
      </w:r>
      <w:r w:rsidR="00D25414" w:rsidRPr="007321E4">
        <w:t> </w:t>
      </w:r>
      <w:r w:rsidRPr="007321E4">
        <w:t xml:space="preserve">Agriculture; and </w:t>
      </w:r>
    </w:p>
    <w:p w:rsidR="003046B9" w:rsidRPr="007321E4" w:rsidRDefault="003046B9" w:rsidP="003D2A3D">
      <w:pPr>
        <w:pStyle w:val="BodyText3"/>
        <w:tabs>
          <w:tab w:val="num" w:pos="1440"/>
        </w:tabs>
      </w:pPr>
      <w:r w:rsidRPr="007321E4">
        <w:t>by failing to conduct an objective assessment of which party bears the burden of proof under the second part of footnote</w:t>
      </w:r>
      <w:r w:rsidR="00D25414" w:rsidRPr="007321E4">
        <w:t> </w:t>
      </w:r>
      <w:r w:rsidRPr="007321E4">
        <w:t>1 to Article</w:t>
      </w:r>
      <w:r w:rsidR="00D25414" w:rsidRPr="007321E4">
        <w:t> </w:t>
      </w:r>
      <w:r w:rsidRPr="007321E4">
        <w:t>4.2 of the Agreement</w:t>
      </w:r>
      <w:r w:rsidR="00D25414" w:rsidRPr="007321E4">
        <w:t> </w:t>
      </w:r>
      <w:r w:rsidRPr="007321E4">
        <w:t>on</w:t>
      </w:r>
      <w:r w:rsidR="00D25414" w:rsidRPr="007321E4">
        <w:t> </w:t>
      </w:r>
      <w:r w:rsidRPr="007321E4">
        <w:t xml:space="preserve">Agriculture; </w:t>
      </w:r>
    </w:p>
    <w:p w:rsidR="00F35F90" w:rsidRPr="007321E4" w:rsidRDefault="00BF71E7" w:rsidP="003046B9">
      <w:pPr>
        <w:pStyle w:val="BodyText2"/>
        <w:tabs>
          <w:tab w:val="num" w:pos="1440"/>
        </w:tabs>
      </w:pPr>
      <w:r w:rsidRPr="007321E4">
        <w:t>i</w:t>
      </w:r>
      <w:r w:rsidR="00D17555" w:rsidRPr="007321E4">
        <w:t xml:space="preserve">n the </w:t>
      </w:r>
      <w:r w:rsidR="00852C9F" w:rsidRPr="007321E4">
        <w:t xml:space="preserve">event that the Appellate Body </w:t>
      </w:r>
      <w:r w:rsidR="003046B9" w:rsidRPr="007321E4">
        <w:t>finds</w:t>
      </w:r>
      <w:r w:rsidR="00F35F90" w:rsidRPr="007321E4">
        <w:t xml:space="preserve"> that the Panel </w:t>
      </w:r>
      <w:r w:rsidR="003046B9" w:rsidRPr="007321E4">
        <w:t xml:space="preserve">did not </w:t>
      </w:r>
      <w:r w:rsidR="00F35F90" w:rsidRPr="007321E4">
        <w:t xml:space="preserve">err </w:t>
      </w:r>
      <w:r w:rsidR="00AA017B" w:rsidRPr="007321E4">
        <w:t>in considering the co-complainants' claims under</w:t>
      </w:r>
      <w:r w:rsidR="00F35F90" w:rsidRPr="007321E4">
        <w:t xml:space="preserve"> Article</w:t>
      </w:r>
      <w:r w:rsidR="00D25414" w:rsidRPr="007321E4">
        <w:t> </w:t>
      </w:r>
      <w:r w:rsidR="00F35F90" w:rsidRPr="007321E4">
        <w:t>XI:1 of the GATT</w:t>
      </w:r>
      <w:r w:rsidR="00D25414" w:rsidRPr="007321E4">
        <w:t> </w:t>
      </w:r>
      <w:r w:rsidR="00F35F90" w:rsidRPr="007321E4">
        <w:t>1994</w:t>
      </w:r>
      <w:r w:rsidR="00F167F7" w:rsidRPr="007321E4">
        <w:t>,</w:t>
      </w:r>
      <w:r w:rsidR="004C43DE" w:rsidRPr="007321E4">
        <w:t xml:space="preserve"> rather than under Article 4.2 of the Agreement on Agriculture</w:t>
      </w:r>
      <w:r w:rsidR="003046B9" w:rsidRPr="007321E4">
        <w:t>, whether the Panel erred in concluding that Article</w:t>
      </w:r>
      <w:r w:rsidR="00D25414" w:rsidRPr="007321E4">
        <w:t> </w:t>
      </w:r>
      <w:r w:rsidR="003046B9" w:rsidRPr="007321E4">
        <w:t>XI:2(c) of the GATT</w:t>
      </w:r>
      <w:r w:rsidR="00D25414" w:rsidRPr="007321E4">
        <w:t> </w:t>
      </w:r>
      <w:r w:rsidR="003046B9" w:rsidRPr="007321E4">
        <w:t>1994 has been rendered "inoperative" by Article</w:t>
      </w:r>
      <w:r w:rsidR="00D25414" w:rsidRPr="007321E4">
        <w:t> </w:t>
      </w:r>
      <w:r w:rsidR="003046B9" w:rsidRPr="007321E4">
        <w:t>4.2 of the Agreement</w:t>
      </w:r>
      <w:r w:rsidR="00D25414" w:rsidRPr="007321E4">
        <w:t> </w:t>
      </w:r>
      <w:r w:rsidR="003046B9" w:rsidRPr="007321E4">
        <w:t>on</w:t>
      </w:r>
      <w:r w:rsidR="00D25414" w:rsidRPr="007321E4">
        <w:t> </w:t>
      </w:r>
      <w:r w:rsidR="003046B9" w:rsidRPr="007321E4">
        <w:t>Agriculture</w:t>
      </w:r>
      <w:r w:rsidR="00AA017B" w:rsidRPr="007321E4">
        <w:rPr>
          <w:rStyle w:val="FootnoteReference"/>
        </w:rPr>
        <w:footnoteReference w:id="49"/>
      </w:r>
      <w:r w:rsidR="003046B9" w:rsidRPr="007321E4">
        <w:t>; and</w:t>
      </w:r>
    </w:p>
    <w:p w:rsidR="00366292" w:rsidRPr="007321E4" w:rsidRDefault="00366292" w:rsidP="003D2A3D">
      <w:pPr>
        <w:pStyle w:val="BodyText2"/>
        <w:tabs>
          <w:tab w:val="num" w:pos="1440"/>
        </w:tabs>
      </w:pPr>
      <w:r w:rsidRPr="007321E4">
        <w:t xml:space="preserve">whether the Panel erred in finding that Indonesia </w:t>
      </w:r>
      <w:r w:rsidR="00F167F7" w:rsidRPr="007321E4">
        <w:t xml:space="preserve">had </w:t>
      </w:r>
      <w:r w:rsidRPr="007321E4">
        <w:t>failed to demonstrate that Measures 9 through 17 are justified under Article XX(a), (b)</w:t>
      </w:r>
      <w:r w:rsidR="00F167F7" w:rsidRPr="007321E4">
        <w:t>,</w:t>
      </w:r>
      <w:r w:rsidRPr="007321E4">
        <w:t xml:space="preserve"> or (d) of the GATT 1994</w:t>
      </w:r>
      <w:r w:rsidR="00BF71E7" w:rsidRPr="007321E4">
        <w:t>.</w:t>
      </w:r>
      <w:bookmarkEnd w:id="80"/>
    </w:p>
    <w:p w:rsidR="00F75F41" w:rsidRPr="007321E4" w:rsidRDefault="00F75F41" w:rsidP="00F75F41">
      <w:pPr>
        <w:pStyle w:val="Heading1"/>
      </w:pPr>
      <w:bookmarkStart w:id="81" w:name="_Toc343522835"/>
      <w:bookmarkStart w:id="82" w:name="_Toc493150036"/>
      <w:bookmarkStart w:id="83" w:name="_Toc493150066"/>
      <w:bookmarkStart w:id="84" w:name="_Toc493150090"/>
      <w:bookmarkStart w:id="85" w:name="_Toc493150298"/>
      <w:bookmarkStart w:id="86" w:name="_Toc493859689"/>
      <w:bookmarkStart w:id="87" w:name="_Toc494701961"/>
      <w:bookmarkStart w:id="88" w:name="_Toc494702704"/>
      <w:bookmarkStart w:id="89" w:name="_Toc494702780"/>
      <w:bookmarkStart w:id="90" w:name="_Toc494702817"/>
      <w:bookmarkStart w:id="91" w:name="_Toc496267413"/>
      <w:bookmarkStart w:id="92" w:name="_Toc497915387"/>
      <w:r w:rsidRPr="007321E4">
        <w:lastRenderedPageBreak/>
        <w:t>Analysis of the Appellate Body</w:t>
      </w:r>
      <w:bookmarkEnd w:id="81"/>
      <w:bookmarkEnd w:id="82"/>
      <w:bookmarkEnd w:id="83"/>
      <w:bookmarkEnd w:id="84"/>
      <w:bookmarkEnd w:id="85"/>
      <w:bookmarkEnd w:id="86"/>
      <w:bookmarkEnd w:id="87"/>
      <w:bookmarkEnd w:id="88"/>
      <w:bookmarkEnd w:id="89"/>
      <w:bookmarkEnd w:id="90"/>
      <w:bookmarkEnd w:id="91"/>
      <w:bookmarkEnd w:id="92"/>
    </w:p>
    <w:p w:rsidR="00F75F41" w:rsidRPr="007321E4" w:rsidRDefault="00F75F41" w:rsidP="00F75F41">
      <w:pPr>
        <w:pStyle w:val="BodyText"/>
      </w:pPr>
      <w:r w:rsidRPr="007321E4">
        <w:rPr>
          <w:lang w:eastAsia="zh-CN"/>
        </w:rPr>
        <w:t>We</w:t>
      </w:r>
      <w:r w:rsidRPr="007321E4">
        <w:t xml:space="preserve"> first address Indonesia's claims of error raised on appeal regarding</w:t>
      </w:r>
      <w:r w:rsidR="00F167F7" w:rsidRPr="007321E4">
        <w:t>:</w:t>
      </w:r>
      <w:r w:rsidRPr="007321E4">
        <w:t xml:space="preserve"> (i) the Panel's decision on the order of analysis between Article XI:1 of the GATT 1994 and Article 4.2 of the Agreement on Agriculture; and (ii) the burden of proof under the second part of footnote 1 to Article 4.2 of the Agreement on Agriculture. In so doing, we also address Indonesia's claims that, in ruling on these two issues, the Panel committed errors under Article 11 of the DSU. We then address the alternative claim of error raised by Indonesia with regard to Article XI</w:t>
      </w:r>
      <w:proofErr w:type="gramStart"/>
      <w:r w:rsidRPr="007321E4">
        <w:t>:2</w:t>
      </w:r>
      <w:proofErr w:type="gramEnd"/>
      <w:r w:rsidRPr="007321E4">
        <w:t>(c) of the GATT 1994. Finally, we examine Indonesia's claim on appeal under Article XX of the GATT 1994.</w:t>
      </w:r>
    </w:p>
    <w:p w:rsidR="00F75F41" w:rsidRPr="007321E4" w:rsidRDefault="00F75F41" w:rsidP="009C365D">
      <w:pPr>
        <w:pStyle w:val="Heading2"/>
        <w:numPr>
          <w:ilvl w:val="1"/>
          <w:numId w:val="38"/>
        </w:numPr>
      </w:pPr>
      <w:bookmarkStart w:id="93" w:name="_Ref495593345"/>
      <w:bookmarkStart w:id="94" w:name="_Ref495593518"/>
      <w:bookmarkStart w:id="95" w:name="_Toc496267414"/>
      <w:bookmarkStart w:id="96" w:name="_Toc497915388"/>
      <w:r w:rsidRPr="007321E4">
        <w:t>The Panel's decision to commence its legal analysis with the claims under Article XI</w:t>
      </w:r>
      <w:proofErr w:type="gramStart"/>
      <w:r w:rsidRPr="007321E4">
        <w:t>:1</w:t>
      </w:r>
      <w:proofErr w:type="gramEnd"/>
      <w:r w:rsidRPr="007321E4">
        <w:t xml:space="preserve"> of the GATT 1994</w:t>
      </w:r>
      <w:bookmarkEnd w:id="93"/>
      <w:bookmarkEnd w:id="94"/>
      <w:bookmarkEnd w:id="95"/>
      <w:bookmarkEnd w:id="96"/>
    </w:p>
    <w:p w:rsidR="00F75F41" w:rsidRPr="007321E4" w:rsidRDefault="00F75F41" w:rsidP="00F75F41">
      <w:pPr>
        <w:pStyle w:val="BodyText"/>
        <w:rPr>
          <w:lang w:eastAsia="zh-CN"/>
        </w:rPr>
      </w:pPr>
      <w:r w:rsidRPr="007321E4">
        <w:t xml:space="preserve">We begin by addressing Indonesia's claim of error regarding the Panel's decision to </w:t>
      </w:r>
      <w:r w:rsidRPr="007321E4">
        <w:rPr>
          <w:lang w:eastAsia="zh-CN"/>
        </w:rPr>
        <w:t>commence</w:t>
      </w:r>
      <w:r w:rsidRPr="007321E4">
        <w:t xml:space="preserve"> its legal analysis with the co-complainants' claims raised under Article XI</w:t>
      </w:r>
      <w:proofErr w:type="gramStart"/>
      <w:r w:rsidRPr="007321E4">
        <w:t>:1</w:t>
      </w:r>
      <w:proofErr w:type="gramEnd"/>
      <w:r w:rsidRPr="007321E4">
        <w:t xml:space="preserve"> of the GATT 1994, rather than Article 4.2 of the Agreement on Agriculture. </w:t>
      </w:r>
      <w:r w:rsidRPr="007321E4">
        <w:rPr>
          <w:lang w:eastAsia="zh-CN"/>
        </w:rPr>
        <w:t xml:space="preserve">Indonesia requests us to reverse the Panel's decision on the order of analysis, as well as </w:t>
      </w:r>
      <w:r w:rsidR="00B7063B" w:rsidRPr="007321E4">
        <w:rPr>
          <w:lang w:eastAsia="zh-CN"/>
        </w:rPr>
        <w:t xml:space="preserve">its </w:t>
      </w:r>
      <w:r w:rsidRPr="007321E4">
        <w:rPr>
          <w:lang w:eastAsia="zh-CN"/>
        </w:rPr>
        <w:t>findings that the 18 measures at issue are inconsistent with Article XI</w:t>
      </w:r>
      <w:proofErr w:type="gramStart"/>
      <w:r w:rsidRPr="007321E4">
        <w:rPr>
          <w:lang w:eastAsia="zh-CN"/>
        </w:rPr>
        <w:t>:1</w:t>
      </w:r>
      <w:proofErr w:type="gramEnd"/>
      <w:r w:rsidRPr="007321E4">
        <w:rPr>
          <w:lang w:eastAsia="zh-CN"/>
        </w:rPr>
        <w:t xml:space="preserve"> of the GATT 1994.</w:t>
      </w:r>
      <w:r w:rsidRPr="007321E4">
        <w:rPr>
          <w:vertAlign w:val="superscript"/>
          <w:lang w:eastAsia="zh-CN"/>
        </w:rPr>
        <w:footnoteReference w:id="50"/>
      </w:r>
      <w:r w:rsidRPr="007321E4">
        <w:rPr>
          <w:lang w:eastAsia="zh-CN"/>
        </w:rPr>
        <w:t xml:space="preserve"> In response, New Zealand and the United States request us to reject Indonesia's appeal that the Panel's order of analysis constituted a legal error, and to uphold the relevant findings of the Panel.</w:t>
      </w:r>
      <w:r w:rsidRPr="007321E4">
        <w:rPr>
          <w:vertAlign w:val="superscript"/>
          <w:lang w:eastAsia="zh-CN"/>
        </w:rPr>
        <w:footnoteReference w:id="51"/>
      </w:r>
    </w:p>
    <w:p w:rsidR="00F75F41" w:rsidRPr="007321E4" w:rsidRDefault="00F75F41" w:rsidP="00F75F41">
      <w:pPr>
        <w:pStyle w:val="BodyText"/>
      </w:pPr>
      <w:r w:rsidRPr="007321E4">
        <w:rPr>
          <w:lang w:eastAsia="zh-CN"/>
        </w:rPr>
        <w:t xml:space="preserve">Before the Panel, New Zealand and the United States raised claims with regard to the 18 measures at issue under, </w:t>
      </w:r>
      <w:r w:rsidRPr="007321E4">
        <w:rPr>
          <w:i/>
          <w:lang w:eastAsia="zh-CN"/>
        </w:rPr>
        <w:t>inter alia</w:t>
      </w:r>
      <w:r w:rsidRPr="007321E4">
        <w:rPr>
          <w:lang w:eastAsia="zh-CN"/>
        </w:rPr>
        <w:t>, Article XI</w:t>
      </w:r>
      <w:proofErr w:type="gramStart"/>
      <w:r w:rsidRPr="007321E4">
        <w:rPr>
          <w:lang w:eastAsia="zh-CN"/>
        </w:rPr>
        <w:t>:1</w:t>
      </w:r>
      <w:proofErr w:type="gramEnd"/>
      <w:r w:rsidRPr="007321E4">
        <w:rPr>
          <w:lang w:eastAsia="zh-CN"/>
        </w:rPr>
        <w:t xml:space="preserve"> of the GATT 1994 and Article 4.2 of the Agreement on Agriculture.</w:t>
      </w:r>
      <w:r w:rsidRPr="007321E4">
        <w:rPr>
          <w:vertAlign w:val="superscript"/>
        </w:rPr>
        <w:footnoteReference w:id="52"/>
      </w:r>
      <w:r w:rsidRPr="007321E4">
        <w:rPr>
          <w:lang w:eastAsia="zh-CN"/>
        </w:rPr>
        <w:t xml:space="preserve"> In setting out its order of analysis, the Panel concurred with the panel in </w:t>
      </w:r>
      <w:r w:rsidRPr="007321E4">
        <w:rPr>
          <w:i/>
          <w:lang w:eastAsia="zh-CN"/>
        </w:rPr>
        <w:t>India – Autos</w:t>
      </w:r>
      <w:r w:rsidRPr="007321E4">
        <w:rPr>
          <w:lang w:eastAsia="zh-CN"/>
        </w:rPr>
        <w:t xml:space="preserve">, stating that it </w:t>
      </w:r>
      <w:r w:rsidR="00B7063B" w:rsidRPr="007321E4">
        <w:rPr>
          <w:lang w:eastAsia="zh-CN"/>
        </w:rPr>
        <w:t xml:space="preserve">is </w:t>
      </w:r>
      <w:r w:rsidRPr="007321E4">
        <w:rPr>
          <w:lang w:eastAsia="zh-CN"/>
        </w:rPr>
        <w:t xml:space="preserve">important to consider first whether a particular order </w:t>
      </w:r>
      <w:r w:rsidR="00B7063B" w:rsidRPr="007321E4">
        <w:rPr>
          <w:lang w:eastAsia="zh-CN"/>
        </w:rPr>
        <w:t xml:space="preserve">is </w:t>
      </w:r>
      <w:r w:rsidRPr="007321E4">
        <w:rPr>
          <w:lang w:eastAsia="zh-CN"/>
        </w:rPr>
        <w:t>"compelled" by principles of interpretative methodology, "which, if not followed, might constitute an error of law".</w:t>
      </w:r>
      <w:r w:rsidRPr="007321E4">
        <w:rPr>
          <w:vertAlign w:val="superscript"/>
        </w:rPr>
        <w:footnoteReference w:id="53"/>
      </w:r>
      <w:r w:rsidRPr="007321E4">
        <w:rPr>
          <w:lang w:eastAsia="zh-CN"/>
        </w:rPr>
        <w:t xml:space="preserve"> </w:t>
      </w:r>
      <w:r w:rsidRPr="007321E4">
        <w:t xml:space="preserve">The Panel also recalled that, in </w:t>
      </w:r>
      <w:r w:rsidRPr="007321E4">
        <w:rPr>
          <w:i/>
        </w:rPr>
        <w:t>EC – Bananas III</w:t>
      </w:r>
      <w:r w:rsidRPr="007321E4">
        <w:t xml:space="preserve">, the Appellate Body stated that the provision </w:t>
      </w:r>
      <w:r w:rsidR="00B801D8" w:rsidRPr="007321E4">
        <w:t>of</w:t>
      </w:r>
      <w:r w:rsidRPr="007321E4">
        <w:t xml:space="preserve"> the agreement that "deals specifically, and in detail" with the measures at issue should be analysed first.</w:t>
      </w:r>
      <w:r w:rsidRPr="007321E4">
        <w:rPr>
          <w:vertAlign w:val="superscript"/>
        </w:rPr>
        <w:footnoteReference w:id="54"/>
      </w:r>
      <w:r w:rsidRPr="007321E4">
        <w:t xml:space="preserve"> The Panel noted that: (i) all 18 measures </w:t>
      </w:r>
      <w:r w:rsidR="00B801D8" w:rsidRPr="007321E4">
        <w:t xml:space="preserve">at issue in this dispute </w:t>
      </w:r>
      <w:r w:rsidRPr="007321E4">
        <w:t xml:space="preserve">had been challenged under both </w:t>
      </w:r>
      <w:r w:rsidR="00E66336" w:rsidRPr="007321E4">
        <w:t>Article</w:t>
      </w:r>
      <w:r w:rsidR="00B801D8" w:rsidRPr="007321E4">
        <w:t xml:space="preserve"> XI:1 of the GATT 1994 and </w:t>
      </w:r>
      <w:r w:rsidR="00E66336" w:rsidRPr="007321E4">
        <w:t>Article </w:t>
      </w:r>
      <w:r w:rsidR="00B801D8" w:rsidRPr="007321E4">
        <w:t>4.2 o</w:t>
      </w:r>
      <w:r w:rsidR="00E66336" w:rsidRPr="007321E4">
        <w:t>f</w:t>
      </w:r>
      <w:r w:rsidR="00B801D8" w:rsidRPr="007321E4">
        <w:t xml:space="preserve"> the Agreement on Agriculture</w:t>
      </w:r>
      <w:r w:rsidRPr="007321E4">
        <w:t xml:space="preserve">; and (ii) New Zealand and the United States had brought identical claims under either provision, namely, that all 18 measures at issue constitute quantitative restrictions. The Panel thus considered that the provision </w:t>
      </w:r>
      <w:r w:rsidR="00B801D8" w:rsidRPr="007321E4">
        <w:t>that "</w:t>
      </w:r>
      <w:r w:rsidRPr="007321E4">
        <w:t>deals specifically with quantitative restrictions</w:t>
      </w:r>
      <w:r w:rsidR="00B801D8" w:rsidRPr="007321E4">
        <w:t>"</w:t>
      </w:r>
      <w:r w:rsidRPr="007321E4">
        <w:t xml:space="preserve"> is Article XI</w:t>
      </w:r>
      <w:proofErr w:type="gramStart"/>
      <w:r w:rsidRPr="007321E4">
        <w:t>:1</w:t>
      </w:r>
      <w:proofErr w:type="gramEnd"/>
      <w:r w:rsidRPr="007321E4">
        <w:t xml:space="preserve"> because Article 4.2 has a "broader scope" and refers to measures other than quantitative restrictions.</w:t>
      </w:r>
      <w:r w:rsidRPr="007321E4">
        <w:rPr>
          <w:vertAlign w:val="superscript"/>
        </w:rPr>
        <w:footnoteReference w:id="55"/>
      </w:r>
      <w:r w:rsidRPr="007321E4">
        <w:t xml:space="preserve"> The Panel thus commenced its assessment with Article XI</w:t>
      </w:r>
      <w:proofErr w:type="gramStart"/>
      <w:r w:rsidRPr="007321E4">
        <w:t>:1</w:t>
      </w:r>
      <w:proofErr w:type="gramEnd"/>
      <w:r w:rsidRPr="007321E4">
        <w:t xml:space="preserve"> of the GATT 1994.</w:t>
      </w:r>
      <w:r w:rsidRPr="007321E4">
        <w:rPr>
          <w:vertAlign w:val="superscript"/>
        </w:rPr>
        <w:footnoteReference w:id="56"/>
      </w:r>
      <w:r w:rsidRPr="007321E4">
        <w:t xml:space="preserve"> Having found that all 18 measures are inconsistent with Article XI</w:t>
      </w:r>
      <w:proofErr w:type="gramStart"/>
      <w:r w:rsidRPr="007321E4">
        <w:t>:1</w:t>
      </w:r>
      <w:proofErr w:type="gramEnd"/>
      <w:r w:rsidRPr="007321E4">
        <w:t xml:space="preserve"> and that they are not justified under Article XX of the GATT 1994, the Panel then exercised judicial economy with regard to the claims under Article 4.2 of the Agreement on Agriculture.</w:t>
      </w:r>
      <w:r w:rsidRPr="007321E4">
        <w:rPr>
          <w:vertAlign w:val="superscript"/>
        </w:rPr>
        <w:footnoteReference w:id="57"/>
      </w:r>
    </w:p>
    <w:p w:rsidR="00F75F41" w:rsidRPr="007321E4" w:rsidRDefault="00F75F41" w:rsidP="00F75F41">
      <w:pPr>
        <w:pStyle w:val="BodyText"/>
      </w:pPr>
      <w:r w:rsidRPr="007321E4">
        <w:t xml:space="preserve">In this section, we first address Indonesia's substantive claim on appeal regarding the Panel's sequence of analysis before turning to its claim under Article 11 of the DSU. </w:t>
      </w:r>
    </w:p>
    <w:p w:rsidR="00F75F41" w:rsidRPr="007321E4" w:rsidRDefault="00F75F41" w:rsidP="009C365D">
      <w:pPr>
        <w:pStyle w:val="Heading3"/>
        <w:numPr>
          <w:ilvl w:val="2"/>
          <w:numId w:val="39"/>
        </w:numPr>
      </w:pPr>
      <w:bookmarkStart w:id="97" w:name="_Toc496267415"/>
      <w:bookmarkStart w:id="98" w:name="_Toc497915389"/>
      <w:r w:rsidRPr="007321E4">
        <w:lastRenderedPageBreak/>
        <w:t>Whether the Panel erred in assessing the claims regarding the measures at issue under Article XI</w:t>
      </w:r>
      <w:proofErr w:type="gramStart"/>
      <w:r w:rsidRPr="007321E4">
        <w:t>:1</w:t>
      </w:r>
      <w:proofErr w:type="gramEnd"/>
      <w:r w:rsidRPr="007321E4">
        <w:t xml:space="preserve"> of the GATT 1994, rather than Article 4.2 of the Agreement on Agriculture</w:t>
      </w:r>
      <w:r w:rsidRPr="007321E4">
        <w:rPr>
          <w:b w:val="0"/>
          <w:vertAlign w:val="superscript"/>
        </w:rPr>
        <w:footnoteReference w:id="58"/>
      </w:r>
      <w:bookmarkEnd w:id="97"/>
      <w:bookmarkEnd w:id="98"/>
    </w:p>
    <w:p w:rsidR="00F75F41" w:rsidRPr="007321E4" w:rsidRDefault="00F75F41" w:rsidP="00F75F41">
      <w:pPr>
        <w:pStyle w:val="BodyText"/>
        <w:rPr>
          <w:lang w:eastAsia="zh-CN"/>
        </w:rPr>
      </w:pPr>
      <w:r w:rsidRPr="007321E4">
        <w:rPr>
          <w:lang w:eastAsia="zh-CN"/>
        </w:rPr>
        <w:t xml:space="preserve">On appeal, Indonesia </w:t>
      </w:r>
      <w:r w:rsidR="00B7063B" w:rsidRPr="007321E4">
        <w:rPr>
          <w:lang w:eastAsia="zh-CN"/>
        </w:rPr>
        <w:t xml:space="preserve">submits </w:t>
      </w:r>
      <w:r w:rsidRPr="007321E4">
        <w:rPr>
          <w:lang w:eastAsia="zh-CN"/>
        </w:rPr>
        <w:t>that the Panel "</w:t>
      </w:r>
      <w:r w:rsidRPr="007321E4">
        <w:t>erred in determining that the provision which dealt specifically with quantitative restrictions was Article XI</w:t>
      </w:r>
      <w:proofErr w:type="gramStart"/>
      <w:r w:rsidRPr="007321E4">
        <w:t>:1</w:t>
      </w:r>
      <w:proofErr w:type="gramEnd"/>
      <w:r w:rsidRPr="007321E4">
        <w:t xml:space="preserve"> of the GATT 1994 and, as a result, in assessing the 18 measures at issue under Article XI:1 of the GATT 1994, rather than Article 4.2 of the Agreement on Agriculture</w:t>
      </w:r>
      <w:r w:rsidR="00B7063B" w:rsidRPr="007321E4">
        <w:t>.</w:t>
      </w:r>
      <w:r w:rsidRPr="007321E4">
        <w:t>"</w:t>
      </w:r>
      <w:r w:rsidRPr="007321E4">
        <w:rPr>
          <w:vertAlign w:val="superscript"/>
        </w:rPr>
        <w:footnoteReference w:id="59"/>
      </w:r>
      <w:r w:rsidRPr="007321E4">
        <w:t xml:space="preserve"> Indonesia further submits that the Panel "erred by not applying Article 21.1 of the Agreement on Agriculture to determine that Article 4.2 of that Agreement was </w:t>
      </w:r>
      <w:proofErr w:type="spellStart"/>
      <w:r w:rsidRPr="007321E4">
        <w:rPr>
          <w:i/>
        </w:rPr>
        <w:t>lex</w:t>
      </w:r>
      <w:proofErr w:type="spellEnd"/>
      <w:r w:rsidRPr="007321E4">
        <w:rPr>
          <w:i/>
        </w:rPr>
        <w:t xml:space="preserve"> </w:t>
      </w:r>
      <w:proofErr w:type="spellStart"/>
      <w:r w:rsidRPr="007321E4">
        <w:rPr>
          <w:i/>
        </w:rPr>
        <w:t>specialis</w:t>
      </w:r>
      <w:proofErr w:type="spellEnd"/>
      <w:r w:rsidRPr="007321E4">
        <w:t>"</w:t>
      </w:r>
      <w:r w:rsidRPr="007321E4">
        <w:rPr>
          <w:vertAlign w:val="superscript"/>
        </w:rPr>
        <w:footnoteReference w:id="60"/>
      </w:r>
      <w:r w:rsidRPr="007321E4">
        <w:t xml:space="preserve">, so that Article 4.2 should have been applied "to the </w:t>
      </w:r>
      <w:r w:rsidRPr="007321E4">
        <w:rPr>
          <w:u w:val="single"/>
        </w:rPr>
        <w:t>exclusion</w:t>
      </w:r>
      <w:r w:rsidRPr="007321E4">
        <w:t xml:space="preserve"> of" Article XI:1.</w:t>
      </w:r>
      <w:r w:rsidRPr="007321E4">
        <w:rPr>
          <w:vertAlign w:val="superscript"/>
        </w:rPr>
        <w:footnoteReference w:id="61"/>
      </w:r>
      <w:r w:rsidRPr="007321E4">
        <w:t xml:space="preserve"> </w:t>
      </w:r>
      <w:r w:rsidRPr="007321E4">
        <w:rPr>
          <w:lang w:eastAsia="zh-CN"/>
        </w:rPr>
        <w:t>For Indonesia, Article 21.1 "does not require a conflict" between the GATT 1994 and the Agreement on Agriculture in order to apply.</w:t>
      </w:r>
      <w:r w:rsidRPr="007321E4">
        <w:rPr>
          <w:vertAlign w:val="superscript"/>
          <w:lang w:eastAsia="zh-CN"/>
        </w:rPr>
        <w:footnoteReference w:id="62"/>
      </w:r>
      <w:r w:rsidRPr="007321E4">
        <w:rPr>
          <w:lang w:eastAsia="zh-CN"/>
        </w:rPr>
        <w:t xml:space="preserve"> Rather, the term "subject to" in Article 21.1 means that the Panel should have found that the Agreement on Agr</w:t>
      </w:r>
      <w:r w:rsidR="00BF55AB" w:rsidRPr="007321E4">
        <w:rPr>
          <w:lang w:eastAsia="zh-CN"/>
        </w:rPr>
        <w:t>iculture prevails over the GATT </w:t>
      </w:r>
      <w:r w:rsidRPr="007321E4">
        <w:rPr>
          <w:lang w:eastAsia="zh-CN"/>
        </w:rPr>
        <w:t>1994, because Article XI:1 and Article 4.2 concern the same matter, and Article 4.2 contains specific provisions dealing specifically with the measures at issue from both a substantive and a procedural perspective.</w:t>
      </w:r>
      <w:r w:rsidRPr="007321E4">
        <w:rPr>
          <w:vertAlign w:val="superscript"/>
          <w:lang w:eastAsia="zh-CN"/>
        </w:rPr>
        <w:footnoteReference w:id="63"/>
      </w:r>
      <w:r w:rsidRPr="007321E4">
        <w:rPr>
          <w:lang w:eastAsia="zh-CN"/>
        </w:rPr>
        <w:t xml:space="preserve"> </w:t>
      </w:r>
      <w:r w:rsidRPr="007321E4">
        <w:t>Indonesia thus contends that Article 21.1 prevents the cumulative application of Article XI</w:t>
      </w:r>
      <w:proofErr w:type="gramStart"/>
      <w:r w:rsidRPr="007321E4">
        <w:t>:1</w:t>
      </w:r>
      <w:proofErr w:type="gramEnd"/>
      <w:r w:rsidRPr="007321E4">
        <w:t xml:space="preserve"> and Article 4.2, even absent a conflict between these two provisions.</w:t>
      </w:r>
      <w:r w:rsidRPr="007321E4">
        <w:rPr>
          <w:vertAlign w:val="superscript"/>
        </w:rPr>
        <w:footnoteReference w:id="64"/>
      </w:r>
    </w:p>
    <w:p w:rsidR="00F75F41" w:rsidRPr="007321E4" w:rsidRDefault="00F75F41" w:rsidP="00F75F41">
      <w:pPr>
        <w:pStyle w:val="BodyText"/>
      </w:pPr>
      <w:r w:rsidRPr="007321E4">
        <w:t xml:space="preserve">In response, New Zealand and the United States argue that Article 21.1 of the Agreement on Agriculture applies only in the event of conflict between provisions of the Agreement on Agriculture and provisions of the GATT 1994 or other Multilateral Trade Agreements in </w:t>
      </w:r>
      <w:proofErr w:type="gramStart"/>
      <w:r w:rsidR="003912A8" w:rsidRPr="007321E4">
        <w:t>Annex</w:t>
      </w:r>
      <w:proofErr w:type="gramEnd"/>
      <w:r w:rsidR="003912A8" w:rsidRPr="007321E4">
        <w:t xml:space="preserve"> 1</w:t>
      </w:r>
      <w:r w:rsidR="002533C2" w:rsidRPr="007321E4">
        <w:t>A</w:t>
      </w:r>
      <w:r w:rsidR="003912A8" w:rsidRPr="007321E4">
        <w:t xml:space="preserve"> to the Marrakesh Agreement Establishing the World Trade Organization (</w:t>
      </w:r>
      <w:r w:rsidR="00A12991" w:rsidRPr="007321E4">
        <w:t>WTO Agreement</w:t>
      </w:r>
      <w:r w:rsidR="003912A8" w:rsidRPr="007321E4">
        <w:t>)</w:t>
      </w:r>
      <w:r w:rsidRPr="007321E4">
        <w:t>.</w:t>
      </w:r>
      <w:r w:rsidRPr="007321E4">
        <w:rPr>
          <w:vertAlign w:val="superscript"/>
        </w:rPr>
        <w:footnoteReference w:id="65"/>
      </w:r>
      <w:r w:rsidRPr="007321E4">
        <w:t xml:space="preserve"> In the absence of such conflict between Article XI</w:t>
      </w:r>
      <w:proofErr w:type="gramStart"/>
      <w:r w:rsidRPr="007321E4">
        <w:t>:1</w:t>
      </w:r>
      <w:proofErr w:type="gramEnd"/>
      <w:r w:rsidRPr="007321E4">
        <w:t xml:space="preserve"> </w:t>
      </w:r>
      <w:r w:rsidR="00A12991" w:rsidRPr="007321E4">
        <w:t>of the GATT 1994</w:t>
      </w:r>
      <w:r w:rsidR="00EC59AA" w:rsidRPr="007321E4">
        <w:t xml:space="preserve"> </w:t>
      </w:r>
      <w:r w:rsidRPr="007321E4">
        <w:t>and Article 4.2</w:t>
      </w:r>
      <w:r w:rsidR="00A12991" w:rsidRPr="007321E4">
        <w:t xml:space="preserve"> of the Agreement on Agriculture</w:t>
      </w:r>
      <w:r w:rsidRPr="007321E4">
        <w:t>, the two provisions apply cumulatively</w:t>
      </w:r>
      <w:r w:rsidR="003912A8" w:rsidRPr="007321E4">
        <w:rPr>
          <w:rStyle w:val="FootnoteReference"/>
        </w:rPr>
        <w:footnoteReference w:id="66"/>
      </w:r>
      <w:r w:rsidR="003912A8" w:rsidRPr="007321E4">
        <w:t>,</w:t>
      </w:r>
      <w:r w:rsidRPr="007321E4">
        <w:t xml:space="preserve"> and the mere fact that one provision is "more specific" than the other does not mean that the former excludes the application of the latter.</w:t>
      </w:r>
      <w:r w:rsidR="003912A8" w:rsidRPr="007321E4">
        <w:rPr>
          <w:rStyle w:val="FootnoteReference"/>
        </w:rPr>
        <w:footnoteReference w:id="67"/>
      </w:r>
      <w:r w:rsidRPr="007321E4">
        <w:t xml:space="preserve"> Furthermore, New Zealand and the United States assert that panels have a "margin of discretion" in choosing the sequence of their analysis, the limit of which is not based on specificity, but rather on whether the panel's sequence of analysis </w:t>
      </w:r>
      <w:r w:rsidR="00B7063B" w:rsidRPr="007321E4">
        <w:t xml:space="preserve">leads </w:t>
      </w:r>
      <w:r w:rsidRPr="007321E4">
        <w:t>to a "</w:t>
      </w:r>
      <w:r w:rsidR="003912A8" w:rsidRPr="007321E4">
        <w:t>'</w:t>
      </w:r>
      <w:r w:rsidRPr="007321E4">
        <w:t>flawed</w:t>
      </w:r>
      <w:r w:rsidR="003912A8" w:rsidRPr="007321E4">
        <w:t>'</w:t>
      </w:r>
      <w:r w:rsidRPr="007321E4">
        <w:t xml:space="preserve"> substantive analysis</w:t>
      </w:r>
      <w:r w:rsidR="003912A8" w:rsidRPr="007321E4">
        <w:t>"</w:t>
      </w:r>
      <w:r w:rsidRPr="007321E4">
        <w:t>.</w:t>
      </w:r>
      <w:r w:rsidRPr="007321E4">
        <w:rPr>
          <w:vertAlign w:val="superscript"/>
        </w:rPr>
        <w:footnoteReference w:id="68"/>
      </w:r>
      <w:r w:rsidRPr="007321E4">
        <w:t xml:space="preserve"> In the present dispute, New Zealand and the United States argue that nothing in the Panel's decision to start its assessment under Article XI</w:t>
      </w:r>
      <w:proofErr w:type="gramStart"/>
      <w:r w:rsidRPr="007321E4">
        <w:t>:1</w:t>
      </w:r>
      <w:proofErr w:type="gramEnd"/>
      <w:r w:rsidRPr="007321E4">
        <w:t xml:space="preserve"> instead of Article 4.2 affected the substance of its analysis of the claims presented to it, and that the sequence of analysis was within the Panel's </w:t>
      </w:r>
      <w:r w:rsidRPr="007321E4">
        <w:lastRenderedPageBreak/>
        <w:t>margin of discretion.</w:t>
      </w:r>
      <w:r w:rsidRPr="007321E4">
        <w:rPr>
          <w:vertAlign w:val="superscript"/>
        </w:rPr>
        <w:footnoteReference w:id="69"/>
      </w:r>
      <w:r w:rsidRPr="007321E4">
        <w:t xml:space="preserve"> </w:t>
      </w:r>
      <w:r w:rsidR="00A12991" w:rsidRPr="007321E4">
        <w:t>New Zealand and the United States</w:t>
      </w:r>
      <w:r w:rsidRPr="007321E4">
        <w:t xml:space="preserve"> further argue that Article 4.2 of the Agreement on Agriculture is not, in any event, more specific than Article XI</w:t>
      </w:r>
      <w:proofErr w:type="gramStart"/>
      <w:r w:rsidRPr="007321E4">
        <w:t>:1</w:t>
      </w:r>
      <w:proofErr w:type="gramEnd"/>
      <w:r w:rsidRPr="007321E4">
        <w:t xml:space="preserve"> of the GATT 1994.</w:t>
      </w:r>
      <w:r w:rsidRPr="007321E4">
        <w:rPr>
          <w:vertAlign w:val="superscript"/>
        </w:rPr>
        <w:footnoteReference w:id="70"/>
      </w:r>
    </w:p>
    <w:p w:rsidR="00F75F41" w:rsidRPr="007321E4" w:rsidRDefault="00F75F41" w:rsidP="00F75F41">
      <w:pPr>
        <w:pStyle w:val="BodyText"/>
      </w:pPr>
      <w:r w:rsidRPr="007321E4">
        <w:t>We begin by examining the relationship between Article XI</w:t>
      </w:r>
      <w:proofErr w:type="gramStart"/>
      <w:r w:rsidRPr="007321E4">
        <w:t>:1</w:t>
      </w:r>
      <w:proofErr w:type="gramEnd"/>
      <w:r w:rsidRPr="007321E4">
        <w:t xml:space="preserve"> </w:t>
      </w:r>
      <w:r w:rsidR="00A12991" w:rsidRPr="007321E4">
        <w:t xml:space="preserve">of the GATT 1994 </w:t>
      </w:r>
      <w:r w:rsidRPr="007321E4">
        <w:t>and Article</w:t>
      </w:r>
      <w:r w:rsidR="00E66336" w:rsidRPr="007321E4">
        <w:t> </w:t>
      </w:r>
      <w:r w:rsidRPr="007321E4">
        <w:t>4.2</w:t>
      </w:r>
      <w:r w:rsidR="00A12991" w:rsidRPr="007321E4">
        <w:t xml:space="preserve"> of the Agreement Agriculture</w:t>
      </w:r>
      <w:r w:rsidRPr="007321E4">
        <w:t xml:space="preserve">, in light of Article 21.1 of the Agreement on Agriculture. If </w:t>
      </w:r>
      <w:r w:rsidR="00A12991" w:rsidRPr="007321E4">
        <w:t>this</w:t>
      </w:r>
      <w:r w:rsidRPr="007321E4">
        <w:t xml:space="preserve"> examination leads us to reject Indonesia's argument that Article 4.2 applies "to the </w:t>
      </w:r>
      <w:r w:rsidRPr="007321E4">
        <w:rPr>
          <w:u w:val="single"/>
        </w:rPr>
        <w:t>exclusion</w:t>
      </w:r>
      <w:r w:rsidRPr="007321E4">
        <w:t xml:space="preserve"> of" Article XI</w:t>
      </w:r>
      <w:proofErr w:type="gramStart"/>
      <w:r w:rsidRPr="007321E4">
        <w:t>:1</w:t>
      </w:r>
      <w:proofErr w:type="gramEnd"/>
      <w:r w:rsidRPr="007321E4">
        <w:rPr>
          <w:rStyle w:val="FootnoteReference"/>
        </w:rPr>
        <w:footnoteReference w:id="71"/>
      </w:r>
      <w:r w:rsidRPr="007321E4">
        <w:t>, then we will examine whether, nevertheless, Article 4.2 should have been considered before Article XI:1, and whether the Panel's failure to do so constitute</w:t>
      </w:r>
      <w:r w:rsidR="00A12991" w:rsidRPr="007321E4">
        <w:t>s</w:t>
      </w:r>
      <w:r w:rsidRPr="007321E4">
        <w:t xml:space="preserve"> an error of law. </w:t>
      </w:r>
    </w:p>
    <w:p w:rsidR="00F75F41" w:rsidRPr="007321E4" w:rsidRDefault="00F75F41" w:rsidP="00F75F41">
      <w:pPr>
        <w:pStyle w:val="BodyText"/>
      </w:pPr>
      <w:r w:rsidRPr="007321E4">
        <w:t>Article 21.1 of the Agreement on Agriculture reads:</w:t>
      </w:r>
    </w:p>
    <w:p w:rsidR="00F75F41" w:rsidRPr="007321E4" w:rsidRDefault="00F75F41" w:rsidP="00F75F41">
      <w:pPr>
        <w:pStyle w:val="BodyText"/>
        <w:numPr>
          <w:ilvl w:val="0"/>
          <w:numId w:val="0"/>
        </w:numPr>
        <w:ind w:left="540" w:right="566"/>
      </w:pPr>
      <w:r w:rsidRPr="007321E4">
        <w:t>The provisions of GATT 1994 and of other Multilateral Trade Agreements in Annex 1A to the WTO Agreement shall apply subject to the provisions of this Agreement.</w:t>
      </w:r>
    </w:p>
    <w:p w:rsidR="00F75F41" w:rsidRPr="007321E4" w:rsidRDefault="00F75F41" w:rsidP="00F75F41">
      <w:pPr>
        <w:pStyle w:val="BodyText"/>
      </w:pPr>
      <w:r w:rsidRPr="007321E4">
        <w:t>Article 21.1 does not expressly state that the Agreement on Agriculture excludes the application of the GATT 1994 or other Multilateral Trade Agreements in Annex 1A</w:t>
      </w:r>
      <w:r w:rsidR="00BF55AB" w:rsidRPr="007321E4">
        <w:t xml:space="preserve"> to the WTO </w:t>
      </w:r>
      <w:r w:rsidR="00954909" w:rsidRPr="007321E4">
        <w:t>Agreement</w:t>
      </w:r>
      <w:r w:rsidRPr="007321E4">
        <w:t xml:space="preserve">. Although the text of </w:t>
      </w:r>
      <w:r w:rsidR="00B7063B" w:rsidRPr="007321E4">
        <w:t xml:space="preserve">Article 21.1 </w:t>
      </w:r>
      <w:r w:rsidRPr="007321E4">
        <w:t xml:space="preserve">does not explicitly refer to the concept of "conflict" as a condition for applying provisions of the Agreement on Agriculture to the exclusion of provisions of other WTO covered agreements, the Appellate Body in </w:t>
      </w:r>
      <w:r w:rsidRPr="007321E4">
        <w:rPr>
          <w:i/>
        </w:rPr>
        <w:t>EC – Export Subsidies on Sugar</w:t>
      </w:r>
      <w:r w:rsidRPr="007321E4">
        <w:t xml:space="preserve"> interpreted Article 21.1 as follows:</w:t>
      </w:r>
    </w:p>
    <w:p w:rsidR="00F75F41" w:rsidRPr="007321E4" w:rsidRDefault="00F75F41" w:rsidP="00F75F41">
      <w:pPr>
        <w:pStyle w:val="BodyText"/>
        <w:numPr>
          <w:ilvl w:val="0"/>
          <w:numId w:val="0"/>
        </w:numPr>
        <w:ind w:left="540" w:right="566"/>
      </w:pPr>
      <w:r w:rsidRPr="007321E4">
        <w:t xml:space="preserve">Members explicitly recognized that there may be conflicts between the Agreement on Agriculture and the GATT 1994, and explicitly provided, through Article 21, that the Agreement on Agriculture would prevail to the extent of such conflicts. Similarly, the General interpretative note to Annex 1A to the WTO Agreement states that, "[i]n the event of conflict between a provision of the [GATT 1994] and a provision of another agreement in Annex 1A </w:t>
      </w:r>
      <w:r w:rsidR="00484E2A" w:rsidRPr="007321E4">
        <w:t>…</w:t>
      </w:r>
      <w:r w:rsidRPr="007321E4">
        <w:t>, the provision of the other agreement shall prevail to the extent of the conflict." The Agreement on Agriculture is contained in Annex 1A to the WTO Agreement.</w:t>
      </w:r>
      <w:r w:rsidRPr="007321E4">
        <w:rPr>
          <w:vertAlign w:val="superscript"/>
        </w:rPr>
        <w:footnoteReference w:id="72"/>
      </w:r>
    </w:p>
    <w:p w:rsidR="00F75F41" w:rsidRPr="007321E4" w:rsidRDefault="00F75F41" w:rsidP="00F75F41">
      <w:pPr>
        <w:pStyle w:val="BodyText"/>
      </w:pPr>
      <w:r w:rsidRPr="007321E4">
        <w:t xml:space="preserve">In that case, the Appellate Body read Article 21.1 to mean that the provisions of the Agreement on Agriculture prevailed over </w:t>
      </w:r>
      <w:r w:rsidR="003912A8" w:rsidRPr="007321E4">
        <w:t xml:space="preserve">an </w:t>
      </w:r>
      <w:r w:rsidRPr="007321E4">
        <w:t xml:space="preserve">inconsistent </w:t>
      </w:r>
      <w:r w:rsidR="005F5782" w:rsidRPr="007321E4">
        <w:t>footnote</w:t>
      </w:r>
      <w:r w:rsidR="003912A8" w:rsidRPr="007321E4">
        <w:t xml:space="preserve"> in Part IV of </w:t>
      </w:r>
      <w:r w:rsidRPr="007321E4">
        <w:t xml:space="preserve">the European Communities' Schedule </w:t>
      </w:r>
      <w:r w:rsidR="003912A8" w:rsidRPr="007321E4">
        <w:t>CX</w:t>
      </w:r>
      <w:r w:rsidRPr="007321E4">
        <w:t>L, which is an integral part of the GATT 1994.</w:t>
      </w:r>
      <w:r w:rsidRPr="007321E4">
        <w:rPr>
          <w:vertAlign w:val="superscript"/>
        </w:rPr>
        <w:footnoteReference w:id="73"/>
      </w:r>
      <w:r w:rsidRPr="007321E4">
        <w:t xml:space="preserve"> This is consistent with the approach of the Appellate Body in </w:t>
      </w:r>
      <w:r w:rsidRPr="007321E4">
        <w:rPr>
          <w:i/>
        </w:rPr>
        <w:t>EC – Bananas III</w:t>
      </w:r>
      <w:r w:rsidR="003924D9" w:rsidRPr="007321E4">
        <w:t>,</w:t>
      </w:r>
      <w:r w:rsidRPr="007321E4">
        <w:t xml:space="preserve"> when it found that "the provisions of the GATT 1994 … apply to market access commitments concerning agricultural products, except to the extent that the Agreement on Agriculture contains specific provisions dealing specifically with the same matter."</w:t>
      </w:r>
      <w:r w:rsidRPr="007321E4">
        <w:rPr>
          <w:vertAlign w:val="superscript"/>
        </w:rPr>
        <w:footnoteReference w:id="74"/>
      </w:r>
      <w:r w:rsidRPr="007321E4">
        <w:t xml:space="preserve"> That sentence, in the context of </w:t>
      </w:r>
      <w:r w:rsidRPr="007321E4">
        <w:rPr>
          <w:i/>
        </w:rPr>
        <w:t>EC – Bananas III</w:t>
      </w:r>
      <w:r w:rsidRPr="007321E4">
        <w:t>, describes situations of conflicts between the GATT 1994 and the Agreement on Agriculture. In that dispute, the question before the Appellate Body was "whether the market access concessions for agricultural products made by the European Communities pursuant to the Agreement on Agriculture prevail over Article XIII of the GATT 1994", pursuant to Article 4.1 and Article 21.1 of the Agreement on Agriculture.</w:t>
      </w:r>
      <w:r w:rsidRPr="007321E4">
        <w:rPr>
          <w:rStyle w:val="FootnoteReference"/>
        </w:rPr>
        <w:footnoteReference w:id="75"/>
      </w:r>
      <w:r w:rsidRPr="007321E4">
        <w:t xml:space="preserve"> The Appellate Body thus assessed whether provisions of the Agreement on Agriculture explicitly "permit Members to act inconsistently with Article XIII of the GATT 1994".</w:t>
      </w:r>
      <w:r w:rsidRPr="007321E4">
        <w:rPr>
          <w:rStyle w:val="FootnoteReference"/>
        </w:rPr>
        <w:footnoteReference w:id="76"/>
      </w:r>
      <w:r w:rsidRPr="007321E4">
        <w:t xml:space="preserve"> </w:t>
      </w:r>
    </w:p>
    <w:p w:rsidR="00F75F41" w:rsidRPr="007321E4" w:rsidRDefault="00F75F41" w:rsidP="00F75F41">
      <w:pPr>
        <w:pStyle w:val="BodyText"/>
      </w:pPr>
      <w:r w:rsidRPr="007321E4">
        <w:lastRenderedPageBreak/>
        <w:t>Accordingly, the phrase "except to the extent that the Agreement on Agriculture contains specific provisions dealing specifically with the same matter"</w:t>
      </w:r>
      <w:r w:rsidRPr="007321E4">
        <w:rPr>
          <w:rStyle w:val="FootnoteReference"/>
        </w:rPr>
        <w:footnoteReference w:id="77"/>
      </w:r>
      <w:r w:rsidRPr="007321E4">
        <w:t xml:space="preserve"> identifies instances where a provision of the Agreement on Agriculture conflicts with the GATT 1994 or with other Multilateral Trade Agreements in Annex 1A</w:t>
      </w:r>
      <w:r w:rsidR="00954909" w:rsidRPr="007321E4">
        <w:t xml:space="preserve"> to the WTO Agreement</w:t>
      </w:r>
      <w:r w:rsidRPr="007321E4">
        <w:t xml:space="preserve">. In </w:t>
      </w:r>
      <w:r w:rsidRPr="007321E4">
        <w:rPr>
          <w:i/>
        </w:rPr>
        <w:t>EC – Bananas III</w:t>
      </w:r>
      <w:r w:rsidRPr="007321E4">
        <w:t xml:space="preserve">, that was not the case, and thus, the provisions of </w:t>
      </w:r>
      <w:r w:rsidR="00200A10" w:rsidRPr="007321E4">
        <w:t>the Agreement on Agriculture and the GATT 1994</w:t>
      </w:r>
      <w:r w:rsidRPr="007321E4">
        <w:t xml:space="preserve"> applied cumulatively.</w:t>
      </w:r>
      <w:r w:rsidRPr="007321E4">
        <w:rPr>
          <w:vertAlign w:val="superscript"/>
        </w:rPr>
        <w:footnoteReference w:id="78"/>
      </w:r>
    </w:p>
    <w:p w:rsidR="00F75F41" w:rsidRPr="007321E4" w:rsidRDefault="00F75F41" w:rsidP="00F75F41">
      <w:pPr>
        <w:pStyle w:val="BodyText"/>
      </w:pPr>
      <w:r w:rsidRPr="007321E4">
        <w:t>Indonesia argues that Article 21.1</w:t>
      </w:r>
      <w:r w:rsidR="00954909" w:rsidRPr="007321E4">
        <w:t xml:space="preserve"> of the Agreement on Agriculture:</w:t>
      </w:r>
      <w:r w:rsidRPr="007321E4">
        <w:t xml:space="preserve"> (i) "does not require a conflict between the GATT 1994 and … the Agreement on Agriculture" to apply, but (ii) requires the Agreement on Agriculture to </w:t>
      </w:r>
      <w:r w:rsidR="00954909" w:rsidRPr="007321E4">
        <w:t>"</w:t>
      </w:r>
      <w:r w:rsidRPr="007321E4">
        <w:t xml:space="preserve">apply to the </w:t>
      </w:r>
      <w:r w:rsidRPr="007321E4">
        <w:rPr>
          <w:u w:val="single"/>
        </w:rPr>
        <w:t>exclusion</w:t>
      </w:r>
      <w:r w:rsidRPr="007321E4">
        <w:t xml:space="preserve"> of the more general agreements, such as the GATT 1994, to the extent that the Agreement on Agriculture contains specific provisions dealing specifically with the same matter</w:t>
      </w:r>
      <w:r w:rsidR="00200A10" w:rsidRPr="007321E4">
        <w:t>.</w:t>
      </w:r>
      <w:r w:rsidRPr="007321E4">
        <w:t>"</w:t>
      </w:r>
      <w:r w:rsidRPr="007321E4">
        <w:rPr>
          <w:vertAlign w:val="superscript"/>
        </w:rPr>
        <w:footnoteReference w:id="79"/>
      </w:r>
      <w:r w:rsidRPr="007321E4">
        <w:t xml:space="preserve"> Indonesia's interpretation is not consistent with Article</w:t>
      </w:r>
      <w:r w:rsidR="00E66336" w:rsidRPr="007321E4">
        <w:t> </w:t>
      </w:r>
      <w:r w:rsidRPr="007321E4">
        <w:t>21.1, as interpreted by the Appellate Body, according to which the provisions of the Agreement on Agriculture prevail in the event of a conflict between provisions of the Agreement on Agriculture and provisions of the GATT 1994 or other Multilateral Trade Agreements in Annex 1A</w:t>
      </w:r>
      <w:r w:rsidR="00954909" w:rsidRPr="007321E4">
        <w:t xml:space="preserve"> of the WTO Agreement</w:t>
      </w:r>
      <w:r w:rsidRPr="007321E4">
        <w:t>.</w:t>
      </w:r>
      <w:r w:rsidRPr="007321E4">
        <w:rPr>
          <w:rStyle w:val="FootnoteReference"/>
        </w:rPr>
        <w:footnoteReference w:id="80"/>
      </w:r>
      <w:r w:rsidRPr="007321E4">
        <w:t xml:space="preserve"> </w:t>
      </w:r>
    </w:p>
    <w:p w:rsidR="00F75F41" w:rsidRPr="007321E4" w:rsidRDefault="00F75F41" w:rsidP="00F75F41">
      <w:pPr>
        <w:pStyle w:val="BodyText"/>
      </w:pPr>
      <w:r w:rsidRPr="007321E4">
        <w:t>In light of these considerations, we assess next whether Article XI</w:t>
      </w:r>
      <w:proofErr w:type="gramStart"/>
      <w:r w:rsidRPr="007321E4">
        <w:t>:1</w:t>
      </w:r>
      <w:proofErr w:type="gramEnd"/>
      <w:r w:rsidRPr="007321E4">
        <w:t xml:space="preserve"> of the GATT 1994 and Article 4.2 of the Agreement on Agriculture are in conflict or whether there is another factor preventing their cumulative application. In so doing, we focus on whether the content of and the relationship between these two provisions permit their cumulative application in this dispute. </w:t>
      </w:r>
    </w:p>
    <w:p w:rsidR="00F75F41" w:rsidRPr="007321E4" w:rsidRDefault="00F75F41" w:rsidP="00F75F41">
      <w:pPr>
        <w:pStyle w:val="BodyText"/>
      </w:pPr>
      <w:r w:rsidRPr="007321E4" w:rsidDel="008A43BA">
        <w:t xml:space="preserve">Before the Panel, New Zealand and the United States claimed that </w:t>
      </w:r>
      <w:r w:rsidR="002D1D5A" w:rsidRPr="007321E4">
        <w:t>a</w:t>
      </w:r>
      <w:r w:rsidR="001425B8" w:rsidRPr="007321E4">
        <w:t>ll</w:t>
      </w:r>
      <w:r w:rsidR="002D1D5A" w:rsidRPr="007321E4">
        <w:t xml:space="preserve"> </w:t>
      </w:r>
      <w:r w:rsidRPr="007321E4" w:rsidDel="008A43BA">
        <w:t xml:space="preserve">18 measures at issue constitute quantitative restrictions that are inconsistent with Article 4.2 </w:t>
      </w:r>
      <w:r w:rsidR="00954909" w:rsidRPr="007321E4">
        <w:t xml:space="preserve">of the Agreement on Agriculture </w:t>
      </w:r>
      <w:r w:rsidRPr="007321E4" w:rsidDel="008A43BA">
        <w:t>and Article XI</w:t>
      </w:r>
      <w:proofErr w:type="gramStart"/>
      <w:r w:rsidRPr="007321E4" w:rsidDel="008A43BA">
        <w:t>:1</w:t>
      </w:r>
      <w:proofErr w:type="gramEnd"/>
      <w:r w:rsidR="00954909" w:rsidRPr="007321E4">
        <w:t xml:space="preserve"> of the GATT 1994</w:t>
      </w:r>
      <w:r w:rsidRPr="007321E4">
        <w:t>, which both discipline quantitative restrictions</w:t>
      </w:r>
      <w:r w:rsidRPr="007321E4" w:rsidDel="008A43BA">
        <w:t>.</w:t>
      </w:r>
      <w:r w:rsidRPr="007321E4">
        <w:rPr>
          <w:vertAlign w:val="superscript"/>
        </w:rPr>
        <w:footnoteReference w:id="81"/>
      </w:r>
      <w:r w:rsidRPr="007321E4" w:rsidDel="008A43BA">
        <w:t xml:space="preserve"> </w:t>
      </w:r>
      <w:r w:rsidRPr="007321E4">
        <w:t>In addition, a</w:t>
      </w:r>
      <w:r w:rsidRPr="007321E4" w:rsidDel="008A43BA">
        <w:t>ll 18 measures at issue apply to agricultural products</w:t>
      </w:r>
      <w:r w:rsidRPr="007321E4">
        <w:rPr>
          <w:rStyle w:val="FootnoteReference"/>
        </w:rPr>
        <w:footnoteReference w:id="82"/>
      </w:r>
      <w:r w:rsidRPr="007321E4">
        <w:t>, and</w:t>
      </w:r>
      <w:r w:rsidRPr="007321E4" w:rsidDel="008A43BA">
        <w:t xml:space="preserve"> </w:t>
      </w:r>
      <w:r w:rsidRPr="007321E4">
        <w:t>t</w:t>
      </w:r>
      <w:r w:rsidRPr="007321E4" w:rsidDel="008A43BA">
        <w:t>he co</w:t>
      </w:r>
      <w:r w:rsidRPr="007321E4" w:rsidDel="008A43BA">
        <w:noBreakHyphen/>
        <w:t xml:space="preserve">complainants' claims concern the same matter under either provision, namely, quantitative import restrictions on agricultural goods. </w:t>
      </w:r>
      <w:r w:rsidRPr="007321E4">
        <w:t xml:space="preserve">In its appellant's submission, </w:t>
      </w:r>
      <w:r w:rsidRPr="007321E4">
        <w:rPr>
          <w:color w:val="000000"/>
          <w:shd w:val="clear" w:color="auto" w:fill="FFFFFF"/>
        </w:rPr>
        <w:t>Indonesia argued that Article 4.2 imposes "a more specific obligation" than Article XI:1, because Members that are found to act inconsistently with Article 4.2 have to convert their measures into ordinary customs duties, whereas inconsistency with Article XI:1 is remedied through the elimination of the quantitative restriction at issue.</w:t>
      </w:r>
      <w:r w:rsidRPr="007321E4">
        <w:rPr>
          <w:color w:val="000000"/>
          <w:shd w:val="clear" w:color="auto" w:fill="FFFFFF"/>
          <w:vertAlign w:val="superscript"/>
        </w:rPr>
        <w:footnoteReference w:id="83"/>
      </w:r>
      <w:r w:rsidRPr="007321E4">
        <w:rPr>
          <w:color w:val="000000"/>
          <w:shd w:val="clear" w:color="auto" w:fill="FFFFFF"/>
        </w:rPr>
        <w:t xml:space="preserve"> </w:t>
      </w:r>
    </w:p>
    <w:p w:rsidR="00F75F41" w:rsidRPr="007321E4" w:rsidRDefault="00F75F41" w:rsidP="00F75F41">
      <w:pPr>
        <w:pStyle w:val="BodyText"/>
      </w:pPr>
      <w:r w:rsidRPr="007321E4">
        <w:t xml:space="preserve">Although Article 4.2 </w:t>
      </w:r>
      <w:r w:rsidR="00954909" w:rsidRPr="007321E4">
        <w:t xml:space="preserve">of the </w:t>
      </w:r>
      <w:r w:rsidR="00E66336" w:rsidRPr="007321E4">
        <w:t>Agreement</w:t>
      </w:r>
      <w:r w:rsidR="00954909" w:rsidRPr="007321E4">
        <w:t xml:space="preserve"> on Agriculture </w:t>
      </w:r>
      <w:r w:rsidRPr="007321E4">
        <w:t>generally applies to: (i) a broader range of measures; and (ii) a narrower scope of products than Article XI</w:t>
      </w:r>
      <w:proofErr w:type="gramStart"/>
      <w:r w:rsidRPr="007321E4">
        <w:t>:1</w:t>
      </w:r>
      <w:proofErr w:type="gramEnd"/>
      <w:r w:rsidR="00954909" w:rsidRPr="007321E4">
        <w:t xml:space="preserve"> of the GATT 1994</w:t>
      </w:r>
      <w:r w:rsidRPr="007321E4">
        <w:t>; both provisions prohibit Members from maintaining quantitative import restrictions on agricultural products.</w:t>
      </w:r>
      <w:r w:rsidR="00C82090" w:rsidRPr="007321E4">
        <w:rPr>
          <w:rStyle w:val="FootnoteReference"/>
        </w:rPr>
        <w:footnoteReference w:id="84"/>
      </w:r>
      <w:r w:rsidRPr="007321E4">
        <w:t xml:space="preserve"> A measure constituting a quantitative import restriction on agricultural products would therefore be inconsistent with both Article XI</w:t>
      </w:r>
      <w:proofErr w:type="gramStart"/>
      <w:r w:rsidRPr="007321E4">
        <w:t>:1</w:t>
      </w:r>
      <w:proofErr w:type="gramEnd"/>
      <w:r w:rsidRPr="007321E4">
        <w:t xml:space="preserve"> and Article 4.2. Such findings of inconsistency would also result in the same implementation obligations under either provision, that is, to bring the measure into conformity with those provisions. The Appellate Body has suggested previously that there is essentially no difference between the obligation in Article XI</w:t>
      </w:r>
      <w:proofErr w:type="gramStart"/>
      <w:r w:rsidRPr="007321E4">
        <w:t>:1</w:t>
      </w:r>
      <w:proofErr w:type="gramEnd"/>
      <w:r w:rsidRPr="007321E4">
        <w:t xml:space="preserve"> </w:t>
      </w:r>
      <w:r w:rsidR="00954909" w:rsidRPr="007321E4">
        <w:t xml:space="preserve">to eliminate </w:t>
      </w:r>
      <w:r w:rsidR="00954909" w:rsidRPr="007321E4">
        <w:lastRenderedPageBreak/>
        <w:t xml:space="preserve">quantitative restrictions </w:t>
      </w:r>
      <w:r w:rsidRPr="007321E4">
        <w:t xml:space="preserve">and the obligation in Article 4.2 "not </w:t>
      </w:r>
      <w:r w:rsidR="00200A10" w:rsidRPr="007321E4">
        <w:t>[</w:t>
      </w:r>
      <w:r w:rsidRPr="007321E4">
        <w:t>to</w:t>
      </w:r>
      <w:r w:rsidR="00200A10" w:rsidRPr="007321E4">
        <w:t>]</w:t>
      </w:r>
      <w:r w:rsidRPr="007321E4">
        <w:t xml:space="preserve"> maintain, re</w:t>
      </w:r>
      <w:r w:rsidR="00200A10" w:rsidRPr="007321E4">
        <w:t>sort</w:t>
      </w:r>
      <w:r w:rsidRPr="007321E4">
        <w:t xml:space="preserve"> to, or re</w:t>
      </w:r>
      <w:r w:rsidR="00200A10" w:rsidRPr="007321E4">
        <w:t>vert</w:t>
      </w:r>
      <w:r w:rsidRPr="007321E4">
        <w:t xml:space="preserve"> to" measures covered by Article 4.2.</w:t>
      </w:r>
      <w:r w:rsidR="00C82090" w:rsidRPr="007321E4">
        <w:rPr>
          <w:rStyle w:val="FootnoteReference"/>
        </w:rPr>
        <w:footnoteReference w:id="85"/>
      </w:r>
    </w:p>
    <w:p w:rsidR="00F75F41" w:rsidRPr="007321E4" w:rsidRDefault="00F75F41" w:rsidP="00F75F41">
      <w:pPr>
        <w:pStyle w:val="BodyText"/>
      </w:pPr>
      <w:r w:rsidRPr="007321E4">
        <w:t>To the extent that they apply to the claims challenging the 18 measures at issue as quantitative restrictions, Article XI</w:t>
      </w:r>
      <w:proofErr w:type="gramStart"/>
      <w:r w:rsidRPr="007321E4">
        <w:t>:1</w:t>
      </w:r>
      <w:proofErr w:type="gramEnd"/>
      <w:r w:rsidRPr="007321E4">
        <w:t xml:space="preserve"> of the GATT 1994 and Article 4.2 of the Agreement on Agriculture thus contain the same substantive obligations, namely, the obligation not to maintain quantitative import restrictions on agricultural products. Had the Panel decided to commence its analysis with Article 4.2 rather than Article XI</w:t>
      </w:r>
      <w:proofErr w:type="gramStart"/>
      <w:r w:rsidRPr="007321E4">
        <w:t>:1</w:t>
      </w:r>
      <w:proofErr w:type="gramEnd"/>
      <w:r w:rsidRPr="007321E4">
        <w:t>, it would have, in essence, conducted the same analysis to determine whether the 18 measures at issue are "quantitative import restrictions" within the meaning of footnote 1 to Article 4.2.</w:t>
      </w:r>
      <w:r w:rsidR="00C82090" w:rsidRPr="007321E4">
        <w:rPr>
          <w:rStyle w:val="FootnoteReference"/>
        </w:rPr>
        <w:footnoteReference w:id="86"/>
      </w:r>
      <w:r w:rsidRPr="007321E4">
        <w:t xml:space="preserve"> </w:t>
      </w:r>
    </w:p>
    <w:p w:rsidR="00F75F41" w:rsidRPr="007321E4" w:rsidRDefault="00F75F41" w:rsidP="00F75F41">
      <w:pPr>
        <w:pStyle w:val="BodyText"/>
      </w:pPr>
      <w:r w:rsidRPr="007321E4">
        <w:t>Furthermore, a measure found to be a quantitative import restriction on agricultural products inconsistent with Article XI</w:t>
      </w:r>
      <w:proofErr w:type="gramStart"/>
      <w:r w:rsidRPr="007321E4">
        <w:t>:1</w:t>
      </w:r>
      <w:proofErr w:type="gramEnd"/>
      <w:r w:rsidRPr="007321E4">
        <w:t xml:space="preserve"> may potentially be justified under Article XX of the GATT 1994, and </w:t>
      </w:r>
      <w:r w:rsidR="00200A10" w:rsidRPr="007321E4">
        <w:t xml:space="preserve">the </w:t>
      </w:r>
      <w:r w:rsidR="00493EC6" w:rsidRPr="007321E4">
        <w:t>second</w:t>
      </w:r>
      <w:r w:rsidR="00200A10" w:rsidRPr="007321E4">
        <w:t xml:space="preserve"> part of </w:t>
      </w:r>
      <w:r w:rsidRPr="007321E4">
        <w:t xml:space="preserve">footnote 1 to Article 4.2 </w:t>
      </w:r>
      <w:r w:rsidR="00984DB3" w:rsidRPr="007321E4">
        <w:t xml:space="preserve">of the Agreement on Agriculture </w:t>
      </w:r>
      <w:r w:rsidR="00BF55AB" w:rsidRPr="007321E4">
        <w:t>also incorporates Article </w:t>
      </w:r>
      <w:r w:rsidRPr="007321E4">
        <w:t>XX of the GATT 1994.</w:t>
      </w:r>
      <w:r w:rsidR="00C82090" w:rsidRPr="007321E4">
        <w:rPr>
          <w:rStyle w:val="FootnoteReference"/>
        </w:rPr>
        <w:footnoteReference w:id="87"/>
      </w:r>
      <w:r w:rsidRPr="007321E4">
        <w:t xml:space="preserve"> To the extent </w:t>
      </w:r>
      <w:r w:rsidR="00984DB3" w:rsidRPr="007321E4">
        <w:t xml:space="preserve">that </w:t>
      </w:r>
      <w:r w:rsidRPr="007321E4">
        <w:t>they apply to the claims regarding the 18 measures at issue in this dispute, Article XI</w:t>
      </w:r>
      <w:proofErr w:type="gramStart"/>
      <w:r w:rsidRPr="007321E4">
        <w:t>:1</w:t>
      </w:r>
      <w:proofErr w:type="gramEnd"/>
      <w:r w:rsidRPr="007321E4">
        <w:t xml:space="preserve"> of the GATT 1994 and Article 4.2 of the Agreement on Agriculture are thus subject to the same exceptions under Article XX of the GATT 1994, and, as we determine further below in our analysis, the same burden of proof applies under Article XX, regardless of whether </w:t>
      </w:r>
      <w:r w:rsidR="00200A10" w:rsidRPr="007321E4">
        <w:t xml:space="preserve">that provision </w:t>
      </w:r>
      <w:r w:rsidRPr="007321E4">
        <w:t>is invoked in relation to Article XI:1 or Article 4.2.</w:t>
      </w:r>
      <w:r w:rsidR="00C82090" w:rsidRPr="007321E4">
        <w:rPr>
          <w:rStyle w:val="FootnoteReference"/>
        </w:rPr>
        <w:footnoteReference w:id="88"/>
      </w:r>
      <w:r w:rsidRPr="007321E4">
        <w:t xml:space="preserve"> </w:t>
      </w:r>
    </w:p>
    <w:p w:rsidR="00F75F41" w:rsidRPr="007321E4" w:rsidRDefault="00F75F41" w:rsidP="00F75F41">
      <w:pPr>
        <w:pStyle w:val="BodyText"/>
      </w:pPr>
      <w:r w:rsidRPr="007321E4">
        <w:t xml:space="preserve">In light of the above, we consider that Article 4.2 of the Agreement on Agriculture does not apply "to the </w:t>
      </w:r>
      <w:r w:rsidRPr="007321E4">
        <w:rPr>
          <w:u w:val="single"/>
        </w:rPr>
        <w:t>exclusion</w:t>
      </w:r>
      <w:r w:rsidRPr="007321E4">
        <w:t xml:space="preserve"> of"</w:t>
      </w:r>
      <w:r w:rsidR="00C82090" w:rsidRPr="007321E4">
        <w:rPr>
          <w:rStyle w:val="FootnoteReference"/>
        </w:rPr>
        <w:footnoteReference w:id="89"/>
      </w:r>
      <w:r w:rsidRPr="007321E4">
        <w:t xml:space="preserve"> Article XI</w:t>
      </w:r>
      <w:proofErr w:type="gramStart"/>
      <w:r w:rsidRPr="007321E4">
        <w:t>:1</w:t>
      </w:r>
      <w:proofErr w:type="gramEnd"/>
      <w:r w:rsidRPr="007321E4">
        <w:t xml:space="preserve"> of the GATT 1994 in relation to the claims challenging the 18 measures at issue as quantitative restrictions. Both provisions contain the same substantive obligations in relation to these claims and</w:t>
      </w:r>
      <w:r w:rsidR="00984DB3" w:rsidRPr="007321E4">
        <w:t>,</w:t>
      </w:r>
      <w:r w:rsidRPr="007321E4">
        <w:t xml:space="preserve"> thus, in these circumstances, they apply cumulatively.</w:t>
      </w:r>
      <w:r w:rsidRPr="007321E4">
        <w:rPr>
          <w:rStyle w:val="FootnoteReference"/>
        </w:rPr>
        <w:footnoteReference w:id="90"/>
      </w:r>
      <w:r w:rsidRPr="007321E4">
        <w:t xml:space="preserve"> </w:t>
      </w:r>
    </w:p>
    <w:p w:rsidR="00F75F41" w:rsidRPr="007321E4" w:rsidRDefault="00F75F41" w:rsidP="00F75F41">
      <w:pPr>
        <w:pStyle w:val="Heading3"/>
      </w:pPr>
      <w:bookmarkStart w:id="99" w:name="_Toc496267416"/>
      <w:bookmarkStart w:id="100" w:name="_Toc497915390"/>
      <w:r w:rsidRPr="007321E4">
        <w:t>Whether a mandatory sequence of analysis exists between Article XI</w:t>
      </w:r>
      <w:proofErr w:type="gramStart"/>
      <w:r w:rsidRPr="007321E4">
        <w:t>:1</w:t>
      </w:r>
      <w:proofErr w:type="gramEnd"/>
      <w:r w:rsidRPr="007321E4">
        <w:t xml:space="preserve"> of the GATT 1994 and Article 4.2 of the Agreement on Agriculture</w:t>
      </w:r>
      <w:bookmarkEnd w:id="99"/>
      <w:bookmarkEnd w:id="100"/>
    </w:p>
    <w:p w:rsidR="00F75F41" w:rsidRPr="007321E4" w:rsidRDefault="00F75F41" w:rsidP="00F75F41">
      <w:pPr>
        <w:pStyle w:val="BodyText"/>
      </w:pPr>
      <w:r w:rsidRPr="007321E4">
        <w:t>We next examine whether, in the circumstances of this case, there is a mandatory sequence of analysis between Article XI</w:t>
      </w:r>
      <w:proofErr w:type="gramStart"/>
      <w:r w:rsidRPr="007321E4">
        <w:t>:1</w:t>
      </w:r>
      <w:proofErr w:type="gramEnd"/>
      <w:r w:rsidRPr="007321E4">
        <w:t xml:space="preserve"> of the GATT 1994 and Article 4.2 of the Agreement on Agriculture, which, if not followed by the Panel, would amount to an error of law.</w:t>
      </w:r>
      <w:r w:rsidR="00E5385E" w:rsidRPr="007321E4">
        <w:rPr>
          <w:rStyle w:val="FootnoteReference"/>
        </w:rPr>
        <w:footnoteReference w:id="91"/>
      </w:r>
      <w:r w:rsidRPr="007321E4">
        <w:t xml:space="preserve"> We recall that the Panel decided to begin its analysis under Article XI</w:t>
      </w:r>
      <w:proofErr w:type="gramStart"/>
      <w:r w:rsidRPr="007321E4">
        <w:t>:1</w:t>
      </w:r>
      <w:proofErr w:type="gramEnd"/>
      <w:r w:rsidRPr="007321E4">
        <w:t xml:space="preserve">, because it considered that Article XI:1 is more specific with respect to quantitative restrictions than Article 4.2, which refers </w:t>
      </w:r>
      <w:r w:rsidR="00200A10" w:rsidRPr="007321E4">
        <w:t xml:space="preserve">also </w:t>
      </w:r>
      <w:r w:rsidRPr="007321E4">
        <w:t xml:space="preserve">to </w:t>
      </w:r>
      <w:r w:rsidR="00200A10" w:rsidRPr="007321E4">
        <w:t>"</w:t>
      </w:r>
      <w:r w:rsidRPr="007321E4">
        <w:t>measures other than quantitative restrictions".</w:t>
      </w:r>
      <w:r w:rsidR="00E5385E" w:rsidRPr="007321E4">
        <w:rPr>
          <w:rStyle w:val="FootnoteReference"/>
        </w:rPr>
        <w:footnoteReference w:id="92"/>
      </w:r>
    </w:p>
    <w:p w:rsidR="00F75F41" w:rsidRPr="007321E4" w:rsidRDefault="00F75F41" w:rsidP="00F75F41">
      <w:pPr>
        <w:pStyle w:val="BodyText"/>
      </w:pPr>
      <w:r w:rsidRPr="007321E4">
        <w:t xml:space="preserve">Indonesia argues that </w:t>
      </w:r>
      <w:r w:rsidR="00984DB3" w:rsidRPr="007321E4">
        <w:t>"</w:t>
      </w:r>
      <w:r w:rsidRPr="007321E4">
        <w:t>the Panel erred in determining that the provision which dealt specifically with quantitative restrictions was Article XI</w:t>
      </w:r>
      <w:proofErr w:type="gramStart"/>
      <w:r w:rsidRPr="007321E4">
        <w:t>:1</w:t>
      </w:r>
      <w:proofErr w:type="gramEnd"/>
      <w:r w:rsidRPr="007321E4">
        <w:t xml:space="preserve"> of the GATT 1994 and, as a result, in assessing the 18 measures at issue under Article XI:1 of the GATT 1994, rather than Article 4.2 of the Agreement on Agriculture</w:t>
      </w:r>
      <w:r w:rsidR="00200A10" w:rsidRPr="007321E4">
        <w:t>.</w:t>
      </w:r>
      <w:r w:rsidRPr="007321E4">
        <w:t>"</w:t>
      </w:r>
      <w:r w:rsidR="00E5385E" w:rsidRPr="007321E4">
        <w:rPr>
          <w:rStyle w:val="FootnoteReference"/>
        </w:rPr>
        <w:footnoteReference w:id="93"/>
      </w:r>
      <w:r w:rsidRPr="007321E4">
        <w:t xml:space="preserve"> According to Indonesia, the Panel should "have concluded that Article 4.2 applies more specifically to the products at issue, i.e. agricultural products</w:t>
      </w:r>
      <w:r w:rsidR="00200A10" w:rsidRPr="007321E4">
        <w:t>.</w:t>
      </w:r>
      <w:r w:rsidRPr="007321E4">
        <w:t>"</w:t>
      </w:r>
      <w:r w:rsidR="00E5385E" w:rsidRPr="007321E4">
        <w:rPr>
          <w:rStyle w:val="FootnoteReference"/>
        </w:rPr>
        <w:footnoteReference w:id="94"/>
      </w:r>
      <w:r w:rsidRPr="007321E4">
        <w:t xml:space="preserve"> </w:t>
      </w:r>
      <w:r w:rsidRPr="007321E4">
        <w:lastRenderedPageBreak/>
        <w:t>New Zealand and the United States respond that the structure of Article XI:1 and Article 4.2 show</w:t>
      </w:r>
      <w:r w:rsidR="00984DB3" w:rsidRPr="007321E4">
        <w:t>s</w:t>
      </w:r>
      <w:r w:rsidRPr="007321E4">
        <w:t xml:space="preserve"> that no mandatory order of analysis is warranted, and that nothing in the Panel's chosen order of analysis prevented it from undertaking a logical consideration of the claims presented to it, or affected the substance of its analysis under Article XI:1.</w:t>
      </w:r>
      <w:r w:rsidR="00C82090" w:rsidRPr="007321E4">
        <w:rPr>
          <w:rStyle w:val="FootnoteReference"/>
        </w:rPr>
        <w:footnoteReference w:id="95"/>
      </w:r>
      <w:r w:rsidRPr="007321E4">
        <w:t xml:space="preserve"> </w:t>
      </w:r>
    </w:p>
    <w:p w:rsidR="00F75F41" w:rsidRPr="007321E4" w:rsidRDefault="00F75F41" w:rsidP="00F75F41">
      <w:pPr>
        <w:pStyle w:val="BodyText"/>
      </w:pPr>
      <w:r w:rsidRPr="007321E4">
        <w:t>We have concluded above that Article 4.2 of the Agreement on Agriculture does not apply to the exclusion of Article XI</w:t>
      </w:r>
      <w:proofErr w:type="gramStart"/>
      <w:r w:rsidRPr="007321E4">
        <w:t>:1</w:t>
      </w:r>
      <w:proofErr w:type="gramEnd"/>
      <w:r w:rsidRPr="007321E4">
        <w:t xml:space="preserve"> of the GATT 1994, and that these two provisions apply cumulatively to the measures at issue in this dispute.</w:t>
      </w:r>
      <w:r w:rsidR="00C82090" w:rsidRPr="007321E4">
        <w:rPr>
          <w:rStyle w:val="FootnoteReference"/>
        </w:rPr>
        <w:footnoteReference w:id="96"/>
      </w:r>
      <w:r w:rsidRPr="007321E4">
        <w:t xml:space="preserve"> The remaining question before us is whether, in the absence of a conflict, the Panel was required to follow a particular sequence in addressing the claims raised under Article 4.2 and Article XI</w:t>
      </w:r>
      <w:proofErr w:type="gramStart"/>
      <w:r w:rsidRPr="007321E4">
        <w:t>:1</w:t>
      </w:r>
      <w:proofErr w:type="gramEnd"/>
      <w:r w:rsidRPr="007321E4">
        <w:t>.</w:t>
      </w:r>
    </w:p>
    <w:p w:rsidR="00F75F41" w:rsidRPr="007321E4" w:rsidRDefault="00F75F41" w:rsidP="00F75F41">
      <w:pPr>
        <w:pStyle w:val="BodyText"/>
      </w:pPr>
      <w:r w:rsidRPr="007321E4">
        <w:t xml:space="preserve">In the context of addressing the relationship between different provisions of the covered agreements, the Appellate Body considered in </w:t>
      </w:r>
      <w:r w:rsidRPr="007321E4">
        <w:rPr>
          <w:i/>
        </w:rPr>
        <w:t>Canada – Wheat Export</w:t>
      </w:r>
      <w:r w:rsidR="008B2FAE" w:rsidRPr="007321E4">
        <w:rPr>
          <w:i/>
        </w:rPr>
        <w:t>s</w:t>
      </w:r>
      <w:r w:rsidRPr="007321E4">
        <w:rPr>
          <w:i/>
        </w:rPr>
        <w:t xml:space="preserve"> and Grain Imports</w:t>
      </w:r>
      <w:r w:rsidRPr="007321E4">
        <w:t xml:space="preserve"> that "it is the nature of the relationship between two provisions that will determine whether there exists a mandatory sequence of analysis" and that "[i]n some cases, this relationship is such that a failure to structure the analysis in the proper logical sequence will have repercussions for the substance of the analysis itself."</w:t>
      </w:r>
      <w:r w:rsidR="00C82090" w:rsidRPr="007321E4">
        <w:rPr>
          <w:rStyle w:val="FootnoteReference"/>
        </w:rPr>
        <w:footnoteReference w:id="97"/>
      </w:r>
      <w:r w:rsidRPr="007321E4">
        <w:t xml:space="preserve"> In </w:t>
      </w:r>
      <w:r w:rsidRPr="007321E4">
        <w:rPr>
          <w:i/>
        </w:rPr>
        <w:t>Canada – Renewable Energy / Canada – Feed-in Tariff Program</w:t>
      </w:r>
      <w:r w:rsidRPr="007321E4">
        <w:t>, the Appellate Body also considered that</w:t>
      </w:r>
      <w:r w:rsidR="00CB55EA" w:rsidRPr="007321E4">
        <w:t>,</w:t>
      </w:r>
      <w:r w:rsidRPr="007321E4">
        <w:t xml:space="preserve"> while "[i]</w:t>
      </w:r>
      <w:proofErr w:type="spellStart"/>
      <w:r w:rsidRPr="007321E4">
        <w:t>ssues</w:t>
      </w:r>
      <w:proofErr w:type="spellEnd"/>
      <w:r w:rsidRPr="007321E4">
        <w:t xml:space="preserve"> of sequencing may become relevant to a logical consideration of claims under different agreements", nothing in Article III:4 of the GATT 1994, Article 2.1 of the Agreement on Trade-Related Investment Measures (TRIMs </w:t>
      </w:r>
      <w:r w:rsidR="00107E09" w:rsidRPr="007321E4">
        <w:t>A</w:t>
      </w:r>
      <w:r w:rsidRPr="007321E4">
        <w:t>greement), and Article 3.1(b) of the Agreement on Subsidies and Countervailing Measures (SCM Agreement) "indicate that there is an obligatory sequence of analysis to be followed when claims are made" under such provisions.</w:t>
      </w:r>
      <w:r w:rsidR="00C82090" w:rsidRPr="007321E4">
        <w:rPr>
          <w:rStyle w:val="FootnoteReference"/>
        </w:rPr>
        <w:footnoteReference w:id="98"/>
      </w:r>
      <w:r w:rsidRPr="007321E4">
        <w:t xml:space="preserve"> The Appellate Body further noted that "Japan ha[d] not indicated why commencing the analysis with the SCM Agreement could lead to a different outcome than commencing with the GATT 1994 and the TRIMs Agreement"</w:t>
      </w:r>
      <w:r w:rsidR="00C82090" w:rsidRPr="007321E4">
        <w:rPr>
          <w:rStyle w:val="FootnoteReference"/>
        </w:rPr>
        <w:footnoteReference w:id="99"/>
      </w:r>
      <w:r w:rsidRPr="007321E4">
        <w:t>, as the panel had done, and concluded that, "[u]</w:t>
      </w:r>
      <w:proofErr w:type="spellStart"/>
      <w:r w:rsidRPr="007321E4">
        <w:t>ltimately</w:t>
      </w:r>
      <w:proofErr w:type="spellEnd"/>
      <w:r w:rsidRPr="007321E4">
        <w:t xml:space="preserve">, the decision in this case as to whether to commence the analysis with the claims under the SCM Agreement or those under the GATT 1994 and the TRIMs Agreement was within the </w:t>
      </w:r>
      <w:r w:rsidR="00CB55EA" w:rsidRPr="007321E4">
        <w:t>[p]</w:t>
      </w:r>
      <w:proofErr w:type="spellStart"/>
      <w:r w:rsidRPr="007321E4">
        <w:t>anel's</w:t>
      </w:r>
      <w:proofErr w:type="spellEnd"/>
      <w:r w:rsidRPr="007321E4">
        <w:t xml:space="preserve"> margin of discretion</w:t>
      </w:r>
      <w:r w:rsidR="00CB55EA" w:rsidRPr="007321E4">
        <w:t>.</w:t>
      </w:r>
      <w:r w:rsidRPr="007321E4">
        <w:t>"</w:t>
      </w:r>
      <w:r w:rsidR="00C82090" w:rsidRPr="007321E4">
        <w:rPr>
          <w:rStyle w:val="FootnoteReference"/>
        </w:rPr>
        <w:footnoteReference w:id="100"/>
      </w:r>
      <w:r w:rsidRPr="007321E4">
        <w:t xml:space="preserve"> The Panel </w:t>
      </w:r>
      <w:r w:rsidR="00CB55EA" w:rsidRPr="007321E4">
        <w:t xml:space="preserve">in this dispute </w:t>
      </w:r>
      <w:r w:rsidRPr="007321E4">
        <w:t xml:space="preserve">may have been required to follow a particular sequence between </w:t>
      </w:r>
      <w:r w:rsidR="00BF55AB" w:rsidRPr="007321E4">
        <w:t>Article XI:1 of the GATT </w:t>
      </w:r>
      <w:r w:rsidRPr="007321E4">
        <w:t>1994 and Article</w:t>
      </w:r>
      <w:r w:rsidR="00E66336" w:rsidRPr="007321E4">
        <w:t> </w:t>
      </w:r>
      <w:r w:rsidRPr="007321E4">
        <w:t>4.2 of the Agreement on Agriculture if, for instance, addressing Article 4.2 first would have led to a different substantive outcome than commencing the analysis with Article XI:1, as the Panel did.</w:t>
      </w:r>
      <w:r w:rsidR="00C82090" w:rsidRPr="007321E4">
        <w:rPr>
          <w:rStyle w:val="FootnoteReference"/>
        </w:rPr>
        <w:footnoteReference w:id="101"/>
      </w:r>
    </w:p>
    <w:p w:rsidR="00F75F41" w:rsidRPr="007321E4" w:rsidRDefault="00F75F41" w:rsidP="00F75F41">
      <w:pPr>
        <w:pStyle w:val="BodyText"/>
      </w:pPr>
      <w:r w:rsidRPr="007321E4">
        <w:t>We have said above that the obligations of Article XI</w:t>
      </w:r>
      <w:proofErr w:type="gramStart"/>
      <w:r w:rsidRPr="007321E4">
        <w:t>:1</w:t>
      </w:r>
      <w:proofErr w:type="gramEnd"/>
      <w:r w:rsidRPr="007321E4">
        <w:t xml:space="preserve"> of the GATT 1994 and Article 4.2 of the Agreement on Agriculture are substantively and procedurally the same insofar as they apply to </w:t>
      </w:r>
      <w:r w:rsidR="002544FD" w:rsidRPr="007321E4">
        <w:t>the co-complainants'</w:t>
      </w:r>
      <w:r w:rsidRPr="007321E4">
        <w:t xml:space="preserve"> claims challenging the 18 measures at issue.</w:t>
      </w:r>
      <w:r w:rsidR="00C82090" w:rsidRPr="007321E4">
        <w:rPr>
          <w:rStyle w:val="FootnoteReference"/>
        </w:rPr>
        <w:footnoteReference w:id="102"/>
      </w:r>
      <w:r w:rsidRPr="007321E4">
        <w:t xml:space="preserve"> Indonesia has not explained why starting with an analysis under Article 4.2 would have led to a different substantive outcome. As we see it, the analysis that the Panel would have conducted under Article 4.2 as to whether the measures at issue are prohibited quantitative import restrictions is the same as the analysis that the Panel conducted under Article XI</w:t>
      </w:r>
      <w:proofErr w:type="gramStart"/>
      <w:r w:rsidRPr="007321E4">
        <w:t>:1</w:t>
      </w:r>
      <w:proofErr w:type="gramEnd"/>
      <w:r w:rsidRPr="007321E4">
        <w:t xml:space="preserve">. Had the Panel commenced its analysis with Article 4.2, it would have equally examined whether the measures are justified under Article XX, as provided for in </w:t>
      </w:r>
      <w:r w:rsidR="003E4F7F" w:rsidRPr="007321E4">
        <w:t xml:space="preserve">the second part of </w:t>
      </w:r>
      <w:r w:rsidRPr="007321E4">
        <w:t>footnote 1 to Article 4.2, and reached the same conclusions as to whether the measures are justified under Article XX.</w:t>
      </w:r>
      <w:r w:rsidR="00415A2A" w:rsidRPr="007321E4">
        <w:rPr>
          <w:rStyle w:val="FootnoteReference"/>
        </w:rPr>
        <w:footnoteReference w:id="103"/>
      </w:r>
      <w:r w:rsidRPr="007321E4">
        <w:t xml:space="preserve"> Furthermore, had the Panel commenced its analysis with Article 4.2 and found that the measures at issue are inconsistent with that provision and not justified under Article XX of the GATT 1994, it could have equally chosen to exercise judicial </w:t>
      </w:r>
      <w:r w:rsidRPr="007321E4">
        <w:lastRenderedPageBreak/>
        <w:t>economy with respect to the claims under Article XI</w:t>
      </w:r>
      <w:proofErr w:type="gramStart"/>
      <w:r w:rsidRPr="007321E4">
        <w:t>:1</w:t>
      </w:r>
      <w:proofErr w:type="gramEnd"/>
      <w:r w:rsidRPr="007321E4">
        <w:t>. Thus, we do not see how starting the analysis with Article XI</w:t>
      </w:r>
      <w:proofErr w:type="gramStart"/>
      <w:r w:rsidRPr="007321E4">
        <w:t>:1</w:t>
      </w:r>
      <w:proofErr w:type="gramEnd"/>
      <w:r w:rsidRPr="007321E4">
        <w:t xml:space="preserve"> rather than with Article 4.2 could constitute "</w:t>
      </w:r>
      <w:r w:rsidR="00C80436" w:rsidRPr="007321E4">
        <w:t xml:space="preserve">a </w:t>
      </w:r>
      <w:r w:rsidRPr="007321E4">
        <w:t>failure to structure the analysis in the proper logical sequence [that had] repercussions for the substance of the analysis itself".</w:t>
      </w:r>
      <w:r w:rsidR="00415A2A" w:rsidRPr="007321E4">
        <w:rPr>
          <w:rStyle w:val="FootnoteReference"/>
        </w:rPr>
        <w:footnoteReference w:id="104"/>
      </w:r>
      <w:r w:rsidRPr="007321E4">
        <w:t xml:space="preserve"> </w:t>
      </w:r>
    </w:p>
    <w:p w:rsidR="00F75F41" w:rsidRPr="007321E4" w:rsidRDefault="00F75F41" w:rsidP="00F75F41">
      <w:pPr>
        <w:pStyle w:val="BodyText"/>
      </w:pPr>
      <w:r w:rsidRPr="007321E4">
        <w:t xml:space="preserve">We turn </w:t>
      </w:r>
      <w:r w:rsidR="00C80436" w:rsidRPr="007321E4">
        <w:t xml:space="preserve">now </w:t>
      </w:r>
      <w:r w:rsidRPr="007321E4">
        <w:t>to Indonesia's argument that the Panel should "have concluded that Article 4.2 applies more specifically to the products at issue, i.e. agricultural products", and consider the relative specificity of Article XI</w:t>
      </w:r>
      <w:proofErr w:type="gramStart"/>
      <w:r w:rsidRPr="007321E4">
        <w:t>:1</w:t>
      </w:r>
      <w:proofErr w:type="gramEnd"/>
      <w:r w:rsidRPr="007321E4">
        <w:t xml:space="preserve"> of the GATT 1994 in relation to Article 4.2 of the Agreement on Agriculture.</w:t>
      </w:r>
      <w:r w:rsidR="00415A2A" w:rsidRPr="007321E4">
        <w:rPr>
          <w:rStyle w:val="FootnoteReference"/>
        </w:rPr>
        <w:footnoteReference w:id="105"/>
      </w:r>
      <w:r w:rsidRPr="007321E4">
        <w:t xml:space="preserve"> We observe that an analysis of the relative specificity of Article XI:1 and Article 4.2 may lead to different conclusions, depending on the weight given to different criteria, such as the product coverage, the types of measures covered, or the specificity of the obligation contained in either provision.</w:t>
      </w:r>
      <w:r w:rsidR="00415A2A" w:rsidRPr="007321E4">
        <w:rPr>
          <w:rStyle w:val="FootnoteReference"/>
        </w:rPr>
        <w:footnoteReference w:id="106"/>
      </w:r>
      <w:r w:rsidRPr="007321E4">
        <w:t xml:space="preserve"> As we </w:t>
      </w:r>
      <w:r w:rsidR="00C80436" w:rsidRPr="007321E4">
        <w:t xml:space="preserve">have </w:t>
      </w:r>
      <w:r w:rsidRPr="007321E4">
        <w:t>said above, commencing the analysis with Article XI</w:t>
      </w:r>
      <w:proofErr w:type="gramStart"/>
      <w:r w:rsidRPr="007321E4">
        <w:t>:1</w:t>
      </w:r>
      <w:proofErr w:type="gramEnd"/>
      <w:r w:rsidRPr="007321E4">
        <w:t xml:space="preserve"> rather than with Article 4.2 had no repercussions for the substance of the analysis, and, to the extent </w:t>
      </w:r>
      <w:r w:rsidR="00C80436" w:rsidRPr="007321E4">
        <w:t xml:space="preserve">that </w:t>
      </w:r>
      <w:r w:rsidRPr="007321E4">
        <w:t>they apply to the 18 measures at issue, Article XI:1 and Article 4.2 impose the same substantive obligation not to maintain quantitative import restrictions on agricultural products. In light of the above, reaching a conclusion as to the relative specificity of either Article XI</w:t>
      </w:r>
      <w:proofErr w:type="gramStart"/>
      <w:r w:rsidRPr="007321E4">
        <w:t>:1</w:t>
      </w:r>
      <w:proofErr w:type="gramEnd"/>
      <w:r w:rsidRPr="007321E4">
        <w:t xml:space="preserve"> or Article 4.2 would not be determinative for </w:t>
      </w:r>
      <w:r w:rsidR="00493EC6" w:rsidRPr="007321E4">
        <w:t>resolving this dispute</w:t>
      </w:r>
      <w:r w:rsidRPr="007321E4">
        <w:t xml:space="preserve">. </w:t>
      </w:r>
    </w:p>
    <w:p w:rsidR="00F75F41" w:rsidRPr="007321E4" w:rsidRDefault="00F75F41" w:rsidP="00F75F41">
      <w:pPr>
        <w:pStyle w:val="BodyText"/>
        <w:rPr>
          <w:lang w:eastAsia="zh-CN"/>
        </w:rPr>
      </w:pPr>
      <w:r w:rsidRPr="007321E4">
        <w:t>Thus, there is no mandatory sequence of analysis between Article 4.2 of the Agreement on Agriculture and Article XI</w:t>
      </w:r>
      <w:proofErr w:type="gramStart"/>
      <w:r w:rsidRPr="007321E4">
        <w:t>:1</w:t>
      </w:r>
      <w:proofErr w:type="gramEnd"/>
      <w:r w:rsidRPr="007321E4">
        <w:t xml:space="preserve"> of the GATT 1994 in this dispute. For the reasons stated above, the decision as to whether to commence the analysis with the claims under Article XI</w:t>
      </w:r>
      <w:proofErr w:type="gramStart"/>
      <w:r w:rsidRPr="007321E4">
        <w:t>:1</w:t>
      </w:r>
      <w:proofErr w:type="gramEnd"/>
      <w:r w:rsidRPr="007321E4">
        <w:t xml:space="preserve"> or those under Article 4.2 was within the Panel's margin of discretion.</w:t>
      </w:r>
    </w:p>
    <w:p w:rsidR="00F75F41" w:rsidRPr="007321E4" w:rsidRDefault="00F75F41" w:rsidP="00F75F41">
      <w:pPr>
        <w:pStyle w:val="Heading3"/>
      </w:pPr>
      <w:bookmarkStart w:id="101" w:name="_Ref495593323"/>
      <w:bookmarkStart w:id="102" w:name="_Toc496267417"/>
      <w:bookmarkStart w:id="103" w:name="_Toc497915391"/>
      <w:r w:rsidRPr="007321E4">
        <w:t>Whether the Panel failed to make an objective assessment of the applicability of Article 4.2 of the Agreement on Agriculture</w:t>
      </w:r>
      <w:bookmarkEnd w:id="101"/>
      <w:bookmarkEnd w:id="102"/>
      <w:bookmarkEnd w:id="103"/>
    </w:p>
    <w:p w:rsidR="00F75F41" w:rsidRPr="007321E4" w:rsidRDefault="00F75F41" w:rsidP="00F75F41">
      <w:pPr>
        <w:pStyle w:val="BodyText"/>
      </w:pPr>
      <w:r w:rsidRPr="007321E4" w:rsidDel="00FD5ED4">
        <w:t xml:space="preserve"> </w:t>
      </w:r>
      <w:r w:rsidRPr="007321E4">
        <w:t>Indonesia claims that the Panel acted inconsistently with Article 11 of the DSU because it failed to make an objective assessment of the applicability of Article 4.2 of the Agreement on Agriculture.</w:t>
      </w:r>
      <w:r w:rsidR="00415A2A" w:rsidRPr="007321E4">
        <w:rPr>
          <w:rStyle w:val="FootnoteReference"/>
        </w:rPr>
        <w:footnoteReference w:id="107"/>
      </w:r>
      <w:r w:rsidRPr="007321E4">
        <w:t xml:space="preserve"> Indonesia takes issue with the fact that the Panel addressed the claims under Article XI</w:t>
      </w:r>
      <w:proofErr w:type="gramStart"/>
      <w:r w:rsidRPr="007321E4">
        <w:t>:1</w:t>
      </w:r>
      <w:proofErr w:type="gramEnd"/>
      <w:r w:rsidRPr="007321E4">
        <w:t xml:space="preserve"> of the GATT </w:t>
      </w:r>
      <w:r w:rsidR="00541E57" w:rsidRPr="007321E4">
        <w:t>1994</w:t>
      </w:r>
      <w:r w:rsidR="002533C2" w:rsidRPr="007321E4">
        <w:t xml:space="preserve"> </w:t>
      </w:r>
      <w:r w:rsidRPr="007321E4">
        <w:t>and the defences under Article XX of the GATT 1994, and then exercised judicial economy with respect to whether the measures at issue comply with Article 4.2 of the Agreement on Agriculture.</w:t>
      </w:r>
      <w:r w:rsidR="00415A2A" w:rsidRPr="007321E4">
        <w:rPr>
          <w:rStyle w:val="FootnoteReference"/>
        </w:rPr>
        <w:footnoteReference w:id="108"/>
      </w:r>
      <w:r w:rsidRPr="007321E4">
        <w:t xml:space="preserve"> Indonesia argues that the Panel should have examined the co</w:t>
      </w:r>
      <w:r w:rsidRPr="007321E4">
        <w:noBreakHyphen/>
        <w:t>complainants</w:t>
      </w:r>
      <w:r w:rsidR="00EC44C2" w:rsidRPr="007321E4">
        <w:t>'</w:t>
      </w:r>
      <w:r w:rsidRPr="007321E4">
        <w:t xml:space="preserve"> claims under Article 4.2 of the Agreement on Agriculture because it is the more specific provision dealing with quantitative import restrictions on agricultural products.</w:t>
      </w:r>
      <w:r w:rsidR="00415A2A" w:rsidRPr="007321E4">
        <w:rPr>
          <w:rStyle w:val="FootnoteReference"/>
        </w:rPr>
        <w:footnoteReference w:id="109"/>
      </w:r>
      <w:r w:rsidRPr="007321E4">
        <w:t xml:space="preserve"> At the oral hearing, Indonesia further clarified that, in its view, the Panel acted inconsistently with Article 11 of the DSU by deciding the case based on the wrong provision, namely, Article XI</w:t>
      </w:r>
      <w:proofErr w:type="gramStart"/>
      <w:r w:rsidRPr="007321E4">
        <w:t>:1</w:t>
      </w:r>
      <w:proofErr w:type="gramEnd"/>
      <w:r w:rsidRPr="007321E4">
        <w:t xml:space="preserve"> of the GATT 1994. According to Indonesia, in so doing, the Panel impaired </w:t>
      </w:r>
      <w:r w:rsidR="00C80436" w:rsidRPr="007321E4">
        <w:t>Indonesia's</w:t>
      </w:r>
      <w:r w:rsidRPr="007321E4">
        <w:t xml:space="preserve"> due process rights.</w:t>
      </w:r>
      <w:r w:rsidR="00415A2A" w:rsidRPr="007321E4">
        <w:rPr>
          <w:rStyle w:val="FootnoteReference"/>
        </w:rPr>
        <w:footnoteReference w:id="110"/>
      </w:r>
      <w:r w:rsidRPr="007321E4">
        <w:t xml:space="preserve"> </w:t>
      </w:r>
    </w:p>
    <w:p w:rsidR="00F75F41" w:rsidRPr="007321E4" w:rsidRDefault="00F75F41" w:rsidP="00F75F41">
      <w:pPr>
        <w:pStyle w:val="BodyText"/>
      </w:pPr>
      <w:r w:rsidRPr="007321E4">
        <w:t xml:space="preserve">New Zealand and the United States argue in response that Indonesia does not provide arguments in support of its challenge under Article 11 of the DSU that are separate and independent from the arguments put forward in respect of its substantive claims of legal error. </w:t>
      </w:r>
      <w:r w:rsidRPr="007321E4">
        <w:lastRenderedPageBreak/>
        <w:t>According to them, Indonesia therefore fails to meet the legal standard under Article 11 of the DSU.</w:t>
      </w:r>
      <w:r w:rsidR="00415A2A" w:rsidRPr="007321E4">
        <w:rPr>
          <w:rStyle w:val="FootnoteReference"/>
        </w:rPr>
        <w:footnoteReference w:id="111"/>
      </w:r>
      <w:r w:rsidRPr="007321E4">
        <w:t xml:space="preserve"> </w:t>
      </w:r>
    </w:p>
    <w:p w:rsidR="00F75F41" w:rsidRPr="007321E4" w:rsidRDefault="00F75F41" w:rsidP="00F75F41">
      <w:pPr>
        <w:pStyle w:val="BodyText"/>
      </w:pPr>
      <w:r w:rsidRPr="007321E4">
        <w:t>We recall that, as the Appellate Body has cautioned on several occasions, a claim that a panel has failed to conduct an "objective assessment of the matter before it" under Article 11 of the DSU is "a very serious allegation".</w:t>
      </w:r>
      <w:r w:rsidR="00415A2A" w:rsidRPr="007321E4">
        <w:rPr>
          <w:rStyle w:val="FootnoteReference"/>
        </w:rPr>
        <w:footnoteReference w:id="112"/>
      </w:r>
      <w:r w:rsidRPr="007321E4">
        <w:t xml:space="preserve"> Accordingly, it is incumbent on a participant raising a claim under Article 11 to identify specific errors regarding the objectivity of the panel's assessment and "to explain </w:t>
      </w:r>
      <w:r w:rsidRPr="007321E4">
        <w:rPr>
          <w:i/>
        </w:rPr>
        <w:t>why</w:t>
      </w:r>
      <w:r w:rsidRPr="007321E4">
        <w:t xml:space="preserve"> the alleged error </w:t>
      </w:r>
      <w:r w:rsidRPr="007321E4">
        <w:rPr>
          <w:i/>
        </w:rPr>
        <w:t>meets</w:t>
      </w:r>
      <w:r w:rsidRPr="007321E4">
        <w:t xml:space="preserve"> the standard of review under that provision".</w:t>
      </w:r>
      <w:r w:rsidR="00415A2A" w:rsidRPr="007321E4">
        <w:rPr>
          <w:rStyle w:val="FootnoteReference"/>
        </w:rPr>
        <w:footnoteReference w:id="113"/>
      </w:r>
      <w:r w:rsidRPr="007321E4">
        <w:t xml:space="preserve"> Importantly, a claim under Article 11 must </w:t>
      </w:r>
      <w:r w:rsidR="00C80436" w:rsidRPr="007321E4">
        <w:t>"</w:t>
      </w:r>
      <w:r w:rsidRPr="007321E4">
        <w:t>stand by itself and be substantiated with specific arguments, rather than merely being put forth as a subsidiary argument or claim in support of a claim of a panel's failure to construe or apply correctly a particular provision of a covered agreement."</w:t>
      </w:r>
      <w:r w:rsidR="00415A2A" w:rsidRPr="007321E4">
        <w:rPr>
          <w:rStyle w:val="FootnoteReference"/>
        </w:rPr>
        <w:footnoteReference w:id="114"/>
      </w:r>
    </w:p>
    <w:p w:rsidR="00F75F41" w:rsidRPr="007321E4" w:rsidRDefault="00F75F41" w:rsidP="00F75F41">
      <w:pPr>
        <w:pStyle w:val="BodyText"/>
      </w:pPr>
      <w:r w:rsidRPr="007321E4">
        <w:t>We note that</w:t>
      </w:r>
      <w:r w:rsidR="007572D5" w:rsidRPr="007321E4">
        <w:t>,</w:t>
      </w:r>
      <w:r w:rsidRPr="007321E4">
        <w:t xml:space="preserve"> in support of its claim under Article 11 of the DSU</w:t>
      </w:r>
      <w:r w:rsidR="007572D5" w:rsidRPr="007321E4">
        <w:t>,</w:t>
      </w:r>
      <w:r w:rsidRPr="007321E4">
        <w:t xml:space="preserve"> </w:t>
      </w:r>
      <w:r w:rsidR="007572D5" w:rsidRPr="007321E4">
        <w:t xml:space="preserve">Indonesia essentially reiterates </w:t>
      </w:r>
      <w:r w:rsidRPr="007321E4">
        <w:t>some of the arguments it presented in support of its substantive claim on appeal regarding the Panel's decision to commence its examination of the co-complainants' claims with Article XI:1 of the GATT 1994. Like for its substantive claim, Indonesia argues that Article 4.2 of the Agreement on Agriculture deals more specifically with quantitative import restrictions on agricultural products than Article XI</w:t>
      </w:r>
      <w:proofErr w:type="gramStart"/>
      <w:r w:rsidRPr="007321E4">
        <w:t>:1</w:t>
      </w:r>
      <w:proofErr w:type="gramEnd"/>
      <w:r w:rsidRPr="007321E4">
        <w:t xml:space="preserve"> of the GATT 1994.</w:t>
      </w:r>
      <w:r w:rsidR="00415A2A" w:rsidRPr="007321E4">
        <w:rPr>
          <w:rStyle w:val="FootnoteReference"/>
        </w:rPr>
        <w:footnoteReference w:id="115"/>
      </w:r>
      <w:r w:rsidRPr="007321E4">
        <w:t xml:space="preserve"> Similarly, both under Article 11 of the DSU and in support of its substantive claim, Indonesia argues that the Panel's reliance on Articles 4.2 and 21.1 of the Agreement on Agriculture to determine that Article XI</w:t>
      </w:r>
      <w:proofErr w:type="gramStart"/>
      <w:r w:rsidRPr="007321E4">
        <w:t>:2</w:t>
      </w:r>
      <w:proofErr w:type="gramEnd"/>
      <w:r w:rsidRPr="007321E4">
        <w:t>(c)(ii) of the GATT 1994 was rendered "inoperative" demonstrates that Article 4.2 deals more specifically with the measures at issue.</w:t>
      </w:r>
      <w:r w:rsidR="00415A2A" w:rsidRPr="007321E4">
        <w:rPr>
          <w:rStyle w:val="FootnoteReference"/>
        </w:rPr>
        <w:footnoteReference w:id="116"/>
      </w:r>
      <w:r w:rsidRPr="007321E4">
        <w:t xml:space="preserve"> We fail to see arguments made by Indonesia in support of its claim under Article 11 of the DSU that are specific, different, or separate from the ones it has submitted in support of its substantive claim of error regarding the Panel's decision to commence its examination with Article XI</w:t>
      </w:r>
      <w:proofErr w:type="gramStart"/>
      <w:r w:rsidRPr="007321E4">
        <w:t>:1</w:t>
      </w:r>
      <w:proofErr w:type="gramEnd"/>
      <w:r w:rsidRPr="007321E4">
        <w:t xml:space="preserve"> of the GATT 1994 instead of Article 4.2 of the Agreement on Agriculture. Indonesia's claim </w:t>
      </w:r>
      <w:r w:rsidR="007572D5" w:rsidRPr="007321E4">
        <w:t xml:space="preserve">under Article 11 of the </w:t>
      </w:r>
      <w:r w:rsidR="00E66336" w:rsidRPr="007321E4">
        <w:t>DSU thus</w:t>
      </w:r>
      <w:r w:rsidRPr="007321E4">
        <w:t xml:space="preserve"> falls short of "stand[</w:t>
      </w:r>
      <w:proofErr w:type="spellStart"/>
      <w:r w:rsidRPr="007321E4">
        <w:t>ing</w:t>
      </w:r>
      <w:proofErr w:type="spellEnd"/>
      <w:r w:rsidRPr="007321E4">
        <w:t>] by itself and be[</w:t>
      </w:r>
      <w:proofErr w:type="spellStart"/>
      <w:r w:rsidRPr="007321E4">
        <w:t>ing</w:t>
      </w:r>
      <w:proofErr w:type="spellEnd"/>
      <w:r w:rsidRPr="007321E4">
        <w:t>] substantiated with specific arguments"</w:t>
      </w:r>
      <w:r w:rsidR="007572D5" w:rsidRPr="007321E4">
        <w:t>.</w:t>
      </w:r>
      <w:r w:rsidR="00415A2A" w:rsidRPr="007321E4">
        <w:rPr>
          <w:rStyle w:val="FootnoteReference"/>
        </w:rPr>
        <w:footnoteReference w:id="117"/>
      </w:r>
    </w:p>
    <w:p w:rsidR="00F75F41" w:rsidRPr="007321E4" w:rsidRDefault="00F75F41" w:rsidP="00F75F41">
      <w:pPr>
        <w:pStyle w:val="BodyText"/>
      </w:pPr>
      <w:r w:rsidRPr="007321E4">
        <w:t>Consequently, we consider that Indonesia has not substantiated its claim under Article 11 of the DSU that the Panel failed to make an objective assessment of the applicability of Article 4.2 of the Agreement on Agriculture.</w:t>
      </w:r>
      <w:r w:rsidR="00415A2A" w:rsidRPr="007321E4">
        <w:rPr>
          <w:rStyle w:val="FootnoteReference"/>
        </w:rPr>
        <w:footnoteReference w:id="118"/>
      </w:r>
      <w:r w:rsidRPr="007321E4">
        <w:t xml:space="preserve"> We therefore </w:t>
      </w:r>
      <w:r w:rsidRPr="007321E4">
        <w:rPr>
          <w:u w:val="single"/>
        </w:rPr>
        <w:t>find</w:t>
      </w:r>
      <w:r w:rsidRPr="007321E4">
        <w:t xml:space="preserve"> that Indonesia has not demonstrated that the Panel acted inconsistently with Article 11 of the DSU in this respect.</w:t>
      </w:r>
    </w:p>
    <w:p w:rsidR="00F75F41" w:rsidRPr="007321E4" w:rsidRDefault="00F75F41" w:rsidP="00F75F41">
      <w:pPr>
        <w:pStyle w:val="Heading3"/>
      </w:pPr>
      <w:bookmarkStart w:id="104" w:name="_Toc496267418"/>
      <w:bookmarkStart w:id="105" w:name="_Toc497915392"/>
      <w:r w:rsidRPr="007321E4">
        <w:lastRenderedPageBreak/>
        <w:t>Conclusions</w:t>
      </w:r>
      <w:bookmarkEnd w:id="104"/>
      <w:bookmarkEnd w:id="105"/>
    </w:p>
    <w:p w:rsidR="00F75F41" w:rsidRPr="007321E4" w:rsidRDefault="00F75F41" w:rsidP="00F75F41">
      <w:pPr>
        <w:pStyle w:val="BodyText"/>
      </w:pPr>
      <w:r w:rsidRPr="007321E4">
        <w:t xml:space="preserve">In light of the above, we consider that Article 4.2 of the Agreement on Agriculture does not apply "to the </w:t>
      </w:r>
      <w:r w:rsidRPr="007321E4">
        <w:rPr>
          <w:u w:val="single"/>
        </w:rPr>
        <w:t>exclusion</w:t>
      </w:r>
      <w:r w:rsidRPr="007321E4">
        <w:t xml:space="preserve"> of"</w:t>
      </w:r>
      <w:r w:rsidR="00415A2A" w:rsidRPr="007321E4">
        <w:rPr>
          <w:rStyle w:val="FootnoteReference"/>
        </w:rPr>
        <w:footnoteReference w:id="119"/>
      </w:r>
      <w:r w:rsidRPr="007321E4">
        <w:t xml:space="preserve"> Article XI</w:t>
      </w:r>
      <w:proofErr w:type="gramStart"/>
      <w:r w:rsidRPr="007321E4">
        <w:t>:1</w:t>
      </w:r>
      <w:proofErr w:type="gramEnd"/>
      <w:r w:rsidRPr="007321E4">
        <w:t xml:space="preserve"> of the GATT 1994 in relation to the claims challenging the 18 measures at issue as quantitative restrictions. Both provisions contain the same substantive obligations in relation to these claims</w:t>
      </w:r>
      <w:r w:rsidR="00A232FD" w:rsidRPr="007321E4">
        <w:rPr>
          <w:rStyle w:val="FootnoteReference"/>
        </w:rPr>
        <w:footnoteReference w:id="120"/>
      </w:r>
      <w:r w:rsidRPr="007321E4">
        <w:t xml:space="preserve"> and</w:t>
      </w:r>
      <w:r w:rsidR="007572D5" w:rsidRPr="007321E4">
        <w:t>,</w:t>
      </w:r>
      <w:r w:rsidRPr="007321E4">
        <w:t xml:space="preserve"> thus, in these circumstances, they apply cumulatively. Moreover, there is no mandatory sequence of analysis between Article 4.2 of the Agreement on Agriculture and Article XI</w:t>
      </w:r>
      <w:proofErr w:type="gramStart"/>
      <w:r w:rsidRPr="007321E4">
        <w:t>:1</w:t>
      </w:r>
      <w:proofErr w:type="gramEnd"/>
      <w:r w:rsidRPr="007321E4">
        <w:t xml:space="preserve"> of the GATT 1994 in this dispute</w:t>
      </w:r>
      <w:r w:rsidR="007572D5" w:rsidRPr="007321E4">
        <w:t>,</w:t>
      </w:r>
      <w:r w:rsidRPr="007321E4">
        <w:t xml:space="preserve"> and the decision as to whether to commence the analysis with the claims under Article XI:1 or those under Article 4.2 was within the Panel's margin of discretion. We also consider that Indonesia has not substantiated its claim under Article 11 of the DSU that the Panel failed to make an objective assessment of the applicability of Article 4.2 of the Agreement on Agriculture.</w:t>
      </w:r>
    </w:p>
    <w:p w:rsidR="00F75F41" w:rsidRPr="007321E4" w:rsidRDefault="00F75F41" w:rsidP="00F75F41">
      <w:pPr>
        <w:pStyle w:val="BodyText"/>
      </w:pPr>
      <w:r w:rsidRPr="007321E4">
        <w:t xml:space="preserve">We therefore </w:t>
      </w:r>
      <w:r w:rsidRPr="007321E4">
        <w:rPr>
          <w:u w:val="single"/>
        </w:rPr>
        <w:t>reject</w:t>
      </w:r>
      <w:r w:rsidRPr="007321E4">
        <w:t xml:space="preserve"> Indonesia's claim that the Panel erred in assessing the claims regarding the measures at issue under Article XI</w:t>
      </w:r>
      <w:proofErr w:type="gramStart"/>
      <w:r w:rsidRPr="007321E4">
        <w:t>:1</w:t>
      </w:r>
      <w:proofErr w:type="gramEnd"/>
      <w:r w:rsidRPr="007321E4">
        <w:t xml:space="preserve"> of the GATT 1994, rather than Article 4.2 of the Agreement on Agriculture. We also </w:t>
      </w:r>
      <w:r w:rsidRPr="007321E4">
        <w:rPr>
          <w:u w:val="single"/>
        </w:rPr>
        <w:t>find</w:t>
      </w:r>
      <w:r w:rsidRPr="007321E4">
        <w:t xml:space="preserve"> that Indonesia has not demonstrated that the Panel acted inconsistently with Article 11 of the DSU by failing to make an objective assessment of the applicability of Article 4.2 of the Agreement on Agriculture. Consequently, we </w:t>
      </w:r>
      <w:r w:rsidRPr="007321E4">
        <w:rPr>
          <w:u w:val="single"/>
        </w:rPr>
        <w:t>uphold</w:t>
      </w:r>
      <w:r w:rsidRPr="007321E4">
        <w:t xml:space="preserve"> the Panel's decision, in paragraph 7.33 of the Panel Report, to commence its examination with Article XI</w:t>
      </w:r>
      <w:proofErr w:type="gramStart"/>
      <w:r w:rsidRPr="007321E4">
        <w:t>:1</w:t>
      </w:r>
      <w:proofErr w:type="gramEnd"/>
      <w:r w:rsidRPr="007321E4">
        <w:t xml:space="preserve"> of the GATT 1994.</w:t>
      </w:r>
    </w:p>
    <w:p w:rsidR="008B570B" w:rsidRPr="007321E4" w:rsidRDefault="008B570B" w:rsidP="008B570B">
      <w:pPr>
        <w:pStyle w:val="Heading2"/>
        <w:numPr>
          <w:ilvl w:val="1"/>
          <w:numId w:val="37"/>
        </w:numPr>
      </w:pPr>
      <w:bookmarkStart w:id="106" w:name="_Ref495593376"/>
      <w:bookmarkStart w:id="107" w:name="_Ref495593391"/>
      <w:bookmarkStart w:id="108" w:name="_Ref495593409"/>
      <w:bookmarkStart w:id="109" w:name="_Ref495593448"/>
      <w:bookmarkStart w:id="110" w:name="_Ref495593504"/>
      <w:bookmarkStart w:id="111" w:name="_Ref495593562"/>
      <w:bookmarkStart w:id="112" w:name="_Toc496267419"/>
      <w:bookmarkStart w:id="113" w:name="_Toc497915393"/>
      <w:r w:rsidRPr="007321E4">
        <w:t>Whether the Panel erred in determining that Indonesia bears the burden of proof under the second part of footnote 1 to Article</w:t>
      </w:r>
      <w:r w:rsidR="00A17260" w:rsidRPr="007321E4">
        <w:t> </w:t>
      </w:r>
      <w:r w:rsidRPr="007321E4">
        <w:t>4.2 of the Agreement on Agriculture</w:t>
      </w:r>
      <w:bookmarkEnd w:id="106"/>
      <w:bookmarkEnd w:id="107"/>
      <w:bookmarkEnd w:id="108"/>
      <w:bookmarkEnd w:id="109"/>
      <w:bookmarkEnd w:id="110"/>
      <w:bookmarkEnd w:id="111"/>
      <w:bookmarkEnd w:id="112"/>
      <w:bookmarkEnd w:id="113"/>
    </w:p>
    <w:p w:rsidR="008B570B" w:rsidRPr="007321E4" w:rsidRDefault="008B570B" w:rsidP="008B570B">
      <w:pPr>
        <w:pStyle w:val="BodyText"/>
        <w:numPr>
          <w:ilvl w:val="6"/>
          <w:numId w:val="37"/>
        </w:numPr>
      </w:pPr>
      <w:r w:rsidRPr="007321E4">
        <w:t xml:space="preserve">We now turn to Indonesia's claim of error regarding the burden of proof under the second part of footnote 1 to Article 4.2 of the Agreement on Agriculture. Indonesia submits that the Panel erred in determining that Indonesia bears the burden of proof </w:t>
      </w:r>
      <w:r w:rsidR="007572D5" w:rsidRPr="007321E4">
        <w:t xml:space="preserve">under </w:t>
      </w:r>
      <w:r w:rsidRPr="007321E4">
        <w:t>the second part of footnote 1 to Article 4.2.</w:t>
      </w:r>
      <w:r w:rsidR="00A232FD" w:rsidRPr="007321E4">
        <w:rPr>
          <w:rStyle w:val="FootnoteReference"/>
        </w:rPr>
        <w:footnoteReference w:id="121"/>
      </w:r>
      <w:r w:rsidRPr="007321E4">
        <w:t xml:space="preserve"> Consequently, Indonesia requests us to reverse the Panel's conclusions and legal interpretations contained in paragraphs</w:t>
      </w:r>
      <w:r w:rsidR="00A232FD" w:rsidRPr="007321E4">
        <w:t> </w:t>
      </w:r>
      <w:r w:rsidRPr="007321E4">
        <w:t>7.34 and 7.833 of the Panel Report. Indonesia also requests us to reverse the Panel's finding in paragraph 8.2 of the Panel Report.</w:t>
      </w:r>
      <w:r w:rsidRPr="007321E4">
        <w:rPr>
          <w:rStyle w:val="FootnoteReference"/>
        </w:rPr>
        <w:footnoteReference w:id="122"/>
      </w:r>
    </w:p>
    <w:p w:rsidR="008B570B" w:rsidRPr="007321E4" w:rsidRDefault="008B570B" w:rsidP="008B570B">
      <w:pPr>
        <w:pStyle w:val="BodyText"/>
        <w:numPr>
          <w:ilvl w:val="6"/>
          <w:numId w:val="37"/>
        </w:numPr>
      </w:pPr>
      <w:r w:rsidRPr="007321E4">
        <w:t>Before the Panel, Indonesia suggested that</w:t>
      </w:r>
      <w:r w:rsidR="007572D5" w:rsidRPr="007321E4">
        <w:t>,</w:t>
      </w:r>
      <w:r w:rsidRPr="007321E4">
        <w:t xml:space="preserve"> because measures maintained under Article XX of the GATT 1994 fall outside the scope of Article 4.2 of the Agreement on Agriculture by virtue of the second part of footnote 1 to that </w:t>
      </w:r>
      <w:r w:rsidR="007572D5" w:rsidRPr="007321E4">
        <w:t>provision</w:t>
      </w:r>
      <w:r w:rsidRPr="007321E4">
        <w:t xml:space="preserve">, it is not possible for a complainant to present a </w:t>
      </w:r>
      <w:r w:rsidRPr="007321E4">
        <w:rPr>
          <w:i/>
        </w:rPr>
        <w:t>prima facie</w:t>
      </w:r>
      <w:r w:rsidRPr="007321E4">
        <w:t xml:space="preserve"> case </w:t>
      </w:r>
      <w:r w:rsidR="006B61F2" w:rsidRPr="007321E4">
        <w:t xml:space="preserve">of violation </w:t>
      </w:r>
      <w:r w:rsidRPr="007321E4">
        <w:t>under Article 4.2 without offering any evidence or argumentation that the challenged measure is not justified under Article XX of the GATT 1994.</w:t>
      </w:r>
      <w:r w:rsidRPr="007321E4">
        <w:rPr>
          <w:rStyle w:val="FootnoteReference"/>
        </w:rPr>
        <w:footnoteReference w:id="123"/>
      </w:r>
      <w:r w:rsidRPr="007321E4">
        <w:t xml:space="preserve"> In paragraph 7.34 of its Report, the Panel rejected Indonesia's argument by stating:</w:t>
      </w:r>
    </w:p>
    <w:p w:rsidR="008B570B" w:rsidRPr="007321E4" w:rsidRDefault="008B570B" w:rsidP="00190BF6">
      <w:pPr>
        <w:pStyle w:val="Quotation"/>
        <w:spacing w:after="0"/>
      </w:pPr>
      <w:r w:rsidRPr="007321E4">
        <w:t xml:space="preserve">We note that, as indicated above, Indonesia argued that, because the co-complainants have failed to provide evidence that the challenged measures are not justified under Article XX, the "Panel cannot, as a matter of law, rule in the complainants' </w:t>
      </w:r>
      <w:proofErr w:type="spellStart"/>
      <w:r w:rsidRPr="007321E4">
        <w:t>favor</w:t>
      </w:r>
      <w:proofErr w:type="spellEnd"/>
      <w:r w:rsidRPr="007321E4">
        <w:t xml:space="preserve"> under Article 4.2". We understand Indonesia to be asking the Panel to invert the burden of proof under Article XX of the GATT 1994. As pointed out by New Zealand, it is well established in WTO jurisprudence following the Appellate Body decision in </w:t>
      </w:r>
      <w:r w:rsidRPr="007321E4">
        <w:rPr>
          <w:i/>
        </w:rPr>
        <w:t>US – Wool Shirts and Blouses</w:t>
      </w:r>
      <w:r w:rsidRPr="007321E4">
        <w:t xml:space="preserve"> that the burden of identifying and establishing affirmative defences under Article XX rests on the party asserting the defence. Thus it is for Indonesia, and not the co-complainants, to establish the defence under Article XX of the GATT 1994.</w:t>
      </w:r>
      <w:r w:rsidRPr="007321E4">
        <w:rPr>
          <w:rStyle w:val="FootnoteReference"/>
        </w:rPr>
        <w:footnoteReference w:id="124"/>
      </w:r>
    </w:p>
    <w:p w:rsidR="008B570B" w:rsidRPr="007321E4" w:rsidRDefault="008B570B" w:rsidP="00190BF6">
      <w:pPr>
        <w:pStyle w:val="Quotation"/>
        <w:spacing w:after="0"/>
      </w:pPr>
    </w:p>
    <w:p w:rsidR="008B570B" w:rsidRPr="007321E4" w:rsidRDefault="008B570B" w:rsidP="008B570B">
      <w:pPr>
        <w:pStyle w:val="BodyText"/>
        <w:numPr>
          <w:ilvl w:val="6"/>
          <w:numId w:val="37"/>
        </w:numPr>
      </w:pPr>
      <w:r w:rsidRPr="007321E4">
        <w:t>We note that the Panel did not expressly refer to Article 4.2 of the Agreement on Agriculture when it stated that "it is for Indonesia, and not the co-complainants, to establish the defence under Article XX of the GATT 1994</w:t>
      </w:r>
      <w:r w:rsidR="00A232FD" w:rsidRPr="007321E4">
        <w:t>.</w:t>
      </w:r>
      <w:r w:rsidRPr="007321E4">
        <w:t>"</w:t>
      </w:r>
      <w:r w:rsidR="00A232FD" w:rsidRPr="007321E4">
        <w:rPr>
          <w:rStyle w:val="FootnoteReference"/>
        </w:rPr>
        <w:footnoteReference w:id="125"/>
      </w:r>
      <w:r w:rsidRPr="007321E4">
        <w:t xml:space="preserve"> However, as the Panel's statement was made in the context of addressing Indonesia's argument that the co-complainants must establish that the challenged </w:t>
      </w:r>
      <w:r w:rsidRPr="007321E4">
        <w:lastRenderedPageBreak/>
        <w:t xml:space="preserve">measures are not justified under Article XX in order to present a </w:t>
      </w:r>
      <w:r w:rsidRPr="007321E4">
        <w:rPr>
          <w:i/>
        </w:rPr>
        <w:t>prima facie</w:t>
      </w:r>
      <w:r w:rsidRPr="007321E4">
        <w:t xml:space="preserve"> case </w:t>
      </w:r>
      <w:r w:rsidR="006B61F2" w:rsidRPr="007321E4">
        <w:t xml:space="preserve">of violation </w:t>
      </w:r>
      <w:r w:rsidRPr="007321E4">
        <w:t>under Article 4.2, we understand the above statement as containing an implicit reference to the burden of proof under Article XX of the GATT 1994 in the context of Article 4.2 of the Agreement on Agriculture.</w:t>
      </w:r>
    </w:p>
    <w:p w:rsidR="008B570B" w:rsidRPr="007321E4" w:rsidRDefault="008B570B" w:rsidP="00D509E7">
      <w:pPr>
        <w:pStyle w:val="Heading3"/>
        <w:numPr>
          <w:ilvl w:val="2"/>
          <w:numId w:val="41"/>
        </w:numPr>
      </w:pPr>
      <w:bookmarkStart w:id="114" w:name="_Ref495593468"/>
      <w:bookmarkStart w:id="115" w:name="_Toc496267420"/>
      <w:bookmarkStart w:id="116" w:name="_Toc497915394"/>
      <w:r w:rsidRPr="007321E4">
        <w:t xml:space="preserve">Whether findings in respect </w:t>
      </w:r>
      <w:r w:rsidR="00D509E7" w:rsidRPr="007321E4">
        <w:t>of</w:t>
      </w:r>
      <w:r w:rsidRPr="007321E4">
        <w:t xml:space="preserve"> the burden of proof under the second part of footnote 1 to Article 4.2 of the Agreement on Agriculture are necessary</w:t>
      </w:r>
      <w:bookmarkEnd w:id="114"/>
      <w:bookmarkEnd w:id="115"/>
      <w:bookmarkEnd w:id="116"/>
    </w:p>
    <w:p w:rsidR="008B570B" w:rsidRPr="007321E4" w:rsidRDefault="008B570B" w:rsidP="008B570B">
      <w:pPr>
        <w:pStyle w:val="BodyText"/>
        <w:numPr>
          <w:ilvl w:val="6"/>
          <w:numId w:val="37"/>
        </w:numPr>
      </w:pPr>
      <w:r w:rsidRPr="007321E4">
        <w:t xml:space="preserve">Before turning to the substance of Indonesia's claim on appeal, we note that New Zealand and the United States submit that, if </w:t>
      </w:r>
      <w:r w:rsidR="008D4CA2" w:rsidRPr="007321E4">
        <w:t xml:space="preserve">we </w:t>
      </w:r>
      <w:r w:rsidRPr="007321E4">
        <w:t>were to uphold the Panel's findings under Article XI</w:t>
      </w:r>
      <w:proofErr w:type="gramStart"/>
      <w:r w:rsidRPr="007321E4">
        <w:t>:1</w:t>
      </w:r>
      <w:proofErr w:type="gramEnd"/>
      <w:r w:rsidRPr="007321E4">
        <w:t xml:space="preserve"> of the GATT 1994, </w:t>
      </w:r>
      <w:r w:rsidR="008D4CA2" w:rsidRPr="007321E4">
        <w:t>we</w:t>
      </w:r>
      <w:r w:rsidRPr="007321E4">
        <w:t xml:space="preserve"> need not make findings with respect to Article 4.2 of the Agreement on Agriculture, including in relation to </w:t>
      </w:r>
      <w:r w:rsidR="008D4CA2" w:rsidRPr="007321E4">
        <w:t xml:space="preserve">the </w:t>
      </w:r>
      <w:r w:rsidRPr="007321E4">
        <w:t>burden of proof, as such findings would not be necessary to resolve the present dispute.</w:t>
      </w:r>
      <w:r w:rsidRPr="007321E4">
        <w:rPr>
          <w:vertAlign w:val="superscript"/>
        </w:rPr>
        <w:footnoteReference w:id="126"/>
      </w:r>
      <w:r w:rsidRPr="007321E4">
        <w:t xml:space="preserve"> The United States contends that</w:t>
      </w:r>
      <w:r w:rsidR="00A17260" w:rsidRPr="007321E4">
        <w:t>,</w:t>
      </w:r>
      <w:r w:rsidRPr="007321E4">
        <w:t xml:space="preserve"> if </w:t>
      </w:r>
      <w:r w:rsidR="00A17260" w:rsidRPr="007321E4">
        <w:t>we were</w:t>
      </w:r>
      <w:r w:rsidRPr="007321E4">
        <w:t xml:space="preserve"> to affirm the Panel's findings under Article XI:1, any findings with respect to the burden of proof under Article 4.2 would not change Indonesia's obligation to implement the Panel's findings and recommendations with respect to Article XI:1.</w:t>
      </w:r>
      <w:r w:rsidRPr="007321E4">
        <w:rPr>
          <w:rStyle w:val="FootnoteReference"/>
        </w:rPr>
        <w:footnoteReference w:id="127"/>
      </w:r>
    </w:p>
    <w:p w:rsidR="008B570B" w:rsidRPr="007321E4" w:rsidRDefault="008B570B" w:rsidP="008B570B">
      <w:pPr>
        <w:pStyle w:val="BodyText"/>
        <w:numPr>
          <w:ilvl w:val="6"/>
          <w:numId w:val="37"/>
        </w:numPr>
      </w:pPr>
      <w:r w:rsidRPr="007321E4">
        <w:t>We believe that we have to consider Indonesia's claim on appeal regarding the allocation of the burden of proof because this issue is intertwined with the issue of the order of analysis of the claims under Article XI</w:t>
      </w:r>
      <w:proofErr w:type="gramStart"/>
      <w:r w:rsidRPr="007321E4">
        <w:t>:1</w:t>
      </w:r>
      <w:proofErr w:type="gramEnd"/>
      <w:r w:rsidRPr="007321E4">
        <w:t xml:space="preserve"> </w:t>
      </w:r>
      <w:r w:rsidR="006B61F2" w:rsidRPr="007321E4">
        <w:t xml:space="preserve">of the GATT 1994 </w:t>
      </w:r>
      <w:r w:rsidRPr="007321E4">
        <w:t>and Article 4.2</w:t>
      </w:r>
      <w:r w:rsidR="006B61F2" w:rsidRPr="007321E4">
        <w:t xml:space="preserve"> of the Agreement on Agriculture</w:t>
      </w:r>
      <w:r w:rsidRPr="007321E4">
        <w:t>, and their dispositions. If there is a difference between Article XI</w:t>
      </w:r>
      <w:proofErr w:type="gramStart"/>
      <w:r w:rsidRPr="007321E4">
        <w:t>:1</w:t>
      </w:r>
      <w:proofErr w:type="gramEnd"/>
      <w:r w:rsidRPr="007321E4">
        <w:t xml:space="preserve"> and Article 4.2 in terms of the burden of proof with respect to Article XX of the GATT 1994, we would then be required to assess further whether such a difference amounts to a "conflict" within the meaning of Article 21.1 of the Agreement on Agriculture</w:t>
      </w:r>
      <w:r w:rsidRPr="007321E4">
        <w:rPr>
          <w:rStyle w:val="FootnoteReference"/>
        </w:rPr>
        <w:footnoteReference w:id="128"/>
      </w:r>
      <w:r w:rsidRPr="007321E4">
        <w:t xml:space="preserve"> in order to determine whether the Panel erred in applying Article XI:1, and not Article 4.2, to the challenged measures.</w:t>
      </w:r>
      <w:r w:rsidRPr="007321E4" w:rsidDel="001F318B">
        <w:t xml:space="preserve"> </w:t>
      </w:r>
      <w:r w:rsidRPr="007321E4">
        <w:t>In addition, if there is such a difference between Article XI</w:t>
      </w:r>
      <w:proofErr w:type="gramStart"/>
      <w:r w:rsidRPr="007321E4">
        <w:t>:1</w:t>
      </w:r>
      <w:proofErr w:type="gramEnd"/>
      <w:r w:rsidRPr="007321E4">
        <w:t xml:space="preserve"> and Article 4.2, we would also be required to assess whether starting the analysis with Article XI:1</w:t>
      </w:r>
      <w:r w:rsidR="008D4CA2" w:rsidRPr="007321E4">
        <w:t>,</w:t>
      </w:r>
      <w:r w:rsidRPr="007321E4">
        <w:t xml:space="preserve"> rather than with Article 4.2</w:t>
      </w:r>
      <w:r w:rsidR="008D4CA2" w:rsidRPr="007321E4">
        <w:t>,</w:t>
      </w:r>
      <w:r w:rsidRPr="007321E4">
        <w:t xml:space="preserve"> resulted in a "failure to structure the analysis in the proper logical sequence [that had] repercussions for the substance of the analysis itself".</w:t>
      </w:r>
      <w:r w:rsidRPr="007321E4">
        <w:rPr>
          <w:rStyle w:val="FootnoteReference"/>
        </w:rPr>
        <w:footnoteReference w:id="129"/>
      </w:r>
      <w:r w:rsidRPr="007321E4">
        <w:t xml:space="preserve"> In view of these considerations, we proceed to address the substance of Indonesia's claim.</w:t>
      </w:r>
      <w:r w:rsidRPr="007321E4">
        <w:rPr>
          <w:rStyle w:val="FootnoteReference"/>
        </w:rPr>
        <w:footnoteReference w:id="130"/>
      </w:r>
    </w:p>
    <w:p w:rsidR="008B570B" w:rsidRPr="007321E4" w:rsidRDefault="008B570B" w:rsidP="002D1D5A">
      <w:pPr>
        <w:pStyle w:val="Heading3"/>
      </w:pPr>
      <w:bookmarkStart w:id="117" w:name="_Toc496267421"/>
      <w:bookmarkStart w:id="118" w:name="_Toc497915395"/>
      <w:bookmarkStart w:id="119" w:name="_Ref495593487"/>
      <w:r w:rsidRPr="007321E4">
        <w:t xml:space="preserve">Whether the Panel erred in allocating </w:t>
      </w:r>
      <w:r w:rsidR="008D4CA2" w:rsidRPr="007321E4">
        <w:t xml:space="preserve">to Indonesia </w:t>
      </w:r>
      <w:r w:rsidRPr="007321E4">
        <w:t>the burden of proof under the second part of footnote 1 to Article 4.2 of the Agreement on Agriculture</w:t>
      </w:r>
      <w:bookmarkEnd w:id="117"/>
      <w:bookmarkEnd w:id="118"/>
      <w:r w:rsidRPr="007321E4">
        <w:t xml:space="preserve"> </w:t>
      </w:r>
      <w:bookmarkEnd w:id="119"/>
    </w:p>
    <w:p w:rsidR="008B570B" w:rsidRPr="007321E4" w:rsidRDefault="008B570B" w:rsidP="008B570B">
      <w:pPr>
        <w:pStyle w:val="BodyText"/>
        <w:numPr>
          <w:ilvl w:val="6"/>
          <w:numId w:val="37"/>
        </w:numPr>
      </w:pPr>
      <w:r w:rsidRPr="007321E4">
        <w:t xml:space="preserve">Indonesia claims that the Panel erred in allocating </w:t>
      </w:r>
      <w:r w:rsidR="008D4CA2" w:rsidRPr="007321E4">
        <w:t xml:space="preserve">to Indonesia </w:t>
      </w:r>
      <w:r w:rsidRPr="007321E4">
        <w:t>the burden of proof under the second part of footnote 1 to Article 4.2 of the Agreement on Agriculture. Indonesia observes that</w:t>
      </w:r>
      <w:r w:rsidR="008D4CA2" w:rsidRPr="007321E4">
        <w:t>,</w:t>
      </w:r>
      <w:r w:rsidRPr="007321E4">
        <w:t xml:space="preserve"> while the first part of footnote 1 to Article 4.2 describes "the </w:t>
      </w:r>
      <w:r w:rsidRPr="007321E4">
        <w:rPr>
          <w:i/>
        </w:rPr>
        <w:t>type of measures</w:t>
      </w:r>
      <w:r w:rsidRPr="007321E4">
        <w:t xml:space="preserve"> that are subject to the obligation to be converted into ordinary </w:t>
      </w:r>
      <w:r w:rsidR="00C96FF7" w:rsidRPr="007321E4">
        <w:t xml:space="preserve">customs </w:t>
      </w:r>
      <w:r w:rsidRPr="007321E4">
        <w:t>duties"</w:t>
      </w:r>
      <w:r w:rsidRPr="007321E4">
        <w:rPr>
          <w:rStyle w:val="FootnoteReference"/>
        </w:rPr>
        <w:footnoteReference w:id="131"/>
      </w:r>
      <w:r w:rsidRPr="007321E4">
        <w:t>, the second part of footnote 1 provides that measures maintained under "</w:t>
      </w:r>
      <w:r w:rsidRPr="007321E4">
        <w:rPr>
          <w:i/>
        </w:rPr>
        <w:t>certain exceptions</w:t>
      </w:r>
      <w:r w:rsidRPr="007321E4">
        <w:t xml:space="preserve"> such as </w:t>
      </w:r>
      <w:r w:rsidR="00C96FF7" w:rsidRPr="007321E4">
        <w:t>'</w:t>
      </w:r>
      <w:r w:rsidRPr="007321E4">
        <w:t>general, non-agriculture-specific provisions of GATT 1994</w:t>
      </w:r>
      <w:r w:rsidR="00C96FF7" w:rsidRPr="007321E4">
        <w:t>'</w:t>
      </w:r>
      <w:r w:rsidRPr="007321E4">
        <w:t>", including Article XX of the GATT 1994, are not inconsistent with Article 4.2.</w:t>
      </w:r>
      <w:r w:rsidRPr="007321E4">
        <w:rPr>
          <w:rStyle w:val="FootnoteReference"/>
        </w:rPr>
        <w:footnoteReference w:id="132"/>
      </w:r>
      <w:r w:rsidRPr="007321E4">
        <w:t xml:space="preserve"> Accordingly, in Indonesia's view, a party presenting a claim under Article 4.2 is required to establish that the measure "</w:t>
      </w:r>
      <w:r w:rsidR="006B61F2" w:rsidRPr="007321E4">
        <w:t xml:space="preserve">is of the kind that </w:t>
      </w:r>
      <w:r w:rsidRPr="007321E4">
        <w:t xml:space="preserve">falls within the </w:t>
      </w:r>
      <w:r w:rsidRPr="007321E4">
        <w:rPr>
          <w:u w:val="single"/>
        </w:rPr>
        <w:t>scope</w:t>
      </w:r>
      <w:r w:rsidRPr="007321E4">
        <w:t xml:space="preserve"> of this provision" by addressing </w:t>
      </w:r>
      <w:r w:rsidRPr="007321E4">
        <w:rPr>
          <w:i/>
        </w:rPr>
        <w:t>both</w:t>
      </w:r>
      <w:r w:rsidR="007913AF" w:rsidRPr="007321E4">
        <w:t xml:space="preserve"> the first</w:t>
      </w:r>
      <w:r w:rsidR="00C96FF7" w:rsidRPr="007321E4">
        <w:t> </w:t>
      </w:r>
      <w:r w:rsidR="007913AF" w:rsidRPr="007321E4">
        <w:t>and second </w:t>
      </w:r>
      <w:r w:rsidRPr="007321E4">
        <w:t>parts of footnote 1 to Article 4.2.</w:t>
      </w:r>
      <w:r w:rsidRPr="007321E4">
        <w:rPr>
          <w:rStyle w:val="FootnoteReference"/>
        </w:rPr>
        <w:footnoteReference w:id="133"/>
      </w:r>
    </w:p>
    <w:p w:rsidR="008B570B" w:rsidRPr="007321E4" w:rsidRDefault="008B570B" w:rsidP="008B570B">
      <w:pPr>
        <w:pStyle w:val="BodyText"/>
        <w:numPr>
          <w:ilvl w:val="6"/>
          <w:numId w:val="37"/>
        </w:numPr>
      </w:pPr>
      <w:r w:rsidRPr="007321E4">
        <w:t>New Zealand and the United States respond that the Panel correctly found that the burden of proof under Article XX of the GATT 1994 falls on Indonesia, including in the context of footnote 1 to Article 4.2 of the Agreement on Agriculture.</w:t>
      </w:r>
      <w:r w:rsidRPr="007321E4">
        <w:rPr>
          <w:rStyle w:val="FootnoteReference"/>
        </w:rPr>
        <w:footnoteReference w:id="134"/>
      </w:r>
      <w:r w:rsidRPr="007321E4">
        <w:t xml:space="preserve"> They argue that it is well established in WTO jurisprudence that Article XX of the GATT 1994 is in the nature of an affirmative defence, </w:t>
      </w:r>
      <w:r w:rsidRPr="007321E4">
        <w:lastRenderedPageBreak/>
        <w:t>with respect to which the respondent bears the burden of proof</w:t>
      </w:r>
      <w:r w:rsidRPr="007321E4">
        <w:rPr>
          <w:rStyle w:val="FootnoteReference"/>
        </w:rPr>
        <w:footnoteReference w:id="135"/>
      </w:r>
      <w:r w:rsidRPr="007321E4">
        <w:t>, and that there is no basis for Indonesia to argue that the nature of Article XX as an affirmative defence is changed in the context of Article 4.2 of the Agreement on Agriculture.</w:t>
      </w:r>
      <w:r w:rsidRPr="007321E4">
        <w:rPr>
          <w:rStyle w:val="FootnoteReference"/>
        </w:rPr>
        <w:footnoteReference w:id="136"/>
      </w:r>
    </w:p>
    <w:p w:rsidR="008B570B" w:rsidRPr="007321E4" w:rsidRDefault="008B570B" w:rsidP="008B570B">
      <w:pPr>
        <w:pStyle w:val="BodyText"/>
        <w:numPr>
          <w:ilvl w:val="6"/>
          <w:numId w:val="37"/>
        </w:numPr>
      </w:pPr>
      <w:r w:rsidRPr="007321E4">
        <w:t>We begin by recalling the text of Article 4.2, including footnote 1, of the Agreement on Agriculture. Article 4.2 reads:</w:t>
      </w:r>
    </w:p>
    <w:p w:rsidR="008B570B" w:rsidRPr="007321E4" w:rsidRDefault="008B570B" w:rsidP="007321E4">
      <w:pPr>
        <w:pStyle w:val="Quotation"/>
        <w:jc w:val="center"/>
        <w:rPr>
          <w:i/>
        </w:rPr>
      </w:pPr>
      <w:r w:rsidRPr="007321E4">
        <w:rPr>
          <w:i/>
        </w:rPr>
        <w:t>Article 4</w:t>
      </w:r>
    </w:p>
    <w:p w:rsidR="008B570B" w:rsidRPr="007321E4" w:rsidRDefault="008B570B" w:rsidP="007321E4">
      <w:pPr>
        <w:pStyle w:val="Quotation"/>
        <w:jc w:val="center"/>
        <w:rPr>
          <w:i/>
        </w:rPr>
      </w:pPr>
      <w:r w:rsidRPr="007321E4">
        <w:rPr>
          <w:i/>
        </w:rPr>
        <w:t>Market Access</w:t>
      </w:r>
    </w:p>
    <w:p w:rsidR="008B570B" w:rsidRPr="007321E4" w:rsidRDefault="008B570B" w:rsidP="00190BF6">
      <w:pPr>
        <w:pStyle w:val="Quotation"/>
        <w:spacing w:before="120" w:after="120"/>
        <w:jc w:val="center"/>
      </w:pPr>
      <w:r w:rsidRPr="007321E4">
        <w:t>…</w:t>
      </w:r>
    </w:p>
    <w:p w:rsidR="008B570B" w:rsidRPr="007321E4" w:rsidRDefault="008B570B" w:rsidP="00190BF6">
      <w:pPr>
        <w:pStyle w:val="Quotation"/>
        <w:spacing w:after="0"/>
      </w:pPr>
      <w:r w:rsidRPr="007321E4">
        <w:t>2.</w:t>
      </w:r>
      <w:r w:rsidRPr="007321E4">
        <w:tab/>
        <w:t>Members shall not maintain, resort to, or revert to any measures of the kind which have been required to be converted into ordinary customs duties</w:t>
      </w:r>
      <w:r w:rsidRPr="007321E4">
        <w:rPr>
          <w:vertAlign w:val="superscript"/>
        </w:rPr>
        <w:t>1</w:t>
      </w:r>
      <w:r w:rsidRPr="007321E4">
        <w:t>, except as otherwise provided for in Article 5 and Annex 5.</w:t>
      </w:r>
    </w:p>
    <w:p w:rsidR="008B570B" w:rsidRPr="007321E4" w:rsidRDefault="008B570B" w:rsidP="00190BF6">
      <w:pPr>
        <w:pStyle w:val="Quotation"/>
        <w:spacing w:after="0"/>
      </w:pPr>
      <w:r w:rsidRPr="007321E4">
        <w:t>______________</w:t>
      </w:r>
    </w:p>
    <w:p w:rsidR="008B570B" w:rsidRPr="007321E4" w:rsidRDefault="008B570B" w:rsidP="00190BF6">
      <w:pPr>
        <w:pStyle w:val="Quotation"/>
      </w:pPr>
      <w:r w:rsidRPr="007321E4">
        <w:rPr>
          <w:vertAlign w:val="superscript"/>
        </w:rPr>
        <w:t xml:space="preserve">1 </w:t>
      </w:r>
      <w:r w:rsidRPr="007321E4">
        <w:rPr>
          <w:sz w:val="16"/>
          <w:szCs w:val="16"/>
        </w:rPr>
        <w:t>These measures include quantitative import restrictions, variable import levies, minimum import prices, discretionary import licensing, non-tariff measures maintained through state-trading enterprises, voluntary export restraints, and similar border measures other than ordinary customs duties, whether or not the measures are maintained under country-specific derogations from the provisions of GATT 1947, but not measures maintained under balance-of-payments provisions or under other general, non-agriculture-specific provisions of GATT 1994 or of the other Multilateral Trade Agreements in Annex 1A to the WTO Agreement.</w:t>
      </w:r>
    </w:p>
    <w:p w:rsidR="008B570B" w:rsidRPr="007321E4" w:rsidRDefault="008B570B" w:rsidP="008B570B">
      <w:pPr>
        <w:pStyle w:val="BodyText"/>
        <w:numPr>
          <w:ilvl w:val="6"/>
          <w:numId w:val="37"/>
        </w:numPr>
      </w:pPr>
      <w:r w:rsidRPr="007321E4">
        <w:t xml:space="preserve">Article 4.2 prohibits Members from maintaining, resorting to, or reverting to "measures of the kind which have been required to be converted into ordinary customs duties", subject to certain exceptions under Article 5 and Annex 5 </w:t>
      </w:r>
      <w:r w:rsidR="008D4CA2" w:rsidRPr="007321E4">
        <w:t>t</w:t>
      </w:r>
      <w:r w:rsidRPr="007321E4">
        <w:t xml:space="preserve">o that </w:t>
      </w:r>
      <w:r w:rsidR="008D4CA2" w:rsidRPr="007321E4">
        <w:t>A</w:t>
      </w:r>
      <w:r w:rsidRPr="007321E4">
        <w:t>greement. The first part of footnote 1 to Article 4.2 contains an "illustrative list"</w:t>
      </w:r>
      <w:r w:rsidRPr="007321E4">
        <w:rPr>
          <w:rStyle w:val="FootnoteReference"/>
        </w:rPr>
        <w:footnoteReference w:id="137"/>
      </w:r>
      <w:r w:rsidRPr="007321E4">
        <w:t xml:space="preserve"> of the categories of measures prohibited under Article</w:t>
      </w:r>
      <w:r w:rsidR="00C96FF7" w:rsidRPr="007321E4">
        <w:t> </w:t>
      </w:r>
      <w:r w:rsidRPr="007321E4">
        <w:t>4.2, which refers</w:t>
      </w:r>
      <w:r w:rsidR="008D4CA2" w:rsidRPr="007321E4">
        <w:t xml:space="preserve"> to</w:t>
      </w:r>
      <w:r w:rsidRPr="007321E4">
        <w:t xml:space="preserve">, </w:t>
      </w:r>
      <w:r w:rsidRPr="007321E4">
        <w:rPr>
          <w:i/>
        </w:rPr>
        <w:t>inter alia</w:t>
      </w:r>
      <w:r w:rsidRPr="007321E4">
        <w:t>, "quantitative import restrictions". The second part of footnote 1 provides that "measures" within the meaning of Article</w:t>
      </w:r>
      <w:r w:rsidR="00E66336" w:rsidRPr="007321E4">
        <w:t> </w:t>
      </w:r>
      <w:r w:rsidRPr="007321E4">
        <w:t>4.2 do not include measures maintained under "balance-of-payments provisions or under other general, non-agriculture-specific provisions of GATT 1994 or of the other Multilateral Trade Agreements in Annex 1A to the WTO</w:t>
      </w:r>
      <w:r w:rsidR="00C96FF7" w:rsidRPr="007321E4">
        <w:t> </w:t>
      </w:r>
      <w:r w:rsidRPr="007321E4">
        <w:t>Agreement". Article XX of the GATT 1994 is one of the "other general, non</w:t>
      </w:r>
      <w:r w:rsidRPr="007321E4">
        <w:noBreakHyphen/>
        <w:t xml:space="preserve">agriculture-specific provisions of GATT 1994". As such, a Member is prohibited under Article 4.2 from maintaining, resorting to, or reverting to a measure that falls within any of the categories of measures listed in the first part of footnote 1, such as "quantitative import restrictions", </w:t>
      </w:r>
      <w:r w:rsidRPr="007321E4">
        <w:rPr>
          <w:i/>
        </w:rPr>
        <w:t>provided</w:t>
      </w:r>
      <w:r w:rsidRPr="007321E4">
        <w:t xml:space="preserve"> such measure is not maintained under any of the "provisions" mentioned in the second part of footnote 1, such as Article XX of the GATT 1994.</w:t>
      </w:r>
      <w:r w:rsidRPr="007321E4">
        <w:rPr>
          <w:rStyle w:val="FootnoteReference"/>
        </w:rPr>
        <w:footnoteReference w:id="138"/>
      </w:r>
    </w:p>
    <w:p w:rsidR="008B570B" w:rsidRPr="007321E4" w:rsidRDefault="008B570B" w:rsidP="008B570B">
      <w:pPr>
        <w:pStyle w:val="BodyText"/>
        <w:numPr>
          <w:ilvl w:val="6"/>
          <w:numId w:val="37"/>
        </w:numPr>
      </w:pPr>
      <w:r w:rsidRPr="007321E4">
        <w:t xml:space="preserve">With respect to the burden of proof under </w:t>
      </w:r>
      <w:r w:rsidR="006A2C3A" w:rsidRPr="007321E4">
        <w:t xml:space="preserve">Article XX of the GATT 1994 referred to in </w:t>
      </w:r>
      <w:r w:rsidRPr="007321E4">
        <w:t>the second part of footnote 1 to Article 4.2 of the Agreement on Agriculture, we recall the general principle that "the burden of proof rests upon the party, whether complaining or defending, who asserts the affirmative of a particular claim or defence</w:t>
      </w:r>
      <w:r w:rsidR="006A2C3A" w:rsidRPr="007321E4">
        <w:t>.</w:t>
      </w:r>
      <w:r w:rsidRPr="007321E4">
        <w:t>"</w:t>
      </w:r>
      <w:r w:rsidRPr="007321E4">
        <w:rPr>
          <w:rStyle w:val="FootnoteReference"/>
        </w:rPr>
        <w:footnoteReference w:id="139"/>
      </w:r>
      <w:r w:rsidRPr="007321E4">
        <w:t xml:space="preserve"> We also note that it has been well established through WTO jurisprudence that Article XX of the GATT 1994 is an </w:t>
      </w:r>
      <w:r w:rsidRPr="007321E4">
        <w:rPr>
          <w:i/>
        </w:rPr>
        <w:t>affirmative defence</w:t>
      </w:r>
      <w:r w:rsidRPr="007321E4">
        <w:t xml:space="preserve">, with respect to which the respondent bears the burden of establishing a </w:t>
      </w:r>
      <w:r w:rsidRPr="007321E4">
        <w:rPr>
          <w:i/>
        </w:rPr>
        <w:t>prima facie</w:t>
      </w:r>
      <w:r w:rsidRPr="007321E4">
        <w:t xml:space="preserve"> case</w:t>
      </w:r>
      <w:r w:rsidRPr="007321E4">
        <w:rPr>
          <w:szCs w:val="18"/>
        </w:rPr>
        <w:t>.</w:t>
      </w:r>
      <w:r w:rsidRPr="007321E4">
        <w:rPr>
          <w:rStyle w:val="FootnoteReference"/>
        </w:rPr>
        <w:footnoteReference w:id="140"/>
      </w:r>
      <w:r w:rsidRPr="007321E4">
        <w:rPr>
          <w:szCs w:val="18"/>
        </w:rPr>
        <w:t xml:space="preserve"> In this context, the Appellate Body has stated that Article XX </w:t>
      </w:r>
      <w:r w:rsidRPr="007321E4">
        <w:t xml:space="preserve">is one of the "exceptions" from obligations under certain other provisions of the GATT 1994, rather than a positive rule establishing obligations in </w:t>
      </w:r>
      <w:proofErr w:type="gramStart"/>
      <w:r w:rsidRPr="007321E4">
        <w:t>itself</w:t>
      </w:r>
      <w:proofErr w:type="gramEnd"/>
      <w:r w:rsidRPr="007321E4">
        <w:t>.</w:t>
      </w:r>
      <w:r w:rsidRPr="007321E4">
        <w:rPr>
          <w:rStyle w:val="FootnoteReference"/>
        </w:rPr>
        <w:footnoteReference w:id="141"/>
      </w:r>
      <w:r w:rsidRPr="007321E4">
        <w:t xml:space="preserve"> Accordingly, the question before us is whether the allocation of the burden of proof as it applies under Article XX of the GATT 1994 is changed by virtue of the incorporation of this </w:t>
      </w:r>
      <w:r w:rsidR="0019175A" w:rsidRPr="007321E4">
        <w:t xml:space="preserve">provision </w:t>
      </w:r>
      <w:r w:rsidRPr="007321E4">
        <w:t xml:space="preserve">into Article 4.2 of the Agreement on Agriculture through the reference contained in the second part of footnote 1 to that </w:t>
      </w:r>
      <w:r w:rsidR="0019175A" w:rsidRPr="007321E4">
        <w:t>provision</w:t>
      </w:r>
      <w:r w:rsidRPr="007321E4">
        <w:t>.</w:t>
      </w:r>
    </w:p>
    <w:p w:rsidR="008B570B" w:rsidRPr="007321E4" w:rsidRDefault="008B570B" w:rsidP="008B570B">
      <w:pPr>
        <w:pStyle w:val="BodyText"/>
        <w:numPr>
          <w:ilvl w:val="6"/>
          <w:numId w:val="37"/>
        </w:numPr>
      </w:pPr>
      <w:r w:rsidRPr="007321E4">
        <w:lastRenderedPageBreak/>
        <w:t xml:space="preserve">We observe first that </w:t>
      </w:r>
      <w:r w:rsidRPr="007321E4">
        <w:rPr>
          <w:szCs w:val="18"/>
        </w:rPr>
        <w:t xml:space="preserve">Article 4.2 of the Agreement on Agriculture </w:t>
      </w:r>
      <w:r w:rsidR="006A2C3A" w:rsidRPr="007321E4">
        <w:rPr>
          <w:szCs w:val="18"/>
        </w:rPr>
        <w:t xml:space="preserve">and footnote 1 thereto </w:t>
      </w:r>
      <w:r w:rsidRPr="007321E4">
        <w:rPr>
          <w:szCs w:val="18"/>
        </w:rPr>
        <w:t>do not contain any express indication that Article XX of the GATT 1994 is no longer an affirmative defence when it is applied through the reference in the second part of footnote 1. Nor does Article</w:t>
      </w:r>
      <w:r w:rsidR="001F2C03" w:rsidRPr="007321E4">
        <w:rPr>
          <w:szCs w:val="18"/>
        </w:rPr>
        <w:t> </w:t>
      </w:r>
      <w:r w:rsidRPr="007321E4">
        <w:rPr>
          <w:szCs w:val="18"/>
        </w:rPr>
        <w:t xml:space="preserve">4.2 or footnote 1 expressly provide that the complainant bringing a claim under this </w:t>
      </w:r>
      <w:r w:rsidR="0019175A" w:rsidRPr="007321E4">
        <w:rPr>
          <w:szCs w:val="18"/>
        </w:rPr>
        <w:t xml:space="preserve">provision </w:t>
      </w:r>
      <w:r w:rsidRPr="007321E4">
        <w:rPr>
          <w:szCs w:val="18"/>
        </w:rPr>
        <w:t xml:space="preserve">must establish that the challenged measure is </w:t>
      </w:r>
      <w:r w:rsidRPr="007321E4">
        <w:rPr>
          <w:i/>
          <w:szCs w:val="18"/>
        </w:rPr>
        <w:t>not</w:t>
      </w:r>
      <w:r w:rsidRPr="007321E4">
        <w:rPr>
          <w:szCs w:val="18"/>
        </w:rPr>
        <w:t xml:space="preserve"> maintained under Article XX of the GATT 1994 or under any of the other "provisions" referred to in the second part of footnote 1. In particular, the phrase "but not" in the second part of footnote 1, read in conjunction with the word "include" in the first part of footnote 1, makes clear that "measures" prohibited under Article 4.2 </w:t>
      </w:r>
      <w:r w:rsidRPr="007321E4">
        <w:rPr>
          <w:i/>
          <w:szCs w:val="18"/>
        </w:rPr>
        <w:t>do</w:t>
      </w:r>
      <w:r w:rsidRPr="007321E4">
        <w:rPr>
          <w:szCs w:val="18"/>
        </w:rPr>
        <w:t xml:space="preserve"> </w:t>
      </w:r>
      <w:r w:rsidRPr="007321E4">
        <w:rPr>
          <w:i/>
          <w:szCs w:val="18"/>
        </w:rPr>
        <w:t>not include</w:t>
      </w:r>
      <w:r w:rsidRPr="007321E4">
        <w:rPr>
          <w:szCs w:val="18"/>
        </w:rPr>
        <w:t xml:space="preserve"> measures maintained under one of the "provisions" mentioned in the second part of footnote 1. This phrase, however, is neutral as to the allocation of the burden of proof under these "provisions", including under Article XX.</w:t>
      </w:r>
    </w:p>
    <w:p w:rsidR="008B570B" w:rsidRPr="007321E4" w:rsidRDefault="008B570B" w:rsidP="008B570B">
      <w:pPr>
        <w:pStyle w:val="BodyText"/>
        <w:numPr>
          <w:ilvl w:val="6"/>
          <w:numId w:val="37"/>
        </w:numPr>
      </w:pPr>
      <w:r w:rsidRPr="007321E4">
        <w:t>Indonesia argues that</w:t>
      </w:r>
      <w:r w:rsidR="0019175A" w:rsidRPr="007321E4">
        <w:t>,</w:t>
      </w:r>
      <w:r w:rsidRPr="007321E4">
        <w:t xml:space="preserve"> because measures maintained under "general, non</w:t>
      </w:r>
      <w:r w:rsidR="006A2C3A" w:rsidRPr="007321E4">
        <w:noBreakHyphen/>
      </w:r>
      <w:r w:rsidRPr="007321E4">
        <w:t>agriculture</w:t>
      </w:r>
      <w:r w:rsidR="006A2C3A" w:rsidRPr="007321E4">
        <w:noBreakHyphen/>
      </w:r>
      <w:r w:rsidRPr="007321E4">
        <w:t>specific provisions", such as Article XX of the GATT 1994, are not subject to the obligation under Article 4.2 of the Agreement on Agriculture, a party presenting a claim under Article 4.2 is required to establish that the measure "</w:t>
      </w:r>
      <w:r w:rsidR="006B61F2" w:rsidRPr="007321E4">
        <w:t xml:space="preserve">is of the kind that </w:t>
      </w:r>
      <w:r w:rsidRPr="007321E4">
        <w:t xml:space="preserve">falls within the </w:t>
      </w:r>
      <w:r w:rsidRPr="007321E4">
        <w:rPr>
          <w:u w:val="single"/>
        </w:rPr>
        <w:t>scope</w:t>
      </w:r>
      <w:r w:rsidRPr="007321E4">
        <w:t xml:space="preserve"> of this provision"</w:t>
      </w:r>
      <w:r w:rsidRPr="007321E4">
        <w:rPr>
          <w:rStyle w:val="FootnoteReference"/>
        </w:rPr>
        <w:footnoteReference w:id="142"/>
      </w:r>
      <w:r w:rsidRPr="007321E4">
        <w:t xml:space="preserve"> by demonstrating "both elements" in footnote 1</w:t>
      </w:r>
      <w:r w:rsidRPr="007321E4">
        <w:rPr>
          <w:rStyle w:val="FootnoteReference"/>
        </w:rPr>
        <w:footnoteReference w:id="143"/>
      </w:r>
      <w:r w:rsidRPr="007321E4">
        <w:t>, namely</w:t>
      </w:r>
      <w:r w:rsidR="006A2C3A" w:rsidRPr="007321E4">
        <w:t>,</w:t>
      </w:r>
      <w:r w:rsidRPr="007321E4">
        <w:t xml:space="preserve"> the requirements of both the first and second parts of footnote 1. We </w:t>
      </w:r>
      <w:r w:rsidRPr="007321E4">
        <w:rPr>
          <w:szCs w:val="18"/>
        </w:rPr>
        <w:t>acknowledge that</w:t>
      </w:r>
      <w:r w:rsidRPr="007321E4">
        <w:t xml:space="preserve"> </w:t>
      </w:r>
      <w:r w:rsidRPr="007321E4">
        <w:rPr>
          <w:szCs w:val="18"/>
        </w:rPr>
        <w:t xml:space="preserve">"measures" within the meaning of Article 4.2 </w:t>
      </w:r>
      <w:r w:rsidRPr="007321E4">
        <w:rPr>
          <w:i/>
          <w:szCs w:val="18"/>
        </w:rPr>
        <w:t>do not include</w:t>
      </w:r>
      <w:r w:rsidRPr="007321E4">
        <w:rPr>
          <w:szCs w:val="18"/>
        </w:rPr>
        <w:t xml:space="preserve"> measures maintained </w:t>
      </w:r>
      <w:proofErr w:type="gramStart"/>
      <w:r w:rsidRPr="007321E4">
        <w:rPr>
          <w:szCs w:val="18"/>
        </w:rPr>
        <w:t>under</w:t>
      </w:r>
      <w:proofErr w:type="gramEnd"/>
      <w:r w:rsidRPr="007321E4">
        <w:rPr>
          <w:szCs w:val="18"/>
        </w:rPr>
        <w:t xml:space="preserve"> one of the "provisions" mentioned in the second part of footnote 1.</w:t>
      </w:r>
      <w:r w:rsidRPr="007321E4">
        <w:t xml:space="preserve"> The second part of footnote 1 may thus be seen as relating to the </w:t>
      </w:r>
      <w:r w:rsidRPr="007321E4">
        <w:rPr>
          <w:i/>
        </w:rPr>
        <w:t>scope</w:t>
      </w:r>
      <w:r w:rsidRPr="007321E4">
        <w:t xml:space="preserve"> of Article 4.2.</w:t>
      </w:r>
      <w:r w:rsidRPr="007321E4">
        <w:rPr>
          <w:szCs w:val="18"/>
        </w:rPr>
        <w:t xml:space="preserve"> </w:t>
      </w:r>
      <w:r w:rsidRPr="007321E4">
        <w:t>We do not</w:t>
      </w:r>
      <w:r w:rsidR="0019175A" w:rsidRPr="007321E4">
        <w:t>,</w:t>
      </w:r>
      <w:r w:rsidRPr="007321E4">
        <w:t xml:space="preserve"> </w:t>
      </w:r>
      <w:r w:rsidR="0019175A" w:rsidRPr="007321E4">
        <w:t xml:space="preserve">however, </w:t>
      </w:r>
      <w:r w:rsidRPr="007321E4">
        <w:t>agree that such characterization necessarily gives decisive guidance as to the allocation of the burden of proof under the second part of footnote 1. In fact, the Appellate Body has cautioned that the characterization of a particular provision as a "derogation limiting the scope", such as Articles III:8(a) and XI:2(a) of the GATT 1994, "does not pre-determine the question as to which party bears the burden of proof with regard to the requirements stipulated in the provision".</w:t>
      </w:r>
      <w:r w:rsidRPr="007321E4">
        <w:rPr>
          <w:rStyle w:val="FootnoteReference"/>
        </w:rPr>
        <w:footnoteReference w:id="144"/>
      </w:r>
    </w:p>
    <w:p w:rsidR="008B570B" w:rsidRPr="007321E4" w:rsidRDefault="008B570B" w:rsidP="008B570B">
      <w:pPr>
        <w:pStyle w:val="BodyText"/>
        <w:numPr>
          <w:ilvl w:val="6"/>
          <w:numId w:val="37"/>
        </w:numPr>
      </w:pPr>
      <w:r w:rsidRPr="007321E4">
        <w:rPr>
          <w:szCs w:val="18"/>
        </w:rPr>
        <w:t>We also note Indonesia's argument that</w:t>
      </w:r>
      <w:r w:rsidRPr="007321E4">
        <w:t xml:space="preserve"> Article XX of the GATT 1994 cannot be an "exception" in the context of Article 4.2 of the Agreement on Agriculture, because the drafters used "special language" such as "exceptions" or "exemptions" when they intended to import </w:t>
      </w:r>
      <w:r w:rsidRPr="007321E4">
        <w:rPr>
          <w:i/>
        </w:rPr>
        <w:t>exceptions</w:t>
      </w:r>
      <w:r w:rsidRPr="007321E4">
        <w:t xml:space="preserve"> from the GATT 1994 into the other covered agreements.</w:t>
      </w:r>
      <w:r w:rsidRPr="007321E4">
        <w:rPr>
          <w:rStyle w:val="FootnoteReference"/>
        </w:rPr>
        <w:footnoteReference w:id="145"/>
      </w:r>
      <w:r w:rsidRPr="007321E4">
        <w:t xml:space="preserve"> The mere presence or absence of words such as "exceptions" or "exemptions", however, is not dispositive of the allocation of the burden of proof under a particular provision. The reverse of what Indonesia asserts could also be true because</w:t>
      </w:r>
      <w:r w:rsidR="00120F56" w:rsidRPr="007321E4">
        <w:t>,</w:t>
      </w:r>
      <w:r w:rsidRPr="007321E4">
        <w:t xml:space="preserve"> if the drafters of Article 4.2 had intended to modify the nature of Article XX of the GATT 1994 as an </w:t>
      </w:r>
      <w:r w:rsidRPr="007321E4">
        <w:rPr>
          <w:i/>
        </w:rPr>
        <w:t>affirmative defence</w:t>
      </w:r>
      <w:r w:rsidRPr="007321E4">
        <w:t xml:space="preserve">, they could have used explicit language to that effect, instead of using phrases such as "but not" and "general, non-agriculture-specific </w:t>
      </w:r>
      <w:r w:rsidRPr="007321E4">
        <w:rPr>
          <w:i/>
        </w:rPr>
        <w:t>provisions</w:t>
      </w:r>
      <w:r w:rsidRPr="007321E4">
        <w:t>" in the second part of footnote 1.</w:t>
      </w:r>
      <w:r w:rsidRPr="007321E4">
        <w:rPr>
          <w:rStyle w:val="FootnoteReference"/>
        </w:rPr>
        <w:footnoteReference w:id="146"/>
      </w:r>
      <w:r w:rsidRPr="007321E4">
        <w:t xml:space="preserve"> </w:t>
      </w:r>
    </w:p>
    <w:p w:rsidR="008B570B" w:rsidRPr="007321E4" w:rsidRDefault="008B570B" w:rsidP="008B570B">
      <w:pPr>
        <w:pStyle w:val="BodyText"/>
        <w:numPr>
          <w:ilvl w:val="6"/>
          <w:numId w:val="37"/>
        </w:numPr>
      </w:pPr>
      <w:r w:rsidRPr="007321E4">
        <w:t xml:space="preserve">In light of the above, we fail to see a textual basis for the proposition that the burden of proof under Article XX of the GATT 1994 is shifted to the complainant by virtue of the incorporation of this </w:t>
      </w:r>
      <w:r w:rsidR="00120F56" w:rsidRPr="007321E4">
        <w:t xml:space="preserve">provision </w:t>
      </w:r>
      <w:r w:rsidRPr="007321E4">
        <w:t xml:space="preserve">into the second part of footnote 1 to Article 4.2 of the Agreement on Agriculture. Rather, given that footnote 1 to Article 4.2 incorporates Article XX by reference without modifying the nature of this provision as an affirmative defence, it would follow that the burden of proof under Article XX remains with the respondent in the context of Article 4.2. This is consistent with the general principle that "the burden of proof rests upon the party, whether complaining or defending, who asserts the </w:t>
      </w:r>
      <w:r w:rsidRPr="007321E4">
        <w:rPr>
          <w:i/>
        </w:rPr>
        <w:t>affirmative</w:t>
      </w:r>
      <w:r w:rsidRPr="007321E4">
        <w:t xml:space="preserve"> of a particular claim or defence</w:t>
      </w:r>
      <w:r w:rsidR="006A2C3A" w:rsidRPr="007321E4">
        <w:t>.</w:t>
      </w:r>
      <w:r w:rsidRPr="007321E4">
        <w:t>"</w:t>
      </w:r>
      <w:r w:rsidRPr="007321E4">
        <w:rPr>
          <w:rStyle w:val="FootnoteReference"/>
        </w:rPr>
        <w:footnoteReference w:id="147"/>
      </w:r>
      <w:r w:rsidRPr="007321E4">
        <w:t xml:space="preserve"> While the complainant challenging a measure under Article 4.2 is required to demonstrate that the measure falls within the categories of measures prohibited under Article 4.2, it is the respondent who benefits from a showing that the measure </w:t>
      </w:r>
      <w:r w:rsidRPr="007321E4">
        <w:rPr>
          <w:i/>
        </w:rPr>
        <w:t>additionally</w:t>
      </w:r>
      <w:r w:rsidRPr="007321E4">
        <w:t xml:space="preserve"> satisfies the requirements of Article XX and therefore is not prohibited under Article 4.2.</w:t>
      </w:r>
    </w:p>
    <w:p w:rsidR="008B570B" w:rsidRPr="007321E4" w:rsidRDefault="008B570B" w:rsidP="008B570B">
      <w:pPr>
        <w:pStyle w:val="BodyText"/>
        <w:numPr>
          <w:ilvl w:val="6"/>
          <w:numId w:val="37"/>
        </w:numPr>
      </w:pPr>
      <w:r w:rsidRPr="007321E4">
        <w:lastRenderedPageBreak/>
        <w:t>We recall that</w:t>
      </w:r>
      <w:r w:rsidR="00120F56" w:rsidRPr="007321E4">
        <w:t>,</w:t>
      </w:r>
      <w:r w:rsidRPr="007321E4">
        <w:t xml:space="preserve"> in </w:t>
      </w:r>
      <w:r w:rsidRPr="007321E4">
        <w:rPr>
          <w:i/>
        </w:rPr>
        <w:t>US – Clove Cigarettes</w:t>
      </w:r>
      <w:r w:rsidRPr="007321E4">
        <w:t>, the Appellate Body found</w:t>
      </w:r>
      <w:r w:rsidRPr="007321E4">
        <w:rPr>
          <w:rStyle w:val="FootnoteReference"/>
        </w:rPr>
        <w:footnoteReference w:id="148"/>
      </w:r>
      <w:r w:rsidRPr="007321E4">
        <w:t xml:space="preserve"> that "the burden of proof in respect of a particular provision of the covered agreements </w:t>
      </w:r>
      <w:r w:rsidRPr="007321E4">
        <w:rPr>
          <w:i/>
        </w:rPr>
        <w:t>cannot</w:t>
      </w:r>
      <w:r w:rsidRPr="007321E4">
        <w:t xml:space="preserve"> be understood in isolation from the overarching logic of that provision, and the function which it is designed to serve."</w:t>
      </w:r>
      <w:r w:rsidRPr="007321E4">
        <w:rPr>
          <w:rStyle w:val="FootnoteReference"/>
        </w:rPr>
        <w:footnoteReference w:id="149"/>
      </w:r>
      <w:r w:rsidRPr="007321E4">
        <w:t xml:space="preserve"> Indonesia has not explained how and to what extent the reference in the second part of footnote 1 to Article 4.2 of the Agreement on Agriculture modifies the overarching logic and function of Article XX of the GATT 1994. We recall in this regard that the Appellate Body has stated that Article XX </w:t>
      </w:r>
      <w:r w:rsidRPr="007321E4">
        <w:rPr>
          <w:iCs/>
        </w:rPr>
        <w:t>"</w:t>
      </w:r>
      <w:r w:rsidRPr="007321E4">
        <w:t>contains provisions designed to permit important state interests … to find expression".</w:t>
      </w:r>
      <w:r w:rsidRPr="007321E4">
        <w:rPr>
          <w:rStyle w:val="FootnoteReference"/>
        </w:rPr>
        <w:footnoteReference w:id="150"/>
      </w:r>
      <w:r w:rsidRPr="007321E4">
        <w:t xml:space="preserve"> Paragraphs (a) to (j) of Article XX "comprise measures that are recognized as </w:t>
      </w:r>
      <w:r w:rsidRPr="007321E4">
        <w:rPr>
          <w:i/>
        </w:rPr>
        <w:t>exceptions to</w:t>
      </w:r>
      <w:r w:rsidRPr="007321E4">
        <w:t xml:space="preserve"> </w:t>
      </w:r>
      <w:r w:rsidRPr="007321E4">
        <w:rPr>
          <w:i/>
        </w:rPr>
        <w:t>substantive obligations</w:t>
      </w:r>
      <w:r w:rsidRPr="007321E4">
        <w:t xml:space="preserve"> established in the GATT 1994, because the domestic policies embodied in such measures have been recognized as important and legitimate in character".</w:t>
      </w:r>
      <w:r w:rsidRPr="007321E4">
        <w:rPr>
          <w:rStyle w:val="FootnoteReference"/>
        </w:rPr>
        <w:footnoteReference w:id="151"/>
      </w:r>
      <w:r w:rsidRPr="007321E4">
        <w:t xml:space="preserve"> The </w:t>
      </w:r>
      <w:r w:rsidRPr="007321E4">
        <w:rPr>
          <w:i/>
        </w:rPr>
        <w:t>chapeau</w:t>
      </w:r>
      <w:r w:rsidRPr="007321E4">
        <w:t xml:space="preserve"> of Article XX, in turn, "embodies the recognition on the part of WTO Members of the need to maintain a balance of rights and obligations between the right of a Member to invoke one or another of the exceptions</w:t>
      </w:r>
      <w:r w:rsidRPr="007321E4">
        <w:rPr>
          <w:b/>
        </w:rPr>
        <w:t xml:space="preserve"> </w:t>
      </w:r>
      <w:r w:rsidRPr="007321E4">
        <w:t>of Article XX, specified in paragraphs (a) to (j), on the one hand, and the substantive rights of the other Members under the GATT 1994, on the other hand".</w:t>
      </w:r>
      <w:r w:rsidRPr="007321E4">
        <w:rPr>
          <w:rStyle w:val="FootnoteReference"/>
        </w:rPr>
        <w:footnoteReference w:id="152"/>
      </w:r>
      <w:r w:rsidRPr="007321E4">
        <w:t xml:space="preserve"> In our view, the overarching logic and function of Article XX of striking a balance between Members' obligations and rights remain the same in the context of Article 4.2 of the Agreement on Agriculture, as it recognizes Members' rights to pursue certain legitimate policy objectives as juxtaposed to their obligation to liberalize trade by converting certain market access barriers into ordinary customs duties.</w:t>
      </w:r>
      <w:r w:rsidRPr="007321E4">
        <w:rPr>
          <w:rStyle w:val="FootnoteReference"/>
        </w:rPr>
        <w:footnoteReference w:id="153"/>
      </w:r>
    </w:p>
    <w:p w:rsidR="008B570B" w:rsidRPr="007321E4" w:rsidRDefault="008B570B" w:rsidP="008B570B">
      <w:pPr>
        <w:pStyle w:val="BodyText"/>
        <w:numPr>
          <w:ilvl w:val="6"/>
          <w:numId w:val="37"/>
        </w:numPr>
      </w:pPr>
      <w:r w:rsidRPr="007321E4">
        <w:t>Finally, we note that Indonesia suggests that the allocation of the burden of proof under the second part of footnote 1 should be informed by certain other provisions of the covered agreements, which, according to Indonesia, "convert exceptions under Article XX of the GATT 1994 into positive obligations, thereby shifting the burden of proof to the complainant".</w:t>
      </w:r>
      <w:r w:rsidRPr="007321E4">
        <w:rPr>
          <w:rStyle w:val="FootnoteReference"/>
        </w:rPr>
        <w:footnoteReference w:id="154"/>
      </w:r>
      <w:r w:rsidRPr="007321E4">
        <w:t xml:space="preserve"> According to Indonesia, Articles 2.2 and 2.4 of the Agreement on Technical Barriers to Trade (TBT Agreement) are among such provisions.</w:t>
      </w:r>
      <w:r w:rsidRPr="007321E4">
        <w:rPr>
          <w:rStyle w:val="FootnoteReference"/>
        </w:rPr>
        <w:footnoteReference w:id="155"/>
      </w:r>
    </w:p>
    <w:p w:rsidR="008B570B" w:rsidRPr="007321E4" w:rsidRDefault="008B570B" w:rsidP="008B570B">
      <w:pPr>
        <w:pStyle w:val="BodyText"/>
        <w:numPr>
          <w:ilvl w:val="6"/>
          <w:numId w:val="37"/>
        </w:numPr>
      </w:pPr>
      <w:r w:rsidRPr="007321E4">
        <w:t>We disagree that Articles 2.2 and 2.4 of the TBT Agreement are relevant to the interpretation of the second part of footnote 1 to Article 4.2 of the Agreement on Agriculture in terms of the burden of proof</w:t>
      </w:r>
      <w:r w:rsidR="000D5DDF" w:rsidRPr="007321E4">
        <w:t xml:space="preserve"> </w:t>
      </w:r>
      <w:r w:rsidR="00A310E0" w:rsidRPr="007321E4">
        <w:t>under Article XX of the GATT 1994 referred to therein</w:t>
      </w:r>
      <w:r w:rsidRPr="007321E4">
        <w:t>. As an initial matter, we do not find a textual basis to characterize Article 2.2</w:t>
      </w:r>
      <w:r w:rsidRPr="007321E4">
        <w:rPr>
          <w:rStyle w:val="FootnoteReference"/>
        </w:rPr>
        <w:footnoteReference w:id="156"/>
      </w:r>
      <w:r w:rsidRPr="007321E4">
        <w:t xml:space="preserve"> or Article 2.4</w:t>
      </w:r>
      <w:r w:rsidRPr="007321E4">
        <w:rPr>
          <w:rStyle w:val="FootnoteReference"/>
        </w:rPr>
        <w:footnoteReference w:id="157"/>
      </w:r>
      <w:r w:rsidRPr="007321E4">
        <w:t xml:space="preserve"> of </w:t>
      </w:r>
      <w:r w:rsidRPr="007321E4">
        <w:lastRenderedPageBreak/>
        <w:t>the</w:t>
      </w:r>
      <w:r w:rsidR="00A310E0" w:rsidRPr="007321E4">
        <w:t> </w:t>
      </w:r>
      <w:r w:rsidRPr="007321E4">
        <w:t>TBT</w:t>
      </w:r>
      <w:r w:rsidR="000D5DDF" w:rsidRPr="007321E4">
        <w:t> </w:t>
      </w:r>
      <w:r w:rsidRPr="007321E4">
        <w:t>Agreement as "convert[</w:t>
      </w:r>
      <w:proofErr w:type="spellStart"/>
      <w:r w:rsidRPr="007321E4">
        <w:t>ing</w:t>
      </w:r>
      <w:proofErr w:type="spellEnd"/>
      <w:r w:rsidRPr="007321E4">
        <w:t>] exceptions under Article XX of the GATT 1994 into positive obligations"</w:t>
      </w:r>
      <w:r w:rsidRPr="007321E4">
        <w:rPr>
          <w:rStyle w:val="FootnoteReference"/>
        </w:rPr>
        <w:footnoteReference w:id="158"/>
      </w:r>
      <w:r w:rsidRPr="007321E4">
        <w:t xml:space="preserve">, as </w:t>
      </w:r>
      <w:r w:rsidR="000853C4" w:rsidRPr="007321E4">
        <w:t xml:space="preserve">neither </w:t>
      </w:r>
      <w:r w:rsidRPr="007321E4">
        <w:t xml:space="preserve">of these provisions contains </w:t>
      </w:r>
      <w:r w:rsidR="00AC0E1B" w:rsidRPr="007321E4">
        <w:t xml:space="preserve">a </w:t>
      </w:r>
      <w:r w:rsidRPr="007321E4">
        <w:t>specific reference to Article XX. In addition, although Articles 2.2 and 2.4 both refer to certain "legitimate objectives"</w:t>
      </w:r>
      <w:r w:rsidRPr="007321E4">
        <w:rPr>
          <w:rStyle w:val="FootnoteReference"/>
        </w:rPr>
        <w:footnoteReference w:id="159"/>
      </w:r>
      <w:r w:rsidRPr="007321E4">
        <w:t xml:space="preserve"> that are similar to those mentioned in the paragraphs of Article</w:t>
      </w:r>
      <w:r w:rsidR="00E66336" w:rsidRPr="007321E4">
        <w:t> </w:t>
      </w:r>
      <w:r w:rsidRPr="007321E4">
        <w:t xml:space="preserve">XX, the mere reference to such "legitimate objectives" in Article 2.2 or </w:t>
      </w:r>
      <w:r w:rsidR="000853C4" w:rsidRPr="007321E4">
        <w:t xml:space="preserve">Article </w:t>
      </w:r>
      <w:r w:rsidRPr="007321E4">
        <w:t xml:space="preserve">2.4 does not provide relevant context for interpreting Article 4.2 of the Agreement on Agriculture in terms of the burden of proof under </w:t>
      </w:r>
      <w:r w:rsidR="00A310E0" w:rsidRPr="007321E4">
        <w:t xml:space="preserve">Article XX referred to in </w:t>
      </w:r>
      <w:r w:rsidRPr="007321E4">
        <w:t>the second part of footnote</w:t>
      </w:r>
      <w:r w:rsidR="00A310E0" w:rsidRPr="007321E4">
        <w:t> </w:t>
      </w:r>
      <w:r w:rsidRPr="007321E4">
        <w:t>1 thereto. Specifically, with re</w:t>
      </w:r>
      <w:r w:rsidR="004E2D50" w:rsidRPr="007321E4">
        <w:t>spect to Article 2.2 of the TBT </w:t>
      </w:r>
      <w:r w:rsidRPr="007321E4">
        <w:t>Agreement, the Appellate</w:t>
      </w:r>
      <w:r w:rsidR="00A310E0" w:rsidRPr="007321E4">
        <w:t> </w:t>
      </w:r>
      <w:r w:rsidRPr="007321E4">
        <w:t xml:space="preserve">Body has found that "Article 2.2 does </w:t>
      </w:r>
      <w:r w:rsidRPr="007321E4">
        <w:rPr>
          <w:i/>
        </w:rPr>
        <w:t>not</w:t>
      </w:r>
      <w:r w:rsidRPr="007321E4">
        <w:t xml:space="preserve"> prohibit measures that have </w:t>
      </w:r>
      <w:r w:rsidRPr="007321E4">
        <w:rPr>
          <w:i/>
        </w:rPr>
        <w:t>any</w:t>
      </w:r>
      <w:r w:rsidRPr="007321E4">
        <w:t xml:space="preserve"> trade</w:t>
      </w:r>
      <w:r w:rsidRPr="007321E4">
        <w:noBreakHyphen/>
        <w:t xml:space="preserve">restrictive effect", but only </w:t>
      </w:r>
      <w:r w:rsidR="00AC0E1B" w:rsidRPr="007321E4">
        <w:t xml:space="preserve">"restrictions on </w:t>
      </w:r>
      <w:r w:rsidRPr="007321E4">
        <w:t>international trade that exceed</w:t>
      </w:r>
      <w:r w:rsidRPr="007321E4">
        <w:rPr>
          <w:i/>
        </w:rPr>
        <w:t xml:space="preserve"> </w:t>
      </w:r>
      <w:r w:rsidRPr="007321E4">
        <w:t>what is necessary to achieve the degree of contribution that a technical regulation makes to the achievement of a legitimate objective".</w:t>
      </w:r>
      <w:r w:rsidRPr="007321E4">
        <w:rPr>
          <w:rStyle w:val="FootnoteReference"/>
        </w:rPr>
        <w:footnoteReference w:id="160"/>
      </w:r>
      <w:r w:rsidRPr="007321E4">
        <w:t xml:space="preserve"> As such, </w:t>
      </w:r>
      <w:r w:rsidRPr="007321E4">
        <w:rPr>
          <w:szCs w:val="18"/>
        </w:rPr>
        <w:t xml:space="preserve">Article 2.2 is a positive rule establishing an obligation in itself. This is quite different from </w:t>
      </w:r>
      <w:r w:rsidRPr="007321E4">
        <w:t xml:space="preserve">the function of the second part of footnote 1 to Article 4.2 of the Agreement on Agriculture, which is to </w:t>
      </w:r>
      <w:r w:rsidRPr="007321E4">
        <w:rPr>
          <w:i/>
        </w:rPr>
        <w:t>exempt</w:t>
      </w:r>
      <w:r w:rsidRPr="007321E4">
        <w:t xml:space="preserve"> certain measures from the prohibition of market access barriers set out in the first part of footnote 1.</w:t>
      </w:r>
    </w:p>
    <w:p w:rsidR="008B570B" w:rsidRPr="007321E4" w:rsidRDefault="008B570B" w:rsidP="008B570B">
      <w:pPr>
        <w:pStyle w:val="BodyText"/>
        <w:numPr>
          <w:ilvl w:val="6"/>
          <w:numId w:val="37"/>
        </w:numPr>
      </w:pPr>
      <w:r w:rsidRPr="007321E4">
        <w:t>Further, with respect to Article 2.4 of the TBT Agreement, we recall that</w:t>
      </w:r>
      <w:r w:rsidR="000853C4" w:rsidRPr="007321E4">
        <w:t>,</w:t>
      </w:r>
      <w:r w:rsidRPr="007321E4">
        <w:t xml:space="preserve"> </w:t>
      </w:r>
      <w:r w:rsidR="000853C4" w:rsidRPr="007321E4">
        <w:t xml:space="preserve">in </w:t>
      </w:r>
      <w:r w:rsidR="000853C4" w:rsidRPr="007321E4">
        <w:rPr>
          <w:i/>
        </w:rPr>
        <w:t>EC – Sardines,</w:t>
      </w:r>
      <w:r w:rsidR="000853C4" w:rsidRPr="007321E4">
        <w:t xml:space="preserve"> </w:t>
      </w:r>
      <w:r w:rsidRPr="007321E4">
        <w:t>the Appellate Body pointed to the "conceptual similarities" between, on the one hand, Articles 3.1 and 3.3 of the Agreement on the Application of Sanitary and Phytosanitary Measures (</w:t>
      </w:r>
      <w:r w:rsidR="004E2D50" w:rsidRPr="007321E4">
        <w:t>SPS </w:t>
      </w:r>
      <w:r w:rsidRPr="007321E4">
        <w:t>Agreement) and, on the other hand, the first</w:t>
      </w:r>
      <w:r w:rsidR="00AC0E1B" w:rsidRPr="007321E4">
        <w:t xml:space="preserve"> </w:t>
      </w:r>
      <w:r w:rsidRPr="007321E4">
        <w:t xml:space="preserve">and second </w:t>
      </w:r>
      <w:r w:rsidR="004E2D50" w:rsidRPr="007321E4">
        <w:t>parts of Article 2.4 of the TBT </w:t>
      </w:r>
      <w:r w:rsidRPr="007321E4">
        <w:t>Agreement.</w:t>
      </w:r>
      <w:r w:rsidRPr="007321E4">
        <w:rPr>
          <w:rStyle w:val="FootnoteReference"/>
        </w:rPr>
        <w:footnoteReference w:id="161"/>
      </w:r>
      <w:r w:rsidRPr="007321E4">
        <w:t xml:space="preserve"> As the Appellate Body had found in </w:t>
      </w:r>
      <w:r w:rsidRPr="007321E4">
        <w:rPr>
          <w:i/>
        </w:rPr>
        <w:t>EC – Hormones</w:t>
      </w:r>
      <w:r w:rsidRPr="007321E4">
        <w:t>, the right of a Member to establish its own level of sanitary protection under Article 3.3 of the SPS Agreement is an "autonomous right", and "a Member may decide to set for itself a level of protection different from that implicit in the international standard, and to implement or embody that level of protection in a measure not 'based on' the international standard."</w:t>
      </w:r>
      <w:r w:rsidRPr="007321E4">
        <w:rPr>
          <w:rStyle w:val="FootnoteReference"/>
        </w:rPr>
        <w:footnoteReference w:id="162"/>
      </w:r>
      <w:r w:rsidRPr="007321E4">
        <w:t xml:space="preserve"> Accordingly, and given the "conceptual similarities" between Article 3.3 of the SPS Agreement and the second part of Article 2.4 of the TBT Agreement, the second part of Article 2.4 recognizes an "autonomous right" of a Member to set its own level of protection, rather than setting forth an </w:t>
      </w:r>
      <w:r w:rsidRPr="007321E4">
        <w:rPr>
          <w:i/>
        </w:rPr>
        <w:t>exception</w:t>
      </w:r>
      <w:r w:rsidRPr="007321E4">
        <w:t xml:space="preserve"> or </w:t>
      </w:r>
      <w:r w:rsidRPr="007321E4">
        <w:rPr>
          <w:i/>
        </w:rPr>
        <w:t>exemption</w:t>
      </w:r>
      <w:r w:rsidRPr="007321E4">
        <w:t xml:space="preserve"> from a (non-existent) general obligation to use relevant international standards. </w:t>
      </w:r>
      <w:r w:rsidRPr="007321E4">
        <w:rPr>
          <w:szCs w:val="18"/>
        </w:rPr>
        <w:t>Thus, the second part of Article 2.4 of the TBT Agreement is dissimilar to the second part of footnote 1 to Article 4.2 of the Agreement on Agriculture.</w:t>
      </w:r>
    </w:p>
    <w:p w:rsidR="008B570B" w:rsidRPr="007321E4" w:rsidRDefault="008B570B" w:rsidP="008B570B">
      <w:pPr>
        <w:pStyle w:val="BodyText"/>
        <w:numPr>
          <w:ilvl w:val="6"/>
          <w:numId w:val="37"/>
        </w:numPr>
      </w:pPr>
      <w:r w:rsidRPr="007321E4">
        <w:rPr>
          <w:szCs w:val="18"/>
        </w:rPr>
        <w:t xml:space="preserve">In sum, Article 4.2 of the Agreement on Agriculture and footnote 1 thereto, read in </w:t>
      </w:r>
      <w:r w:rsidR="009F417A" w:rsidRPr="007321E4">
        <w:rPr>
          <w:szCs w:val="18"/>
        </w:rPr>
        <w:t xml:space="preserve">their </w:t>
      </w:r>
      <w:r w:rsidRPr="007321E4">
        <w:rPr>
          <w:szCs w:val="18"/>
        </w:rPr>
        <w:t xml:space="preserve">relevant </w:t>
      </w:r>
      <w:proofErr w:type="gramStart"/>
      <w:r w:rsidRPr="007321E4">
        <w:rPr>
          <w:szCs w:val="18"/>
        </w:rPr>
        <w:t>context,</w:t>
      </w:r>
      <w:proofErr w:type="gramEnd"/>
      <w:r w:rsidRPr="007321E4">
        <w:rPr>
          <w:szCs w:val="18"/>
        </w:rPr>
        <w:t xml:space="preserve"> do not suggest that the nature of Article XX of the GATT 1994 as an </w:t>
      </w:r>
      <w:r w:rsidRPr="007321E4">
        <w:rPr>
          <w:i/>
          <w:szCs w:val="18"/>
        </w:rPr>
        <w:t>affirmative defence</w:t>
      </w:r>
      <w:r w:rsidRPr="007321E4">
        <w:rPr>
          <w:szCs w:val="18"/>
        </w:rPr>
        <w:t xml:space="preserve"> is modified by virtue of the incorporation of this </w:t>
      </w:r>
      <w:r w:rsidR="009F417A" w:rsidRPr="007321E4">
        <w:rPr>
          <w:szCs w:val="18"/>
        </w:rPr>
        <w:t xml:space="preserve">provision </w:t>
      </w:r>
      <w:r w:rsidRPr="007321E4">
        <w:rPr>
          <w:szCs w:val="18"/>
        </w:rPr>
        <w:t xml:space="preserve">into Article 4.2 by the reference contained in the second part of footnote 1. </w:t>
      </w:r>
      <w:r w:rsidRPr="007321E4">
        <w:t xml:space="preserve">We therefore </w:t>
      </w:r>
      <w:r w:rsidRPr="007321E4">
        <w:rPr>
          <w:szCs w:val="18"/>
          <w:u w:val="single"/>
        </w:rPr>
        <w:t>reject</w:t>
      </w:r>
      <w:r w:rsidRPr="007321E4">
        <w:rPr>
          <w:szCs w:val="18"/>
        </w:rPr>
        <w:t xml:space="preserve"> Indonesia's claim that the Panel erred in allocating </w:t>
      </w:r>
      <w:r w:rsidR="009F417A" w:rsidRPr="007321E4">
        <w:rPr>
          <w:szCs w:val="18"/>
        </w:rPr>
        <w:t xml:space="preserve">to Indonesia </w:t>
      </w:r>
      <w:r w:rsidRPr="007321E4">
        <w:rPr>
          <w:szCs w:val="18"/>
        </w:rPr>
        <w:t xml:space="preserve">the burden of proof under Article XX of the GATT 1994 as referenced in the second part of footnote 1 to Article 4.2 of the Agreement on Agriculture. </w:t>
      </w:r>
    </w:p>
    <w:p w:rsidR="008B570B" w:rsidRPr="007321E4" w:rsidRDefault="008B570B" w:rsidP="008B570B">
      <w:pPr>
        <w:pStyle w:val="Heading3"/>
        <w:numPr>
          <w:ilvl w:val="2"/>
          <w:numId w:val="37"/>
        </w:numPr>
      </w:pPr>
      <w:bookmarkStart w:id="120" w:name="_Ref495916794"/>
      <w:bookmarkStart w:id="121" w:name="_Toc496267422"/>
      <w:bookmarkStart w:id="122" w:name="_Toc497915396"/>
      <w:r w:rsidRPr="007321E4">
        <w:t>Whether the Panel failed to make an objective assessment of which party bears the burden of proof under the second part of footnote 1 to Article 4.2 of the Agreement on Agriculture</w:t>
      </w:r>
      <w:bookmarkEnd w:id="120"/>
      <w:bookmarkEnd w:id="121"/>
      <w:bookmarkEnd w:id="122"/>
    </w:p>
    <w:p w:rsidR="008B570B" w:rsidRPr="007321E4" w:rsidRDefault="008B570B" w:rsidP="008B570B">
      <w:pPr>
        <w:pStyle w:val="BodyText"/>
        <w:numPr>
          <w:ilvl w:val="6"/>
          <w:numId w:val="37"/>
        </w:numPr>
      </w:pPr>
      <w:r w:rsidRPr="007321E4">
        <w:t xml:space="preserve">Having rejected Indonesia's claim under Article 4.2 of the Agreement on Agriculture, we note that Indonesia brings a separate but related claim that the Panel acted inconsistently with Article 11 of the DSU because it failed to make </w:t>
      </w:r>
      <w:r w:rsidR="009F417A" w:rsidRPr="007321E4">
        <w:t>"</w:t>
      </w:r>
      <w:r w:rsidRPr="007321E4">
        <w:t xml:space="preserve">an objective assessment of which party bears the burden of proof </w:t>
      </w:r>
      <w:r w:rsidR="009F417A" w:rsidRPr="007321E4">
        <w:t xml:space="preserve">with respect to </w:t>
      </w:r>
      <w:r w:rsidRPr="007321E4">
        <w:t xml:space="preserve">the second </w:t>
      </w:r>
      <w:r w:rsidR="009F417A" w:rsidRPr="007321E4">
        <w:t>element</w:t>
      </w:r>
      <w:r w:rsidRPr="007321E4">
        <w:t xml:space="preserve"> of footnote 1 to Article 4.2 of the Agreement on Agriculture.</w:t>
      </w:r>
      <w:r w:rsidR="009F417A" w:rsidRPr="007321E4">
        <w:t>"</w:t>
      </w:r>
      <w:r w:rsidRPr="007321E4">
        <w:rPr>
          <w:rStyle w:val="FootnoteReference"/>
        </w:rPr>
        <w:footnoteReference w:id="163"/>
      </w:r>
      <w:r w:rsidRPr="007321E4">
        <w:t xml:space="preserve"> Indonesia argued at the oral hearing that, </w:t>
      </w:r>
      <w:r w:rsidRPr="007321E4">
        <w:rPr>
          <w:szCs w:val="18"/>
        </w:rPr>
        <w:t xml:space="preserve">in allocating </w:t>
      </w:r>
      <w:r w:rsidR="009F417A" w:rsidRPr="007321E4">
        <w:rPr>
          <w:szCs w:val="18"/>
        </w:rPr>
        <w:t xml:space="preserve">to Indonesia </w:t>
      </w:r>
      <w:r w:rsidRPr="007321E4">
        <w:rPr>
          <w:szCs w:val="18"/>
        </w:rPr>
        <w:t xml:space="preserve">the burden of proof under Article XX of the GATT 1994 referred to in the second part of footnote 1 to </w:t>
      </w:r>
      <w:r w:rsidRPr="007321E4">
        <w:rPr>
          <w:szCs w:val="18"/>
        </w:rPr>
        <w:lastRenderedPageBreak/>
        <w:t>Article</w:t>
      </w:r>
      <w:r w:rsidR="00BF55AB" w:rsidRPr="007321E4">
        <w:rPr>
          <w:szCs w:val="18"/>
        </w:rPr>
        <w:t> </w:t>
      </w:r>
      <w:r w:rsidRPr="007321E4">
        <w:rPr>
          <w:szCs w:val="18"/>
        </w:rPr>
        <w:t>4.2</w:t>
      </w:r>
      <w:r w:rsidRPr="007321E4">
        <w:t>, the Panel impaired Indonesia's due process rights.</w:t>
      </w:r>
      <w:r w:rsidRPr="007321E4">
        <w:rPr>
          <w:rStyle w:val="FootnoteReference"/>
        </w:rPr>
        <w:footnoteReference w:id="164"/>
      </w:r>
      <w:r w:rsidRPr="007321E4">
        <w:t xml:space="preserve"> New Zealand argues in response that Indonesia fails to substantiate independently this claim under Article 11 of the DSU</w:t>
      </w:r>
      <w:r w:rsidR="00EC59AA" w:rsidRPr="007321E4">
        <w:t>,</w:t>
      </w:r>
      <w:r w:rsidRPr="007321E4">
        <w:t xml:space="preserve"> as </w:t>
      </w:r>
      <w:r w:rsidR="0009034E" w:rsidRPr="007321E4">
        <w:t>it</w:t>
      </w:r>
      <w:r w:rsidRPr="007321E4">
        <w:t xml:space="preserve"> is solely based on Indonesia's challenge to the legal standards applied by the Panel.</w:t>
      </w:r>
      <w:r w:rsidR="00AC0E1B" w:rsidRPr="007321E4">
        <w:rPr>
          <w:rStyle w:val="FootnoteReference"/>
        </w:rPr>
        <w:footnoteReference w:id="165"/>
      </w:r>
      <w:r w:rsidRPr="007321E4">
        <w:t xml:space="preserve"> According to New Zealand, Indonesia's claim must therefore fail.</w:t>
      </w:r>
      <w:r w:rsidRPr="007321E4">
        <w:rPr>
          <w:rStyle w:val="FootnoteReference"/>
        </w:rPr>
        <w:footnoteReference w:id="166"/>
      </w:r>
      <w:r w:rsidRPr="007321E4">
        <w:t xml:space="preserve"> We note that, in its </w:t>
      </w:r>
      <w:proofErr w:type="spellStart"/>
      <w:r w:rsidRPr="007321E4">
        <w:t>appellee's</w:t>
      </w:r>
      <w:proofErr w:type="spellEnd"/>
      <w:r w:rsidRPr="007321E4">
        <w:t xml:space="preserve"> submission, the United States </w:t>
      </w:r>
      <w:r w:rsidR="00C00F29" w:rsidRPr="007321E4">
        <w:t xml:space="preserve">does </w:t>
      </w:r>
      <w:r w:rsidRPr="007321E4">
        <w:t>not separately address this claim by Indonesia. However, at the oral hearing, the United States reiterated the argument it put forward with respect to Indonesia's first</w:t>
      </w:r>
      <w:r w:rsidR="006C31A4" w:rsidRPr="007321E4">
        <w:t> </w:t>
      </w:r>
      <w:r w:rsidRPr="007321E4">
        <w:t xml:space="preserve">claim under Article 11 of the DSU addressed in section </w:t>
      </w:r>
      <w:r w:rsidR="00031F1C" w:rsidRPr="007321E4">
        <w:fldChar w:fldCharType="begin"/>
      </w:r>
      <w:r w:rsidR="00031F1C" w:rsidRPr="007321E4">
        <w:instrText xml:space="preserve"> REF _Ref495593323 \r \h </w:instrText>
      </w:r>
      <w:r w:rsidR="00031F1C" w:rsidRPr="007321E4">
        <w:fldChar w:fldCharType="separate"/>
      </w:r>
      <w:r w:rsidR="00ED4414" w:rsidRPr="007321E4">
        <w:t>5.1.3 </w:t>
      </w:r>
      <w:r w:rsidR="00031F1C" w:rsidRPr="007321E4">
        <w:fldChar w:fldCharType="end"/>
      </w:r>
      <w:r w:rsidRPr="007321E4">
        <w:t>above, namely, that Indonesia fails to put forward under Article 11 of the DSU any arguments that are separate from or additional to the arguments it puts forward with respect to its substantive legal appeals.</w:t>
      </w:r>
      <w:r w:rsidRPr="007321E4">
        <w:rPr>
          <w:rStyle w:val="FootnoteReference"/>
        </w:rPr>
        <w:footnoteReference w:id="167"/>
      </w:r>
    </w:p>
    <w:p w:rsidR="008B570B" w:rsidRPr="007321E4" w:rsidRDefault="008B570B" w:rsidP="008B570B">
      <w:pPr>
        <w:pStyle w:val="BodyText"/>
        <w:numPr>
          <w:ilvl w:val="6"/>
          <w:numId w:val="37"/>
        </w:numPr>
      </w:pPr>
      <w:r w:rsidRPr="007321E4">
        <w:t xml:space="preserve">We recall that the Appellate Body has cautioned on several </w:t>
      </w:r>
      <w:r w:rsidR="00E66336" w:rsidRPr="007321E4">
        <w:t>occasions that</w:t>
      </w:r>
      <w:r w:rsidRPr="007321E4">
        <w:t xml:space="preserve"> a claim that a panel has failed to conduct an "objective assessment of the matter before it" under Article 11 of the DSU is "a very serious allegation".</w:t>
      </w:r>
      <w:r w:rsidRPr="007321E4">
        <w:rPr>
          <w:rStyle w:val="FootnoteReference"/>
        </w:rPr>
        <w:footnoteReference w:id="168"/>
      </w:r>
      <w:r w:rsidRPr="007321E4">
        <w:t xml:space="preserve"> Accordingly, </w:t>
      </w:r>
      <w:r w:rsidRPr="007321E4">
        <w:rPr>
          <w:szCs w:val="18"/>
        </w:rPr>
        <w:t xml:space="preserve">it is incumbent on a participant raising a claim under Article 11 to identify specific errors regarding the objectivity of the panel's assessment and "to explain </w:t>
      </w:r>
      <w:r w:rsidRPr="007321E4">
        <w:rPr>
          <w:i/>
          <w:szCs w:val="18"/>
        </w:rPr>
        <w:t>why</w:t>
      </w:r>
      <w:r w:rsidRPr="007321E4">
        <w:rPr>
          <w:szCs w:val="18"/>
        </w:rPr>
        <w:t xml:space="preserve"> the alleged error </w:t>
      </w:r>
      <w:r w:rsidRPr="007321E4">
        <w:rPr>
          <w:i/>
          <w:szCs w:val="18"/>
        </w:rPr>
        <w:t>meets</w:t>
      </w:r>
      <w:r w:rsidRPr="007321E4">
        <w:rPr>
          <w:szCs w:val="18"/>
        </w:rPr>
        <w:t xml:space="preserve"> the standard of review under that provision".</w:t>
      </w:r>
      <w:r w:rsidRPr="007321E4">
        <w:rPr>
          <w:rStyle w:val="FootnoteReference"/>
          <w:szCs w:val="18"/>
        </w:rPr>
        <w:footnoteReference w:id="169"/>
      </w:r>
      <w:r w:rsidRPr="007321E4">
        <w:rPr>
          <w:szCs w:val="18"/>
        </w:rPr>
        <w:t xml:space="preserve"> </w:t>
      </w:r>
      <w:r w:rsidRPr="007321E4">
        <w:t xml:space="preserve">Importantly, a claim under Article 11 must </w:t>
      </w:r>
      <w:r w:rsidR="00C00F29" w:rsidRPr="007321E4">
        <w:t>"</w:t>
      </w:r>
      <w:r w:rsidRPr="007321E4">
        <w:t>stand by itself and be substantiated with specific arguments, rather than merely being put forth as a subsidiary argument or claim in support of a claim of a panel's failure to construe or apply correctly a particular provision of a covered agreement"</w:t>
      </w:r>
      <w:r w:rsidR="00AC0E1B" w:rsidRPr="007321E4">
        <w:t>.</w:t>
      </w:r>
      <w:r w:rsidRPr="007321E4">
        <w:rPr>
          <w:rStyle w:val="FootnoteReference"/>
        </w:rPr>
        <w:footnoteReference w:id="170"/>
      </w:r>
    </w:p>
    <w:p w:rsidR="008B570B" w:rsidRPr="007321E4" w:rsidRDefault="008B570B" w:rsidP="008B570B">
      <w:pPr>
        <w:pStyle w:val="BodyText"/>
        <w:numPr>
          <w:ilvl w:val="6"/>
          <w:numId w:val="37"/>
        </w:numPr>
      </w:pPr>
      <w:r w:rsidRPr="007321E4">
        <w:t>We note that, in its appellant's submission, Indonesia has not put forward any specific arguments in support of its claim that the Panel acted inconsistently with Article 11 of the DSU because it failed to make an objective assessment of which party bears the burden of proof under the second part of footnote 1 to Article 4.2</w:t>
      </w:r>
      <w:r w:rsidR="00C00F29" w:rsidRPr="007321E4">
        <w:t xml:space="preserve"> of the Agreement on Agriculture</w:t>
      </w:r>
      <w:r w:rsidRPr="007321E4">
        <w:t>. Indonesia states, without more, that "[t]he Panel … did not conduct an objective assessment of which party bears the burden of proof with respect to the second element of footnote 1 to Article 4.2".</w:t>
      </w:r>
      <w:r w:rsidRPr="007321E4">
        <w:rPr>
          <w:rStyle w:val="FootnoteReference"/>
        </w:rPr>
        <w:footnoteReference w:id="171"/>
      </w:r>
      <w:r w:rsidRPr="007321E4">
        <w:t xml:space="preserve"> We do not consider that this mere statement is sufficient to show that the Panel failed to comply with its duties under Article 11 of the DSU. </w:t>
      </w:r>
    </w:p>
    <w:p w:rsidR="008B570B" w:rsidRPr="007321E4" w:rsidRDefault="008B570B" w:rsidP="008B570B">
      <w:pPr>
        <w:pStyle w:val="BodyText"/>
        <w:numPr>
          <w:ilvl w:val="6"/>
          <w:numId w:val="37"/>
        </w:numPr>
      </w:pPr>
      <w:r w:rsidRPr="007321E4">
        <w:t>Consequently, we consider that Indonesia has not substantiated its claim under Article 11 of the DSU that the Panel failed to conduct an objective assessment of which party bears the burden of proof under the second part of footnote 1 to Article 4.2 of the Agreement on Agriculture.</w:t>
      </w:r>
      <w:r w:rsidRPr="007321E4">
        <w:rPr>
          <w:rStyle w:val="FootnoteReference"/>
        </w:rPr>
        <w:footnoteReference w:id="172"/>
      </w:r>
      <w:r w:rsidRPr="007321E4">
        <w:t xml:space="preserve"> We therefore </w:t>
      </w:r>
      <w:r w:rsidRPr="007321E4">
        <w:rPr>
          <w:u w:val="single"/>
        </w:rPr>
        <w:t>find</w:t>
      </w:r>
      <w:r w:rsidRPr="007321E4">
        <w:t xml:space="preserve"> that Indonesia has not demonstrated that the Panel acted inconsistently with Article 11 of the DSU in this respect.</w:t>
      </w:r>
    </w:p>
    <w:p w:rsidR="008B570B" w:rsidRPr="007321E4" w:rsidRDefault="008B570B" w:rsidP="008B570B">
      <w:pPr>
        <w:pStyle w:val="Heading3"/>
        <w:numPr>
          <w:ilvl w:val="2"/>
          <w:numId w:val="37"/>
        </w:numPr>
      </w:pPr>
      <w:bookmarkStart w:id="123" w:name="_Toc496267423"/>
      <w:bookmarkStart w:id="124" w:name="_Toc497915397"/>
      <w:r w:rsidRPr="007321E4">
        <w:lastRenderedPageBreak/>
        <w:t>Conclusions</w:t>
      </w:r>
      <w:bookmarkEnd w:id="123"/>
      <w:bookmarkEnd w:id="124"/>
    </w:p>
    <w:p w:rsidR="008B570B" w:rsidRPr="007321E4" w:rsidRDefault="008B570B" w:rsidP="00C82090">
      <w:pPr>
        <w:pStyle w:val="BodyText"/>
        <w:numPr>
          <w:ilvl w:val="6"/>
          <w:numId w:val="37"/>
        </w:numPr>
      </w:pPr>
      <w:r w:rsidRPr="007321E4">
        <w:rPr>
          <w:lang w:eastAsia="zh-CN"/>
        </w:rPr>
        <w:t>For the reasons stated above</w:t>
      </w:r>
      <w:r w:rsidRPr="007321E4">
        <w:t xml:space="preserve">, </w:t>
      </w:r>
      <w:r w:rsidRPr="007321E4">
        <w:rPr>
          <w:szCs w:val="18"/>
        </w:rPr>
        <w:t>Article 4.2</w:t>
      </w:r>
      <w:r w:rsidR="00EC59AA" w:rsidRPr="007321E4">
        <w:rPr>
          <w:szCs w:val="18"/>
        </w:rPr>
        <w:t xml:space="preserve"> </w:t>
      </w:r>
      <w:r w:rsidRPr="007321E4">
        <w:rPr>
          <w:szCs w:val="18"/>
        </w:rPr>
        <w:t xml:space="preserve">of the Agreement on Agriculture and footnote 1 thereto, read in </w:t>
      </w:r>
      <w:r w:rsidR="00C00F29" w:rsidRPr="007321E4">
        <w:rPr>
          <w:szCs w:val="18"/>
        </w:rPr>
        <w:t xml:space="preserve">their </w:t>
      </w:r>
      <w:r w:rsidRPr="007321E4">
        <w:rPr>
          <w:szCs w:val="18"/>
        </w:rPr>
        <w:t>relevant context, do not suggest that the nature of Article XX of the GATT</w:t>
      </w:r>
      <w:r w:rsidR="00E66336" w:rsidRPr="007321E4">
        <w:rPr>
          <w:szCs w:val="18"/>
        </w:rPr>
        <w:t> </w:t>
      </w:r>
      <w:r w:rsidRPr="007321E4">
        <w:rPr>
          <w:szCs w:val="18"/>
        </w:rPr>
        <w:t xml:space="preserve">1994 as an </w:t>
      </w:r>
      <w:r w:rsidRPr="007321E4">
        <w:rPr>
          <w:i/>
          <w:szCs w:val="18"/>
        </w:rPr>
        <w:t>affirmative defence</w:t>
      </w:r>
      <w:r w:rsidRPr="007321E4">
        <w:rPr>
          <w:szCs w:val="18"/>
        </w:rPr>
        <w:t xml:space="preserve"> is modified by virtue of its incorporation i</w:t>
      </w:r>
      <w:r w:rsidR="00504B43" w:rsidRPr="007321E4">
        <w:rPr>
          <w:szCs w:val="18"/>
        </w:rPr>
        <w:t>nto the second part of footnote </w:t>
      </w:r>
      <w:r w:rsidRPr="007321E4">
        <w:rPr>
          <w:szCs w:val="18"/>
        </w:rPr>
        <w:t>1</w:t>
      </w:r>
      <w:r w:rsidR="00C00F29" w:rsidRPr="007321E4">
        <w:rPr>
          <w:szCs w:val="18"/>
        </w:rPr>
        <w:t xml:space="preserve"> to Article 4.2</w:t>
      </w:r>
      <w:r w:rsidRPr="007321E4">
        <w:rPr>
          <w:szCs w:val="18"/>
        </w:rPr>
        <w:t xml:space="preserve">. </w:t>
      </w:r>
      <w:r w:rsidRPr="007321E4">
        <w:t xml:space="preserve">We thus </w:t>
      </w:r>
      <w:r w:rsidRPr="007321E4">
        <w:rPr>
          <w:u w:val="single"/>
        </w:rPr>
        <w:t>find</w:t>
      </w:r>
      <w:r w:rsidRPr="007321E4">
        <w:t xml:space="preserve"> that the burden of proof under Article XX remains with the respondent even when Article XX is applied through the reference in the second part of footnote 1 to Article</w:t>
      </w:r>
      <w:r w:rsidR="00C82090" w:rsidRPr="007321E4">
        <w:t> </w:t>
      </w:r>
      <w:r w:rsidRPr="007321E4">
        <w:t>4.2. In addition, we consider that Indonesia has not substantiated its claim under Article</w:t>
      </w:r>
      <w:r w:rsidR="00E66336" w:rsidRPr="007321E4">
        <w:t> </w:t>
      </w:r>
      <w:r w:rsidRPr="007321E4">
        <w:t>11 of the DSU that the Panel failed to conduct an objective assessment of which party bears the burden of proof under the second part of footnote 1 to Article 4.2 of the Agreement on Agriculture.</w:t>
      </w:r>
    </w:p>
    <w:p w:rsidR="008B570B" w:rsidRPr="007321E4" w:rsidRDefault="008B570B" w:rsidP="008B570B">
      <w:pPr>
        <w:pStyle w:val="BodyText"/>
        <w:numPr>
          <w:ilvl w:val="6"/>
          <w:numId w:val="37"/>
        </w:numPr>
      </w:pPr>
      <w:r w:rsidRPr="007321E4">
        <w:t xml:space="preserve">Accordingly, we </w:t>
      </w:r>
      <w:r w:rsidRPr="007321E4">
        <w:rPr>
          <w:u w:val="single"/>
        </w:rPr>
        <w:t>uphold</w:t>
      </w:r>
      <w:r w:rsidRPr="007321E4">
        <w:t xml:space="preserve"> the Panel's finding, in paragraph 7.34 of the Panel </w:t>
      </w:r>
      <w:proofErr w:type="gramStart"/>
      <w:r w:rsidRPr="007321E4">
        <w:t>Report, that</w:t>
      </w:r>
      <w:proofErr w:type="gramEnd"/>
      <w:r w:rsidRPr="007321E4">
        <w:t xml:space="preserve"> the burden of proof under Article XX of the GATT 1994 referred to in the second part of footnote 1 to Article 4.2 of the Agreement on Agriculture rests on Indonesia. With respect to Indonesia's request to reverse the Panel's finding in paragraphs 7.833 and 8.2 of the Panel Report</w:t>
      </w:r>
      <w:r w:rsidRPr="007321E4">
        <w:rPr>
          <w:rStyle w:val="FootnoteReference"/>
        </w:rPr>
        <w:footnoteReference w:id="173"/>
      </w:r>
      <w:r w:rsidRPr="007321E4">
        <w:t>, which pertain</w:t>
      </w:r>
      <w:r w:rsidR="00046F6E" w:rsidRPr="007321E4">
        <w:t>s</w:t>
      </w:r>
      <w:r w:rsidRPr="007321E4">
        <w:t xml:space="preserve"> to the Panel's exercise of judicial economy with respect to Article 4.2 of the Agreement on Agriculture, Indonesia has not explained how the alleged error by the Panel in connection with the allocation of the burden of proof under the second part of footnote 1 to Article 4.2 leads to the conclusion that the Panel erred in exercising judicial economy. In any event, as we have found that the burden of proof under Article XX of the GATT 1994 remains with the respondent also in the context of Article 4.2 of the Agreement on Agriculture and footnote 1 thereto, we see no reason to disturb the Panel's decision to exercise judicial economy with respect to the co</w:t>
      </w:r>
      <w:r w:rsidR="00056C06" w:rsidRPr="007321E4">
        <w:noBreakHyphen/>
      </w:r>
      <w:r w:rsidRPr="007321E4">
        <w:t xml:space="preserve">complainants' claims under Article 4.2 of the Agreement on Agriculture. Thus, we </w:t>
      </w:r>
      <w:r w:rsidRPr="007321E4">
        <w:rPr>
          <w:u w:val="single"/>
        </w:rPr>
        <w:t>reject</w:t>
      </w:r>
      <w:r w:rsidRPr="007321E4">
        <w:t xml:space="preserve"> Indonesia's request to reverse the Panel's finding in paragraphs 7.833 and 8.2 of the Panel Report.</w:t>
      </w:r>
    </w:p>
    <w:p w:rsidR="004E2D50" w:rsidRPr="007321E4" w:rsidRDefault="004E2D50" w:rsidP="004E2D50">
      <w:pPr>
        <w:pStyle w:val="Heading2"/>
        <w:numPr>
          <w:ilvl w:val="1"/>
          <w:numId w:val="13"/>
        </w:numPr>
      </w:pPr>
      <w:bookmarkStart w:id="125" w:name="_Ref495593427"/>
      <w:bookmarkStart w:id="126" w:name="_Toc496267424"/>
      <w:bookmarkStart w:id="127" w:name="_Toc497915398"/>
      <w:r w:rsidRPr="007321E4">
        <w:t>Indonesia's alternative claim that the Panel erred in finding that Article XI</w:t>
      </w:r>
      <w:proofErr w:type="gramStart"/>
      <w:r w:rsidRPr="007321E4">
        <w:t>:2</w:t>
      </w:r>
      <w:proofErr w:type="gramEnd"/>
      <w:r w:rsidRPr="007321E4">
        <w:t>(c) of the GATT 1994 has been rendered "inoperative" by Article 4.2 of the Agreement on Agriculture</w:t>
      </w:r>
      <w:bookmarkEnd w:id="125"/>
      <w:bookmarkEnd w:id="126"/>
      <w:bookmarkEnd w:id="127"/>
    </w:p>
    <w:p w:rsidR="004E2D50" w:rsidRPr="007321E4" w:rsidRDefault="004E2D50" w:rsidP="004E2D50">
      <w:pPr>
        <w:pStyle w:val="BodyText"/>
        <w:numPr>
          <w:ilvl w:val="6"/>
          <w:numId w:val="37"/>
        </w:numPr>
      </w:pPr>
      <w:r w:rsidRPr="007321E4">
        <w:t xml:space="preserve">We now turn to Indonesia's alternative claim of error that, if </w:t>
      </w:r>
      <w:r w:rsidR="001F3539" w:rsidRPr="007321E4">
        <w:t xml:space="preserve">we were to find that </w:t>
      </w:r>
      <w:r w:rsidRPr="007321E4">
        <w:t>the Panel did not err by addressing the claims under Article XI</w:t>
      </w:r>
      <w:proofErr w:type="gramStart"/>
      <w:r w:rsidRPr="007321E4">
        <w:t>:1</w:t>
      </w:r>
      <w:proofErr w:type="gramEnd"/>
      <w:r w:rsidRPr="007321E4">
        <w:t xml:space="preserve"> </w:t>
      </w:r>
      <w:r w:rsidR="008D1BF4" w:rsidRPr="007321E4">
        <w:t>of the GATT 1994</w:t>
      </w:r>
      <w:r w:rsidR="001F3539" w:rsidRPr="007321E4">
        <w:t>,</w:t>
      </w:r>
      <w:r w:rsidR="008D1BF4" w:rsidRPr="007321E4">
        <w:t xml:space="preserve"> </w:t>
      </w:r>
      <w:r w:rsidRPr="007321E4">
        <w:t xml:space="preserve">rather than the claims under Article 4.2 of the Agreement on Agriculture, </w:t>
      </w:r>
      <w:r w:rsidR="001F3539" w:rsidRPr="007321E4">
        <w:t xml:space="preserve">then </w:t>
      </w:r>
      <w:r w:rsidRPr="007321E4">
        <w:t>the Panel erred in finding that Article</w:t>
      </w:r>
      <w:r w:rsidR="001C1C5A" w:rsidRPr="007321E4">
        <w:t> </w:t>
      </w:r>
      <w:r w:rsidRPr="007321E4">
        <w:t>XI:2(c) of the GATT 1994 has been rendered "inoperative" by Article 4.2 of the Agreement on Agriculture.</w:t>
      </w:r>
      <w:r w:rsidRPr="007321E4">
        <w:rPr>
          <w:rStyle w:val="FootnoteReference"/>
        </w:rPr>
        <w:footnoteReference w:id="174"/>
      </w:r>
    </w:p>
    <w:p w:rsidR="004E2D50" w:rsidRPr="007321E4" w:rsidRDefault="004E2D50" w:rsidP="004E2D50">
      <w:pPr>
        <w:pStyle w:val="BodyText"/>
        <w:numPr>
          <w:ilvl w:val="6"/>
          <w:numId w:val="37"/>
        </w:numPr>
      </w:pPr>
      <w:r w:rsidRPr="007321E4">
        <w:t>Before the Panel, Indonesia argued that</w:t>
      </w:r>
      <w:r w:rsidR="001F3539" w:rsidRPr="007321E4">
        <w:t>,</w:t>
      </w:r>
      <w:r w:rsidRPr="007321E4">
        <w:t xml:space="preserve"> even if the Panel were to find that Measure 4 (</w:t>
      </w:r>
      <w:r w:rsidR="001F3539" w:rsidRPr="007321E4">
        <w:t>h</w:t>
      </w:r>
      <w:r w:rsidRPr="007321E4">
        <w:t>arvest period requirement), Measure 7 (</w:t>
      </w:r>
      <w:r w:rsidR="001F3539" w:rsidRPr="007321E4">
        <w:t>r</w:t>
      </w:r>
      <w:r w:rsidRPr="007321E4">
        <w:t xml:space="preserve">eference prices for chillies and </w:t>
      </w:r>
      <w:r w:rsidR="00D2787B" w:rsidRPr="007321E4">
        <w:t xml:space="preserve">fresh </w:t>
      </w:r>
      <w:r w:rsidRPr="007321E4">
        <w:t>shallots</w:t>
      </w:r>
      <w:r w:rsidR="00D2787B" w:rsidRPr="007321E4">
        <w:t xml:space="preserve"> for consumption</w:t>
      </w:r>
      <w:r w:rsidRPr="007321E4">
        <w:t>), and Measure 16 (</w:t>
      </w:r>
      <w:r w:rsidR="001F3539" w:rsidRPr="007321E4">
        <w:t>b</w:t>
      </w:r>
      <w:r w:rsidRPr="007321E4">
        <w:t>eef reference price) are inconsistent with Article XI:1 of the GATT</w:t>
      </w:r>
      <w:r w:rsidR="00484E2A" w:rsidRPr="007321E4">
        <w:t> </w:t>
      </w:r>
      <w:r w:rsidRPr="007321E4">
        <w:t xml:space="preserve">1994, they are </w:t>
      </w:r>
      <w:r w:rsidR="001F3539" w:rsidRPr="007321E4">
        <w:t xml:space="preserve">nonetheless </w:t>
      </w:r>
      <w:r w:rsidRPr="007321E4">
        <w:t>"justified" under Article XI:2(c)(ii) of the GATT 1994 because they are necessary to remove a temporary surplus of certain horticultural products, animals and animal products in Indonesia's domestic market.</w:t>
      </w:r>
      <w:r w:rsidRPr="007321E4">
        <w:rPr>
          <w:vertAlign w:val="superscript"/>
        </w:rPr>
        <w:footnoteReference w:id="175"/>
      </w:r>
      <w:r w:rsidRPr="007321E4">
        <w:t xml:space="preserve"> New Zealand and the United States responded that Article XI</w:t>
      </w:r>
      <w:proofErr w:type="gramStart"/>
      <w:r w:rsidRPr="007321E4">
        <w:t>:2</w:t>
      </w:r>
      <w:proofErr w:type="gramEnd"/>
      <w:r w:rsidRPr="007321E4">
        <w:t>(c)(ii) is no longer available with respect to agricultural products following the entry into force of the Agreement on Agriculture, because Article XI:2(c) does not qualify as an exception to the prohibition under Article 4.2 of the Agreement on Agriculture of "measures of the kind which have been required to be converted into ordinary customs duties".</w:t>
      </w:r>
      <w:r w:rsidRPr="007321E4">
        <w:rPr>
          <w:rStyle w:val="FootnoteReference"/>
        </w:rPr>
        <w:footnoteReference w:id="176"/>
      </w:r>
    </w:p>
    <w:p w:rsidR="004E2D50" w:rsidRPr="007321E4" w:rsidRDefault="004E2D50" w:rsidP="004E2D50">
      <w:pPr>
        <w:pStyle w:val="BodyText"/>
        <w:numPr>
          <w:ilvl w:val="6"/>
          <w:numId w:val="37"/>
        </w:numPr>
      </w:pPr>
      <w:r w:rsidRPr="007321E4">
        <w:t>In paragraph 7.60 of its Report, the Panel agreed with New Zealand and the United States, and found that Indonesia cannot rely upon Article XI</w:t>
      </w:r>
      <w:proofErr w:type="gramStart"/>
      <w:r w:rsidRPr="007321E4">
        <w:t>:2</w:t>
      </w:r>
      <w:proofErr w:type="gramEnd"/>
      <w:r w:rsidRPr="007321E4">
        <w:t xml:space="preserve">(c)(ii) of the GATT 1994 to exclude Measure 4, 7, or 16 from the scope of Article XI:1 of the GATT 1994 because Article XI:2(c) has been rendered "inoperative" with respect to agricultural </w:t>
      </w:r>
      <w:r w:rsidR="00D2787B" w:rsidRPr="007321E4">
        <w:t xml:space="preserve">measures </w:t>
      </w:r>
      <w:r w:rsidRPr="007321E4">
        <w:t>by Article 4.2 of the Agreement on Agriculture.</w:t>
      </w:r>
      <w:r w:rsidRPr="007321E4">
        <w:rPr>
          <w:rStyle w:val="FootnoteReference"/>
        </w:rPr>
        <w:footnoteReference w:id="177"/>
      </w:r>
    </w:p>
    <w:p w:rsidR="004E2D50" w:rsidRPr="007321E4" w:rsidRDefault="004E2D50" w:rsidP="004E2D50">
      <w:pPr>
        <w:pStyle w:val="BodyText"/>
        <w:numPr>
          <w:ilvl w:val="6"/>
          <w:numId w:val="37"/>
        </w:numPr>
      </w:pPr>
      <w:r w:rsidRPr="007321E4">
        <w:lastRenderedPageBreak/>
        <w:t xml:space="preserve">In its appeal, Indonesia claims that the Panel erred in finding that Article XI:2(c) of the GATT 1994 has been rendered "inoperative" </w:t>
      </w:r>
      <w:r w:rsidR="00D2787B" w:rsidRPr="007321E4">
        <w:t>by Article 4.2 of the Agreement on Agriculture</w:t>
      </w:r>
      <w:r w:rsidRPr="007321E4">
        <w:rPr>
          <w:rStyle w:val="FootnoteReference"/>
        </w:rPr>
        <w:footnoteReference w:id="178"/>
      </w:r>
      <w:r w:rsidRPr="007321E4">
        <w:t>, and requests us to reverse the Panel's conclusion contained in paragraph 7.60 of the Panel Report.</w:t>
      </w:r>
      <w:r w:rsidRPr="007321E4">
        <w:rPr>
          <w:rStyle w:val="FootnoteReference"/>
        </w:rPr>
        <w:footnoteReference w:id="179"/>
      </w:r>
    </w:p>
    <w:p w:rsidR="004E2D50" w:rsidRPr="007321E4" w:rsidRDefault="004E2D50" w:rsidP="00B41F29">
      <w:pPr>
        <w:pStyle w:val="Heading3"/>
        <w:numPr>
          <w:ilvl w:val="2"/>
          <w:numId w:val="40"/>
        </w:numPr>
      </w:pPr>
      <w:bookmarkStart w:id="128" w:name="_Toc496267425"/>
      <w:bookmarkStart w:id="129" w:name="_Toc497915399"/>
      <w:r w:rsidRPr="007321E4">
        <w:t>Whether the Appellate Body should decline to rule on Indonesia's alternative claim on appeal</w:t>
      </w:r>
      <w:bookmarkEnd w:id="128"/>
      <w:bookmarkEnd w:id="129"/>
    </w:p>
    <w:p w:rsidR="004E2D50" w:rsidRPr="007321E4" w:rsidRDefault="004E2D50" w:rsidP="004E2D50">
      <w:pPr>
        <w:pStyle w:val="BodyText"/>
        <w:numPr>
          <w:ilvl w:val="6"/>
          <w:numId w:val="37"/>
        </w:numPr>
      </w:pPr>
      <w:r w:rsidRPr="007321E4">
        <w:t>Before turning to the substance of Indonesia's alternative claim on appeal, we note that the United States submits that we need not reach a finding with respect to this claim.</w:t>
      </w:r>
      <w:r w:rsidRPr="007321E4">
        <w:rPr>
          <w:rStyle w:val="FootnoteReference"/>
        </w:rPr>
        <w:footnoteReference w:id="180"/>
      </w:r>
      <w:r w:rsidRPr="007321E4">
        <w:t xml:space="preserve"> The United States argues that making findings on the interpretation of Article XI</w:t>
      </w:r>
      <w:proofErr w:type="gramStart"/>
      <w:r w:rsidRPr="007321E4">
        <w:t>:2</w:t>
      </w:r>
      <w:proofErr w:type="gramEnd"/>
      <w:r w:rsidRPr="007321E4">
        <w:t xml:space="preserve">(c) of the GATT 1994 is not necessary to resolve the present dispute because Indonesia has not requested completion of the </w:t>
      </w:r>
      <w:r w:rsidR="001F3539" w:rsidRPr="007321E4">
        <w:t xml:space="preserve">legal </w:t>
      </w:r>
      <w:r w:rsidRPr="007321E4">
        <w:t>analysis, and</w:t>
      </w:r>
      <w:r w:rsidR="001F3539" w:rsidRPr="007321E4">
        <w:t>,</w:t>
      </w:r>
      <w:r w:rsidRPr="007321E4">
        <w:t xml:space="preserve"> even if it had, Indonesia </w:t>
      </w:r>
      <w:r w:rsidR="001F3539" w:rsidRPr="007321E4">
        <w:t>did not</w:t>
      </w:r>
      <w:r w:rsidRPr="007321E4">
        <w:t xml:space="preserve"> even attempt to establish </w:t>
      </w:r>
      <w:r w:rsidR="001F3539" w:rsidRPr="007321E4">
        <w:t xml:space="preserve">before the Panel </w:t>
      </w:r>
      <w:r w:rsidRPr="007321E4">
        <w:t>that its measures are maintained under Article XI:2(c)(ii).</w:t>
      </w:r>
      <w:r w:rsidRPr="007321E4">
        <w:rPr>
          <w:rStyle w:val="FootnoteReference"/>
        </w:rPr>
        <w:footnoteReference w:id="181"/>
      </w:r>
    </w:p>
    <w:p w:rsidR="004E2D50" w:rsidRPr="007321E4" w:rsidRDefault="004E2D50" w:rsidP="004E2D50">
      <w:pPr>
        <w:pStyle w:val="BodyText"/>
        <w:numPr>
          <w:ilvl w:val="6"/>
          <w:numId w:val="37"/>
        </w:numPr>
      </w:pPr>
      <w:r w:rsidRPr="007321E4">
        <w:t>We observe that Indonesia's appeal concerning the legal status of Article XI</w:t>
      </w:r>
      <w:proofErr w:type="gramStart"/>
      <w:r w:rsidRPr="007321E4">
        <w:t>:2</w:t>
      </w:r>
      <w:proofErr w:type="gramEnd"/>
      <w:r w:rsidRPr="007321E4">
        <w:t xml:space="preserve">(c) of the GATT 1994 </w:t>
      </w:r>
      <w:r w:rsidR="00D2787B" w:rsidRPr="007321E4">
        <w:t>pertains to</w:t>
      </w:r>
      <w:r w:rsidRPr="007321E4">
        <w:t xml:space="preserve"> "issues of law covered in the panel report and legal interpretations developed by the panel" within the meaning of Article 17.6 of the DSU. We also recall that Article 17.12 of the DSU provides that the Appellate Body "shall address each of the issues raised in accordance with [Article 17.6 of the DSU]". We further note that</w:t>
      </w:r>
      <w:r w:rsidR="001E2D38" w:rsidRPr="007321E4">
        <w:t>,</w:t>
      </w:r>
      <w:r w:rsidRPr="007321E4">
        <w:t xml:space="preserve"> while Indonesia has not requested us to complete the </w:t>
      </w:r>
      <w:r w:rsidR="001E2D38" w:rsidRPr="007321E4">
        <w:t xml:space="preserve">legal </w:t>
      </w:r>
      <w:r w:rsidRPr="007321E4">
        <w:t>analysis under Article XI</w:t>
      </w:r>
      <w:proofErr w:type="gramStart"/>
      <w:r w:rsidRPr="007321E4">
        <w:t>:2</w:t>
      </w:r>
      <w:proofErr w:type="gramEnd"/>
      <w:r w:rsidRPr="007321E4">
        <w:t xml:space="preserve">(c)(ii), it requests us to reverse the specific legal finding by the Panel because </w:t>
      </w:r>
      <w:r w:rsidR="001E2D38" w:rsidRPr="007321E4">
        <w:t>this finding</w:t>
      </w:r>
      <w:r w:rsidRPr="007321E4">
        <w:t xml:space="preserve"> "has systemic</w:t>
      </w:r>
      <w:r w:rsidR="00BF55AB" w:rsidRPr="007321E4">
        <w:t xml:space="preserve"> implications for all WTO </w:t>
      </w:r>
      <w:r w:rsidRPr="007321E4">
        <w:t>Members", and "[t]he importance of maintaining recourse to Article XI:2(c) is of importance to the Government of Indonesia."</w:t>
      </w:r>
      <w:r w:rsidRPr="007321E4">
        <w:rPr>
          <w:rStyle w:val="FootnoteReference"/>
        </w:rPr>
        <w:footnoteReference w:id="182"/>
      </w:r>
      <w:r w:rsidRPr="007321E4">
        <w:t xml:space="preserve"> </w:t>
      </w:r>
      <w:r w:rsidRPr="007321E4">
        <w:rPr>
          <w:szCs w:val="18"/>
        </w:rPr>
        <w:t xml:space="preserve">New Zealand also requests us to </w:t>
      </w:r>
      <w:r w:rsidRPr="007321E4">
        <w:rPr>
          <w:i/>
          <w:szCs w:val="18"/>
        </w:rPr>
        <w:t>uphold</w:t>
      </w:r>
      <w:r w:rsidRPr="007321E4">
        <w:rPr>
          <w:szCs w:val="18"/>
        </w:rPr>
        <w:t xml:space="preserve"> </w:t>
      </w:r>
      <w:r w:rsidR="001E2D38" w:rsidRPr="007321E4">
        <w:rPr>
          <w:szCs w:val="18"/>
        </w:rPr>
        <w:t>this</w:t>
      </w:r>
      <w:r w:rsidRPr="007321E4">
        <w:rPr>
          <w:szCs w:val="18"/>
        </w:rPr>
        <w:t xml:space="preserve"> Panel finding</w:t>
      </w:r>
      <w:r w:rsidRPr="007321E4">
        <w:rPr>
          <w:rStyle w:val="FootnoteReference"/>
          <w:szCs w:val="18"/>
        </w:rPr>
        <w:footnoteReference w:id="183"/>
      </w:r>
      <w:r w:rsidRPr="007321E4">
        <w:rPr>
          <w:szCs w:val="18"/>
        </w:rPr>
        <w:t xml:space="preserve">, despite its observation that Indonesia's appeal is "not material to resolving the dispute" </w:t>
      </w:r>
      <w:r w:rsidR="00D2787B" w:rsidRPr="007321E4">
        <w:rPr>
          <w:szCs w:val="18"/>
        </w:rPr>
        <w:t xml:space="preserve">as </w:t>
      </w:r>
      <w:r w:rsidRPr="007321E4">
        <w:rPr>
          <w:szCs w:val="18"/>
        </w:rPr>
        <w:t>the essential requirements of Article XI</w:t>
      </w:r>
      <w:proofErr w:type="gramStart"/>
      <w:r w:rsidRPr="007321E4">
        <w:rPr>
          <w:szCs w:val="18"/>
        </w:rPr>
        <w:t>:2</w:t>
      </w:r>
      <w:proofErr w:type="gramEnd"/>
      <w:r w:rsidRPr="007321E4">
        <w:rPr>
          <w:szCs w:val="18"/>
        </w:rPr>
        <w:t>(c)(ii) are not satisfied.</w:t>
      </w:r>
      <w:r w:rsidRPr="007321E4">
        <w:rPr>
          <w:rStyle w:val="FootnoteReference"/>
          <w:szCs w:val="18"/>
        </w:rPr>
        <w:footnoteReference w:id="184"/>
      </w:r>
      <w:r w:rsidRPr="007321E4">
        <w:t xml:space="preserve"> In additi</w:t>
      </w:r>
      <w:r w:rsidR="00B41F29" w:rsidRPr="007321E4">
        <w:t>on, while our ruling on Article </w:t>
      </w:r>
      <w:r w:rsidRPr="007321E4">
        <w:t>XI</w:t>
      </w:r>
      <w:proofErr w:type="gramStart"/>
      <w:r w:rsidRPr="007321E4">
        <w:t>:2</w:t>
      </w:r>
      <w:proofErr w:type="gramEnd"/>
      <w:r w:rsidRPr="007321E4">
        <w:t xml:space="preserve">(c) may not directly change the recommendations and rulings by the DSB with respect to Article XI:1 of the GATT 1994, </w:t>
      </w:r>
      <w:r w:rsidRPr="007321E4">
        <w:rPr>
          <w:szCs w:val="18"/>
        </w:rPr>
        <w:t>the question as to whether Indonesia can in the future invoke Article XI:2(c)(ii) to justify or exempt any compliance measure</w:t>
      </w:r>
      <w:r w:rsidR="00BF55AB" w:rsidRPr="007321E4">
        <w:rPr>
          <w:szCs w:val="18"/>
        </w:rPr>
        <w:t xml:space="preserve"> taken with respect to Measures </w:t>
      </w:r>
      <w:r w:rsidRPr="007321E4">
        <w:rPr>
          <w:szCs w:val="18"/>
        </w:rPr>
        <w:t>4,</w:t>
      </w:r>
      <w:r w:rsidR="00E66336" w:rsidRPr="007321E4">
        <w:rPr>
          <w:szCs w:val="18"/>
        </w:rPr>
        <w:t> </w:t>
      </w:r>
      <w:r w:rsidRPr="007321E4">
        <w:rPr>
          <w:szCs w:val="18"/>
        </w:rPr>
        <w:t xml:space="preserve">7, and </w:t>
      </w:r>
      <w:r w:rsidR="001E2D38" w:rsidRPr="007321E4">
        <w:rPr>
          <w:szCs w:val="18"/>
        </w:rPr>
        <w:t>1</w:t>
      </w:r>
      <w:r w:rsidRPr="007321E4">
        <w:rPr>
          <w:szCs w:val="18"/>
        </w:rPr>
        <w:t>6 could affect the manner in which it can comply with the recommendations and rulings by the DSB.</w:t>
      </w:r>
      <w:r w:rsidRPr="007321E4">
        <w:rPr>
          <w:rStyle w:val="FootnoteReference"/>
          <w:szCs w:val="18"/>
        </w:rPr>
        <w:footnoteReference w:id="185"/>
      </w:r>
    </w:p>
    <w:p w:rsidR="004E2D50" w:rsidRPr="007321E4" w:rsidRDefault="004E2D50" w:rsidP="004E2D50">
      <w:pPr>
        <w:pStyle w:val="BodyText"/>
        <w:numPr>
          <w:ilvl w:val="6"/>
          <w:numId w:val="37"/>
        </w:numPr>
      </w:pPr>
      <w:r w:rsidRPr="007321E4">
        <w:rPr>
          <w:szCs w:val="18"/>
        </w:rPr>
        <w:t>In light of the foregoing, we proceed to examine Indonesia's claim on appeal with respect to Article XI</w:t>
      </w:r>
      <w:proofErr w:type="gramStart"/>
      <w:r w:rsidRPr="007321E4">
        <w:rPr>
          <w:szCs w:val="18"/>
        </w:rPr>
        <w:t>:2</w:t>
      </w:r>
      <w:proofErr w:type="gramEnd"/>
      <w:r w:rsidRPr="007321E4">
        <w:rPr>
          <w:szCs w:val="18"/>
        </w:rPr>
        <w:t>(c) of the GATT 1994.</w:t>
      </w:r>
    </w:p>
    <w:p w:rsidR="004E2D50" w:rsidRPr="007321E4" w:rsidRDefault="004E2D50" w:rsidP="004E2D50">
      <w:pPr>
        <w:pStyle w:val="Heading3"/>
        <w:numPr>
          <w:ilvl w:val="2"/>
          <w:numId w:val="37"/>
        </w:numPr>
      </w:pPr>
      <w:bookmarkStart w:id="130" w:name="_Toc496267426"/>
      <w:bookmarkStart w:id="131" w:name="_Toc497915400"/>
      <w:r w:rsidRPr="007321E4">
        <w:t>Whether the Panel erred in finding that Article XI</w:t>
      </w:r>
      <w:proofErr w:type="gramStart"/>
      <w:r w:rsidRPr="007321E4">
        <w:t>:2</w:t>
      </w:r>
      <w:proofErr w:type="gramEnd"/>
      <w:r w:rsidRPr="007321E4">
        <w:t xml:space="preserve">(c) of the GATT 1994 has been rendered "inoperative" with respect to agricultural </w:t>
      </w:r>
      <w:bookmarkEnd w:id="130"/>
      <w:r w:rsidR="0048565D" w:rsidRPr="007321E4">
        <w:t>measures</w:t>
      </w:r>
      <w:bookmarkEnd w:id="131"/>
    </w:p>
    <w:p w:rsidR="004E2D50" w:rsidRPr="007321E4" w:rsidRDefault="004E2D50" w:rsidP="004E2D50">
      <w:pPr>
        <w:pStyle w:val="BodyText"/>
        <w:numPr>
          <w:ilvl w:val="6"/>
          <w:numId w:val="37"/>
        </w:numPr>
      </w:pPr>
      <w:r w:rsidRPr="007321E4">
        <w:t>We begin our analysis by recalling the Panel's finding. The Panel stated, in paragraph 7.60 of the Panel Report:</w:t>
      </w:r>
    </w:p>
    <w:p w:rsidR="004E2D50" w:rsidRPr="007321E4" w:rsidRDefault="004E2D50" w:rsidP="00190BF6">
      <w:pPr>
        <w:pStyle w:val="Quotation"/>
      </w:pPr>
      <w:r w:rsidRPr="007321E4">
        <w:t>We agree with the co-complainants. As they explained, Article XI:2(c) has been rendered inoperative with respect to agricultural measures by Article 4.2 of the Agreement on Agriculture, which prohibits Members from maintaining, resorting to, or reverting to, "any measures of the kind which have been required to be converted into ordinary customs duties". Footnote 1 to Article 4.2 provides that the only measures that fall outside the scope of this provision are the ones "maintained under balance-of-payment provisions or under other general, non-agriculture-specific provisions or of the other Multilateral Trade Agreements in Annex 1A to the WTO Agreement". Article XI</w:t>
      </w:r>
      <w:proofErr w:type="gramStart"/>
      <w:r w:rsidRPr="007321E4">
        <w:t>:2</w:t>
      </w:r>
      <w:proofErr w:type="gramEnd"/>
      <w:r w:rsidRPr="007321E4">
        <w:t>(c) by its terms concerns agricultural products and therefore does not qualify under the exclusion for general, non-agriculture-specific provisions. Therefore, Indonesia cannot rely upon Article XI</w:t>
      </w:r>
      <w:proofErr w:type="gramStart"/>
      <w:r w:rsidRPr="007321E4">
        <w:t>:2</w:t>
      </w:r>
      <w:proofErr w:type="gramEnd"/>
      <w:r w:rsidRPr="007321E4">
        <w:t xml:space="preserve">(c)(ii) of the GATT 1994. This is confirmed by Article 21 of the Agreement on Agriculture, which provides that "[t]he provisions of </w:t>
      </w:r>
      <w:r w:rsidRPr="007321E4">
        <w:lastRenderedPageBreak/>
        <w:t>GATT 1994", including Article XI</w:t>
      </w:r>
      <w:proofErr w:type="gramStart"/>
      <w:r w:rsidRPr="007321E4">
        <w:t>:2</w:t>
      </w:r>
      <w:proofErr w:type="gramEnd"/>
      <w:r w:rsidRPr="007321E4">
        <w:t>(c)(ii) of the GATT 1994, "shall apply subject to the provisions of this Agreement". Accordingly, we conclude that Indonesia cannot rely upon Article XI</w:t>
      </w:r>
      <w:proofErr w:type="gramStart"/>
      <w:r w:rsidRPr="007321E4">
        <w:t>:2</w:t>
      </w:r>
      <w:proofErr w:type="gramEnd"/>
      <w:r w:rsidRPr="007321E4">
        <w:t>(c)(ii) of the GATT 1994 to exclude Measures 4, 7 and 16 from the scope of Article XI:1 of the GATT 1994 because, with respect to agricultural measures, Article XI:2(c) has been rendered inoperative by Article 4.2 of the Agreement on Agriculture.</w:t>
      </w:r>
      <w:r w:rsidRPr="007321E4">
        <w:rPr>
          <w:rStyle w:val="FootnoteReference"/>
        </w:rPr>
        <w:footnoteReference w:id="186"/>
      </w:r>
    </w:p>
    <w:p w:rsidR="004E2D50" w:rsidRPr="007321E4" w:rsidRDefault="004E2D50" w:rsidP="004E2D50">
      <w:pPr>
        <w:pStyle w:val="BodyText"/>
        <w:numPr>
          <w:ilvl w:val="6"/>
          <w:numId w:val="37"/>
        </w:numPr>
      </w:pPr>
      <w:r w:rsidRPr="007321E4">
        <w:t>Thus, the Panel considered that the types of measures permitted under Article XI</w:t>
      </w:r>
      <w:proofErr w:type="gramStart"/>
      <w:r w:rsidRPr="007321E4">
        <w:t>:2</w:t>
      </w:r>
      <w:proofErr w:type="gramEnd"/>
      <w:r w:rsidRPr="007321E4">
        <w:t>(c) of the GATT 1994 are not exempted from the prohibition of market access barriers on agricultural products under Article 4.2 of the Agreement on Agriculture because "Article XI:2(c) by its terms concerns agricultural products and therefore does not qualify under the exclusion for general, non-agriculture-specific provisions</w:t>
      </w:r>
      <w:r w:rsidR="00D2787B" w:rsidRPr="007321E4">
        <w:t>"</w:t>
      </w:r>
      <w:r w:rsidRPr="007321E4">
        <w:t xml:space="preserve"> within the meaning of footnote 1 to Article 4.2. The Panel then recalled Article 21.1 of the Agreement on Agriculture, and found that Article XI</w:t>
      </w:r>
      <w:proofErr w:type="gramStart"/>
      <w:r w:rsidRPr="007321E4">
        <w:t>:2</w:t>
      </w:r>
      <w:proofErr w:type="gramEnd"/>
      <w:r w:rsidRPr="007321E4">
        <w:t xml:space="preserve">(c) has been rendered "inoperative" with respect to agricultural </w:t>
      </w:r>
      <w:r w:rsidR="003310FF" w:rsidRPr="007321E4">
        <w:t xml:space="preserve">measures </w:t>
      </w:r>
      <w:r w:rsidRPr="007321E4">
        <w:t>because</w:t>
      </w:r>
      <w:r w:rsidR="001778B8" w:rsidRPr="007321E4">
        <w:t>,</w:t>
      </w:r>
      <w:r w:rsidRPr="007321E4">
        <w:t xml:space="preserve"> by virtue of Article 21.1, the provisions of the GATT 1994 "shall apply subject to" the provisions of the Agreement on Agriculture.</w:t>
      </w:r>
    </w:p>
    <w:p w:rsidR="004E2D50" w:rsidRPr="007321E4" w:rsidRDefault="004E2D50" w:rsidP="004E2D50">
      <w:pPr>
        <w:pStyle w:val="BodyText"/>
        <w:numPr>
          <w:ilvl w:val="6"/>
          <w:numId w:val="37"/>
        </w:numPr>
      </w:pPr>
      <w:r w:rsidRPr="007321E4">
        <w:t>In its appeal, Indonesia claims that the Panel's interpretation that Article XI</w:t>
      </w:r>
      <w:proofErr w:type="gramStart"/>
      <w:r w:rsidRPr="007321E4">
        <w:t>:2</w:t>
      </w:r>
      <w:proofErr w:type="gramEnd"/>
      <w:r w:rsidRPr="007321E4">
        <w:t>(c) of the GATT 1994 has been rendered "inoperative" with respect to agricultural products is in error. Indonesia argues that the Panel "focused on the wrong element of footnote 1 [to Article 4.2</w:t>
      </w:r>
      <w:r w:rsidR="001778B8" w:rsidRPr="007321E4">
        <w:t xml:space="preserve"> of the Agreement on Agriculture</w:t>
      </w:r>
      <w:r w:rsidRPr="007321E4">
        <w:t>]"</w:t>
      </w:r>
      <w:r w:rsidRPr="007321E4">
        <w:rPr>
          <w:rStyle w:val="FootnoteReference"/>
        </w:rPr>
        <w:footnoteReference w:id="187"/>
      </w:r>
      <w:r w:rsidRPr="007321E4">
        <w:t xml:space="preserve"> in reaching its conclusion that Article 4.2 does not allow for the types of derogations set out in Article XI</w:t>
      </w:r>
      <w:proofErr w:type="gramStart"/>
      <w:r w:rsidRPr="007321E4">
        <w:t>:2</w:t>
      </w:r>
      <w:proofErr w:type="gramEnd"/>
      <w:r w:rsidRPr="007321E4">
        <w:t>(c). According to Indonesia, Article XI</w:t>
      </w:r>
      <w:proofErr w:type="gramStart"/>
      <w:r w:rsidRPr="007321E4">
        <w:t>:2</w:t>
      </w:r>
      <w:proofErr w:type="gramEnd"/>
      <w:r w:rsidRPr="007321E4">
        <w:t xml:space="preserve">(c) does not concern the </w:t>
      </w:r>
      <w:r w:rsidRPr="007321E4">
        <w:rPr>
          <w:i/>
        </w:rPr>
        <w:t>second</w:t>
      </w:r>
      <w:r w:rsidRPr="007321E4">
        <w:t xml:space="preserve"> part of footnote 1 to Article 4.2 because it is "not an exception captured by the second element of this footnote 1".</w:t>
      </w:r>
      <w:r w:rsidRPr="007321E4">
        <w:rPr>
          <w:rStyle w:val="FootnoteReference"/>
        </w:rPr>
        <w:footnoteReference w:id="188"/>
      </w:r>
      <w:r w:rsidRPr="007321E4">
        <w:t xml:space="preserve"> Rather, Article XI</w:t>
      </w:r>
      <w:proofErr w:type="gramStart"/>
      <w:r w:rsidRPr="007321E4">
        <w:t>:2</w:t>
      </w:r>
      <w:proofErr w:type="gramEnd"/>
      <w:r w:rsidRPr="007321E4">
        <w:t xml:space="preserve">(c) "defines" the term "quantitative import restrictions" in the </w:t>
      </w:r>
      <w:r w:rsidRPr="007321E4">
        <w:rPr>
          <w:i/>
        </w:rPr>
        <w:t>first</w:t>
      </w:r>
      <w:r w:rsidRPr="007321E4">
        <w:t xml:space="preserve"> part of footnote 1.</w:t>
      </w:r>
      <w:r w:rsidRPr="007321E4">
        <w:rPr>
          <w:rStyle w:val="FootnoteReference"/>
        </w:rPr>
        <w:footnoteReference w:id="189"/>
      </w:r>
      <w:r w:rsidRPr="007321E4">
        <w:t xml:space="preserve"> Indonesia notes in this context that the phrase "quantitative import restrictions" in the first part of footnote 1 is not defined in </w:t>
      </w:r>
      <w:r w:rsidR="00D2787B" w:rsidRPr="007321E4">
        <w:t>the</w:t>
      </w:r>
      <w:r w:rsidR="000D5DDF" w:rsidRPr="007321E4">
        <w:t> </w:t>
      </w:r>
      <w:r w:rsidR="001778B8" w:rsidRPr="007321E4">
        <w:t>A</w:t>
      </w:r>
      <w:r w:rsidRPr="007321E4">
        <w:t>greement</w:t>
      </w:r>
      <w:r w:rsidR="000D5DDF" w:rsidRPr="007321E4">
        <w:t> </w:t>
      </w:r>
      <w:r w:rsidR="00D2787B" w:rsidRPr="007321E4">
        <w:t>on Agriculture</w:t>
      </w:r>
      <w:r w:rsidRPr="007321E4">
        <w:t>.</w:t>
      </w:r>
      <w:r w:rsidRPr="007321E4">
        <w:rPr>
          <w:rStyle w:val="FootnoteReference"/>
        </w:rPr>
        <w:footnoteReference w:id="190"/>
      </w:r>
      <w:r w:rsidRPr="007321E4">
        <w:t xml:space="preserve"> Accordingly, this phrase "must … be interpreted by referring, </w:t>
      </w:r>
      <w:r w:rsidRPr="007321E4">
        <w:rPr>
          <w:i/>
        </w:rPr>
        <w:t>inter alia</w:t>
      </w:r>
      <w:r w:rsidRPr="007321E4">
        <w:t>, to its relevant context, in particular Article XI (i.e. its paragraphs 1 and 2) of the GATT 1994".</w:t>
      </w:r>
      <w:r w:rsidRPr="007321E4">
        <w:rPr>
          <w:rStyle w:val="FootnoteReference"/>
        </w:rPr>
        <w:footnoteReference w:id="191"/>
      </w:r>
      <w:r w:rsidRPr="007321E4">
        <w:t xml:space="preserve"> Indonesia observes that a measure falling under one of the subparagraphs of Article XI</w:t>
      </w:r>
      <w:proofErr w:type="gramStart"/>
      <w:r w:rsidRPr="007321E4">
        <w:t>:2</w:t>
      </w:r>
      <w:proofErr w:type="gramEnd"/>
      <w:r w:rsidRPr="007321E4">
        <w:t xml:space="preserve"> of the GATT 1994, including Article XI:2(c)(ii), "is not disciplined as a quantitative import restriction within the meaning of Article XI:1 of the GATT 1994".</w:t>
      </w:r>
      <w:r w:rsidRPr="007321E4">
        <w:rPr>
          <w:rStyle w:val="FootnoteReference"/>
        </w:rPr>
        <w:footnoteReference w:id="192"/>
      </w:r>
      <w:r w:rsidRPr="007321E4">
        <w:t xml:space="preserve"> Therefore, measures satisfy</w:t>
      </w:r>
      <w:r w:rsidR="00803935" w:rsidRPr="007321E4">
        <w:t>ing the requirements of Article </w:t>
      </w:r>
      <w:r w:rsidRPr="007321E4">
        <w:t>XI</w:t>
      </w:r>
      <w:proofErr w:type="gramStart"/>
      <w:r w:rsidRPr="007321E4">
        <w:t>:2</w:t>
      </w:r>
      <w:proofErr w:type="gramEnd"/>
      <w:r w:rsidRPr="007321E4">
        <w:t>(c)(ii) should also fall outside "quantitative import restrictions" in the first part of footnote 1 to Article 4.2</w:t>
      </w:r>
      <w:r w:rsidR="001778B8" w:rsidRPr="007321E4">
        <w:t xml:space="preserve"> of the Agreement on Agriculture</w:t>
      </w:r>
      <w:r w:rsidRPr="007321E4">
        <w:t>.</w:t>
      </w:r>
      <w:r w:rsidRPr="007321E4">
        <w:rPr>
          <w:rStyle w:val="FootnoteReference"/>
        </w:rPr>
        <w:footnoteReference w:id="193"/>
      </w:r>
    </w:p>
    <w:p w:rsidR="004E2D50" w:rsidRPr="007321E4" w:rsidRDefault="004E2D50" w:rsidP="004E2D50">
      <w:pPr>
        <w:pStyle w:val="BodyText"/>
        <w:numPr>
          <w:ilvl w:val="6"/>
          <w:numId w:val="37"/>
        </w:numPr>
      </w:pPr>
      <w:r w:rsidRPr="007321E4">
        <w:t>New Zealand and the United States, on their part, submit that the Panel did not err in finding that Article XI</w:t>
      </w:r>
      <w:proofErr w:type="gramStart"/>
      <w:r w:rsidRPr="007321E4">
        <w:t>:2</w:t>
      </w:r>
      <w:proofErr w:type="gramEnd"/>
      <w:r w:rsidRPr="007321E4">
        <w:t>(c) of the GATT 1994 has been rendered "inoperative" by Article 4.2 of the Agreement on Agriculture.</w:t>
      </w:r>
      <w:r w:rsidRPr="007321E4">
        <w:rPr>
          <w:rStyle w:val="FootnoteReference"/>
        </w:rPr>
        <w:footnoteReference w:id="194"/>
      </w:r>
      <w:r w:rsidRPr="007321E4">
        <w:t xml:space="preserve"> They agree with the Panel that measures falling under </w:t>
      </w:r>
      <w:r w:rsidR="008D1BF4" w:rsidRPr="007321E4">
        <w:t xml:space="preserve">Article </w:t>
      </w:r>
      <w:r w:rsidRPr="007321E4">
        <w:t>XI</w:t>
      </w:r>
      <w:proofErr w:type="gramStart"/>
      <w:r w:rsidRPr="007321E4">
        <w:t>:2</w:t>
      </w:r>
      <w:proofErr w:type="gramEnd"/>
      <w:r w:rsidRPr="007321E4">
        <w:t xml:space="preserve">(c) are not exempted from the prohibition of market access barriers under Article 4.2 because Article XI:2(c) applies specifically to </w:t>
      </w:r>
      <w:r w:rsidRPr="007321E4">
        <w:rPr>
          <w:i/>
        </w:rPr>
        <w:t>agricultural</w:t>
      </w:r>
      <w:r w:rsidRPr="007321E4">
        <w:t xml:space="preserve"> and fisheries products, and thus does not qualify as a "general, non-agriculture-specific provision</w:t>
      </w:r>
      <w:r w:rsidR="001778B8" w:rsidRPr="007321E4">
        <w:t>[]</w:t>
      </w:r>
      <w:r w:rsidR="00EC59AA" w:rsidRPr="007321E4">
        <w:t>"</w:t>
      </w:r>
      <w:r w:rsidRPr="007321E4">
        <w:t xml:space="preserve"> within the meaning of the second part of footnote 1 to Article 4.2.</w:t>
      </w:r>
      <w:r w:rsidRPr="007321E4">
        <w:rPr>
          <w:rStyle w:val="FootnoteReference"/>
        </w:rPr>
        <w:footnoteReference w:id="195"/>
      </w:r>
    </w:p>
    <w:p w:rsidR="004E2D50" w:rsidRPr="007321E4" w:rsidRDefault="004E2D50" w:rsidP="004E2D50">
      <w:pPr>
        <w:pStyle w:val="BodyText"/>
        <w:numPr>
          <w:ilvl w:val="6"/>
          <w:numId w:val="37"/>
        </w:numPr>
      </w:pPr>
      <w:r w:rsidRPr="007321E4">
        <w:t>As such, the core issue before us is whether the coverage of the prohibition of "quantitative import restrictions" under Article 4.2 of the Agreement on Agriculture extends to the kinds of measures referred to in Article XI</w:t>
      </w:r>
      <w:proofErr w:type="gramStart"/>
      <w:r w:rsidRPr="007321E4">
        <w:t>:2</w:t>
      </w:r>
      <w:proofErr w:type="gramEnd"/>
      <w:r w:rsidRPr="007321E4">
        <w:t>(c) of the GATT 1994.</w:t>
      </w:r>
    </w:p>
    <w:p w:rsidR="004E2D50" w:rsidRPr="007321E4" w:rsidRDefault="004E2D50" w:rsidP="004E2D50">
      <w:pPr>
        <w:pStyle w:val="BodyText"/>
        <w:numPr>
          <w:ilvl w:val="6"/>
          <w:numId w:val="37"/>
        </w:numPr>
      </w:pPr>
      <w:r w:rsidRPr="007321E4">
        <w:t xml:space="preserve">Article 4.2 of the Agreement on Agriculture prohibits Members from maintaining, resorting to, or reverting to "any measures of the kind which have been required to be converted into ordinary customs duties". The first part of footnote 1 to Article 4.2 illustrates the categories of measures which have been required to be converted into ordinary customs duties, including "quantitative import restrictions". The term "quantitative import restrictions" is not defined in the </w:t>
      </w:r>
      <w:r w:rsidRPr="007321E4">
        <w:lastRenderedPageBreak/>
        <w:t xml:space="preserve">Agreement on Agriculture. However, a plain reading of </w:t>
      </w:r>
      <w:r w:rsidR="001778B8" w:rsidRPr="007321E4">
        <w:t xml:space="preserve">the term </w:t>
      </w:r>
      <w:r w:rsidRPr="007321E4">
        <w:t xml:space="preserve">"quantitative import restrictions" suggests that it refers to any </w:t>
      </w:r>
      <w:r w:rsidRPr="007321E4">
        <w:rPr>
          <w:i/>
        </w:rPr>
        <w:t>restriction</w:t>
      </w:r>
      <w:r w:rsidRPr="007321E4">
        <w:t xml:space="preserve"> on the </w:t>
      </w:r>
      <w:r w:rsidRPr="007321E4">
        <w:rPr>
          <w:i/>
        </w:rPr>
        <w:t>importation</w:t>
      </w:r>
      <w:r w:rsidRPr="007321E4">
        <w:t xml:space="preserve"> of an agricultural product</w:t>
      </w:r>
      <w:r w:rsidRPr="007321E4">
        <w:rPr>
          <w:rStyle w:val="FootnoteReference"/>
        </w:rPr>
        <w:footnoteReference w:id="196"/>
      </w:r>
      <w:r w:rsidRPr="007321E4">
        <w:t xml:space="preserve"> </w:t>
      </w:r>
      <w:r w:rsidR="001778B8" w:rsidRPr="007321E4">
        <w:t xml:space="preserve">that </w:t>
      </w:r>
      <w:r w:rsidRPr="007321E4">
        <w:t xml:space="preserve">is related to its </w:t>
      </w:r>
      <w:r w:rsidRPr="007321E4">
        <w:rPr>
          <w:i/>
        </w:rPr>
        <w:t>quantity</w:t>
      </w:r>
      <w:r w:rsidRPr="007321E4">
        <w:t xml:space="preserve">. In addition, because "quantitative import restrictions" in footnote 1 to Article 4.2 are among "measures of the kind which have been required to be converted into </w:t>
      </w:r>
      <w:r w:rsidRPr="007321E4">
        <w:rPr>
          <w:i/>
        </w:rPr>
        <w:t>ordinary customs duties</w:t>
      </w:r>
      <w:r w:rsidRPr="007321E4">
        <w:t>"</w:t>
      </w:r>
      <w:r w:rsidRPr="007321E4">
        <w:rPr>
          <w:rStyle w:val="FootnoteReference"/>
        </w:rPr>
        <w:footnoteReference w:id="197"/>
      </w:r>
      <w:r w:rsidRPr="007321E4">
        <w:t>, the term "quantitative import restrictions" does not include ordinary customs duties.</w:t>
      </w:r>
    </w:p>
    <w:p w:rsidR="004E2D50" w:rsidRPr="007321E4" w:rsidRDefault="004E2D50" w:rsidP="00803935">
      <w:pPr>
        <w:pStyle w:val="BodyText"/>
        <w:keepNext/>
        <w:keepLines/>
        <w:numPr>
          <w:ilvl w:val="6"/>
          <w:numId w:val="37"/>
        </w:numPr>
      </w:pPr>
      <w:r w:rsidRPr="007321E4">
        <w:t xml:space="preserve">Furthermore, as context for interpreting the prohibition of "quantitative import restrictions" under Article 4.2 of the Agreement on Agriculture, we note that Article XI of the GATT 1994 sets out a prohibition of </w:t>
      </w:r>
      <w:r w:rsidRPr="007321E4">
        <w:rPr>
          <w:i/>
        </w:rPr>
        <w:t>quantitative restrictions</w:t>
      </w:r>
      <w:r w:rsidRPr="007321E4">
        <w:t>. Article XI provides, in relevant part:</w:t>
      </w:r>
    </w:p>
    <w:p w:rsidR="004E2D50" w:rsidRPr="007321E4" w:rsidRDefault="004E2D50" w:rsidP="00803935">
      <w:pPr>
        <w:pStyle w:val="Quotation"/>
        <w:keepNext/>
        <w:keepLines/>
        <w:jc w:val="center"/>
        <w:rPr>
          <w:i/>
        </w:rPr>
      </w:pPr>
      <w:r w:rsidRPr="007321E4">
        <w:rPr>
          <w:i/>
        </w:rPr>
        <w:t>Article XI</w:t>
      </w:r>
    </w:p>
    <w:p w:rsidR="004E2D50" w:rsidRPr="007321E4" w:rsidRDefault="004E2D50" w:rsidP="00803935">
      <w:pPr>
        <w:pStyle w:val="Quotation"/>
        <w:keepNext/>
        <w:keepLines/>
        <w:jc w:val="center"/>
        <w:rPr>
          <w:i/>
        </w:rPr>
      </w:pPr>
      <w:r w:rsidRPr="007321E4">
        <w:rPr>
          <w:i/>
        </w:rPr>
        <w:t>General Elimination of Quantitative Restrictions</w:t>
      </w:r>
    </w:p>
    <w:p w:rsidR="004E2D50" w:rsidRPr="007321E4" w:rsidRDefault="004E2D50" w:rsidP="00803935">
      <w:pPr>
        <w:pStyle w:val="Quotation"/>
        <w:keepNext/>
        <w:keepLines/>
      </w:pPr>
      <w:r w:rsidRPr="007321E4">
        <w:t>1.</w:t>
      </w:r>
      <w:r w:rsidRPr="007321E4">
        <w:tab/>
        <w:t>No prohibitions or restrictions other than duties, taxes or other charges, whether made effective through quotas, import or export licences or other measures, shall be instituted or maintained by any Member on the importation of any product of the territory of any other Member or on the exportation or sale for export of any product destined for the territory of any other Member.</w:t>
      </w:r>
    </w:p>
    <w:p w:rsidR="004E2D50" w:rsidRPr="007321E4" w:rsidRDefault="004E2D50" w:rsidP="00803935">
      <w:pPr>
        <w:pStyle w:val="Quotation"/>
        <w:keepNext/>
        <w:keepLines/>
      </w:pPr>
      <w:r w:rsidRPr="007321E4">
        <w:t>2.</w:t>
      </w:r>
      <w:r w:rsidRPr="007321E4">
        <w:tab/>
        <w:t>The provisions of paragraph 1 of this Article shall not extend to the following:</w:t>
      </w:r>
    </w:p>
    <w:p w:rsidR="004E2D50" w:rsidRPr="007321E4" w:rsidRDefault="004E2D50" w:rsidP="00803935">
      <w:pPr>
        <w:pStyle w:val="Quotation"/>
        <w:keepNext/>
        <w:keepLines/>
        <w:jc w:val="center"/>
      </w:pPr>
      <w:r w:rsidRPr="007321E4">
        <w:t>…</w:t>
      </w:r>
    </w:p>
    <w:p w:rsidR="004E2D50" w:rsidRPr="007321E4" w:rsidRDefault="004E2D50" w:rsidP="00803935">
      <w:pPr>
        <w:pStyle w:val="Quotation"/>
        <w:keepNext/>
        <w:keepLines/>
        <w:ind w:left="1689" w:hanging="555"/>
      </w:pPr>
      <w:r w:rsidRPr="007321E4">
        <w:t>(c)</w:t>
      </w:r>
      <w:r w:rsidRPr="007321E4">
        <w:tab/>
        <w:t>Import restrictions on any agricultural or fisheries product, imported in any form, necessary to the enforcement of governmental measures which operate:</w:t>
      </w:r>
    </w:p>
    <w:p w:rsidR="004E2D50" w:rsidRPr="007321E4" w:rsidRDefault="004E2D50" w:rsidP="00190BF6">
      <w:pPr>
        <w:pStyle w:val="Quotation"/>
        <w:jc w:val="center"/>
      </w:pPr>
      <w:r w:rsidRPr="007321E4">
        <w:t>…</w:t>
      </w:r>
    </w:p>
    <w:p w:rsidR="004E2D50" w:rsidRPr="007321E4" w:rsidRDefault="004E2D50" w:rsidP="00190BF6">
      <w:pPr>
        <w:pStyle w:val="Quotation"/>
        <w:ind w:left="2259" w:hanging="570"/>
      </w:pPr>
      <w:r w:rsidRPr="007321E4">
        <w:t>(ii)</w:t>
      </w:r>
      <w:r w:rsidRPr="007321E4">
        <w:tab/>
        <w:t>to remove a temporary surplus of the like domestic product, or, if there is no substantial domestic production of the like product, of a domestic product for which the imported product can be directly substituted, by making the surplus available to certain groups of domestic consumers free of charge or at prices below the current market level; …</w:t>
      </w:r>
    </w:p>
    <w:p w:rsidR="004E2D50" w:rsidRPr="007321E4" w:rsidRDefault="004E2D50" w:rsidP="004E2D50">
      <w:pPr>
        <w:pStyle w:val="BodyText"/>
        <w:numPr>
          <w:ilvl w:val="6"/>
          <w:numId w:val="37"/>
        </w:numPr>
      </w:pPr>
      <w:r w:rsidRPr="007321E4">
        <w:t>Article XI</w:t>
      </w:r>
      <w:r w:rsidRPr="007321E4">
        <w:rPr>
          <w:szCs w:val="22"/>
        </w:rPr>
        <w:t xml:space="preserve"> of the GATT 1994 </w:t>
      </w:r>
      <w:r w:rsidRPr="007321E4">
        <w:rPr>
          <w:szCs w:val="18"/>
        </w:rPr>
        <w:t xml:space="preserve">governs the elimination of </w:t>
      </w:r>
      <w:r w:rsidRPr="007321E4">
        <w:rPr>
          <w:i/>
          <w:szCs w:val="18"/>
        </w:rPr>
        <w:t>quantitative restrictions</w:t>
      </w:r>
      <w:r w:rsidRPr="007321E4">
        <w:rPr>
          <w:szCs w:val="18"/>
        </w:rPr>
        <w:t xml:space="preserve"> generally.</w:t>
      </w:r>
      <w:r w:rsidRPr="007321E4">
        <w:rPr>
          <w:rStyle w:val="FootnoteReference"/>
        </w:rPr>
        <w:footnoteReference w:id="198"/>
      </w:r>
      <w:r w:rsidRPr="007321E4">
        <w:rPr>
          <w:szCs w:val="22"/>
        </w:rPr>
        <w:t xml:space="preserve"> In particular, </w:t>
      </w:r>
      <w:r w:rsidRPr="007321E4">
        <w:rPr>
          <w:szCs w:val="18"/>
        </w:rPr>
        <w:t>paragraph 1 "lays down a general obligation to eliminate quantitative restrictions", and "prohibits Members to institute or maintain prohibitions or restrictions other than duties, taxes, or other charges, on the importation, exportation, or sale for export of any product destined for another Member".</w:t>
      </w:r>
      <w:r w:rsidRPr="007321E4">
        <w:rPr>
          <w:rStyle w:val="FootnoteReference"/>
          <w:szCs w:val="18"/>
        </w:rPr>
        <w:footnoteReference w:id="199"/>
      </w:r>
      <w:r w:rsidRPr="007321E4">
        <w:rPr>
          <w:szCs w:val="22"/>
        </w:rPr>
        <w:t xml:space="preserve"> Paragraph 2 of Article XI, in turn, provides that "[t]he provisions of paragraph 1 of this Article shall not extend to" the types of measu</w:t>
      </w:r>
      <w:r w:rsidR="00BF55AB" w:rsidRPr="007321E4">
        <w:rPr>
          <w:szCs w:val="22"/>
        </w:rPr>
        <w:t>res stipulated in subparagraphs </w:t>
      </w:r>
      <w:r w:rsidR="001778B8" w:rsidRPr="007321E4">
        <w:rPr>
          <w:szCs w:val="22"/>
        </w:rPr>
        <w:t>2</w:t>
      </w:r>
      <w:r w:rsidRPr="007321E4">
        <w:rPr>
          <w:szCs w:val="22"/>
        </w:rPr>
        <w:t xml:space="preserve">(a) to </w:t>
      </w:r>
      <w:r w:rsidR="001778B8" w:rsidRPr="007321E4">
        <w:rPr>
          <w:szCs w:val="22"/>
        </w:rPr>
        <w:t>2</w:t>
      </w:r>
      <w:r w:rsidRPr="007321E4">
        <w:rPr>
          <w:szCs w:val="22"/>
        </w:rPr>
        <w:t>(c). As relevant in this appeal, Article XI</w:t>
      </w:r>
      <w:proofErr w:type="gramStart"/>
      <w:r w:rsidRPr="007321E4">
        <w:rPr>
          <w:szCs w:val="22"/>
        </w:rPr>
        <w:t>:2</w:t>
      </w:r>
      <w:proofErr w:type="gramEnd"/>
      <w:r w:rsidRPr="007321E4">
        <w:rPr>
          <w:szCs w:val="22"/>
        </w:rPr>
        <w:t>(c)(ii) exempts fr</w:t>
      </w:r>
      <w:r w:rsidR="00BF55AB" w:rsidRPr="007321E4">
        <w:rPr>
          <w:szCs w:val="22"/>
        </w:rPr>
        <w:t>om the obligation under Article </w:t>
      </w:r>
      <w:r w:rsidRPr="007321E4">
        <w:rPr>
          <w:szCs w:val="22"/>
        </w:rPr>
        <w:t>XI:1 those import restrictions on agricultural and fisheries products that are necessary to the enforcement of certain governmental measures which operate to remove a temporary surplus of certain domestic products.</w:t>
      </w:r>
      <w:r w:rsidRPr="007321E4">
        <w:t xml:space="preserve"> The Appellate Body has stated that the word "quantitative" in the title of Article XI "informs the interpretation of the words 'restriction' and 'prohibition' in Article XI:1 and XI:2", and accordingly, </w:t>
      </w:r>
      <w:r w:rsidRPr="007321E4">
        <w:rPr>
          <w:szCs w:val="22"/>
        </w:rPr>
        <w:t xml:space="preserve">this </w:t>
      </w:r>
      <w:r w:rsidR="001778B8" w:rsidRPr="007321E4">
        <w:rPr>
          <w:szCs w:val="22"/>
        </w:rPr>
        <w:t>provision</w:t>
      </w:r>
      <w:r w:rsidRPr="007321E4">
        <w:rPr>
          <w:szCs w:val="22"/>
        </w:rPr>
        <w:t xml:space="preserve"> "covers those prohibitions and restrictions that have a limiting effect on the quantity or amount of a product being imported or exported</w:t>
      </w:r>
      <w:r w:rsidRPr="007321E4">
        <w:t>".</w:t>
      </w:r>
      <w:r w:rsidRPr="007321E4">
        <w:rPr>
          <w:rStyle w:val="FootnoteReference"/>
        </w:rPr>
        <w:footnoteReference w:id="200"/>
      </w:r>
    </w:p>
    <w:p w:rsidR="004E2D50" w:rsidRPr="007321E4" w:rsidRDefault="004E2D50" w:rsidP="004E2D50">
      <w:pPr>
        <w:pStyle w:val="BodyText"/>
        <w:numPr>
          <w:ilvl w:val="6"/>
          <w:numId w:val="37"/>
        </w:numPr>
      </w:pPr>
      <w:r w:rsidRPr="007321E4">
        <w:lastRenderedPageBreak/>
        <w:t>As noted</w:t>
      </w:r>
      <w:r w:rsidR="001778B8" w:rsidRPr="007321E4">
        <w:t xml:space="preserve"> above</w:t>
      </w:r>
      <w:r w:rsidRPr="007321E4">
        <w:t>, Indonesia alleges that</w:t>
      </w:r>
      <w:r w:rsidR="00553DF5" w:rsidRPr="007321E4">
        <w:t>,</w:t>
      </w:r>
      <w:r w:rsidRPr="007321E4">
        <w:t xml:space="preserve"> because the term "quantitative import restrictions" in the first part of footnote 1 to Article 4.2 of the Agreement on Agriculture is not defined in that </w:t>
      </w:r>
      <w:r w:rsidR="001778B8" w:rsidRPr="007321E4">
        <w:t>A</w:t>
      </w:r>
      <w:r w:rsidRPr="007321E4">
        <w:t xml:space="preserve">greement, this term must be informed by </w:t>
      </w:r>
      <w:r w:rsidRPr="007321E4">
        <w:rPr>
          <w:i/>
        </w:rPr>
        <w:t>both</w:t>
      </w:r>
      <w:r w:rsidRPr="007321E4">
        <w:t xml:space="preserve"> Article XI</w:t>
      </w:r>
      <w:proofErr w:type="gramStart"/>
      <w:r w:rsidRPr="007321E4">
        <w:t>:1</w:t>
      </w:r>
      <w:proofErr w:type="gramEnd"/>
      <w:r w:rsidRPr="007321E4">
        <w:t xml:space="preserve"> and XI:2 of the GATT 1994</w:t>
      </w:r>
      <w:r w:rsidRPr="007321E4">
        <w:rPr>
          <w:rStyle w:val="FootnoteReference"/>
        </w:rPr>
        <w:footnoteReference w:id="201"/>
      </w:r>
      <w:r w:rsidRPr="007321E4">
        <w:t>, such that measures satisfying the conditions of Article XI:2(c), among others, are excluded from "quantitative import restrictions" in the first part of footnote 1.</w:t>
      </w:r>
      <w:r w:rsidRPr="007321E4">
        <w:rPr>
          <w:rStyle w:val="FootnoteReference"/>
        </w:rPr>
        <w:footnoteReference w:id="202"/>
      </w:r>
    </w:p>
    <w:p w:rsidR="004E2D50" w:rsidRPr="007321E4" w:rsidRDefault="004E2D50" w:rsidP="004E2D50">
      <w:pPr>
        <w:pStyle w:val="BodyText"/>
        <w:numPr>
          <w:ilvl w:val="6"/>
          <w:numId w:val="37"/>
        </w:numPr>
      </w:pPr>
      <w:r w:rsidRPr="007321E4">
        <w:t xml:space="preserve">As we have already stated in section </w:t>
      </w:r>
      <w:r w:rsidR="00031F1C" w:rsidRPr="007321E4">
        <w:fldChar w:fldCharType="begin"/>
      </w:r>
      <w:r w:rsidR="00031F1C" w:rsidRPr="007321E4">
        <w:instrText xml:space="preserve"> REF _Ref495593345 \r \h </w:instrText>
      </w:r>
      <w:r w:rsidR="00031F1C" w:rsidRPr="007321E4">
        <w:fldChar w:fldCharType="separate"/>
      </w:r>
      <w:r w:rsidR="00ED4414" w:rsidRPr="007321E4">
        <w:t>5.1</w:t>
      </w:r>
      <w:r w:rsidR="0048565D" w:rsidRPr="007321E4">
        <w:t>,</w:t>
      </w:r>
      <w:r w:rsidR="00ED4414" w:rsidRPr="007321E4">
        <w:t> </w:t>
      </w:r>
      <w:r w:rsidR="00031F1C" w:rsidRPr="007321E4">
        <w:fldChar w:fldCharType="end"/>
      </w:r>
      <w:r w:rsidRPr="007321E4">
        <w:t xml:space="preserve">Article 4.2 </w:t>
      </w:r>
      <w:r w:rsidR="001778B8" w:rsidRPr="007321E4">
        <w:t xml:space="preserve">of the Agreement on </w:t>
      </w:r>
      <w:r w:rsidR="00E66336" w:rsidRPr="007321E4">
        <w:t>Agriculture</w:t>
      </w:r>
      <w:r w:rsidR="001778B8" w:rsidRPr="007321E4">
        <w:t xml:space="preserve"> </w:t>
      </w:r>
      <w:r w:rsidRPr="007321E4">
        <w:t>and Article XI</w:t>
      </w:r>
      <w:proofErr w:type="gramStart"/>
      <w:r w:rsidRPr="007321E4">
        <w:t>:1</w:t>
      </w:r>
      <w:proofErr w:type="gramEnd"/>
      <w:r w:rsidRPr="007321E4">
        <w:t xml:space="preserve"> </w:t>
      </w:r>
      <w:r w:rsidR="00B9312E" w:rsidRPr="007321E4">
        <w:t xml:space="preserve">of the GATT 1994 </w:t>
      </w:r>
      <w:r w:rsidRPr="007321E4">
        <w:t xml:space="preserve">contain essentially the same prohibitions of </w:t>
      </w:r>
      <w:r w:rsidRPr="007321E4">
        <w:rPr>
          <w:i/>
        </w:rPr>
        <w:t>quantitative restrictions</w:t>
      </w:r>
      <w:r w:rsidRPr="007321E4">
        <w:t xml:space="preserve"> as far as the importation of agricultural products is concerned. We therefore agree that the term "quantitative import restrictions" in the first part of footnote 1 to Article 4.2 should be interpreted in light of the prohibition of quantitative restrictions under Article XI</w:t>
      </w:r>
      <w:proofErr w:type="gramStart"/>
      <w:r w:rsidRPr="007321E4">
        <w:t>:1</w:t>
      </w:r>
      <w:proofErr w:type="gramEnd"/>
      <w:r w:rsidRPr="007321E4">
        <w:t xml:space="preserve">. </w:t>
      </w:r>
    </w:p>
    <w:p w:rsidR="004E2D50" w:rsidRPr="007321E4" w:rsidRDefault="004E2D50" w:rsidP="004E2D50">
      <w:pPr>
        <w:pStyle w:val="BodyText"/>
        <w:numPr>
          <w:ilvl w:val="6"/>
          <w:numId w:val="37"/>
        </w:numPr>
      </w:pPr>
      <w:r w:rsidRPr="007321E4">
        <w:t>With respect to the relationship between Article 4.2</w:t>
      </w:r>
      <w:r w:rsidR="00B9312E" w:rsidRPr="007321E4">
        <w:t xml:space="preserve"> of the Agreement on Agriculture</w:t>
      </w:r>
      <w:r w:rsidRPr="007321E4">
        <w:t xml:space="preserve"> and Article XI</w:t>
      </w:r>
      <w:proofErr w:type="gramStart"/>
      <w:r w:rsidRPr="007321E4">
        <w:t>:2</w:t>
      </w:r>
      <w:proofErr w:type="gramEnd"/>
      <w:r w:rsidRPr="007321E4">
        <w:t>(c)</w:t>
      </w:r>
      <w:r w:rsidR="00B9312E" w:rsidRPr="007321E4">
        <w:t xml:space="preserve"> of the GATT 1994</w:t>
      </w:r>
      <w:r w:rsidRPr="007321E4">
        <w:t xml:space="preserve">, however, we observe that there is no express language in Article XI of the GATT 1994 </w:t>
      </w:r>
      <w:r w:rsidR="00B9312E" w:rsidRPr="007321E4">
        <w:t>that</w:t>
      </w:r>
      <w:r w:rsidRPr="007321E4">
        <w:t xml:space="preserve"> suggests that the derogations under Article XI:2(c) are relevant not only to the prohibition under Article XI:1 but also to the prohibition under Article 4.2. On the contrary, the opening clause of Article XI</w:t>
      </w:r>
      <w:proofErr w:type="gramStart"/>
      <w:r w:rsidRPr="007321E4">
        <w:t>:2</w:t>
      </w:r>
      <w:proofErr w:type="gramEnd"/>
      <w:r w:rsidRPr="007321E4">
        <w:t xml:space="preserve"> clearly states that the derogations set out in subparagraphs </w:t>
      </w:r>
      <w:r w:rsidR="00B9312E" w:rsidRPr="007321E4">
        <w:t>2</w:t>
      </w:r>
      <w:r w:rsidRPr="007321E4">
        <w:t xml:space="preserve">(a) to </w:t>
      </w:r>
      <w:r w:rsidR="00B9312E" w:rsidRPr="007321E4">
        <w:t>2</w:t>
      </w:r>
      <w:r w:rsidRPr="007321E4">
        <w:t xml:space="preserve">(c) concern "paragraph 1 of this Article". Article 4.2 and footnote 1 </w:t>
      </w:r>
      <w:r w:rsidR="002076F0" w:rsidRPr="007321E4">
        <w:t>thereto also</w:t>
      </w:r>
      <w:r w:rsidRPr="007321E4">
        <w:t xml:space="preserve"> do not expressly indicate whether the prohibition of "quantitative import restrictions" under this </w:t>
      </w:r>
      <w:r w:rsidR="00B9312E" w:rsidRPr="007321E4">
        <w:t>provision</w:t>
      </w:r>
      <w:r w:rsidRPr="007321E4">
        <w:t xml:space="preserve"> is subject to the derogations under Article</w:t>
      </w:r>
      <w:r w:rsidR="00553DF5" w:rsidRPr="007321E4">
        <w:t> </w:t>
      </w:r>
      <w:r w:rsidRPr="007321E4">
        <w:t>XI</w:t>
      </w:r>
      <w:proofErr w:type="gramStart"/>
      <w:r w:rsidRPr="007321E4">
        <w:t>:2</w:t>
      </w:r>
      <w:proofErr w:type="gramEnd"/>
      <w:r w:rsidRPr="007321E4">
        <w:t xml:space="preserve">(c). In particular, the second part of footnote 1 provides that "measures" prohibited under Article 4.2 do not include measures maintained under "balance-of-payments provisions or under other general, non-agriculture-specific provisions of GATT 1994 or of the other </w:t>
      </w:r>
      <w:r w:rsidR="00B9312E" w:rsidRPr="007321E4">
        <w:t xml:space="preserve">Multilateral Trade Agreements in </w:t>
      </w:r>
      <w:r w:rsidRPr="007321E4">
        <w:t xml:space="preserve">Annex 1A </w:t>
      </w:r>
      <w:r w:rsidR="00BF55AB" w:rsidRPr="007321E4">
        <w:t>to the WTO </w:t>
      </w:r>
      <w:r w:rsidR="00B9312E" w:rsidRPr="007321E4">
        <w:t>A</w:t>
      </w:r>
      <w:r w:rsidRPr="007321E4">
        <w:t>greement</w:t>
      </w:r>
      <w:r w:rsidR="00B9312E" w:rsidRPr="007321E4">
        <w:t>"</w:t>
      </w:r>
      <w:r w:rsidRPr="007321E4">
        <w:t>. Article XI</w:t>
      </w:r>
      <w:proofErr w:type="gramStart"/>
      <w:r w:rsidRPr="007321E4">
        <w:t>:2</w:t>
      </w:r>
      <w:proofErr w:type="gramEnd"/>
      <w:r w:rsidRPr="007321E4">
        <w:t>(c) is clearly not a "balance-of-payments provision</w:t>
      </w:r>
      <w:r w:rsidR="00B9312E" w:rsidRPr="007321E4">
        <w:t>[]</w:t>
      </w:r>
      <w:r w:rsidR="00EC59AA" w:rsidRPr="007321E4">
        <w:t>"</w:t>
      </w:r>
      <w:r w:rsidRPr="007321E4">
        <w:t>.</w:t>
      </w:r>
      <w:r w:rsidRPr="007321E4">
        <w:rPr>
          <w:rStyle w:val="FootnoteReference"/>
        </w:rPr>
        <w:footnoteReference w:id="203"/>
      </w:r>
      <w:r w:rsidR="00BF55AB" w:rsidRPr="007321E4">
        <w:t xml:space="preserve"> Article </w:t>
      </w:r>
      <w:r w:rsidRPr="007321E4">
        <w:t>XI</w:t>
      </w:r>
      <w:proofErr w:type="gramStart"/>
      <w:r w:rsidRPr="007321E4">
        <w:t>:2</w:t>
      </w:r>
      <w:proofErr w:type="gramEnd"/>
      <w:r w:rsidRPr="007321E4">
        <w:t>(c) also does not qualify as a "general, non-agriculture-specific provision</w:t>
      </w:r>
      <w:r w:rsidR="00B9312E" w:rsidRPr="007321E4">
        <w:t>[]</w:t>
      </w:r>
      <w:r w:rsidR="00EC59AA" w:rsidRPr="007321E4">
        <w:t>"</w:t>
      </w:r>
      <w:r w:rsidRPr="007321E4">
        <w:t xml:space="preserve"> because it is "agriculture-specific" in the sense that its application is limited to "</w:t>
      </w:r>
      <w:r w:rsidRPr="007321E4">
        <w:rPr>
          <w:i/>
        </w:rPr>
        <w:t>agricultural</w:t>
      </w:r>
      <w:r w:rsidRPr="007321E4">
        <w:t xml:space="preserve"> or fisheries product" in express terms.</w:t>
      </w:r>
      <w:r w:rsidRPr="007321E4">
        <w:rPr>
          <w:rStyle w:val="FootnoteReference"/>
        </w:rPr>
        <w:footnoteReference w:id="204"/>
      </w:r>
      <w:r w:rsidRPr="007321E4">
        <w:t xml:space="preserve"> As such, there is no basis in the text of Article 4.2 or footnote 1 to conclude that measures maintained under Article XI</w:t>
      </w:r>
      <w:proofErr w:type="gramStart"/>
      <w:r w:rsidRPr="007321E4">
        <w:t>:2</w:t>
      </w:r>
      <w:proofErr w:type="gramEnd"/>
      <w:r w:rsidRPr="007321E4">
        <w:t xml:space="preserve">(c) fall outside the prohibition of "quantitative import restrictions" under this </w:t>
      </w:r>
      <w:r w:rsidR="00B9312E" w:rsidRPr="007321E4">
        <w:t>provision</w:t>
      </w:r>
      <w:r w:rsidRPr="007321E4">
        <w:t xml:space="preserve">. Indeed, if the drafters of </w:t>
      </w:r>
      <w:r w:rsidR="00B9312E" w:rsidRPr="007321E4">
        <w:t>the Agreement on Agriculture</w:t>
      </w:r>
      <w:r w:rsidRPr="007321E4">
        <w:t xml:space="preserve"> had intended to exempt from the prohibition of marke</w:t>
      </w:r>
      <w:r w:rsidR="00BF55AB" w:rsidRPr="007321E4">
        <w:t>t access barriers under Article </w:t>
      </w:r>
      <w:r w:rsidRPr="007321E4">
        <w:t>4.2 measures maintained under Article XI</w:t>
      </w:r>
      <w:proofErr w:type="gramStart"/>
      <w:r w:rsidRPr="007321E4">
        <w:t>:2</w:t>
      </w:r>
      <w:proofErr w:type="gramEnd"/>
      <w:r w:rsidRPr="007321E4">
        <w:t>(c)</w:t>
      </w:r>
      <w:r w:rsidR="00B9312E" w:rsidRPr="007321E4">
        <w:t xml:space="preserve"> of the GATT 1994</w:t>
      </w:r>
      <w:r w:rsidRPr="007321E4">
        <w:t>, they could have done so</w:t>
      </w:r>
      <w:r w:rsidR="00B9312E" w:rsidRPr="007321E4">
        <w:t xml:space="preserve"> by</w:t>
      </w:r>
      <w:r w:rsidRPr="007321E4">
        <w:t xml:space="preserve">, for example, adding </w:t>
      </w:r>
      <w:r w:rsidR="00553DF5" w:rsidRPr="007321E4">
        <w:t xml:space="preserve">a </w:t>
      </w:r>
      <w:r w:rsidRPr="007321E4">
        <w:t>reference to Article XI:2(c) in, or omitting the phrase "general, non-agriculture-specific" from, the second part of footnote 1.</w:t>
      </w:r>
    </w:p>
    <w:p w:rsidR="004E2D50" w:rsidRPr="007321E4" w:rsidRDefault="004E2D50" w:rsidP="004E2D50">
      <w:pPr>
        <w:pStyle w:val="BodyText"/>
        <w:numPr>
          <w:ilvl w:val="6"/>
          <w:numId w:val="37"/>
        </w:numPr>
      </w:pPr>
      <w:r w:rsidRPr="007321E4">
        <w:t>Furthermore, while Article XI</w:t>
      </w:r>
      <w:proofErr w:type="gramStart"/>
      <w:r w:rsidRPr="007321E4">
        <w:t>:2</w:t>
      </w:r>
      <w:proofErr w:type="gramEnd"/>
      <w:r w:rsidRPr="007321E4">
        <w:t xml:space="preserve"> of the GATT 1994 provides that "[t]he provisions of paragraph 1 of this Article shall not extend to" the kinds of "[i]</w:t>
      </w:r>
      <w:proofErr w:type="spellStart"/>
      <w:r w:rsidRPr="007321E4">
        <w:t>mport</w:t>
      </w:r>
      <w:proofErr w:type="spellEnd"/>
      <w:r w:rsidRPr="007321E4">
        <w:t xml:space="preserve"> restrictions" mentioned in subparagraph </w:t>
      </w:r>
      <w:r w:rsidR="00B9312E" w:rsidRPr="007321E4">
        <w:t>2</w:t>
      </w:r>
      <w:r w:rsidRPr="007321E4">
        <w:t>(c), these "[i]</w:t>
      </w:r>
      <w:proofErr w:type="spellStart"/>
      <w:r w:rsidRPr="007321E4">
        <w:t>mport</w:t>
      </w:r>
      <w:proofErr w:type="spellEnd"/>
      <w:r w:rsidRPr="007321E4">
        <w:t xml:space="preserve"> restrictions" are not disqualified from being </w:t>
      </w:r>
      <w:r w:rsidRPr="007321E4">
        <w:rPr>
          <w:i/>
        </w:rPr>
        <w:t>quantitative restrictions</w:t>
      </w:r>
      <w:r w:rsidRPr="007321E4">
        <w:t>. As noted</w:t>
      </w:r>
      <w:r w:rsidR="00B9312E" w:rsidRPr="007321E4">
        <w:t xml:space="preserve"> above</w:t>
      </w:r>
      <w:r w:rsidRPr="007321E4">
        <w:t xml:space="preserve">, the Appellate Body has explained that </w:t>
      </w:r>
      <w:r w:rsidRPr="007321E4">
        <w:rPr>
          <w:szCs w:val="22"/>
        </w:rPr>
        <w:t xml:space="preserve">the word "quantitative" in the title of Article XI of the GATT 1994 informs the interpretation of the words "prohibitions" and "restrictions" in both Article XI:1 and </w:t>
      </w:r>
      <w:r w:rsidR="00BC7481" w:rsidRPr="007321E4">
        <w:rPr>
          <w:szCs w:val="22"/>
        </w:rPr>
        <w:t xml:space="preserve">Article </w:t>
      </w:r>
      <w:r w:rsidRPr="007321E4">
        <w:rPr>
          <w:szCs w:val="22"/>
        </w:rPr>
        <w:t>XI:2</w:t>
      </w:r>
      <w:r w:rsidRPr="007321E4">
        <w:t>.</w:t>
      </w:r>
      <w:r w:rsidRPr="007321E4">
        <w:rPr>
          <w:rStyle w:val="FootnoteReference"/>
        </w:rPr>
        <w:footnoteReference w:id="205"/>
      </w:r>
      <w:r w:rsidRPr="007321E4">
        <w:t xml:space="preserve"> In this light, </w:t>
      </w:r>
      <w:r w:rsidRPr="007321E4">
        <w:rPr>
          <w:szCs w:val="18"/>
        </w:rPr>
        <w:t>the reference to "[i]</w:t>
      </w:r>
      <w:proofErr w:type="spellStart"/>
      <w:r w:rsidRPr="007321E4">
        <w:rPr>
          <w:szCs w:val="18"/>
        </w:rPr>
        <w:t>mport</w:t>
      </w:r>
      <w:proofErr w:type="spellEnd"/>
      <w:r w:rsidRPr="007321E4">
        <w:rPr>
          <w:szCs w:val="18"/>
        </w:rPr>
        <w:t xml:space="preserve"> restrictions" in Article XI:2(c) is clearly a reference to a certain specified class of measures that fall within </w:t>
      </w:r>
      <w:r w:rsidRPr="007321E4">
        <w:rPr>
          <w:i/>
          <w:szCs w:val="18"/>
        </w:rPr>
        <w:t>quantitative (import) restrictions</w:t>
      </w:r>
      <w:r w:rsidRPr="007321E4">
        <w:rPr>
          <w:szCs w:val="18"/>
        </w:rPr>
        <w:t xml:space="preserve">, but are exempted from the </w:t>
      </w:r>
      <w:r w:rsidRPr="007321E4">
        <w:rPr>
          <w:i/>
          <w:szCs w:val="18"/>
        </w:rPr>
        <w:t>prohibition</w:t>
      </w:r>
      <w:r w:rsidRPr="007321E4">
        <w:rPr>
          <w:szCs w:val="18"/>
        </w:rPr>
        <w:t xml:space="preserve"> under Article XI:1 because they are necessary to the enforcement of certain governmental measures. While it is the function of Article XI</w:t>
      </w:r>
      <w:proofErr w:type="gramStart"/>
      <w:r w:rsidRPr="007321E4">
        <w:rPr>
          <w:szCs w:val="18"/>
        </w:rPr>
        <w:t>:2</w:t>
      </w:r>
      <w:proofErr w:type="gramEnd"/>
      <w:r w:rsidRPr="007321E4">
        <w:rPr>
          <w:szCs w:val="18"/>
        </w:rPr>
        <w:t xml:space="preserve">(c) to carve out certain quantitative restrictions from the </w:t>
      </w:r>
      <w:r w:rsidRPr="007321E4">
        <w:rPr>
          <w:i/>
        </w:rPr>
        <w:t>prohibition</w:t>
      </w:r>
      <w:r w:rsidRPr="007321E4">
        <w:rPr>
          <w:szCs w:val="18"/>
        </w:rPr>
        <w:t xml:space="preserve"> contained in Article XI:1, this does not change the fact that they are quantitative restrictions. This confirms</w:t>
      </w:r>
      <w:r w:rsidRPr="007321E4">
        <w:t xml:space="preserve"> the interpretation that the term "quantitative import restrictions" in footnote 1 to Article 4.2 of the Agreement on Agriculture is broad enough to encompass </w:t>
      </w:r>
      <w:r w:rsidRPr="007321E4">
        <w:rPr>
          <w:i/>
        </w:rPr>
        <w:t>both</w:t>
      </w:r>
      <w:r w:rsidRPr="007321E4">
        <w:t xml:space="preserve"> quantitative (import) restrictions falling under Article XI:1 </w:t>
      </w:r>
      <w:r w:rsidRPr="007321E4">
        <w:rPr>
          <w:i/>
        </w:rPr>
        <w:t>and</w:t>
      </w:r>
      <w:r w:rsidRPr="007321E4">
        <w:t xml:space="preserve"> "[i]</w:t>
      </w:r>
      <w:proofErr w:type="spellStart"/>
      <w:r w:rsidRPr="007321E4">
        <w:t>mport</w:t>
      </w:r>
      <w:proofErr w:type="spellEnd"/>
      <w:r w:rsidRPr="007321E4">
        <w:t xml:space="preserve"> restrictions" referred to in Article XI:2(c)</w:t>
      </w:r>
      <w:r w:rsidR="00BC7481" w:rsidRPr="007321E4">
        <w:t xml:space="preserve"> of the GATT 1994</w:t>
      </w:r>
      <w:r w:rsidRPr="007321E4">
        <w:t>.</w:t>
      </w:r>
    </w:p>
    <w:p w:rsidR="004E2D50" w:rsidRPr="007321E4" w:rsidRDefault="004E2D50" w:rsidP="004E2D50">
      <w:pPr>
        <w:pStyle w:val="BodyText"/>
        <w:numPr>
          <w:ilvl w:val="6"/>
          <w:numId w:val="37"/>
        </w:numPr>
      </w:pPr>
      <w:r w:rsidRPr="007321E4">
        <w:lastRenderedPageBreak/>
        <w:t>Lastly, we note that Indonesia's interpretation of footnote 1 to Article 4.2 of the Agreement on Agriculture and Article XI</w:t>
      </w:r>
      <w:proofErr w:type="gramStart"/>
      <w:r w:rsidRPr="007321E4">
        <w:t>:2</w:t>
      </w:r>
      <w:proofErr w:type="gramEnd"/>
      <w:r w:rsidRPr="007321E4">
        <w:t xml:space="preserve">(c) of the GATT 1994 relies on the distinction between a </w:t>
      </w:r>
      <w:r w:rsidRPr="007321E4">
        <w:rPr>
          <w:i/>
        </w:rPr>
        <w:t>limitation of scope</w:t>
      </w:r>
      <w:r w:rsidRPr="007321E4">
        <w:t xml:space="preserve"> and an </w:t>
      </w:r>
      <w:r w:rsidRPr="007321E4">
        <w:rPr>
          <w:i/>
        </w:rPr>
        <w:t>exception</w:t>
      </w:r>
      <w:r w:rsidRPr="007321E4">
        <w:t xml:space="preserve">. For example, Indonesia asserts that the "common feature" of measures falling within the second part of footnote 1 is that they are </w:t>
      </w:r>
      <w:r w:rsidRPr="007321E4">
        <w:rPr>
          <w:i/>
        </w:rPr>
        <w:t>inconsistent</w:t>
      </w:r>
      <w:r w:rsidRPr="007321E4">
        <w:t xml:space="preserve"> with GATT obligations but justified under GATT </w:t>
      </w:r>
      <w:r w:rsidRPr="007321E4">
        <w:rPr>
          <w:i/>
        </w:rPr>
        <w:t>exceptions</w:t>
      </w:r>
      <w:r w:rsidRPr="007321E4">
        <w:t>, such as Articles XII, XVIII, XIX</w:t>
      </w:r>
      <w:r w:rsidR="00BC7481" w:rsidRPr="007321E4">
        <w:t>,</w:t>
      </w:r>
      <w:r w:rsidRPr="007321E4">
        <w:t xml:space="preserve"> and XX of the GATT 1994.</w:t>
      </w:r>
      <w:r w:rsidRPr="007321E4">
        <w:rPr>
          <w:rStyle w:val="FootnoteReference"/>
        </w:rPr>
        <w:footnoteReference w:id="206"/>
      </w:r>
      <w:r w:rsidRPr="007321E4">
        <w:t xml:space="preserve"> According to Indonesia, because Article XI:2(c) is a "scope" provision and not an "exception", whether or not this provision detracts from the obligation under Article 4.2 is not a question under the </w:t>
      </w:r>
      <w:r w:rsidRPr="007321E4">
        <w:rPr>
          <w:i/>
        </w:rPr>
        <w:t>second</w:t>
      </w:r>
      <w:r w:rsidRPr="007321E4">
        <w:t xml:space="preserve"> part of footnote 1, but rather a question that concerns the interpretation of the </w:t>
      </w:r>
      <w:r w:rsidRPr="007321E4">
        <w:rPr>
          <w:i/>
        </w:rPr>
        <w:t>first</w:t>
      </w:r>
      <w:r w:rsidRPr="007321E4">
        <w:t> part of footnote 1.</w:t>
      </w:r>
      <w:r w:rsidRPr="007321E4">
        <w:rPr>
          <w:rStyle w:val="FootnoteReference"/>
        </w:rPr>
        <w:footnoteReference w:id="207"/>
      </w:r>
      <w:r w:rsidRPr="007321E4">
        <w:t xml:space="preserve"> Indonesia also appears to consider that the fact that Article XI:2(c) concerns the "scope" of the prohibition of </w:t>
      </w:r>
      <w:r w:rsidRPr="007321E4">
        <w:rPr>
          <w:i/>
        </w:rPr>
        <w:t>quantitative restrictions</w:t>
      </w:r>
      <w:r w:rsidRPr="007321E4">
        <w:t xml:space="preserve"> under Article XI:1 should inform the definition of "quantitative import restrictions" in the first part of footnote 1 to Article 4.2.</w:t>
      </w:r>
      <w:r w:rsidRPr="007321E4">
        <w:rPr>
          <w:rStyle w:val="FootnoteReference"/>
        </w:rPr>
        <w:footnoteReference w:id="208"/>
      </w:r>
    </w:p>
    <w:p w:rsidR="004E2D50" w:rsidRPr="007321E4" w:rsidRDefault="004E2D50" w:rsidP="004E2D50">
      <w:pPr>
        <w:pStyle w:val="BodyText"/>
        <w:numPr>
          <w:ilvl w:val="6"/>
          <w:numId w:val="37"/>
        </w:numPr>
      </w:pPr>
      <w:r w:rsidRPr="007321E4">
        <w:t xml:space="preserve">We disagree that the distinction between a </w:t>
      </w:r>
      <w:r w:rsidRPr="007321E4">
        <w:rPr>
          <w:i/>
        </w:rPr>
        <w:t>limitation of scope</w:t>
      </w:r>
      <w:r w:rsidRPr="007321E4">
        <w:t xml:space="preserve"> and </w:t>
      </w:r>
      <w:r w:rsidR="00BC7481" w:rsidRPr="007321E4">
        <w:t xml:space="preserve">an </w:t>
      </w:r>
      <w:r w:rsidRPr="007321E4">
        <w:rPr>
          <w:i/>
        </w:rPr>
        <w:t>exception</w:t>
      </w:r>
      <w:r w:rsidRPr="007321E4">
        <w:t xml:space="preserve"> is dispositive of the issue before us. As we have already explained, while Article XI</w:t>
      </w:r>
      <w:proofErr w:type="gramStart"/>
      <w:r w:rsidRPr="007321E4">
        <w:t>:2</w:t>
      </w:r>
      <w:proofErr w:type="gramEnd"/>
      <w:r w:rsidRPr="007321E4">
        <w:t xml:space="preserve">(c) of the GATT 1994 limits the scope of the </w:t>
      </w:r>
      <w:r w:rsidRPr="007321E4">
        <w:rPr>
          <w:i/>
        </w:rPr>
        <w:t>obligation</w:t>
      </w:r>
      <w:r w:rsidRPr="007321E4">
        <w:t xml:space="preserve"> under Article XI:1 of the GATT 1994, this </w:t>
      </w:r>
      <w:r w:rsidR="00BC7481" w:rsidRPr="007321E4">
        <w:t>provision</w:t>
      </w:r>
      <w:r w:rsidRPr="007321E4">
        <w:t xml:space="preserve"> does not define the scope of the </w:t>
      </w:r>
      <w:r w:rsidRPr="007321E4">
        <w:rPr>
          <w:i/>
        </w:rPr>
        <w:t>notion</w:t>
      </w:r>
      <w:r w:rsidRPr="007321E4">
        <w:t xml:space="preserve"> of quantitative restrictions itself, because the term "[i]</w:t>
      </w:r>
      <w:proofErr w:type="spellStart"/>
      <w:r w:rsidRPr="007321E4">
        <w:t>mport</w:t>
      </w:r>
      <w:proofErr w:type="spellEnd"/>
      <w:r w:rsidRPr="007321E4">
        <w:t xml:space="preserve"> restrictions" in Article XI:2(c), read in light of the word "quantitative" in the title of Article XI, is a reference to a certain class of </w:t>
      </w:r>
      <w:r w:rsidRPr="007321E4">
        <w:rPr>
          <w:i/>
        </w:rPr>
        <w:t>quantitative (import) restrictions</w:t>
      </w:r>
      <w:r w:rsidRPr="007321E4">
        <w:t xml:space="preserve">. This confirms the interpretation that the term "quantitative import restrictions" in the first part of footnote 1 </w:t>
      </w:r>
      <w:r w:rsidR="00553DF5" w:rsidRPr="007321E4">
        <w:t xml:space="preserve">to Article 4.2 </w:t>
      </w:r>
      <w:r w:rsidR="00BC7481" w:rsidRPr="007321E4">
        <w:t xml:space="preserve">of the Agreement on Agriculture </w:t>
      </w:r>
      <w:r w:rsidRPr="007321E4">
        <w:t xml:space="preserve">covers the kinds of </w:t>
      </w:r>
      <w:r w:rsidR="00BF55AB" w:rsidRPr="007321E4">
        <w:t>measures referred to in Article </w:t>
      </w:r>
      <w:r w:rsidRPr="007321E4">
        <w:t>XI</w:t>
      </w:r>
      <w:proofErr w:type="gramStart"/>
      <w:r w:rsidRPr="007321E4">
        <w:t>:2</w:t>
      </w:r>
      <w:proofErr w:type="gramEnd"/>
      <w:r w:rsidRPr="007321E4">
        <w:t>(c). In addition, regardless of how we characterize Article XI</w:t>
      </w:r>
      <w:proofErr w:type="gramStart"/>
      <w:r w:rsidRPr="007321E4">
        <w:t>:2</w:t>
      </w:r>
      <w:proofErr w:type="gramEnd"/>
      <w:r w:rsidRPr="007321E4">
        <w:t>(c), nothing in the text of Article XI suggests that Article XI:2(c) limits not only the scope of the obligation under "paragr</w:t>
      </w:r>
      <w:r w:rsidR="00BF55AB" w:rsidRPr="007321E4">
        <w:t>aph </w:t>
      </w:r>
      <w:r w:rsidRPr="007321E4">
        <w:t xml:space="preserve">1 of this Article" but also the scope of the obligation under Article 4.2. Nor does the text of Article 4.2 or footnote 1 suggest that the prohibition of quantitative import restrictions under this </w:t>
      </w:r>
      <w:r w:rsidR="00BC7481" w:rsidRPr="007321E4">
        <w:t>provision</w:t>
      </w:r>
      <w:r w:rsidRPr="007321E4">
        <w:t xml:space="preserve"> is subject to the carve-outs set out in Article XI</w:t>
      </w:r>
      <w:proofErr w:type="gramStart"/>
      <w:r w:rsidRPr="007321E4">
        <w:t>:2</w:t>
      </w:r>
      <w:proofErr w:type="gramEnd"/>
      <w:r w:rsidRPr="007321E4">
        <w:t>(c). On the contrary, the second part of footnote 1 clearly indicates that</w:t>
      </w:r>
      <w:r w:rsidR="00BC7481" w:rsidRPr="007321E4">
        <w:t>,</w:t>
      </w:r>
      <w:r w:rsidRPr="007321E4">
        <w:t xml:space="preserve"> while measures maintained under "general, non-agriculture-specific </w:t>
      </w:r>
      <w:r w:rsidRPr="007321E4">
        <w:rPr>
          <w:i/>
        </w:rPr>
        <w:t>provisions</w:t>
      </w:r>
      <w:r w:rsidRPr="007321E4">
        <w:t>"</w:t>
      </w:r>
      <w:r w:rsidRPr="007321E4">
        <w:rPr>
          <w:rStyle w:val="FootnoteReference"/>
        </w:rPr>
        <w:footnoteReference w:id="209"/>
      </w:r>
      <w:r w:rsidRPr="007321E4">
        <w:t xml:space="preserve"> of the GATT 1994, such as Article XX, are excluded from the obligation under Article 4.2, measures maintained under agriculture-specific "provisions" of the GATT 1994, including Article XI:2(c), do not qualify for such derogations. This conclusion is not dependent on whether Article XI:2(c) is a limitation of scope of, or an exception from, the obligation under Article XI:1, as the second part of footnote 1 uses the word "provisions" and does not distinguish between a "limitation of scope" and an "exception". </w:t>
      </w:r>
    </w:p>
    <w:p w:rsidR="004E2D50" w:rsidRPr="007321E4" w:rsidRDefault="004E2D50" w:rsidP="004E2D50">
      <w:pPr>
        <w:pStyle w:val="BodyText"/>
        <w:numPr>
          <w:ilvl w:val="6"/>
          <w:numId w:val="37"/>
        </w:numPr>
      </w:pPr>
      <w:r w:rsidRPr="007321E4">
        <w:t xml:space="preserve">In light of the foregoing, we disagree with Indonesia that </w:t>
      </w:r>
      <w:r w:rsidR="00D2787B" w:rsidRPr="007321E4">
        <w:t xml:space="preserve">agricultural </w:t>
      </w:r>
      <w:r w:rsidRPr="007321E4">
        <w:t>me</w:t>
      </w:r>
      <w:r w:rsidR="007913AF" w:rsidRPr="007321E4">
        <w:t>asures maintained under Article </w:t>
      </w:r>
      <w:r w:rsidRPr="007321E4">
        <w:t xml:space="preserve">XI:2(c) of the GATT 1994 are not "quantitative import restrictions" within the meaning of the first part of footnote 1 to Article 4.2 of the Agreement on Agriculture. We therefore </w:t>
      </w:r>
      <w:r w:rsidRPr="007321E4">
        <w:rPr>
          <w:u w:val="single"/>
        </w:rPr>
        <w:t>find</w:t>
      </w:r>
      <w:r w:rsidRPr="007321E4">
        <w:t xml:space="preserve"> that the prohibition of "quantitative import restrictions" under Article 4.2 extends to the kinds of quantitative import restrictions carved out from the prohibition under Article XI</w:t>
      </w:r>
      <w:proofErr w:type="gramStart"/>
      <w:r w:rsidRPr="007321E4">
        <w:t>:1</w:t>
      </w:r>
      <w:proofErr w:type="gramEnd"/>
      <w:r w:rsidR="00BF55AB" w:rsidRPr="007321E4">
        <w:t xml:space="preserve"> of the GATT </w:t>
      </w:r>
      <w:r w:rsidR="00BC7481" w:rsidRPr="007321E4">
        <w:t>1994</w:t>
      </w:r>
      <w:r w:rsidRPr="007321E4">
        <w:t xml:space="preserve"> by virtue of Article XI:2(c). As a consequence, Members cannot maintain quantitative import restrictions on agricultural products that satisfy the requirements of Article XI</w:t>
      </w:r>
      <w:proofErr w:type="gramStart"/>
      <w:r w:rsidRPr="007321E4">
        <w:t>:2</w:t>
      </w:r>
      <w:proofErr w:type="gramEnd"/>
      <w:r w:rsidRPr="007321E4">
        <w:t>(c) of the GATT 1994 without violating Article 4.2 of the Agreement on Agriculture. This is because the prohibition of "quantitative import restrictions" under Article 4.2 does not allow for the kind of derogations recognized under "agriculture-specific" provisions such</w:t>
      </w:r>
      <w:r w:rsidR="00BF55AB" w:rsidRPr="007321E4">
        <w:t xml:space="preserve"> as Article XI</w:t>
      </w:r>
      <w:proofErr w:type="gramStart"/>
      <w:r w:rsidR="00BF55AB" w:rsidRPr="007321E4">
        <w:t>:2</w:t>
      </w:r>
      <w:proofErr w:type="gramEnd"/>
      <w:r w:rsidR="00BF55AB" w:rsidRPr="007321E4">
        <w:t>(c) of the GATT </w:t>
      </w:r>
      <w:r w:rsidRPr="007321E4">
        <w:t xml:space="preserve">1994. </w:t>
      </w:r>
    </w:p>
    <w:p w:rsidR="004E2D50" w:rsidRPr="007321E4" w:rsidRDefault="004E2D50" w:rsidP="004E2D50">
      <w:pPr>
        <w:pStyle w:val="BodyText"/>
        <w:numPr>
          <w:ilvl w:val="6"/>
          <w:numId w:val="37"/>
        </w:numPr>
      </w:pPr>
      <w:r w:rsidRPr="007321E4">
        <w:t xml:space="preserve">We recall in this regard that Article 21.1 of the Agreement on Agriculture provides that the provisions of </w:t>
      </w:r>
      <w:r w:rsidR="00553DF5" w:rsidRPr="007321E4">
        <w:t xml:space="preserve">the </w:t>
      </w:r>
      <w:r w:rsidRPr="007321E4">
        <w:t xml:space="preserve">GATT 1994 "shall apply subject to" the provisions of that </w:t>
      </w:r>
      <w:r w:rsidR="00BC7481" w:rsidRPr="007321E4">
        <w:t>A</w:t>
      </w:r>
      <w:r w:rsidRPr="007321E4">
        <w:t>greement. The Appellate Body has stated that</w:t>
      </w:r>
      <w:r w:rsidRPr="007321E4">
        <w:rPr>
          <w:lang w:eastAsia="zh-CN"/>
        </w:rPr>
        <w:t xml:space="preserve"> "Members explicitly recognized that there may be conflicts between the Agreement on Agriculture and the GATT 1994, and explicitly provided, through Article 21, that the Agreement on Agriculture would prevail to the extent of such conflicts."</w:t>
      </w:r>
      <w:r w:rsidRPr="007321E4">
        <w:rPr>
          <w:rStyle w:val="FootnoteReference"/>
        </w:rPr>
        <w:footnoteReference w:id="210"/>
      </w:r>
      <w:r w:rsidRPr="007321E4">
        <w:rPr>
          <w:lang w:eastAsia="zh-CN"/>
        </w:rPr>
        <w:t xml:space="preserve"> </w:t>
      </w:r>
      <w:r w:rsidRPr="007321E4">
        <w:t xml:space="preserve">There </w:t>
      </w:r>
      <w:r w:rsidRPr="007321E4">
        <w:rPr>
          <w:i/>
        </w:rPr>
        <w:t>is</w:t>
      </w:r>
      <w:r w:rsidRPr="007321E4">
        <w:t xml:space="preserve"> a conflict</w:t>
      </w:r>
      <w:r w:rsidRPr="007321E4">
        <w:rPr>
          <w:rStyle w:val="FootnoteReference"/>
          <w:lang w:eastAsia="zh-CN"/>
        </w:rPr>
        <w:footnoteReference w:id="211"/>
      </w:r>
      <w:r w:rsidRPr="007321E4">
        <w:t xml:space="preserve"> between Article XI</w:t>
      </w:r>
      <w:proofErr w:type="gramStart"/>
      <w:r w:rsidRPr="007321E4">
        <w:t>:2</w:t>
      </w:r>
      <w:proofErr w:type="gramEnd"/>
      <w:r w:rsidRPr="007321E4">
        <w:t>(c) and Article</w:t>
      </w:r>
      <w:r w:rsidR="000F032D" w:rsidRPr="007321E4">
        <w:t> </w:t>
      </w:r>
      <w:r w:rsidRPr="007321E4">
        <w:t xml:space="preserve">4.2 because quantitative import restrictions on agricultural products that fall within the permission under the former provision cannot be maintained without violating the latter provision. </w:t>
      </w:r>
      <w:r w:rsidRPr="007321E4">
        <w:rPr>
          <w:lang w:eastAsia="zh-CN"/>
        </w:rPr>
        <w:t>Therefore, in accordance with Article</w:t>
      </w:r>
      <w:r w:rsidR="00275234" w:rsidRPr="007321E4">
        <w:rPr>
          <w:lang w:eastAsia="zh-CN"/>
        </w:rPr>
        <w:t xml:space="preserve"> </w:t>
      </w:r>
      <w:r w:rsidRPr="007321E4">
        <w:rPr>
          <w:lang w:eastAsia="zh-CN"/>
        </w:rPr>
        <w:t xml:space="preserve">21.1 of the </w:t>
      </w:r>
      <w:r w:rsidRPr="007321E4">
        <w:rPr>
          <w:lang w:eastAsia="zh-CN"/>
        </w:rPr>
        <w:lastRenderedPageBreak/>
        <w:t>Agreement</w:t>
      </w:r>
      <w:r w:rsidR="00B44E6E" w:rsidRPr="007321E4">
        <w:rPr>
          <w:lang w:eastAsia="zh-CN"/>
        </w:rPr>
        <w:t> </w:t>
      </w:r>
      <w:r w:rsidRPr="007321E4">
        <w:rPr>
          <w:lang w:eastAsia="zh-CN"/>
        </w:rPr>
        <w:t>on</w:t>
      </w:r>
      <w:r w:rsidR="00B44E6E" w:rsidRPr="007321E4">
        <w:rPr>
          <w:lang w:eastAsia="zh-CN"/>
        </w:rPr>
        <w:t> </w:t>
      </w:r>
      <w:r w:rsidRPr="007321E4">
        <w:rPr>
          <w:lang w:eastAsia="zh-CN"/>
        </w:rPr>
        <w:t>Agriculture, Article XI</w:t>
      </w:r>
      <w:proofErr w:type="gramStart"/>
      <w:r w:rsidRPr="007321E4">
        <w:rPr>
          <w:lang w:eastAsia="zh-CN"/>
        </w:rPr>
        <w:t>:2</w:t>
      </w:r>
      <w:proofErr w:type="gramEnd"/>
      <w:r w:rsidRPr="007321E4">
        <w:rPr>
          <w:lang w:eastAsia="zh-CN"/>
        </w:rPr>
        <w:t xml:space="preserve">(c) cannot be applied to justify or exempt measures that fall </w:t>
      </w:r>
      <w:r w:rsidR="00553DF5" w:rsidRPr="007321E4">
        <w:rPr>
          <w:lang w:eastAsia="zh-CN"/>
        </w:rPr>
        <w:t>within</w:t>
      </w:r>
      <w:r w:rsidRPr="007321E4">
        <w:rPr>
          <w:lang w:eastAsia="zh-CN"/>
        </w:rPr>
        <w:t xml:space="preserve"> the prohibition of quantitative import restriction under Article 4.2. </w:t>
      </w:r>
    </w:p>
    <w:p w:rsidR="004E2D50" w:rsidRPr="007321E4" w:rsidRDefault="004E2D50" w:rsidP="004E2D50">
      <w:pPr>
        <w:pStyle w:val="BodyText"/>
        <w:numPr>
          <w:ilvl w:val="6"/>
          <w:numId w:val="37"/>
        </w:numPr>
      </w:pPr>
      <w:r w:rsidRPr="007321E4">
        <w:rPr>
          <w:lang w:eastAsia="zh-CN"/>
        </w:rPr>
        <w:t>T</w:t>
      </w:r>
      <w:r w:rsidRPr="007321E4">
        <w:t>he Panel further stated that</w:t>
      </w:r>
      <w:r w:rsidR="00BC7481" w:rsidRPr="007321E4">
        <w:t>,</w:t>
      </w:r>
      <w:r w:rsidRPr="007321E4">
        <w:t xml:space="preserve"> by virtue of Article 21.1 of the Agreement on Agriculture, "Indonesia cannot rely upon Article XI</w:t>
      </w:r>
      <w:proofErr w:type="gramStart"/>
      <w:r w:rsidRPr="007321E4">
        <w:t>:2</w:t>
      </w:r>
      <w:proofErr w:type="gramEnd"/>
      <w:r w:rsidRPr="007321E4">
        <w:t xml:space="preserve">(c)(ii) of the GATT 1994 to exclude Measures 4, 7 and 16 from </w:t>
      </w:r>
      <w:r w:rsidRPr="007321E4">
        <w:rPr>
          <w:i/>
        </w:rPr>
        <w:t>the scope of</w:t>
      </w:r>
      <w:r w:rsidRPr="007321E4">
        <w:t xml:space="preserve"> </w:t>
      </w:r>
      <w:r w:rsidRPr="007321E4">
        <w:rPr>
          <w:i/>
        </w:rPr>
        <w:t>Article XI:1 of the GATT 1994</w:t>
      </w:r>
      <w:r w:rsidRPr="007321E4">
        <w:t xml:space="preserve"> because, with respect to </w:t>
      </w:r>
      <w:r w:rsidR="00E66336" w:rsidRPr="007321E4">
        <w:t>agricultural</w:t>
      </w:r>
      <w:r w:rsidR="00BC7481" w:rsidRPr="007321E4">
        <w:t xml:space="preserve"> </w:t>
      </w:r>
      <w:r w:rsidRPr="007321E4">
        <w:t xml:space="preserve">measures, Article XI:2(c) has been rendered </w:t>
      </w:r>
      <w:r w:rsidRPr="007321E4">
        <w:rPr>
          <w:i/>
        </w:rPr>
        <w:t>inoperative</w:t>
      </w:r>
      <w:r w:rsidRPr="007321E4">
        <w:t xml:space="preserve"> by Article 4.2 of the Agreement on Agriculture."</w:t>
      </w:r>
      <w:r w:rsidRPr="007321E4">
        <w:rPr>
          <w:rStyle w:val="FootnoteReference"/>
        </w:rPr>
        <w:footnoteReference w:id="212"/>
      </w:r>
      <w:r w:rsidRPr="007321E4">
        <w:t xml:space="preserve"> By referring to "the scope of Article XI</w:t>
      </w:r>
      <w:proofErr w:type="gramStart"/>
      <w:r w:rsidRPr="007321E4">
        <w:t>:1</w:t>
      </w:r>
      <w:proofErr w:type="gramEnd"/>
      <w:r w:rsidRPr="007321E4">
        <w:t xml:space="preserve"> of the GATT 1994", the Panel apparently considered that Indonesia cannot rely on Article XI:2(c) not only with respect to the co-complainants' claims under Article 4.2 of the Agreement on Agriculture, but also with respect to the</w:t>
      </w:r>
      <w:r w:rsidR="00BC7481" w:rsidRPr="007321E4">
        <w:t>ir</w:t>
      </w:r>
      <w:r w:rsidRPr="007321E4">
        <w:t xml:space="preserve"> claims under Article XI:1 of the GATT 1994.</w:t>
      </w:r>
    </w:p>
    <w:p w:rsidR="004E2D50" w:rsidRPr="007321E4" w:rsidRDefault="004E2D50" w:rsidP="004E2D50">
      <w:pPr>
        <w:pStyle w:val="BodyText"/>
        <w:numPr>
          <w:ilvl w:val="6"/>
          <w:numId w:val="37"/>
        </w:numPr>
      </w:pPr>
      <w:r w:rsidRPr="007321E4">
        <w:t>We note that Indonesia has not demonstrated that Measures 4, 7, and 16 satisfy all the elements of Article XI</w:t>
      </w:r>
      <w:proofErr w:type="gramStart"/>
      <w:r w:rsidRPr="007321E4">
        <w:t>:2</w:t>
      </w:r>
      <w:proofErr w:type="gramEnd"/>
      <w:r w:rsidRPr="007321E4">
        <w:t>(c)(ii) of the GATT 1994</w:t>
      </w:r>
      <w:r w:rsidRPr="007321E4">
        <w:rPr>
          <w:rStyle w:val="FootnoteReference"/>
        </w:rPr>
        <w:footnoteReference w:id="213"/>
      </w:r>
      <w:r w:rsidRPr="007321E4">
        <w:t xml:space="preserve">, and thus the Panel's findings of inconsistency of these measures with Article XI:1 of the GATT 1994 remain undisturbed. We also recall that </w:t>
      </w:r>
      <w:r w:rsidRPr="007321E4">
        <w:rPr>
          <w:lang w:eastAsia="zh-CN"/>
        </w:rPr>
        <w:t xml:space="preserve">Article XI:1 </w:t>
      </w:r>
      <w:r w:rsidR="007126AA" w:rsidRPr="007321E4">
        <w:rPr>
          <w:lang w:eastAsia="zh-CN"/>
        </w:rPr>
        <w:t xml:space="preserve">of the GATT 1994 </w:t>
      </w:r>
      <w:r w:rsidRPr="007321E4">
        <w:rPr>
          <w:lang w:eastAsia="zh-CN"/>
        </w:rPr>
        <w:t xml:space="preserve">and Article 4.2 </w:t>
      </w:r>
      <w:r w:rsidR="007126AA" w:rsidRPr="007321E4">
        <w:rPr>
          <w:lang w:eastAsia="zh-CN"/>
        </w:rPr>
        <w:t xml:space="preserve">of the Agreement on Agriculture </w:t>
      </w:r>
      <w:r w:rsidRPr="007321E4">
        <w:rPr>
          <w:lang w:eastAsia="zh-CN"/>
        </w:rPr>
        <w:t>contain essentially the same substantive obligations as far as the elimination of quantitative import restrictions on agricultural products is concerned. As such, the Panel's findings that Measure</w:t>
      </w:r>
      <w:r w:rsidR="00E86DA3" w:rsidRPr="007321E4">
        <w:rPr>
          <w:lang w:eastAsia="zh-CN"/>
        </w:rPr>
        <w:t>s</w:t>
      </w:r>
      <w:r w:rsidRPr="007321E4">
        <w:rPr>
          <w:lang w:eastAsia="zh-CN"/>
        </w:rPr>
        <w:t xml:space="preserve"> 4, 7, and 16 are </w:t>
      </w:r>
      <w:r w:rsidRPr="007321E4">
        <w:rPr>
          <w:i/>
          <w:lang w:eastAsia="zh-CN"/>
        </w:rPr>
        <w:t>quantitative restrictions</w:t>
      </w:r>
      <w:r w:rsidRPr="007321E4">
        <w:rPr>
          <w:lang w:eastAsia="zh-CN"/>
        </w:rPr>
        <w:t xml:space="preserve"> on the importation of agricultural products inconsistent with Article XI:1 would, without requiring much more, lead to the conclusion that these measures also fall within the prohibition of quantitative import restrictions under Article 4.2 and the first part of footnote 1 thereto.</w:t>
      </w:r>
      <w:r w:rsidRPr="007321E4">
        <w:rPr>
          <w:rStyle w:val="FootnoteReference"/>
          <w:lang w:eastAsia="zh-CN"/>
        </w:rPr>
        <w:footnoteReference w:id="214"/>
      </w:r>
      <w:r w:rsidRPr="007321E4">
        <w:rPr>
          <w:lang w:eastAsia="zh-CN"/>
        </w:rPr>
        <w:t xml:space="preserve"> Accordingly, and </w:t>
      </w:r>
      <w:r w:rsidRPr="007321E4">
        <w:t xml:space="preserve">because </w:t>
      </w:r>
      <w:r w:rsidRPr="007321E4">
        <w:rPr>
          <w:lang w:eastAsia="zh-CN"/>
        </w:rPr>
        <w:t xml:space="preserve">Article XI:2(c) cannot be invoked to justify or exempt measures falling within the prohibition of Article 4.2, </w:t>
      </w:r>
      <w:r w:rsidRPr="007321E4">
        <w:t>Indonesia cannot maintain, resort to, or revert to Measures 4, 7, or 16</w:t>
      </w:r>
      <w:r w:rsidRPr="007321E4">
        <w:rPr>
          <w:lang w:eastAsia="zh-CN"/>
        </w:rPr>
        <w:t xml:space="preserve"> regardless of whether Article XI:2(c) is being invoked by Indonesia in relation to Article XI:1 or Article 4.2. </w:t>
      </w:r>
    </w:p>
    <w:p w:rsidR="004E2D50" w:rsidRPr="007321E4" w:rsidRDefault="004E2D50" w:rsidP="004E2D50">
      <w:pPr>
        <w:pStyle w:val="BodyText"/>
        <w:numPr>
          <w:ilvl w:val="6"/>
          <w:numId w:val="37"/>
        </w:numPr>
      </w:pPr>
      <w:r w:rsidRPr="007321E4">
        <w:t>We further note that</w:t>
      </w:r>
      <w:r w:rsidR="00EC59AA" w:rsidRPr="007321E4">
        <w:t>,</w:t>
      </w:r>
      <w:r w:rsidRPr="007321E4">
        <w:t xml:space="preserve"> while Article 21.1 of the Agreement on Agriculture governs the relationship between Article 4.2 </w:t>
      </w:r>
      <w:r w:rsidR="007126AA" w:rsidRPr="007321E4">
        <w:rPr>
          <w:lang w:eastAsia="zh-CN"/>
        </w:rPr>
        <w:t xml:space="preserve">of the Agreement on Agriculture </w:t>
      </w:r>
      <w:r w:rsidRPr="007321E4">
        <w:t>and Article XI:2(c)</w:t>
      </w:r>
      <w:r w:rsidR="007126AA" w:rsidRPr="007321E4">
        <w:t xml:space="preserve"> </w:t>
      </w:r>
      <w:r w:rsidR="007126AA" w:rsidRPr="007321E4">
        <w:rPr>
          <w:lang w:eastAsia="zh-CN"/>
        </w:rPr>
        <w:t>of the GATT 1994</w:t>
      </w:r>
      <w:r w:rsidRPr="007321E4">
        <w:t xml:space="preserve">, it does not necessarily follow that Article 21.1 affects the </w:t>
      </w:r>
      <w:r w:rsidRPr="007321E4">
        <w:rPr>
          <w:i/>
        </w:rPr>
        <w:t>internal</w:t>
      </w:r>
      <w:r w:rsidRPr="007321E4">
        <w:t xml:space="preserve"> relationship between Article XI:1 and XI:2(c) of the GATT 1994, in the sense that Article 21.1 precludes Members from relying on Article XI:2(c) not only </w:t>
      </w:r>
      <w:r w:rsidRPr="007321E4">
        <w:rPr>
          <w:i/>
        </w:rPr>
        <w:t>vis-à-vis</w:t>
      </w:r>
      <w:r w:rsidRPr="007321E4">
        <w:t xml:space="preserve"> claims under Article 4.2 but also </w:t>
      </w:r>
      <w:r w:rsidRPr="007321E4">
        <w:rPr>
          <w:i/>
        </w:rPr>
        <w:t>vis-à-vis</w:t>
      </w:r>
      <w:r w:rsidRPr="007321E4">
        <w:t xml:space="preserve"> claims under Article XI:1 of the GATT 1994. In any event, </w:t>
      </w:r>
      <w:r w:rsidRPr="007321E4">
        <w:rPr>
          <w:lang w:eastAsia="zh-CN"/>
        </w:rPr>
        <w:t>our finding that Indonesia cannot rely on Article</w:t>
      </w:r>
      <w:r w:rsidR="00A17260" w:rsidRPr="007321E4">
        <w:rPr>
          <w:lang w:eastAsia="zh-CN"/>
        </w:rPr>
        <w:t> </w:t>
      </w:r>
      <w:r w:rsidRPr="007321E4">
        <w:rPr>
          <w:lang w:eastAsia="zh-CN"/>
        </w:rPr>
        <w:t>XI:2(c) to justify or exempt its measures with respect to the prohibition of quantitative import restrictions under Article 4.2 would provide sufficient guidance for the purpose of resolving the present dispute, including in relation to the implementation by Indonesia of the recommendations and rulings by the DSB.</w:t>
      </w:r>
    </w:p>
    <w:p w:rsidR="004E2D50" w:rsidRPr="007321E4" w:rsidRDefault="004E2D50" w:rsidP="004E2D50">
      <w:pPr>
        <w:pStyle w:val="Heading3"/>
        <w:numPr>
          <w:ilvl w:val="2"/>
          <w:numId w:val="37"/>
        </w:numPr>
      </w:pPr>
      <w:bookmarkStart w:id="132" w:name="_Toc496267427"/>
      <w:bookmarkStart w:id="133" w:name="_Toc497915401"/>
      <w:r w:rsidRPr="007321E4">
        <w:t>Conclusions</w:t>
      </w:r>
      <w:bookmarkEnd w:id="132"/>
      <w:bookmarkEnd w:id="133"/>
    </w:p>
    <w:p w:rsidR="004E2D50" w:rsidRPr="007321E4" w:rsidRDefault="004E2D50" w:rsidP="004E2D50">
      <w:pPr>
        <w:pStyle w:val="BodyText"/>
        <w:numPr>
          <w:ilvl w:val="6"/>
          <w:numId w:val="37"/>
        </w:numPr>
      </w:pPr>
      <w:r w:rsidRPr="007321E4">
        <w:rPr>
          <w:lang w:eastAsia="zh-CN"/>
        </w:rPr>
        <w:t xml:space="preserve">For the reasons stated above, we disagree with </w:t>
      </w:r>
      <w:r w:rsidRPr="007321E4">
        <w:t xml:space="preserve">Indonesia that </w:t>
      </w:r>
      <w:r w:rsidR="00A0096B" w:rsidRPr="007321E4">
        <w:t xml:space="preserve">agricultural </w:t>
      </w:r>
      <w:r w:rsidRPr="007321E4">
        <w:t xml:space="preserve">measures maintained under Article XI:2(c) of the GATT 1994 are not "quantitative import restrictions" within the meaning of the first part of footnote 1 to Article 4.2 of the Agreement on Agriculture. We therefore </w:t>
      </w:r>
      <w:r w:rsidRPr="007321E4">
        <w:rPr>
          <w:u w:val="single"/>
        </w:rPr>
        <w:t>find</w:t>
      </w:r>
      <w:r w:rsidRPr="007321E4">
        <w:t xml:space="preserve"> that the prohibition of "quantitative import restrictions" under Article 4.2 extends to measures satisfying the requirements of Article XI</w:t>
      </w:r>
      <w:proofErr w:type="gramStart"/>
      <w:r w:rsidRPr="007321E4">
        <w:t>:2</w:t>
      </w:r>
      <w:proofErr w:type="gramEnd"/>
      <w:r w:rsidRPr="007321E4">
        <w:t xml:space="preserve">(c). We further </w:t>
      </w:r>
      <w:r w:rsidRPr="007321E4">
        <w:rPr>
          <w:u w:val="single"/>
        </w:rPr>
        <w:t>find</w:t>
      </w:r>
      <w:r w:rsidRPr="007321E4">
        <w:t xml:space="preserve"> that</w:t>
      </w:r>
      <w:r w:rsidR="007126AA" w:rsidRPr="007321E4">
        <w:t>,</w:t>
      </w:r>
      <w:r w:rsidRPr="007321E4">
        <w:t xml:space="preserve"> by virtue of Article</w:t>
      </w:r>
      <w:r w:rsidR="00DE2375" w:rsidRPr="007321E4">
        <w:t> </w:t>
      </w:r>
      <w:r w:rsidRPr="007321E4">
        <w:t>21.1 of the Agreement on Agriculture, Article XI</w:t>
      </w:r>
      <w:proofErr w:type="gramStart"/>
      <w:r w:rsidRPr="007321E4">
        <w:t>:2</w:t>
      </w:r>
      <w:proofErr w:type="gramEnd"/>
      <w:r w:rsidRPr="007321E4">
        <w:t xml:space="preserve">(c) </w:t>
      </w:r>
      <w:r w:rsidR="007126AA" w:rsidRPr="007321E4">
        <w:rPr>
          <w:lang w:eastAsia="zh-CN"/>
        </w:rPr>
        <w:t xml:space="preserve">of the GATT 1994 </w:t>
      </w:r>
      <w:r w:rsidRPr="007321E4">
        <w:t>cannot be relied upon to justify or exempt quantitative import restrictions that are inconsistent with Article 4.2 of the Agreement on Agriculture. In addition, t</w:t>
      </w:r>
      <w:r w:rsidRPr="007321E4">
        <w:rPr>
          <w:lang w:eastAsia="zh-CN"/>
        </w:rPr>
        <w:t xml:space="preserve">he Panel's findings that Measures 4, 7, and 16 are </w:t>
      </w:r>
      <w:r w:rsidRPr="007321E4">
        <w:rPr>
          <w:i/>
          <w:lang w:eastAsia="zh-CN"/>
        </w:rPr>
        <w:lastRenderedPageBreak/>
        <w:t>quantitative restrictions</w:t>
      </w:r>
      <w:r w:rsidRPr="007321E4">
        <w:rPr>
          <w:lang w:eastAsia="zh-CN"/>
        </w:rPr>
        <w:t xml:space="preserve"> on the importation of agricultural products inconsistent with Article XI</w:t>
      </w:r>
      <w:proofErr w:type="gramStart"/>
      <w:r w:rsidRPr="007321E4">
        <w:rPr>
          <w:lang w:eastAsia="zh-CN"/>
        </w:rPr>
        <w:t>:1</w:t>
      </w:r>
      <w:proofErr w:type="gramEnd"/>
      <w:r w:rsidRPr="007321E4">
        <w:rPr>
          <w:lang w:eastAsia="zh-CN"/>
        </w:rPr>
        <w:t xml:space="preserve"> of the GATT 1994 would lead to the conclusion that these measures also fall within the prohibition of quantitative import restrictions under Article 4.2. This conclusion does not chang</w:t>
      </w:r>
      <w:r w:rsidR="007913AF" w:rsidRPr="007321E4">
        <w:rPr>
          <w:lang w:eastAsia="zh-CN"/>
        </w:rPr>
        <w:t>e regardless of whether Article </w:t>
      </w:r>
      <w:r w:rsidRPr="007321E4">
        <w:rPr>
          <w:lang w:eastAsia="zh-CN"/>
        </w:rPr>
        <w:t>XI</w:t>
      </w:r>
      <w:proofErr w:type="gramStart"/>
      <w:r w:rsidRPr="007321E4">
        <w:rPr>
          <w:lang w:eastAsia="zh-CN"/>
        </w:rPr>
        <w:t>:2</w:t>
      </w:r>
      <w:proofErr w:type="gramEnd"/>
      <w:r w:rsidRPr="007321E4">
        <w:rPr>
          <w:lang w:eastAsia="zh-CN"/>
        </w:rPr>
        <w:t xml:space="preserve">(c) is being invoked by Indonesia in relation to Article XI:1 or Article 4.2. </w:t>
      </w:r>
    </w:p>
    <w:p w:rsidR="004E2D50" w:rsidRPr="007321E4" w:rsidRDefault="004E2D50" w:rsidP="004E2D50">
      <w:pPr>
        <w:pStyle w:val="BodyText"/>
        <w:numPr>
          <w:ilvl w:val="6"/>
          <w:numId w:val="37"/>
        </w:numPr>
      </w:pPr>
      <w:r w:rsidRPr="007321E4">
        <w:t xml:space="preserve">Accordingly, we </w:t>
      </w:r>
      <w:r w:rsidRPr="007321E4">
        <w:rPr>
          <w:u w:val="single"/>
        </w:rPr>
        <w:t>uphold</w:t>
      </w:r>
      <w:r w:rsidRPr="007321E4">
        <w:t xml:space="preserve"> the </w:t>
      </w:r>
      <w:r w:rsidR="007126AA" w:rsidRPr="007321E4">
        <w:t xml:space="preserve">Panel's </w:t>
      </w:r>
      <w:r w:rsidRPr="007321E4">
        <w:t>finding</w:t>
      </w:r>
      <w:r w:rsidR="007126AA" w:rsidRPr="007321E4">
        <w:t>,</w:t>
      </w:r>
      <w:r w:rsidRPr="007321E4">
        <w:t xml:space="preserve"> in paragraph 7.60 of the Panel Report</w:t>
      </w:r>
      <w:r w:rsidR="007126AA" w:rsidRPr="007321E4">
        <w:t>,</w:t>
      </w:r>
      <w:r w:rsidRPr="007321E4">
        <w:t xml:space="preserve"> to the extent that it states that, by virtue of Article 21.1 of the Agreement on Agriculture, Article XI</w:t>
      </w:r>
      <w:proofErr w:type="gramStart"/>
      <w:r w:rsidRPr="007321E4">
        <w:t>:2</w:t>
      </w:r>
      <w:proofErr w:type="gramEnd"/>
      <w:r w:rsidRPr="007321E4">
        <w:t>(c) of the GATT 1994 cannot be relied upon to justify or exempt measures falling within the prohibition of quantitative import restrictions under Article 4.2 of the Agreement on Agriculture.</w:t>
      </w:r>
      <w:r w:rsidRPr="007321E4" w:rsidDel="00610098">
        <w:rPr>
          <w:u w:val="single"/>
        </w:rPr>
        <w:t xml:space="preserve"> </w:t>
      </w:r>
    </w:p>
    <w:p w:rsidR="004E2D50" w:rsidRPr="007321E4" w:rsidRDefault="004E2D50" w:rsidP="004E2D50">
      <w:pPr>
        <w:pStyle w:val="Heading2"/>
        <w:numPr>
          <w:ilvl w:val="1"/>
          <w:numId w:val="37"/>
        </w:numPr>
      </w:pPr>
      <w:bookmarkStart w:id="134" w:name="_Toc496267428"/>
      <w:bookmarkStart w:id="135" w:name="_Toc497915402"/>
      <w:r w:rsidRPr="007321E4">
        <w:t>Indonesia's claim under Article XX of the GATT 1994</w:t>
      </w:r>
      <w:bookmarkEnd w:id="134"/>
      <w:bookmarkEnd w:id="135"/>
    </w:p>
    <w:p w:rsidR="004E2D50" w:rsidRPr="007321E4" w:rsidRDefault="004E2D50" w:rsidP="004E2D50">
      <w:pPr>
        <w:pStyle w:val="BodyText"/>
        <w:numPr>
          <w:ilvl w:val="6"/>
          <w:numId w:val="37"/>
        </w:numPr>
      </w:pPr>
      <w:r w:rsidRPr="007321E4">
        <w:t xml:space="preserve">We now turn to Indonesia's claim on appeal that the Panel erred in finding that Indonesia </w:t>
      </w:r>
      <w:r w:rsidR="007126AA" w:rsidRPr="007321E4">
        <w:t xml:space="preserve">had </w:t>
      </w:r>
      <w:r w:rsidRPr="007321E4">
        <w:t>failed to demonstrate that Measures 9 through 17 are justified under Article XX of the GATT</w:t>
      </w:r>
      <w:r w:rsidR="00A17260" w:rsidRPr="007321E4">
        <w:t> </w:t>
      </w:r>
      <w:r w:rsidRPr="007321E4">
        <w:t xml:space="preserve">1994. Indonesia takes issue with the fact that the Panel assessed whether Measures 9 through 17 met the requirements of the </w:t>
      </w:r>
      <w:r w:rsidRPr="007321E4">
        <w:rPr>
          <w:i/>
        </w:rPr>
        <w:t>chapeau</w:t>
      </w:r>
      <w:r w:rsidRPr="007321E4">
        <w:t xml:space="preserve"> of Article XX, without first examining whether these measures were provisionally justified under the applicable paragraphs of Article XX. According to Indonesia, in so doing, the Panel failed to follow the well-established sequence of analysis under Article XX for determining whether measures are justified.</w:t>
      </w:r>
      <w:r w:rsidRPr="007321E4">
        <w:rPr>
          <w:vertAlign w:val="superscript"/>
        </w:rPr>
        <w:footnoteReference w:id="215"/>
      </w:r>
      <w:r w:rsidRPr="007321E4">
        <w:t xml:space="preserve"> On this basis, Indonesia requests us to reverse the Panel's conclusions in paragraphs 7.824, 7.826, 7.827, and 7.829 of the Panel Report</w:t>
      </w:r>
      <w:r w:rsidR="007126AA" w:rsidRPr="007321E4">
        <w:t>,</w:t>
      </w:r>
      <w:r w:rsidRPr="007321E4">
        <w:t xml:space="preserve"> as well as the Panel's findings in paragraphs 7.830 and 8.1.c</w:t>
      </w:r>
      <w:r w:rsidRPr="007321E4">
        <w:rPr>
          <w:vertAlign w:val="superscript"/>
        </w:rPr>
        <w:footnoteReference w:id="216"/>
      </w:r>
      <w:r w:rsidRPr="007321E4">
        <w:t>, insofar as these conclusions and findings pertain to Measures 9 through 17.</w:t>
      </w:r>
      <w:r w:rsidRPr="007321E4">
        <w:rPr>
          <w:rStyle w:val="FootnoteReference"/>
        </w:rPr>
        <w:footnoteReference w:id="217"/>
      </w:r>
      <w:r w:rsidRPr="007321E4">
        <w:t xml:space="preserve"> Should we reverse these findings by the Panel, as Indonesia requests us to do, Indonesia submits that there are "insufficient factual findings on the record" in respect of Measures 9 through 17 for us to complete the legal analysis under Article XX.</w:t>
      </w:r>
      <w:r w:rsidRPr="007321E4">
        <w:rPr>
          <w:vertAlign w:val="superscript"/>
        </w:rPr>
        <w:footnoteReference w:id="218"/>
      </w:r>
      <w:r w:rsidRPr="007321E4">
        <w:t xml:space="preserve"> </w:t>
      </w:r>
    </w:p>
    <w:p w:rsidR="004E2D50" w:rsidRPr="007321E4" w:rsidRDefault="004E2D50" w:rsidP="004E2D50">
      <w:pPr>
        <w:pStyle w:val="BodyText"/>
        <w:numPr>
          <w:ilvl w:val="6"/>
          <w:numId w:val="37"/>
        </w:numPr>
      </w:pPr>
      <w:r w:rsidRPr="007321E4">
        <w:t xml:space="preserve">We first set out briefly the Panel's conclusions and findings under Article XX of the GATT 1994, prior to addressing the order of analysis under that provision. </w:t>
      </w:r>
    </w:p>
    <w:p w:rsidR="004E2D50" w:rsidRPr="007321E4" w:rsidRDefault="007126AA" w:rsidP="002351B5">
      <w:pPr>
        <w:pStyle w:val="Heading3"/>
        <w:numPr>
          <w:ilvl w:val="2"/>
          <w:numId w:val="14"/>
        </w:numPr>
      </w:pPr>
      <w:bookmarkStart w:id="136" w:name="_Toc496267429"/>
      <w:bookmarkStart w:id="137" w:name="_Toc497915403"/>
      <w:r w:rsidRPr="007321E4">
        <w:t xml:space="preserve">The </w:t>
      </w:r>
      <w:r w:rsidR="004E2D50" w:rsidRPr="007321E4">
        <w:t>Panel's conclusions and findings</w:t>
      </w:r>
      <w:bookmarkEnd w:id="136"/>
      <w:bookmarkEnd w:id="137"/>
    </w:p>
    <w:p w:rsidR="004E2D50" w:rsidRPr="007321E4" w:rsidRDefault="004E2D50" w:rsidP="004E2D50">
      <w:pPr>
        <w:pStyle w:val="BodyText"/>
        <w:numPr>
          <w:ilvl w:val="6"/>
          <w:numId w:val="37"/>
        </w:numPr>
      </w:pPr>
      <w:r w:rsidRPr="007321E4">
        <w:t>Before the Panel, Indonesia raised a number of defences under Article XX(a), (b)</w:t>
      </w:r>
      <w:r w:rsidR="007126AA" w:rsidRPr="007321E4">
        <w:t>,</w:t>
      </w:r>
      <w:r w:rsidRPr="007321E4">
        <w:t xml:space="preserve"> and (d) of the GATT 1994 in respect of Measures 1 through 17, which the Panel decided to address in turn, starting with Measure 1.</w:t>
      </w:r>
      <w:r w:rsidRPr="007321E4">
        <w:rPr>
          <w:rStyle w:val="FootnoteReference"/>
        </w:rPr>
        <w:footnoteReference w:id="219"/>
      </w:r>
      <w:r w:rsidRPr="007321E4">
        <w:t xml:space="preserve"> In assessing these defences, the Panel recalled that "the assessment of a claim of justification under Article XX involves a two-tiered analysis in which a measure must (i) be provisionally justified </w:t>
      </w:r>
      <w:proofErr w:type="gramStart"/>
      <w:r w:rsidRPr="007321E4">
        <w:t>under</w:t>
      </w:r>
      <w:proofErr w:type="gramEnd"/>
      <w:r w:rsidRPr="007321E4">
        <w:t xml:space="preserve"> one of the subparagraphs of Article XX … and then (ii) analysed under the </w:t>
      </w:r>
      <w:r w:rsidRPr="007321E4">
        <w:rPr>
          <w:i/>
        </w:rPr>
        <w:t>chapeau</w:t>
      </w:r>
      <w:r w:rsidRPr="007321E4">
        <w:t xml:space="preserve"> of Article XX."</w:t>
      </w:r>
      <w:r w:rsidRPr="007321E4">
        <w:rPr>
          <w:rStyle w:val="FootnoteReference"/>
          <w:szCs w:val="18"/>
        </w:rPr>
        <w:footnoteReference w:id="220"/>
      </w:r>
      <w:r w:rsidRPr="007321E4">
        <w:t xml:space="preserve"> Addressing Measures 1 through 7 in turn, the Panel found that Indonesia </w:t>
      </w:r>
      <w:r w:rsidR="0064135C" w:rsidRPr="007321E4">
        <w:t xml:space="preserve">had </w:t>
      </w:r>
      <w:r w:rsidRPr="007321E4">
        <w:t xml:space="preserve">failed to demonstrate that any of these measures </w:t>
      </w:r>
      <w:r w:rsidR="0064135C" w:rsidRPr="007321E4">
        <w:t>are</w:t>
      </w:r>
      <w:r w:rsidRPr="007321E4">
        <w:t xml:space="preserve"> </w:t>
      </w:r>
      <w:r w:rsidRPr="007321E4">
        <w:rPr>
          <w:i/>
        </w:rPr>
        <w:t>provisionally</w:t>
      </w:r>
      <w:r w:rsidRPr="007321E4">
        <w:t xml:space="preserve"> justified under Article </w:t>
      </w:r>
      <w:proofErr w:type="gramStart"/>
      <w:r w:rsidRPr="007321E4">
        <w:t>XX(</w:t>
      </w:r>
      <w:proofErr w:type="gramEnd"/>
      <w:r w:rsidRPr="007321E4">
        <w:t>a), (b)</w:t>
      </w:r>
      <w:r w:rsidR="0064135C" w:rsidRPr="007321E4">
        <w:t>,</w:t>
      </w:r>
      <w:r w:rsidRPr="007321E4">
        <w:t xml:space="preserve"> or (d). Having reached these findings, the Panel refrained from analysing these measures under the </w:t>
      </w:r>
      <w:r w:rsidRPr="007321E4">
        <w:rPr>
          <w:i/>
        </w:rPr>
        <w:t xml:space="preserve">chapeau </w:t>
      </w:r>
      <w:r w:rsidRPr="007321E4">
        <w:t xml:space="preserve">of Article XX, and found that Indonesia </w:t>
      </w:r>
      <w:r w:rsidR="0064135C" w:rsidRPr="007321E4">
        <w:t xml:space="preserve">had </w:t>
      </w:r>
      <w:r w:rsidRPr="007321E4">
        <w:t xml:space="preserve">failed to demonstrate that any of these measures </w:t>
      </w:r>
      <w:r w:rsidR="0064135C" w:rsidRPr="007321E4">
        <w:t>are</w:t>
      </w:r>
      <w:r w:rsidRPr="007321E4">
        <w:t xml:space="preserve"> justified under Article </w:t>
      </w:r>
      <w:proofErr w:type="gramStart"/>
      <w:r w:rsidRPr="007321E4">
        <w:t>XX(</w:t>
      </w:r>
      <w:proofErr w:type="gramEnd"/>
      <w:r w:rsidRPr="007321E4">
        <w:t>a), (b)</w:t>
      </w:r>
      <w:r w:rsidR="0064135C" w:rsidRPr="007321E4">
        <w:t>,</w:t>
      </w:r>
      <w:r w:rsidRPr="007321E4">
        <w:t xml:space="preserve"> or (d).</w:t>
      </w:r>
      <w:r w:rsidRPr="007321E4">
        <w:rPr>
          <w:rStyle w:val="FootnoteReference"/>
        </w:rPr>
        <w:footnoteReference w:id="221"/>
      </w:r>
      <w:r w:rsidRPr="007321E4">
        <w:t xml:space="preserve"> </w:t>
      </w:r>
    </w:p>
    <w:p w:rsidR="004E2D50" w:rsidRPr="007321E4" w:rsidRDefault="004E2D50" w:rsidP="004E2D50">
      <w:pPr>
        <w:pStyle w:val="BodyText"/>
        <w:numPr>
          <w:ilvl w:val="6"/>
          <w:numId w:val="37"/>
        </w:numPr>
      </w:pPr>
      <w:r w:rsidRPr="007321E4">
        <w:t xml:space="preserve">Turning to Measure 8, the Panel equally found that Indonesia </w:t>
      </w:r>
      <w:r w:rsidR="00A17260" w:rsidRPr="007321E4">
        <w:t xml:space="preserve">had </w:t>
      </w:r>
      <w:r w:rsidRPr="007321E4">
        <w:t>failed to demonstrate that this measure is provisionally justified under Article </w:t>
      </w:r>
      <w:proofErr w:type="gramStart"/>
      <w:r w:rsidRPr="007321E4">
        <w:t>XX(</w:t>
      </w:r>
      <w:proofErr w:type="gramEnd"/>
      <w:r w:rsidRPr="007321E4">
        <w:t xml:space="preserve">b), but considered that this particular finding </w:t>
      </w:r>
      <w:r w:rsidR="0064135C" w:rsidRPr="007321E4">
        <w:t>could</w:t>
      </w:r>
      <w:r w:rsidR="001D11E3" w:rsidRPr="007321E4">
        <w:t xml:space="preserve"> </w:t>
      </w:r>
      <w:r w:rsidRPr="007321E4">
        <w:t>be appealed.</w:t>
      </w:r>
      <w:r w:rsidR="001D11E3" w:rsidRPr="007321E4">
        <w:rPr>
          <w:rStyle w:val="FootnoteReference"/>
        </w:rPr>
        <w:footnoteReference w:id="222"/>
      </w:r>
      <w:r w:rsidRPr="007321E4">
        <w:t xml:space="preserve"> The Panel observed that, if that were the case, "the Appellate Body [would] need sufficient facts on the record to address any argument under the </w:t>
      </w:r>
      <w:r w:rsidRPr="007321E4">
        <w:rPr>
          <w:i/>
        </w:rPr>
        <w:t>chapeau</w:t>
      </w:r>
      <w:r w:rsidRPr="007321E4">
        <w:t xml:space="preserve"> of </w:t>
      </w:r>
      <w:r w:rsidRPr="007321E4">
        <w:lastRenderedPageBreak/>
        <w:t>Article XX".</w:t>
      </w:r>
      <w:r w:rsidRPr="007321E4">
        <w:rPr>
          <w:rStyle w:val="FootnoteReference"/>
        </w:rPr>
        <w:footnoteReference w:id="223"/>
      </w:r>
      <w:r w:rsidRPr="007321E4">
        <w:t xml:space="preserve"> The Panel therefore decided to "assume </w:t>
      </w:r>
      <w:r w:rsidRPr="007321E4">
        <w:rPr>
          <w:i/>
        </w:rPr>
        <w:t>arguendo</w:t>
      </w:r>
      <w:r w:rsidRPr="007321E4">
        <w:t xml:space="preserve">" that Measure 8 is provisionally justified and to "examine whether Measure 8 is applied in a manner consistent with the </w:t>
      </w:r>
      <w:r w:rsidRPr="007321E4">
        <w:rPr>
          <w:i/>
        </w:rPr>
        <w:t>chapeau</w:t>
      </w:r>
      <w:r w:rsidRPr="007321E4">
        <w:t xml:space="preserve"> of Article XX."</w:t>
      </w:r>
      <w:r w:rsidRPr="007321E4">
        <w:rPr>
          <w:rStyle w:val="FootnoteReference"/>
        </w:rPr>
        <w:footnoteReference w:id="224"/>
      </w:r>
      <w:r w:rsidRPr="007321E4">
        <w:t xml:space="preserve"> However, given that Indonesia had conflated its arguments under the</w:t>
      </w:r>
      <w:r w:rsidRPr="007321E4">
        <w:rPr>
          <w:i/>
        </w:rPr>
        <w:t xml:space="preserve"> chapeau</w:t>
      </w:r>
      <w:r w:rsidR="0064135C" w:rsidRPr="007321E4">
        <w:t xml:space="preserve"> of Article XX</w:t>
      </w:r>
      <w:r w:rsidRPr="007321E4">
        <w:rPr>
          <w:vertAlign w:val="superscript"/>
        </w:rPr>
        <w:footnoteReference w:id="225"/>
      </w:r>
      <w:r w:rsidRPr="007321E4">
        <w:t xml:space="preserve">, the Panel proceeded to examine "whether Indonesia's import licensing regimes for horticultural products and animals and animal products as a whole, including the individual measures therein, are applied in a manner consistent with the </w:t>
      </w:r>
      <w:r w:rsidRPr="007321E4">
        <w:rPr>
          <w:i/>
        </w:rPr>
        <w:t>chapeau</w:t>
      </w:r>
      <w:r w:rsidRPr="007321E4">
        <w:t>,</w:t>
      </w:r>
      <w:r w:rsidRPr="007321E4">
        <w:rPr>
          <w:i/>
        </w:rPr>
        <w:t xml:space="preserve"> </w:t>
      </w:r>
      <w:r w:rsidRPr="007321E4">
        <w:t>with respect to all three relevant subparagraphs of Article XX of the GATT 1994."</w:t>
      </w:r>
      <w:r w:rsidRPr="007321E4">
        <w:rPr>
          <w:vertAlign w:val="superscript"/>
        </w:rPr>
        <w:footnoteReference w:id="226"/>
      </w:r>
      <w:r w:rsidRPr="007321E4">
        <w:t xml:space="preserve"> </w:t>
      </w:r>
      <w:r w:rsidR="00802052" w:rsidRPr="007321E4">
        <w:t>Thus, r</w:t>
      </w:r>
      <w:r w:rsidRPr="007321E4">
        <w:t>ather than focus</w:t>
      </w:r>
      <w:r w:rsidR="00802052" w:rsidRPr="007321E4">
        <w:t>ing</w:t>
      </w:r>
      <w:r w:rsidRPr="007321E4">
        <w:t xml:space="preserve"> exclusively on Measure 8, the Panel addressed Measures 1 through 17 under the </w:t>
      </w:r>
      <w:r w:rsidRPr="007321E4">
        <w:rPr>
          <w:i/>
        </w:rPr>
        <w:t xml:space="preserve">chapeau </w:t>
      </w:r>
      <w:r w:rsidRPr="007321E4">
        <w:t>of Article</w:t>
      </w:r>
      <w:r w:rsidR="006B7F24" w:rsidRPr="007321E4">
        <w:t> </w:t>
      </w:r>
      <w:r w:rsidRPr="007321E4">
        <w:t>XX and found that "Indonesia ha</w:t>
      </w:r>
      <w:r w:rsidR="00EC59AA" w:rsidRPr="007321E4">
        <w:t>[d]</w:t>
      </w:r>
      <w:r w:rsidRPr="007321E4">
        <w:t xml:space="preserve"> failed to demonstrate that its import licensing regimes for horticultural products and animals and animal products as a whole, and the individual measures therein, including Measure 8, are applied in a manner consistent with the </w:t>
      </w:r>
      <w:r w:rsidRPr="007321E4">
        <w:rPr>
          <w:i/>
        </w:rPr>
        <w:t>chapeau</w:t>
      </w:r>
      <w:r w:rsidRPr="007321E4">
        <w:t xml:space="preserve"> of Article XX".</w:t>
      </w:r>
      <w:r w:rsidRPr="007321E4">
        <w:rPr>
          <w:vertAlign w:val="superscript"/>
        </w:rPr>
        <w:footnoteReference w:id="227"/>
      </w:r>
      <w:r w:rsidRPr="007321E4">
        <w:t xml:space="preserve"> On this basis, the Panel found that Indonesia </w:t>
      </w:r>
      <w:r w:rsidR="0064135C" w:rsidRPr="007321E4">
        <w:t xml:space="preserve">had </w:t>
      </w:r>
      <w:r w:rsidRPr="007321E4">
        <w:t>failed to demonstrate that Measure 8 is justified under Article </w:t>
      </w:r>
      <w:proofErr w:type="gramStart"/>
      <w:r w:rsidRPr="007321E4">
        <w:t>XX(</w:t>
      </w:r>
      <w:proofErr w:type="gramEnd"/>
      <w:r w:rsidRPr="007321E4">
        <w:t>b).</w:t>
      </w:r>
      <w:r w:rsidRPr="007321E4">
        <w:rPr>
          <w:rStyle w:val="FootnoteReference"/>
        </w:rPr>
        <w:footnoteReference w:id="228"/>
      </w:r>
    </w:p>
    <w:p w:rsidR="004E2D50" w:rsidRPr="007321E4" w:rsidRDefault="004E2D50" w:rsidP="004E2D50">
      <w:pPr>
        <w:pStyle w:val="BodyText"/>
        <w:numPr>
          <w:ilvl w:val="6"/>
          <w:numId w:val="37"/>
        </w:numPr>
        <w:rPr>
          <w:szCs w:val="18"/>
        </w:rPr>
      </w:pPr>
      <w:r w:rsidRPr="007321E4">
        <w:t xml:space="preserve">Finally, the Panel turned to Measures 9 through 17. In essence, the Panel recalled that Indonesia </w:t>
      </w:r>
      <w:r w:rsidR="0064135C" w:rsidRPr="007321E4">
        <w:t xml:space="preserve">had </w:t>
      </w:r>
      <w:r w:rsidRPr="007321E4">
        <w:t xml:space="preserve">failed to demonstrate that these measures are applied in a manner consistent with the </w:t>
      </w:r>
      <w:r w:rsidRPr="007321E4">
        <w:rPr>
          <w:i/>
        </w:rPr>
        <w:t>chapeau</w:t>
      </w:r>
      <w:r w:rsidRPr="007321E4">
        <w:t xml:space="preserve"> of Article XX and observed that compliance with the </w:t>
      </w:r>
      <w:r w:rsidRPr="007321E4">
        <w:rPr>
          <w:i/>
        </w:rPr>
        <w:t>chapeau</w:t>
      </w:r>
      <w:r w:rsidRPr="007321E4">
        <w:t xml:space="preserve"> is a necessary requirement in order for a measure to find justification under this provision.</w:t>
      </w:r>
      <w:r w:rsidR="00802052" w:rsidRPr="007321E4">
        <w:rPr>
          <w:rStyle w:val="FootnoteReference"/>
        </w:rPr>
        <w:footnoteReference w:id="229"/>
      </w:r>
      <w:r w:rsidRPr="007321E4">
        <w:t xml:space="preserve"> For this reason, the Panel refrained from continuing its analysis of Indonesia's defences under Article XX(a), (b)</w:t>
      </w:r>
      <w:r w:rsidR="0064135C" w:rsidRPr="007321E4">
        <w:t>,</w:t>
      </w:r>
      <w:r w:rsidRPr="007321E4">
        <w:t xml:space="preserve"> or (d) for Measures 9 through 17</w:t>
      </w:r>
      <w:r w:rsidRPr="007321E4">
        <w:rPr>
          <w:rStyle w:val="FootnoteReference"/>
        </w:rPr>
        <w:footnoteReference w:id="230"/>
      </w:r>
      <w:r w:rsidRPr="007321E4">
        <w:t>, and found that "Indonesia ha</w:t>
      </w:r>
      <w:r w:rsidR="0064135C" w:rsidRPr="007321E4">
        <w:t>[d]</w:t>
      </w:r>
      <w:r w:rsidRPr="007321E4">
        <w:t xml:space="preserve"> failed to demonstrate that Measures 9 through 17 are justified under Articles XX(a), (b) or (d) of the GATT 1994, as appropriate."</w:t>
      </w:r>
      <w:r w:rsidRPr="007321E4">
        <w:rPr>
          <w:rStyle w:val="FootnoteReference"/>
        </w:rPr>
        <w:footnoteReference w:id="231"/>
      </w:r>
      <w:r w:rsidRPr="007321E4">
        <w:t xml:space="preserve"> Thus, whereas the Panel assessed first whether Measures 1 through 8 are provisionally justified under Article XX(a), (b)</w:t>
      </w:r>
      <w:r w:rsidR="0064135C" w:rsidRPr="007321E4">
        <w:t>,</w:t>
      </w:r>
      <w:r w:rsidRPr="007321E4">
        <w:t xml:space="preserve"> or (d), the Panel assessed Measures 9 through 17 only under the </w:t>
      </w:r>
      <w:r w:rsidRPr="007321E4">
        <w:rPr>
          <w:i/>
        </w:rPr>
        <w:t>chapeau</w:t>
      </w:r>
      <w:r w:rsidRPr="007321E4">
        <w:t xml:space="preserve"> of Article XX</w:t>
      </w:r>
      <w:r w:rsidR="0064135C" w:rsidRPr="007321E4">
        <w:t>,</w:t>
      </w:r>
      <w:r w:rsidRPr="007321E4">
        <w:t xml:space="preserve"> and, on this sole basis, dismissed Indonesia's defences in respect of these measures. </w:t>
      </w:r>
    </w:p>
    <w:p w:rsidR="004E2D50" w:rsidRPr="007321E4" w:rsidRDefault="004E2D50" w:rsidP="004E2D50">
      <w:pPr>
        <w:pStyle w:val="Heading3"/>
        <w:numPr>
          <w:ilvl w:val="2"/>
          <w:numId w:val="37"/>
        </w:numPr>
      </w:pPr>
      <w:bookmarkStart w:id="138" w:name="_Toc496267430"/>
      <w:bookmarkStart w:id="139" w:name="_Toc497915404"/>
      <w:r w:rsidRPr="007321E4">
        <w:t>The order of analysis under Article XX of the GATT 1994</w:t>
      </w:r>
      <w:bookmarkEnd w:id="138"/>
      <w:bookmarkEnd w:id="139"/>
    </w:p>
    <w:p w:rsidR="004E2D50" w:rsidRPr="007321E4" w:rsidRDefault="004E2D50" w:rsidP="004E2D50">
      <w:pPr>
        <w:pStyle w:val="BodyText"/>
        <w:numPr>
          <w:ilvl w:val="6"/>
          <w:numId w:val="37"/>
        </w:numPr>
      </w:pPr>
      <w:r w:rsidRPr="007321E4">
        <w:t xml:space="preserve">As briefly set out above, Indonesia claims that the Panel erred in finding that Indonesia </w:t>
      </w:r>
      <w:r w:rsidR="0064135C" w:rsidRPr="007321E4">
        <w:t xml:space="preserve">had </w:t>
      </w:r>
      <w:r w:rsidRPr="007321E4">
        <w:t xml:space="preserve">failed to demonstrate that Measures 9 through 17 are justified under Article </w:t>
      </w:r>
      <w:proofErr w:type="gramStart"/>
      <w:r w:rsidRPr="007321E4">
        <w:t>XX(</w:t>
      </w:r>
      <w:proofErr w:type="gramEnd"/>
      <w:r w:rsidRPr="007321E4">
        <w:t>a), (b)</w:t>
      </w:r>
      <w:r w:rsidR="0064135C" w:rsidRPr="007321E4">
        <w:t>,</w:t>
      </w:r>
      <w:r w:rsidRPr="007321E4">
        <w:t xml:space="preserve"> or (d) of the GATT 1994 because the Panel assessed these measures only under the </w:t>
      </w:r>
      <w:r w:rsidRPr="007321E4">
        <w:rPr>
          <w:i/>
        </w:rPr>
        <w:t xml:space="preserve">chapeau </w:t>
      </w:r>
      <w:r w:rsidRPr="007321E4">
        <w:t>of that provision</w:t>
      </w:r>
      <w:r w:rsidRPr="007321E4">
        <w:rPr>
          <w:i/>
        </w:rPr>
        <w:t xml:space="preserve"> </w:t>
      </w:r>
      <w:r w:rsidRPr="007321E4">
        <w:t>and did not examine whether these measures are provisionally justified under the relevant paragraphs of Article XX.</w:t>
      </w:r>
      <w:r w:rsidRPr="007321E4">
        <w:rPr>
          <w:vertAlign w:val="superscript"/>
        </w:rPr>
        <w:footnoteReference w:id="232"/>
      </w:r>
      <w:r w:rsidRPr="007321E4">
        <w:t xml:space="preserve"> According to Indonesia, Article XX requires panels to assess first, whether the measure at issue is provisionally justified under the relevant paragraphs of Article XX and</w:t>
      </w:r>
      <w:r w:rsidR="0064135C" w:rsidRPr="007321E4">
        <w:t>,</w:t>
      </w:r>
      <w:r w:rsidRPr="007321E4">
        <w:t xml:space="preserve"> second, whether the provisionally justified measure complies with the requirements of the </w:t>
      </w:r>
      <w:r w:rsidRPr="007321E4">
        <w:rPr>
          <w:i/>
        </w:rPr>
        <w:t>chapeau</w:t>
      </w:r>
      <w:r w:rsidRPr="007321E4">
        <w:t xml:space="preserve"> of Article XX.</w:t>
      </w:r>
      <w:r w:rsidRPr="007321E4">
        <w:rPr>
          <w:rStyle w:val="FootnoteReference"/>
        </w:rPr>
        <w:footnoteReference w:id="233"/>
      </w:r>
      <w:r w:rsidRPr="007321E4">
        <w:t xml:space="preserve"> Indonesia submits that the Panel erred by not following this "mandatory sequence" in respect of Measures 9 through 17.</w:t>
      </w:r>
      <w:r w:rsidRPr="007321E4">
        <w:rPr>
          <w:rStyle w:val="FootnoteReference"/>
        </w:rPr>
        <w:footnoteReference w:id="234"/>
      </w:r>
      <w:r w:rsidRPr="007321E4">
        <w:t xml:space="preserve"> In addition, Indonesia submits that "the Panel's failure to structure its analysis in the mandatory sequence had repercussions for the substance of its analysis."</w:t>
      </w:r>
      <w:r w:rsidRPr="007321E4">
        <w:rPr>
          <w:rStyle w:val="FootnoteReference"/>
        </w:rPr>
        <w:footnoteReference w:id="235"/>
      </w:r>
      <w:r w:rsidRPr="007321E4">
        <w:t xml:space="preserve"> </w:t>
      </w:r>
    </w:p>
    <w:p w:rsidR="004E2D50" w:rsidRPr="007321E4" w:rsidRDefault="004E2D50" w:rsidP="004E2D50">
      <w:pPr>
        <w:pStyle w:val="BodyText"/>
        <w:numPr>
          <w:ilvl w:val="6"/>
          <w:numId w:val="37"/>
        </w:numPr>
      </w:pPr>
      <w:r w:rsidRPr="007321E4">
        <w:lastRenderedPageBreak/>
        <w:t xml:space="preserve">In contrast, New Zealand and the United States take the view that analysing a measure under the </w:t>
      </w:r>
      <w:r w:rsidRPr="007321E4">
        <w:rPr>
          <w:i/>
        </w:rPr>
        <w:t xml:space="preserve">chapeau </w:t>
      </w:r>
      <w:r w:rsidRPr="007321E4">
        <w:t xml:space="preserve">without first assessing it under the applicable paragraphs of Article XX is not </w:t>
      </w:r>
      <w:r w:rsidRPr="007321E4">
        <w:rPr>
          <w:i/>
        </w:rPr>
        <w:t xml:space="preserve">per se </w:t>
      </w:r>
      <w:r w:rsidRPr="007321E4">
        <w:t>a reversible legal error.</w:t>
      </w:r>
      <w:r w:rsidRPr="007321E4">
        <w:rPr>
          <w:rStyle w:val="FootnoteReference"/>
        </w:rPr>
        <w:footnoteReference w:id="236"/>
      </w:r>
      <w:r w:rsidRPr="007321E4">
        <w:t xml:space="preserve"> Rather, according to them, it is only ground for reversal if it causes a panel's conclusion to be substantively wrong.</w:t>
      </w:r>
      <w:r w:rsidRPr="007321E4">
        <w:rPr>
          <w:rStyle w:val="FootnoteReference"/>
        </w:rPr>
        <w:footnoteReference w:id="237"/>
      </w:r>
      <w:r w:rsidRPr="007321E4">
        <w:t xml:space="preserve"> In the instant case, New Zealand and the United States consider that the Panel conducted a substantively correct analysis of the </w:t>
      </w:r>
      <w:r w:rsidRPr="007321E4">
        <w:rPr>
          <w:i/>
        </w:rPr>
        <w:t>chapeau</w:t>
      </w:r>
      <w:r w:rsidRPr="007321E4">
        <w:t xml:space="preserve"> of Article XX</w:t>
      </w:r>
      <w:r w:rsidR="00EC59AA" w:rsidRPr="007321E4">
        <w:t>,</w:t>
      </w:r>
      <w:r w:rsidRPr="007321E4">
        <w:t xml:space="preserve"> and there is thus no basis for reversing the Panel's finding under Article XX in respect of Measures 9 through 17.</w:t>
      </w:r>
      <w:r w:rsidRPr="007321E4">
        <w:rPr>
          <w:rStyle w:val="FootnoteReference"/>
        </w:rPr>
        <w:footnoteReference w:id="238"/>
      </w:r>
      <w:r w:rsidRPr="007321E4">
        <w:t xml:space="preserve"> </w:t>
      </w:r>
    </w:p>
    <w:p w:rsidR="004E2D50" w:rsidRPr="007321E4" w:rsidRDefault="004E2D50" w:rsidP="004E2D50">
      <w:pPr>
        <w:pStyle w:val="BodyText"/>
        <w:numPr>
          <w:ilvl w:val="6"/>
          <w:numId w:val="37"/>
        </w:numPr>
      </w:pPr>
      <w:r w:rsidRPr="007321E4">
        <w:t>We recall that Article XX of the GATT 1994 provides, in relevant part</w:t>
      </w:r>
      <w:r w:rsidRPr="007321E4">
        <w:rPr>
          <w:rStyle w:val="FootnoteReference"/>
        </w:rPr>
        <w:footnoteReference w:id="239"/>
      </w:r>
      <w:r w:rsidRPr="007321E4">
        <w:t>:</w:t>
      </w:r>
    </w:p>
    <w:p w:rsidR="0064135C" w:rsidRPr="007321E4" w:rsidRDefault="0064135C" w:rsidP="009A6E71">
      <w:pPr>
        <w:pStyle w:val="Quotation"/>
        <w:jc w:val="center"/>
        <w:rPr>
          <w:i/>
        </w:rPr>
      </w:pPr>
      <w:r w:rsidRPr="007321E4">
        <w:rPr>
          <w:i/>
        </w:rPr>
        <w:t>Article XX</w:t>
      </w:r>
    </w:p>
    <w:p w:rsidR="0064135C" w:rsidRPr="007321E4" w:rsidRDefault="0064135C" w:rsidP="009A6E71">
      <w:pPr>
        <w:pStyle w:val="Quotation"/>
        <w:jc w:val="center"/>
        <w:rPr>
          <w:i/>
        </w:rPr>
      </w:pPr>
      <w:r w:rsidRPr="007321E4">
        <w:rPr>
          <w:i/>
        </w:rPr>
        <w:t>General Exceptions</w:t>
      </w:r>
    </w:p>
    <w:p w:rsidR="004E2D50" w:rsidRPr="007321E4" w:rsidRDefault="004E2D50" w:rsidP="004E2D50">
      <w:pPr>
        <w:pStyle w:val="Quotation"/>
      </w:pPr>
      <w:r w:rsidRPr="007321E4">
        <w:t xml:space="preserve">Subject to the requirement that such measures are not applied in a manner which would constitute a means of arbitrary or unjustifiable discrimination between countries where the same conditions prevail, or a disguised restriction on international trade, nothing in this Agreement shall be construed to prevent the adoption or enforcement by any Member of measures: </w:t>
      </w:r>
    </w:p>
    <w:p w:rsidR="004E2D50" w:rsidRPr="007321E4" w:rsidRDefault="004E2D50" w:rsidP="004E2D50">
      <w:pPr>
        <w:pStyle w:val="Quotation"/>
        <w:tabs>
          <w:tab w:val="left" w:pos="1134"/>
        </w:tabs>
        <w:ind w:left="1134" w:hanging="567"/>
      </w:pPr>
      <w:bookmarkStart w:id="140" w:name="art20_a"/>
      <w:bookmarkStart w:id="141" w:name="articleXXa"/>
      <w:bookmarkEnd w:id="140"/>
      <w:bookmarkEnd w:id="141"/>
      <w:r w:rsidRPr="007321E4">
        <w:t>(</w:t>
      </w:r>
      <w:r w:rsidRPr="007321E4">
        <w:rPr>
          <w:i/>
          <w:iCs/>
        </w:rPr>
        <w:t>a</w:t>
      </w:r>
      <w:r w:rsidRPr="007321E4">
        <w:t>)</w:t>
      </w:r>
      <w:r w:rsidRPr="007321E4">
        <w:tab/>
      </w:r>
      <w:proofErr w:type="gramStart"/>
      <w:r w:rsidRPr="007321E4">
        <w:t>necessary</w:t>
      </w:r>
      <w:proofErr w:type="gramEnd"/>
      <w:r w:rsidRPr="007321E4">
        <w:t xml:space="preserve"> to protect public morals;</w:t>
      </w:r>
    </w:p>
    <w:p w:rsidR="004E2D50" w:rsidRPr="007321E4" w:rsidRDefault="004E2D50" w:rsidP="004E2D50">
      <w:pPr>
        <w:pStyle w:val="Quotation"/>
        <w:tabs>
          <w:tab w:val="left" w:pos="1134"/>
        </w:tabs>
        <w:ind w:left="1134" w:hanging="567"/>
      </w:pPr>
      <w:bookmarkStart w:id="142" w:name="art20_b"/>
      <w:bookmarkStart w:id="143" w:name="articleXXb"/>
      <w:bookmarkEnd w:id="142"/>
      <w:bookmarkEnd w:id="143"/>
      <w:r w:rsidRPr="007321E4">
        <w:t>(</w:t>
      </w:r>
      <w:r w:rsidRPr="007321E4">
        <w:rPr>
          <w:i/>
          <w:iCs/>
        </w:rPr>
        <w:t>b</w:t>
      </w:r>
      <w:r w:rsidRPr="007321E4">
        <w:t>) </w:t>
      </w:r>
      <w:r w:rsidRPr="007321E4">
        <w:tab/>
      </w:r>
      <w:proofErr w:type="gramStart"/>
      <w:r w:rsidRPr="007321E4">
        <w:t>necessary</w:t>
      </w:r>
      <w:proofErr w:type="gramEnd"/>
      <w:r w:rsidRPr="007321E4">
        <w:t xml:space="preserve"> to protect human, animal or plant life or health;</w:t>
      </w:r>
      <w:bookmarkStart w:id="144" w:name="art20_c"/>
      <w:bookmarkStart w:id="145" w:name="articleXXc"/>
      <w:bookmarkEnd w:id="144"/>
      <w:bookmarkEnd w:id="145"/>
      <w:r w:rsidRPr="007321E4">
        <w:t xml:space="preserve"> </w:t>
      </w:r>
    </w:p>
    <w:p w:rsidR="004E2D50" w:rsidRPr="007321E4" w:rsidRDefault="004E2D50" w:rsidP="004E2D50">
      <w:pPr>
        <w:pStyle w:val="Quotation"/>
        <w:tabs>
          <w:tab w:val="left" w:pos="1134"/>
        </w:tabs>
        <w:ind w:left="1134" w:hanging="567"/>
      </w:pPr>
      <w:r w:rsidRPr="007321E4">
        <w:t>…</w:t>
      </w:r>
    </w:p>
    <w:p w:rsidR="004E2D50" w:rsidRPr="007321E4" w:rsidRDefault="004E2D50" w:rsidP="004E2D50">
      <w:pPr>
        <w:pStyle w:val="Quotation"/>
        <w:tabs>
          <w:tab w:val="left" w:pos="1134"/>
        </w:tabs>
        <w:ind w:left="1134" w:hanging="567"/>
      </w:pPr>
      <w:bookmarkStart w:id="146" w:name="art20_d"/>
      <w:bookmarkStart w:id="147" w:name="articleXXd"/>
      <w:bookmarkEnd w:id="146"/>
      <w:bookmarkEnd w:id="147"/>
      <w:r w:rsidRPr="007321E4">
        <w:t>(</w:t>
      </w:r>
      <w:r w:rsidRPr="007321E4">
        <w:rPr>
          <w:i/>
          <w:iCs/>
        </w:rPr>
        <w:t>d</w:t>
      </w:r>
      <w:r w:rsidRPr="007321E4">
        <w:t>) </w:t>
      </w:r>
      <w:r w:rsidRPr="007321E4">
        <w:tab/>
        <w:t xml:space="preserve">necessary to secure compliance with laws or regulations which are not inconsistent with the provisions of this Agreement, including those relating to customs enforcement, the enforcement of monopolies operated under paragraph 4 of Article II and Article XVII, the protection of patents, </w:t>
      </w:r>
      <w:proofErr w:type="spellStart"/>
      <w:r w:rsidRPr="007321E4">
        <w:t>trade marks</w:t>
      </w:r>
      <w:proofErr w:type="spellEnd"/>
      <w:r w:rsidRPr="007321E4">
        <w:t xml:space="preserve"> and copyrights, and the prevention of deceptive practices;</w:t>
      </w:r>
      <w:bookmarkStart w:id="148" w:name="art20_e"/>
      <w:bookmarkStart w:id="149" w:name="articleXXe"/>
      <w:bookmarkEnd w:id="148"/>
      <w:bookmarkEnd w:id="149"/>
      <w:r w:rsidRPr="007321E4">
        <w:t xml:space="preserve"> …</w:t>
      </w:r>
    </w:p>
    <w:p w:rsidR="004E2D50" w:rsidRPr="007321E4" w:rsidRDefault="004E2D50" w:rsidP="004E2D50">
      <w:pPr>
        <w:pStyle w:val="BodyText"/>
        <w:numPr>
          <w:ilvl w:val="6"/>
          <w:numId w:val="37"/>
        </w:numPr>
      </w:pPr>
      <w:r w:rsidRPr="007321E4">
        <w:t>Members can resort to Article XX as an exception to justify measures that would otherwise be inconsistent with GATT obligations. Article XX is made up of two main parts: (i) ten paragraphs, which enumerate the various categories of "governmental acts, laws or regulations which WTO Members may carry out or promulgate in pursuit of differing legitimate state policies or interests outside the realm of trade liberalization"</w:t>
      </w:r>
      <w:r w:rsidRPr="007321E4">
        <w:rPr>
          <w:rStyle w:val="FootnoteReference"/>
        </w:rPr>
        <w:footnoteReference w:id="240"/>
      </w:r>
      <w:r w:rsidRPr="007321E4">
        <w:t xml:space="preserve">; and (ii) the </w:t>
      </w:r>
      <w:r w:rsidRPr="007321E4">
        <w:rPr>
          <w:i/>
        </w:rPr>
        <w:t>chapeau</w:t>
      </w:r>
      <w:r w:rsidRPr="007321E4">
        <w:t>, which imposes additional disciplines on measures that have been found to be provisionally justified under one of the paragraphs of Article XX.</w:t>
      </w:r>
      <w:r w:rsidRPr="007321E4">
        <w:rPr>
          <w:vertAlign w:val="superscript"/>
        </w:rPr>
        <w:footnoteReference w:id="241"/>
      </w:r>
      <w:r w:rsidRPr="007321E4">
        <w:t xml:space="preserve"> </w:t>
      </w:r>
    </w:p>
    <w:p w:rsidR="004E2D50" w:rsidRPr="007321E4" w:rsidRDefault="004E2D50" w:rsidP="004E2D50">
      <w:pPr>
        <w:pStyle w:val="BodyText"/>
        <w:numPr>
          <w:ilvl w:val="6"/>
          <w:numId w:val="37"/>
        </w:numPr>
      </w:pPr>
      <w:r w:rsidRPr="007321E4">
        <w:t xml:space="preserve">The </w:t>
      </w:r>
      <w:r w:rsidRPr="007321E4">
        <w:rPr>
          <w:i/>
        </w:rPr>
        <w:t>chapeau</w:t>
      </w:r>
      <w:r w:rsidRPr="007321E4">
        <w:t xml:space="preserve"> and the paragraphs of Article XX contain independent requirements that must be satisfied for a measure to be justified. Specifically, the </w:t>
      </w:r>
      <w:r w:rsidRPr="007321E4">
        <w:rPr>
          <w:i/>
        </w:rPr>
        <w:t xml:space="preserve">chapeau </w:t>
      </w:r>
      <w:r w:rsidRPr="007321E4">
        <w:t>of Article XX serves the purpose of ensuring that provisionally justified measures under one of the paragraphs are not applied in such a way as would constitute an abuse of the exceptions of Article XX.</w:t>
      </w:r>
      <w:r w:rsidRPr="007321E4">
        <w:rPr>
          <w:vertAlign w:val="superscript"/>
        </w:rPr>
        <w:footnoteReference w:id="242"/>
      </w:r>
      <w:r w:rsidRPr="007321E4">
        <w:t xml:space="preserve"> The </w:t>
      </w:r>
      <w:r w:rsidRPr="007321E4">
        <w:rPr>
          <w:i/>
        </w:rPr>
        <w:t>chapeau</w:t>
      </w:r>
      <w:r w:rsidRPr="007321E4">
        <w:t xml:space="preserve"> does so by requiring that measures not be "applied in a manner which would constitute a means of arbitrary or unjustifiable discrimination between countries where the same conditions prevail, or </w:t>
      </w:r>
      <w:r w:rsidRPr="007321E4">
        <w:lastRenderedPageBreak/>
        <w:t xml:space="preserve">a disguised restriction on international trade". Accordingly, the function of the </w:t>
      </w:r>
      <w:r w:rsidRPr="007321E4">
        <w:rPr>
          <w:i/>
        </w:rPr>
        <w:t xml:space="preserve">chapeau </w:t>
      </w:r>
      <w:r w:rsidRPr="007321E4">
        <w:t>of Article XX is "to prevent abuse of the exceptions specified in the paragraphs of that provision"</w:t>
      </w:r>
      <w:r w:rsidRPr="007321E4">
        <w:rPr>
          <w:rStyle w:val="FootnoteReference"/>
        </w:rPr>
        <w:footnoteReference w:id="243"/>
      </w:r>
      <w:r w:rsidRPr="007321E4">
        <w:t>, and to ensure that a balance is struck between the right of a Member to invoke an exception under Article XX and the substantive rights of other Members under the GATT 1994.</w:t>
      </w:r>
      <w:r w:rsidRPr="007321E4">
        <w:rPr>
          <w:vertAlign w:val="superscript"/>
        </w:rPr>
        <w:footnoteReference w:id="244"/>
      </w:r>
      <w:r w:rsidRPr="007321E4">
        <w:t xml:space="preserve"> </w:t>
      </w:r>
    </w:p>
    <w:p w:rsidR="004E2D50" w:rsidRPr="007321E4" w:rsidRDefault="004E2D50" w:rsidP="004E2D50">
      <w:pPr>
        <w:pStyle w:val="BodyText"/>
        <w:numPr>
          <w:ilvl w:val="6"/>
          <w:numId w:val="37"/>
        </w:numPr>
      </w:pPr>
      <w:r w:rsidRPr="007321E4">
        <w:t xml:space="preserve">It follows from the relationship between the </w:t>
      </w:r>
      <w:r w:rsidRPr="007321E4">
        <w:rPr>
          <w:i/>
        </w:rPr>
        <w:t xml:space="preserve">chapeau </w:t>
      </w:r>
      <w:r w:rsidRPr="007321E4">
        <w:t xml:space="preserve">of Article XX and the paragraphs thereof that Article XX sets out </w:t>
      </w:r>
      <w:r w:rsidR="00055F0A" w:rsidRPr="007321E4">
        <w:t xml:space="preserve">a </w:t>
      </w:r>
      <w:r w:rsidRPr="007321E4">
        <w:t xml:space="preserve">two-tier test for determining whether a measure that </w:t>
      </w:r>
      <w:r w:rsidR="00802052" w:rsidRPr="007321E4">
        <w:t xml:space="preserve">would </w:t>
      </w:r>
      <w:r w:rsidRPr="007321E4">
        <w:t xml:space="preserve">otherwise </w:t>
      </w:r>
      <w:r w:rsidR="00802052" w:rsidRPr="007321E4">
        <w:t xml:space="preserve">be </w:t>
      </w:r>
      <w:r w:rsidRPr="007321E4">
        <w:t>inconsistent with GATT obligations can be justified under that provision</w:t>
      </w:r>
      <w:r w:rsidR="00CB5EEC" w:rsidRPr="007321E4">
        <w:t>. This test involves</w:t>
      </w:r>
      <w:r w:rsidRPr="007321E4">
        <w:t xml:space="preserve">, first, </w:t>
      </w:r>
      <w:r w:rsidR="00CB5EEC" w:rsidRPr="007321E4">
        <w:t xml:space="preserve">an assessment of </w:t>
      </w:r>
      <w:r w:rsidRPr="007321E4">
        <w:t>whether the measure falls under at least one</w:t>
      </w:r>
      <w:r w:rsidR="00E66336" w:rsidRPr="007321E4" w:rsidDel="00055F0A">
        <w:t> </w:t>
      </w:r>
      <w:r w:rsidRPr="007321E4">
        <w:t>of the ten</w:t>
      </w:r>
      <w:r w:rsidR="00E66336" w:rsidRPr="007321E4">
        <w:t> </w:t>
      </w:r>
      <w:r w:rsidRPr="007321E4">
        <w:t xml:space="preserve">exceptions listed in the paragraphs of Article </w:t>
      </w:r>
      <w:proofErr w:type="gramStart"/>
      <w:r w:rsidRPr="007321E4">
        <w:t>XX,</w:t>
      </w:r>
      <w:proofErr w:type="gramEnd"/>
      <w:r w:rsidRPr="007321E4">
        <w:t xml:space="preserve"> and, </w:t>
      </w:r>
      <w:r w:rsidR="00CB5EEC" w:rsidRPr="007321E4">
        <w:t>second</w:t>
      </w:r>
      <w:r w:rsidRPr="007321E4">
        <w:t xml:space="preserve">, </w:t>
      </w:r>
      <w:r w:rsidR="00CB5EEC" w:rsidRPr="007321E4">
        <w:t xml:space="preserve">an assessment of </w:t>
      </w:r>
      <w:r w:rsidRPr="007321E4">
        <w:t xml:space="preserve">whether the measure satisfies the requirements of the </w:t>
      </w:r>
      <w:r w:rsidRPr="007321E4">
        <w:rPr>
          <w:i/>
        </w:rPr>
        <w:t xml:space="preserve">chapeau </w:t>
      </w:r>
      <w:r w:rsidRPr="007321E4">
        <w:t>of that provision.</w:t>
      </w:r>
      <w:r w:rsidRPr="007321E4">
        <w:rPr>
          <w:szCs w:val="18"/>
        </w:rPr>
        <w:t xml:space="preserve"> </w:t>
      </w:r>
      <w:r w:rsidRPr="007321E4">
        <w:t xml:space="preserve">This sequence reflects the fact that considering first the measure at issue under the applicable paragraphs of Article XX provides panels with the necessary tools to assess that measure under the </w:t>
      </w:r>
      <w:r w:rsidRPr="007321E4">
        <w:rPr>
          <w:i/>
        </w:rPr>
        <w:t xml:space="preserve">chapeau </w:t>
      </w:r>
      <w:r w:rsidRPr="007321E4">
        <w:t>of Article XX.</w:t>
      </w:r>
      <w:r w:rsidRPr="007321E4">
        <w:rPr>
          <w:i/>
        </w:rPr>
        <w:t xml:space="preserve"> </w:t>
      </w:r>
      <w:r w:rsidRPr="007321E4">
        <w:t>In particular, in the analysis</w:t>
      </w:r>
      <w:r w:rsidR="00CB5EEC" w:rsidRPr="007321E4">
        <w:t xml:space="preserve"> under the applicable paragraph</w:t>
      </w:r>
      <w:r w:rsidRPr="007321E4">
        <w:t xml:space="preserve">, panels determine whether the objective </w:t>
      </w:r>
      <w:r w:rsidR="00CB5EEC" w:rsidRPr="007321E4">
        <w:t xml:space="preserve">of </w:t>
      </w:r>
      <w:r w:rsidRPr="007321E4">
        <w:t xml:space="preserve">the measure at issue is one that is protected under the paragraphs of Article XX. If the measure is found to be provisionally justified </w:t>
      </w:r>
      <w:proofErr w:type="gramStart"/>
      <w:r w:rsidRPr="007321E4">
        <w:t>under</w:t>
      </w:r>
      <w:proofErr w:type="gramEnd"/>
      <w:r w:rsidRPr="007321E4">
        <w:t xml:space="preserve"> one of the paragraphs of Article XX, th</w:t>
      </w:r>
      <w:r w:rsidR="00CB5EEC" w:rsidRPr="007321E4">
        <w:t>at</w:t>
      </w:r>
      <w:r w:rsidRPr="007321E4">
        <w:t xml:space="preserve"> objective </w:t>
      </w:r>
      <w:r w:rsidR="00CB5EEC" w:rsidRPr="007321E4">
        <w:t xml:space="preserve">is then </w:t>
      </w:r>
      <w:r w:rsidRPr="007321E4">
        <w:t xml:space="preserve">relevant </w:t>
      </w:r>
      <w:r w:rsidR="00CB5EEC" w:rsidRPr="007321E4">
        <w:t xml:space="preserve">in </w:t>
      </w:r>
      <w:r w:rsidRPr="007321E4">
        <w:t>assess</w:t>
      </w:r>
      <w:r w:rsidR="00CB5EEC" w:rsidRPr="007321E4">
        <w:t>ing</w:t>
      </w:r>
      <w:r w:rsidRPr="007321E4">
        <w:t xml:space="preserve"> the </w:t>
      </w:r>
      <w:r w:rsidR="00CB5EEC" w:rsidRPr="007321E4">
        <w:t xml:space="preserve">measure under the </w:t>
      </w:r>
      <w:r w:rsidRPr="007321E4">
        <w:rPr>
          <w:i/>
        </w:rPr>
        <w:t>chapeau</w:t>
      </w:r>
      <w:r w:rsidRPr="007321E4">
        <w:t xml:space="preserve">. Other elements of the analysis under the applicable paragraphs of Article XX might be relevant </w:t>
      </w:r>
      <w:r w:rsidR="00CB5EEC" w:rsidRPr="007321E4">
        <w:t xml:space="preserve">in assessing a </w:t>
      </w:r>
      <w:r w:rsidRPr="007321E4">
        <w:t xml:space="preserve">measure under the </w:t>
      </w:r>
      <w:r w:rsidRPr="007321E4">
        <w:rPr>
          <w:i/>
        </w:rPr>
        <w:t>chapeau</w:t>
      </w:r>
      <w:r w:rsidRPr="007321E4">
        <w:t xml:space="preserve">. </w:t>
      </w:r>
    </w:p>
    <w:p w:rsidR="004E2D50" w:rsidRPr="007321E4" w:rsidRDefault="004E2D50" w:rsidP="004E2D50">
      <w:pPr>
        <w:pStyle w:val="BodyText"/>
        <w:numPr>
          <w:ilvl w:val="6"/>
          <w:numId w:val="37"/>
        </w:numPr>
      </w:pPr>
      <w:r w:rsidRPr="007321E4">
        <w:t xml:space="preserve">The Appellate Body set out the sequence of analysis under Article XX for the first time in </w:t>
      </w:r>
      <w:r w:rsidRPr="007321E4">
        <w:rPr>
          <w:i/>
        </w:rPr>
        <w:t>US – Gasoline</w:t>
      </w:r>
      <w:r w:rsidRPr="007321E4">
        <w:rPr>
          <w:rStyle w:val="FootnoteReference"/>
        </w:rPr>
        <w:footnoteReference w:id="245"/>
      </w:r>
      <w:r w:rsidRPr="007321E4">
        <w:t xml:space="preserve"> and has, since then, recalled that sequence in a number of </w:t>
      </w:r>
      <w:r w:rsidR="008D08DB" w:rsidRPr="007321E4">
        <w:t xml:space="preserve">its </w:t>
      </w:r>
      <w:r w:rsidRPr="007321E4">
        <w:t>reports.</w:t>
      </w:r>
      <w:r w:rsidRPr="007321E4">
        <w:rPr>
          <w:rStyle w:val="FootnoteReference"/>
        </w:rPr>
        <w:footnoteReference w:id="246"/>
      </w:r>
      <w:r w:rsidRPr="007321E4">
        <w:t xml:space="preserve"> In </w:t>
      </w:r>
      <w:r w:rsidR="00080D6D" w:rsidRPr="007321E4">
        <w:br/>
      </w:r>
      <w:r w:rsidRPr="007321E4">
        <w:rPr>
          <w:i/>
        </w:rPr>
        <w:t>US </w:t>
      </w:r>
      <w:r w:rsidR="001D11E3" w:rsidRPr="007321E4">
        <w:rPr>
          <w:i/>
        </w:rPr>
        <w:t>–</w:t>
      </w:r>
      <w:r w:rsidRPr="007321E4">
        <w:rPr>
          <w:i/>
        </w:rPr>
        <w:t>Shrimp</w:t>
      </w:r>
      <w:r w:rsidRPr="007321E4">
        <w:t>, the Appellate Body highlighted that this sequence</w:t>
      </w:r>
      <w:r w:rsidRPr="007321E4" w:rsidDel="0048595A">
        <w:t xml:space="preserve"> </w:t>
      </w:r>
      <w:r w:rsidR="008D08DB" w:rsidRPr="007321E4">
        <w:t>"</w:t>
      </w:r>
      <w:r w:rsidRPr="007321E4">
        <w:t>reflects, not inadvertence or random choice, but rather the fundamental structure and logic of Article XX"</w:t>
      </w:r>
      <w:r w:rsidR="00FF0DC2" w:rsidRPr="007321E4">
        <w:t>.</w:t>
      </w:r>
      <w:r w:rsidRPr="007321E4">
        <w:rPr>
          <w:rStyle w:val="FootnoteReference"/>
        </w:rPr>
        <w:footnoteReference w:id="247"/>
      </w:r>
      <w:r w:rsidRPr="007321E4">
        <w:t xml:space="preserve"> As the Appellate Body stated, "[t]he task of interpreting the </w:t>
      </w:r>
      <w:r w:rsidRPr="007321E4">
        <w:rPr>
          <w:i/>
        </w:rPr>
        <w:t>chapeau</w:t>
      </w:r>
      <w:r w:rsidRPr="007321E4">
        <w:t xml:space="preserve"> so as to prevent the abuse or misuse of the specific exemptions provided for in Article XX is rendered very difficult, if indeed it </w:t>
      </w:r>
      <w:r w:rsidRPr="007321E4">
        <w:lastRenderedPageBreak/>
        <w:t>remains possible at all, where the interpreter … has not first identified and examined the specific exception threatened with abuse."</w:t>
      </w:r>
      <w:r w:rsidRPr="007321E4">
        <w:rPr>
          <w:rStyle w:val="FootnoteReference"/>
        </w:rPr>
        <w:footnoteReference w:id="248"/>
      </w:r>
      <w:r w:rsidRPr="007321E4">
        <w:t xml:space="preserve"> </w:t>
      </w:r>
    </w:p>
    <w:p w:rsidR="004E2D50" w:rsidRPr="007321E4" w:rsidRDefault="004E2D50" w:rsidP="004E2D50">
      <w:pPr>
        <w:pStyle w:val="BodyText"/>
        <w:numPr>
          <w:ilvl w:val="6"/>
          <w:numId w:val="37"/>
        </w:numPr>
      </w:pPr>
      <w:r w:rsidRPr="007321E4">
        <w:t xml:space="preserve">Furthermore, the Appellate Body </w:t>
      </w:r>
      <w:r w:rsidR="008D08DB" w:rsidRPr="007321E4">
        <w:t xml:space="preserve">has </w:t>
      </w:r>
      <w:r w:rsidRPr="007321E4">
        <w:t xml:space="preserve">recognized that the objective that is found to justify provisionally the measure at issue under a paragraph of Article XX is a relevant consideration to assess whether there is "arbitrary or unjustifiable discrimination between countries where the same conditions prevail" pursuant to the </w:t>
      </w:r>
      <w:r w:rsidRPr="007321E4">
        <w:rPr>
          <w:i/>
        </w:rPr>
        <w:t xml:space="preserve">chapeau </w:t>
      </w:r>
      <w:r w:rsidRPr="007321E4">
        <w:t xml:space="preserve">of Article XX. Specifically, in </w:t>
      </w:r>
      <w:r w:rsidRPr="007321E4">
        <w:rPr>
          <w:i/>
        </w:rPr>
        <w:t xml:space="preserve">Brazil – </w:t>
      </w:r>
      <w:proofErr w:type="spellStart"/>
      <w:r w:rsidRPr="007321E4">
        <w:rPr>
          <w:i/>
        </w:rPr>
        <w:t>Retreaded</w:t>
      </w:r>
      <w:proofErr w:type="spellEnd"/>
      <w:r w:rsidRPr="007321E4">
        <w:rPr>
          <w:i/>
        </w:rPr>
        <w:t xml:space="preserve"> Tyres</w:t>
      </w:r>
      <w:r w:rsidRPr="007321E4">
        <w:t xml:space="preserve">, the Appellate Body stated </w:t>
      </w:r>
      <w:r w:rsidR="00B83542" w:rsidRPr="007321E4">
        <w:t xml:space="preserve">that </w:t>
      </w:r>
      <w:r w:rsidRPr="007321E4">
        <w:t>"[t]</w:t>
      </w:r>
      <w:proofErr w:type="gramStart"/>
      <w:r w:rsidRPr="007321E4">
        <w:t>he</w:t>
      </w:r>
      <w:proofErr w:type="gramEnd"/>
      <w:r w:rsidRPr="007321E4">
        <w:t xml:space="preserve"> assessment of whether discrimination is arbitrary or unjustifiable should be made in </w:t>
      </w:r>
      <w:r w:rsidR="00FF0DC2" w:rsidRPr="007321E4">
        <w:t xml:space="preserve">the </w:t>
      </w:r>
      <w:r w:rsidRPr="007321E4">
        <w:t>light of the objective of the measure."</w:t>
      </w:r>
      <w:r w:rsidRPr="007321E4">
        <w:rPr>
          <w:rStyle w:val="FootnoteReference"/>
        </w:rPr>
        <w:footnoteReference w:id="249"/>
      </w:r>
      <w:r w:rsidRPr="007321E4">
        <w:t xml:space="preserve"> The Appellate Body further noted that it would "have difficulty understanding how discrimination might be viewed as complying with the chapeau of Article XX when the alleged rationale for discriminating does not relate to the pursuit of or would go against the objective that was provisionally found to justify a measure under a paragraph of Article XX."</w:t>
      </w:r>
      <w:r w:rsidRPr="007321E4">
        <w:rPr>
          <w:rStyle w:val="FootnoteReference"/>
        </w:rPr>
        <w:footnoteReference w:id="250"/>
      </w:r>
    </w:p>
    <w:p w:rsidR="004E2D50" w:rsidRPr="007321E4" w:rsidRDefault="004E2D50" w:rsidP="004E2D50">
      <w:pPr>
        <w:pStyle w:val="BodyText"/>
        <w:numPr>
          <w:ilvl w:val="6"/>
          <w:numId w:val="37"/>
        </w:numPr>
      </w:pPr>
      <w:r w:rsidRPr="007321E4">
        <w:t xml:space="preserve">In the same vein, in </w:t>
      </w:r>
      <w:r w:rsidRPr="007321E4">
        <w:rPr>
          <w:i/>
        </w:rPr>
        <w:t>EC – Seal Products</w:t>
      </w:r>
      <w:r w:rsidRPr="007321E4">
        <w:t xml:space="preserve">, the Appellate Body stated that the analysis of whether discrimination is arbitrary or unjustifiable within the meaning of the </w:t>
      </w:r>
      <w:r w:rsidRPr="007321E4">
        <w:rPr>
          <w:i/>
        </w:rPr>
        <w:t>chapeau</w:t>
      </w:r>
      <w:r w:rsidR="00B83542" w:rsidRPr="007321E4">
        <w:t xml:space="preserve"> of Article XX</w:t>
      </w:r>
      <w:r w:rsidRPr="007321E4">
        <w:t xml:space="preserve"> "should focus on the cause of the discrimination, or the rationale put forward to explain its existence".</w:t>
      </w:r>
      <w:r w:rsidRPr="007321E4">
        <w:rPr>
          <w:rStyle w:val="FootnoteReference"/>
          <w:szCs w:val="18"/>
        </w:rPr>
        <w:footnoteReference w:id="251"/>
      </w:r>
      <w:r w:rsidRPr="007321E4">
        <w:t xml:space="preserve"> The Appellate Body added that "[o]</w:t>
      </w:r>
      <w:proofErr w:type="spellStart"/>
      <w:r w:rsidRPr="007321E4">
        <w:t>ne</w:t>
      </w:r>
      <w:proofErr w:type="spellEnd"/>
      <w:r w:rsidRPr="007321E4">
        <w:t xml:space="preserve"> of the most important factors in the assessment of arbitrary or unjustifiable discrimination is the question of whether the discrimination can be reconciled with, or is rationally related to, the policy objective with respect to which the measure has been provisionally justified under one of the subparagraphs of Article XX</w:t>
      </w:r>
      <w:r w:rsidR="0000216D" w:rsidRPr="007321E4">
        <w:t>.</w:t>
      </w:r>
      <w:r w:rsidRPr="007321E4">
        <w:t>"</w:t>
      </w:r>
      <w:r w:rsidRPr="007321E4">
        <w:rPr>
          <w:rStyle w:val="FootnoteReference"/>
        </w:rPr>
        <w:footnoteReference w:id="252"/>
      </w:r>
      <w:r w:rsidRPr="007321E4">
        <w:t xml:space="preserve"> Moreover, in that case, the Appellate Body stated that</w:t>
      </w:r>
      <w:r w:rsidR="00FF0DC2" w:rsidRPr="007321E4">
        <w:t>,</w:t>
      </w:r>
      <w:r w:rsidRPr="007321E4">
        <w:t xml:space="preserve"> "in determining which 'conditions' prevailing in different countries are relevant in the context of the chapeau, the subparagraphs of Article XX, and in particular the subparagraph under which a measure has been provisionally justified, provide pertinent context</w:t>
      </w:r>
      <w:r w:rsidR="0000216D" w:rsidRPr="007321E4">
        <w:t>.</w:t>
      </w:r>
      <w:r w:rsidRPr="007321E4">
        <w:t>"</w:t>
      </w:r>
      <w:r w:rsidRPr="007321E4">
        <w:rPr>
          <w:rStyle w:val="FootnoteReference"/>
        </w:rPr>
        <w:footnoteReference w:id="253"/>
      </w:r>
      <w:r w:rsidRPr="007321E4">
        <w:t xml:space="preserve"> In other words, the relevant "conditions" for the analysis under the </w:t>
      </w:r>
      <w:r w:rsidRPr="007321E4">
        <w:rPr>
          <w:i/>
        </w:rPr>
        <w:t>chapeau</w:t>
      </w:r>
      <w:r w:rsidRPr="007321E4">
        <w:t xml:space="preserve"> are the ones that relate to the particular policy objective under the applicable paragraph of Article XX.</w:t>
      </w:r>
      <w:r w:rsidRPr="007321E4">
        <w:rPr>
          <w:rStyle w:val="FootnoteReference"/>
        </w:rPr>
        <w:footnoteReference w:id="254"/>
      </w:r>
      <w:r w:rsidRPr="007321E4">
        <w:t xml:space="preserve"> The Appellate Body further recalled that the function of the </w:t>
      </w:r>
      <w:r w:rsidRPr="007321E4">
        <w:rPr>
          <w:i/>
        </w:rPr>
        <w:t>chapeau</w:t>
      </w:r>
      <w:r w:rsidRPr="007321E4">
        <w:t xml:space="preserve"> is to maintain the equilibrium between the obligations under the GATT 1994 and the exceptions provided under each paragraph of Article XX. As the Appellate Body considered, this confirms that "the identification of the relevant 'conditions' under the chapeau should be understood by reference to the applicable subparagraph of Article XX under which the measure was provisionally justified and the substantive obligations under the GATT 1994 with which a violation has been found."</w:t>
      </w:r>
      <w:r w:rsidRPr="007321E4">
        <w:rPr>
          <w:rStyle w:val="FootnoteReference"/>
        </w:rPr>
        <w:footnoteReference w:id="255"/>
      </w:r>
    </w:p>
    <w:p w:rsidR="004E2D50" w:rsidRPr="007321E4" w:rsidRDefault="004E2D50" w:rsidP="004E2D50">
      <w:pPr>
        <w:pStyle w:val="BodyText"/>
        <w:numPr>
          <w:ilvl w:val="6"/>
          <w:numId w:val="37"/>
        </w:numPr>
      </w:pPr>
      <w:r w:rsidRPr="007321E4">
        <w:t xml:space="preserve">We accept that, depending on the particular circumstances of the case at hand, including the way in which the defence is presented, a panel might be able to identify and analyse the elements under the applicable paragraphs of Article XX that are relevant to assess the requirements of the </w:t>
      </w:r>
      <w:r w:rsidRPr="007321E4">
        <w:rPr>
          <w:i/>
        </w:rPr>
        <w:t>chapeau</w:t>
      </w:r>
      <w:r w:rsidRPr="007321E4">
        <w:t xml:space="preserve"> even when the sequence of analysis under Article XX has not been followed. Therefore, depending on the particular circumstances of the case, a panel that deviates from the sequence of analysis under Article XX might not necessarily, for that reason alone, commit a reversible legal error provided the panel has made findings on those elements under the applicable paragraphs that are relevant for its analysis of the requirements of </w:t>
      </w:r>
      <w:r w:rsidRPr="007321E4">
        <w:rPr>
          <w:i/>
        </w:rPr>
        <w:t>chapeau</w:t>
      </w:r>
      <w:r w:rsidRPr="007321E4">
        <w:t xml:space="preserve">. However, in light of our analysis above, we consider that the task of assessing a particular measure under the </w:t>
      </w:r>
      <w:r w:rsidRPr="007321E4">
        <w:rPr>
          <w:i/>
        </w:rPr>
        <w:t>chapeau</w:t>
      </w:r>
      <w:r w:rsidRPr="007321E4">
        <w:t xml:space="preserve"> so as to prevent the abuse of the exceptions provided for in Article XX is rendered difficult where the panel has not first identified and examined the specific exception at issue. Following the normal sequence of analysis under Article XX provides panels with the necessary tools to assess the requirements of the </w:t>
      </w:r>
      <w:r w:rsidRPr="007321E4">
        <w:rPr>
          <w:i/>
        </w:rPr>
        <w:t xml:space="preserve">chapeau </w:t>
      </w:r>
      <w:r w:rsidRPr="007321E4">
        <w:t xml:space="preserve">in respect of a particular measure. Moreover, a finding that a Member has failed to comply with the requirements of the applicable paragraph of Article XX may not have the same implications regarding implementation as compared to a finding that a Member has failed to comply with the requirements of the </w:t>
      </w:r>
      <w:r w:rsidRPr="007321E4">
        <w:rPr>
          <w:i/>
        </w:rPr>
        <w:t>chapeau</w:t>
      </w:r>
      <w:r w:rsidRPr="007321E4">
        <w:t xml:space="preserve">. </w:t>
      </w:r>
    </w:p>
    <w:p w:rsidR="004E2D50" w:rsidRPr="007321E4" w:rsidRDefault="004E2D50" w:rsidP="004E2D50">
      <w:pPr>
        <w:pStyle w:val="Heading3"/>
        <w:numPr>
          <w:ilvl w:val="2"/>
          <w:numId w:val="37"/>
        </w:numPr>
      </w:pPr>
      <w:bookmarkStart w:id="150" w:name="_Toc496267431"/>
      <w:bookmarkStart w:id="151" w:name="_Toc497915405"/>
      <w:r w:rsidRPr="007321E4">
        <w:lastRenderedPageBreak/>
        <w:t>Conclusions</w:t>
      </w:r>
      <w:bookmarkEnd w:id="150"/>
      <w:bookmarkEnd w:id="151"/>
    </w:p>
    <w:p w:rsidR="004E2D50" w:rsidRPr="007321E4" w:rsidRDefault="004E2D50" w:rsidP="004E2D50">
      <w:pPr>
        <w:pStyle w:val="BodyText"/>
        <w:numPr>
          <w:ilvl w:val="6"/>
          <w:numId w:val="37"/>
        </w:numPr>
      </w:pPr>
      <w:r w:rsidRPr="007321E4">
        <w:t xml:space="preserve">As discussed above, the normal sequence of analysis under Article XX of the GATT 1994 involves, first, an assessment of whether the measure at issue is provisionally justified under one of the paragraphs of Article XX and, second, an assessment of whether that measure also meets the requirements of the </w:t>
      </w:r>
      <w:r w:rsidRPr="007321E4">
        <w:rPr>
          <w:i/>
        </w:rPr>
        <w:t xml:space="preserve">chapeau </w:t>
      </w:r>
      <w:r w:rsidRPr="007321E4">
        <w:t xml:space="preserve">of Article XX. This reflects </w:t>
      </w:r>
      <w:r w:rsidR="00802052" w:rsidRPr="007321E4">
        <w:t>"</w:t>
      </w:r>
      <w:r w:rsidRPr="007321E4">
        <w:t>the fundamental structure and logic of Article XX".</w:t>
      </w:r>
      <w:r w:rsidRPr="007321E4">
        <w:rPr>
          <w:rStyle w:val="FootnoteReference"/>
        </w:rPr>
        <w:footnoteReference w:id="256"/>
      </w:r>
      <w:r w:rsidRPr="007321E4">
        <w:t xml:space="preserve"> It also comports with the function of the </w:t>
      </w:r>
      <w:r w:rsidRPr="007321E4">
        <w:rPr>
          <w:i/>
        </w:rPr>
        <w:t xml:space="preserve">chapeau </w:t>
      </w:r>
      <w:r w:rsidRPr="007321E4">
        <w:t>of Article XX, which is "to prevent abuse of the exceptions specified in the paragraphs of that provision"</w:t>
      </w:r>
      <w:r w:rsidRPr="007321E4">
        <w:rPr>
          <w:rStyle w:val="FootnoteReference"/>
        </w:rPr>
        <w:footnoteReference w:id="257"/>
      </w:r>
      <w:r w:rsidRPr="007321E4">
        <w:t>, and to ensure that a balance is struck between the right of a Member to invoke an exception under Article XX and the substantive rights of other Members under the GATT 1994.</w:t>
      </w:r>
      <w:r w:rsidRPr="007321E4">
        <w:rPr>
          <w:vertAlign w:val="superscript"/>
        </w:rPr>
        <w:footnoteReference w:id="258"/>
      </w:r>
      <w:r w:rsidRPr="007321E4">
        <w:t xml:space="preserve"> Depending on the particular circumstances of the case, a panel that deviates from the sequence of analysis under Article XX might not necessarily, for that reason alone, commit a reversible legal error provided the panel has made findings on those elements under the applicable paragraphs that are relevant for its analysis of the requirements </w:t>
      </w:r>
      <w:r w:rsidR="0048565D" w:rsidRPr="007321E4">
        <w:t xml:space="preserve">of the </w:t>
      </w:r>
      <w:r w:rsidRPr="007321E4">
        <w:rPr>
          <w:i/>
        </w:rPr>
        <w:t>chapeau</w:t>
      </w:r>
      <w:r w:rsidRPr="007321E4">
        <w:t xml:space="preserve">. However, following the normal sequence of analysis under Article XX provides panels with the necessary tools to assess the requirements of the </w:t>
      </w:r>
      <w:r w:rsidRPr="007321E4">
        <w:rPr>
          <w:i/>
        </w:rPr>
        <w:t>chapeau</w:t>
      </w:r>
      <w:r w:rsidRPr="007321E4">
        <w:t xml:space="preserve">. </w:t>
      </w:r>
    </w:p>
    <w:p w:rsidR="004E2D50" w:rsidRPr="007321E4" w:rsidRDefault="004E2D50" w:rsidP="004E2D50">
      <w:pPr>
        <w:pStyle w:val="BodyText"/>
        <w:numPr>
          <w:ilvl w:val="6"/>
          <w:numId w:val="37"/>
        </w:numPr>
      </w:pPr>
      <w:r w:rsidRPr="007321E4">
        <w:t xml:space="preserve">Having made these observations, we note Indonesia's contention that it would not be possible for us to complete the legal analysis </w:t>
      </w:r>
      <w:r w:rsidR="0000216D" w:rsidRPr="007321E4">
        <w:t xml:space="preserve">to determine whether </w:t>
      </w:r>
      <w:r w:rsidRPr="007321E4">
        <w:t>Measures 9 through 17 are justified under Article XX(a), (b)</w:t>
      </w:r>
      <w:r w:rsidR="00B83542" w:rsidRPr="007321E4">
        <w:t>,</w:t>
      </w:r>
      <w:r w:rsidRPr="007321E4">
        <w:t xml:space="preserve"> or (d)</w:t>
      </w:r>
      <w:r w:rsidR="00B83542" w:rsidRPr="007321E4">
        <w:t xml:space="preserve"> of the GATT 1994</w:t>
      </w:r>
      <w:r w:rsidRPr="007321E4">
        <w:t xml:space="preserve">. According to Indonesia, there are "insufficient factual findings on the record" in respect of Measures 9 through 17 for us to </w:t>
      </w:r>
      <w:r w:rsidR="00B83542" w:rsidRPr="007321E4">
        <w:t xml:space="preserve">do </w:t>
      </w:r>
      <w:r w:rsidR="005C0937" w:rsidRPr="007321E4">
        <w:t>so</w:t>
      </w:r>
      <w:r w:rsidRPr="007321E4">
        <w:t>.</w:t>
      </w:r>
      <w:r w:rsidRPr="007321E4">
        <w:rPr>
          <w:vertAlign w:val="superscript"/>
        </w:rPr>
        <w:footnoteReference w:id="259"/>
      </w:r>
      <w:r w:rsidRPr="007321E4">
        <w:t xml:space="preserve"> We further note that, even if we were to accede to Indonesia's request on appeal and reverse the Panel's findings and conclusions under Article XX in respect of Measures 9 through 17 without completing the legal analysis, the Panel's findings that these measures are inconsistent with Article XI</w:t>
      </w:r>
      <w:proofErr w:type="gramStart"/>
      <w:r w:rsidR="00802052" w:rsidRPr="007321E4">
        <w:t>:1</w:t>
      </w:r>
      <w:proofErr w:type="gramEnd"/>
      <w:r w:rsidRPr="007321E4">
        <w:t xml:space="preserve"> of the GATT 1994 would remain undisturbed.</w:t>
      </w:r>
      <w:r w:rsidRPr="007321E4">
        <w:rPr>
          <w:rStyle w:val="FootnoteReference"/>
        </w:rPr>
        <w:footnoteReference w:id="260"/>
      </w:r>
      <w:r w:rsidRPr="007321E4">
        <w:t xml:space="preserve"> </w:t>
      </w:r>
    </w:p>
    <w:p w:rsidR="004E2D50" w:rsidRPr="007321E4" w:rsidRDefault="004E2D50" w:rsidP="004E2D50">
      <w:pPr>
        <w:pStyle w:val="BodyText"/>
        <w:numPr>
          <w:ilvl w:val="6"/>
          <w:numId w:val="37"/>
        </w:numPr>
      </w:pPr>
      <w:r w:rsidRPr="007321E4">
        <w:t xml:space="preserve">For this reason, we consider that a ruling on Indonesia's claim on appeal under Article XX is unnecessary for the purposes of resolving this dispute. Therefore, we </w:t>
      </w:r>
      <w:r w:rsidRPr="007321E4">
        <w:rPr>
          <w:u w:val="single"/>
        </w:rPr>
        <w:t>decline to rule</w:t>
      </w:r>
      <w:r w:rsidRPr="007321E4">
        <w:t xml:space="preserve"> on Indonesia's claim on appeal under Article XX of the GATT 1994 and declare the Panel's finding that "Indonesia ha</w:t>
      </w:r>
      <w:r w:rsidR="00B83542" w:rsidRPr="007321E4">
        <w:t>[d]</w:t>
      </w:r>
      <w:r w:rsidRPr="007321E4">
        <w:t xml:space="preserve"> failed to demonstrate that Measures 9 through 17 are justified under Articles </w:t>
      </w:r>
      <w:proofErr w:type="gramStart"/>
      <w:r w:rsidRPr="007321E4">
        <w:t>XX(</w:t>
      </w:r>
      <w:proofErr w:type="gramEnd"/>
      <w:r w:rsidRPr="007321E4">
        <w:t>a), (b) or (d) of the GATT 1994, as appropriate", in paragraph 7.830 of the Panel Report</w:t>
      </w:r>
      <w:r w:rsidRPr="007321E4">
        <w:rPr>
          <w:rStyle w:val="FootnoteReference"/>
        </w:rPr>
        <w:footnoteReference w:id="261"/>
      </w:r>
      <w:r w:rsidRPr="007321E4">
        <w:t xml:space="preserve">, </w:t>
      </w:r>
      <w:r w:rsidRPr="007321E4">
        <w:rPr>
          <w:u w:val="single"/>
        </w:rPr>
        <w:t>moot and of no legal effect</w:t>
      </w:r>
      <w:r w:rsidRPr="007321E4">
        <w:t xml:space="preserve">. </w:t>
      </w:r>
    </w:p>
    <w:p w:rsidR="0074451D" w:rsidRPr="007321E4" w:rsidRDefault="0074451D" w:rsidP="0074451D">
      <w:pPr>
        <w:pStyle w:val="Heading1"/>
        <w:numPr>
          <w:ilvl w:val="0"/>
          <w:numId w:val="37"/>
        </w:numPr>
      </w:pPr>
      <w:bookmarkStart w:id="152" w:name="_Toc328640715"/>
      <w:bookmarkStart w:id="153" w:name="_Toc333317656"/>
      <w:bookmarkStart w:id="154" w:name="_Toc333331250"/>
      <w:bookmarkStart w:id="155" w:name="_Toc333395241"/>
      <w:bookmarkStart w:id="156" w:name="_Toc333510527"/>
      <w:bookmarkStart w:id="157" w:name="_Toc333510634"/>
      <w:bookmarkStart w:id="158" w:name="_Toc343522839"/>
      <w:bookmarkStart w:id="159" w:name="_Toc493150040"/>
      <w:bookmarkStart w:id="160" w:name="_Toc493150070"/>
      <w:bookmarkStart w:id="161" w:name="_Toc493150094"/>
      <w:bookmarkStart w:id="162" w:name="_Toc493150302"/>
      <w:bookmarkStart w:id="163" w:name="_Toc493859693"/>
      <w:bookmarkStart w:id="164" w:name="_Toc494701965"/>
      <w:bookmarkStart w:id="165" w:name="_Toc494702715"/>
      <w:bookmarkStart w:id="166" w:name="_Toc494702791"/>
      <w:bookmarkStart w:id="167" w:name="_Toc494702828"/>
      <w:bookmarkStart w:id="168" w:name="_Toc496267432"/>
      <w:bookmarkStart w:id="169" w:name="_Toc497915406"/>
      <w:r w:rsidRPr="007321E4">
        <w:t>Findings And Conclusions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74451D" w:rsidRPr="007321E4" w:rsidRDefault="0074451D" w:rsidP="0074451D">
      <w:pPr>
        <w:pStyle w:val="BodyText"/>
        <w:numPr>
          <w:ilvl w:val="6"/>
          <w:numId w:val="37"/>
        </w:numPr>
      </w:pPr>
      <w:r w:rsidRPr="007321E4">
        <w:rPr>
          <w:lang w:eastAsia="zh-CN"/>
        </w:rPr>
        <w:t>For the reasons set out in this Report, the Appellate Body makes the following findings and conclusions.</w:t>
      </w:r>
    </w:p>
    <w:p w:rsidR="0074451D" w:rsidRPr="007321E4" w:rsidRDefault="0074451D" w:rsidP="009C365D">
      <w:pPr>
        <w:pStyle w:val="Heading2"/>
        <w:numPr>
          <w:ilvl w:val="1"/>
          <w:numId w:val="12"/>
        </w:numPr>
      </w:pPr>
      <w:bookmarkStart w:id="170" w:name="_Toc496267433"/>
      <w:bookmarkStart w:id="171" w:name="_Toc497915407"/>
      <w:r w:rsidRPr="007321E4">
        <w:t>The Panel's decision to commence its legal analysis with the claims under Article XI</w:t>
      </w:r>
      <w:proofErr w:type="gramStart"/>
      <w:r w:rsidRPr="007321E4">
        <w:t>:1</w:t>
      </w:r>
      <w:proofErr w:type="gramEnd"/>
      <w:r w:rsidRPr="007321E4">
        <w:t xml:space="preserve"> of the GATT 1994</w:t>
      </w:r>
      <w:bookmarkEnd w:id="170"/>
      <w:bookmarkEnd w:id="171"/>
    </w:p>
    <w:p w:rsidR="0074451D" w:rsidRPr="007321E4" w:rsidRDefault="0074451D" w:rsidP="0074451D">
      <w:pPr>
        <w:pStyle w:val="BodyText"/>
        <w:numPr>
          <w:ilvl w:val="6"/>
          <w:numId w:val="37"/>
        </w:numPr>
      </w:pPr>
      <w:r w:rsidRPr="007321E4">
        <w:t xml:space="preserve">We consider that Article 4.2 of the Agreement on Agriculture does not apply "to the </w:t>
      </w:r>
      <w:r w:rsidRPr="007321E4">
        <w:rPr>
          <w:u w:val="single"/>
        </w:rPr>
        <w:t>exclusion</w:t>
      </w:r>
      <w:r w:rsidRPr="007321E4">
        <w:t xml:space="preserve"> of"</w:t>
      </w:r>
      <w:r w:rsidRPr="007321E4">
        <w:rPr>
          <w:rStyle w:val="FootnoteReference"/>
        </w:rPr>
        <w:footnoteReference w:id="262"/>
      </w:r>
      <w:r w:rsidRPr="007321E4">
        <w:t xml:space="preserve"> Article XI</w:t>
      </w:r>
      <w:proofErr w:type="gramStart"/>
      <w:r w:rsidRPr="007321E4">
        <w:t>:1</w:t>
      </w:r>
      <w:proofErr w:type="gramEnd"/>
      <w:r w:rsidRPr="007321E4">
        <w:t xml:space="preserve"> of the GATT 1994 in relation to the claims challenging the 18 measures at issue </w:t>
      </w:r>
      <w:r w:rsidRPr="007321E4">
        <w:lastRenderedPageBreak/>
        <w:t>as quantitative restrictions. Both provisions contain the same substantive obligations in relation to these claims</w:t>
      </w:r>
      <w:r w:rsidR="00802052" w:rsidRPr="007321E4">
        <w:rPr>
          <w:rStyle w:val="FootnoteReference"/>
        </w:rPr>
        <w:footnoteReference w:id="263"/>
      </w:r>
      <w:r w:rsidRPr="007321E4">
        <w:t xml:space="preserve"> and</w:t>
      </w:r>
      <w:r w:rsidR="00B83542" w:rsidRPr="007321E4">
        <w:t>,</w:t>
      </w:r>
      <w:r w:rsidRPr="007321E4">
        <w:t xml:space="preserve"> thus, in these circumstances, they apply cumulatively. Moreover, there is no mandatory sequence of analysis between Article 4.2 of the Agreement on Agriculture and Article XI</w:t>
      </w:r>
      <w:proofErr w:type="gramStart"/>
      <w:r w:rsidRPr="007321E4">
        <w:t>:1</w:t>
      </w:r>
      <w:proofErr w:type="gramEnd"/>
      <w:r w:rsidRPr="007321E4">
        <w:t xml:space="preserve"> of the GATT 1994 in this dispute</w:t>
      </w:r>
      <w:r w:rsidR="00B83542" w:rsidRPr="007321E4">
        <w:t>,</w:t>
      </w:r>
      <w:r w:rsidRPr="007321E4">
        <w:t xml:space="preserve"> and the decision as to whether to commence the analysis with the claims under Article XI:1 or those under Article 4.2 was within the Panel's margin of discretion. We also consider that Indonesia has not substantiated its claim under Article 11 of the DSU that the Panel failed to make an objective assessment of the applicability of Article 4.2 of the Agreement on Agriculture.</w:t>
      </w:r>
    </w:p>
    <w:p w:rsidR="0074451D" w:rsidRPr="007321E4" w:rsidRDefault="0074451D" w:rsidP="0074451D">
      <w:pPr>
        <w:pStyle w:val="BodyText2"/>
        <w:numPr>
          <w:ilvl w:val="7"/>
          <w:numId w:val="37"/>
        </w:numPr>
      </w:pPr>
      <w:r w:rsidRPr="007321E4">
        <w:t xml:space="preserve">Therefore, we </w:t>
      </w:r>
      <w:r w:rsidRPr="007321E4">
        <w:rPr>
          <w:u w:val="single"/>
        </w:rPr>
        <w:t>reject</w:t>
      </w:r>
      <w:r w:rsidRPr="007321E4">
        <w:t xml:space="preserve"> Indonesia's claim that the Panel erred in assessing the claims regarding the measures at issue under Article XI</w:t>
      </w:r>
      <w:proofErr w:type="gramStart"/>
      <w:r w:rsidRPr="007321E4">
        <w:t>:1</w:t>
      </w:r>
      <w:proofErr w:type="gramEnd"/>
      <w:r w:rsidRPr="007321E4">
        <w:t xml:space="preserve"> of the GATT 1994, rather than Article 4.2 of the Agreement on Agriculture. </w:t>
      </w:r>
    </w:p>
    <w:p w:rsidR="0074451D" w:rsidRPr="007321E4" w:rsidRDefault="0074451D" w:rsidP="0074451D">
      <w:pPr>
        <w:pStyle w:val="BodyText2"/>
        <w:numPr>
          <w:ilvl w:val="7"/>
          <w:numId w:val="37"/>
        </w:numPr>
      </w:pPr>
      <w:r w:rsidRPr="007321E4">
        <w:t xml:space="preserve">In addition, we </w:t>
      </w:r>
      <w:r w:rsidRPr="007321E4">
        <w:rPr>
          <w:u w:val="single"/>
        </w:rPr>
        <w:t>find</w:t>
      </w:r>
      <w:r w:rsidRPr="007321E4">
        <w:t xml:space="preserve"> that Indonesia has not demonstrated that the Panel acted inconsistently with Article 11 of the DSU by failing to make an objective assessment of the applicability of Article 4.2 of the Agreement on Agriculture. </w:t>
      </w:r>
    </w:p>
    <w:p w:rsidR="0074451D" w:rsidRPr="007321E4" w:rsidRDefault="0074451D" w:rsidP="0074451D">
      <w:pPr>
        <w:pStyle w:val="BodyText2"/>
        <w:numPr>
          <w:ilvl w:val="7"/>
          <w:numId w:val="37"/>
        </w:numPr>
      </w:pPr>
      <w:r w:rsidRPr="007321E4">
        <w:t xml:space="preserve">Consequently, we </w:t>
      </w:r>
      <w:r w:rsidRPr="007321E4">
        <w:rPr>
          <w:u w:val="single"/>
        </w:rPr>
        <w:t>uphold</w:t>
      </w:r>
      <w:r w:rsidRPr="007321E4">
        <w:t xml:space="preserve"> the Panel's decision, in paragraph 7.33 of the Panel Report, to commence its examination with Article XI</w:t>
      </w:r>
      <w:proofErr w:type="gramStart"/>
      <w:r w:rsidRPr="007321E4">
        <w:t>:1</w:t>
      </w:r>
      <w:proofErr w:type="gramEnd"/>
      <w:r w:rsidRPr="007321E4">
        <w:t xml:space="preserve"> of the GATT 1994.</w:t>
      </w:r>
    </w:p>
    <w:p w:rsidR="0074451D" w:rsidRPr="007321E4" w:rsidRDefault="0074451D" w:rsidP="009C365D">
      <w:pPr>
        <w:pStyle w:val="Heading2"/>
        <w:numPr>
          <w:ilvl w:val="1"/>
          <w:numId w:val="12"/>
        </w:numPr>
      </w:pPr>
      <w:bookmarkStart w:id="172" w:name="_Ref495593535"/>
      <w:bookmarkStart w:id="173" w:name="_Toc496267434"/>
      <w:bookmarkStart w:id="174" w:name="_Toc497915408"/>
      <w:r w:rsidRPr="007321E4">
        <w:t>Whether the Panel erred in determining that Indonesia bears the burden of proof under the second part of footnote 1 to Article</w:t>
      </w:r>
      <w:r w:rsidR="00A17260" w:rsidRPr="007321E4">
        <w:t> </w:t>
      </w:r>
      <w:r w:rsidRPr="007321E4">
        <w:t>4.2 of the Agreement on Agriculture</w:t>
      </w:r>
      <w:bookmarkEnd w:id="172"/>
      <w:bookmarkEnd w:id="173"/>
      <w:bookmarkEnd w:id="174"/>
    </w:p>
    <w:p w:rsidR="0074451D" w:rsidRPr="007321E4" w:rsidRDefault="0074451D" w:rsidP="0074451D">
      <w:pPr>
        <w:pStyle w:val="BodyText"/>
        <w:numPr>
          <w:ilvl w:val="6"/>
          <w:numId w:val="37"/>
        </w:numPr>
      </w:pPr>
      <w:r w:rsidRPr="007321E4">
        <w:rPr>
          <w:szCs w:val="18"/>
        </w:rPr>
        <w:t xml:space="preserve">Article 4.2 of the Agreement on Agriculture and footnote 1 thereto, read in </w:t>
      </w:r>
      <w:r w:rsidR="00B83542" w:rsidRPr="007321E4">
        <w:rPr>
          <w:szCs w:val="18"/>
        </w:rPr>
        <w:t xml:space="preserve">their </w:t>
      </w:r>
      <w:r w:rsidRPr="007321E4">
        <w:rPr>
          <w:szCs w:val="18"/>
        </w:rPr>
        <w:t xml:space="preserve">relevant context, do not suggest that the nature of Article XX of the GATT 1994 as an </w:t>
      </w:r>
      <w:r w:rsidRPr="007321E4">
        <w:rPr>
          <w:i/>
          <w:szCs w:val="18"/>
        </w:rPr>
        <w:t>affirmative defence</w:t>
      </w:r>
      <w:r w:rsidRPr="007321E4">
        <w:rPr>
          <w:szCs w:val="18"/>
        </w:rPr>
        <w:t xml:space="preserve"> is modified by virtue of its incorporation in</w:t>
      </w:r>
      <w:r w:rsidR="00802052" w:rsidRPr="007321E4">
        <w:rPr>
          <w:szCs w:val="18"/>
        </w:rPr>
        <w:t>to</w:t>
      </w:r>
      <w:r w:rsidRPr="007321E4">
        <w:rPr>
          <w:szCs w:val="18"/>
        </w:rPr>
        <w:t xml:space="preserve"> the second part of footnote 1</w:t>
      </w:r>
      <w:r w:rsidR="00B83542" w:rsidRPr="007321E4">
        <w:rPr>
          <w:szCs w:val="18"/>
        </w:rPr>
        <w:t xml:space="preserve"> to Article 4.2</w:t>
      </w:r>
      <w:r w:rsidRPr="007321E4">
        <w:rPr>
          <w:szCs w:val="18"/>
        </w:rPr>
        <w:t xml:space="preserve">. </w:t>
      </w:r>
      <w:r w:rsidRPr="007321E4">
        <w:t>In addition, we consider that Indonesia has not substantiated its claim under Article 11 of the DSU that the Panel failed to conduct an objective assessment of which party bears the burden of proof under the second part of footnote 1 to Article 4.2.</w:t>
      </w:r>
    </w:p>
    <w:p w:rsidR="0074451D" w:rsidRPr="007321E4" w:rsidRDefault="0074451D" w:rsidP="0074451D">
      <w:pPr>
        <w:pStyle w:val="BodyText2"/>
        <w:numPr>
          <w:ilvl w:val="7"/>
          <w:numId w:val="37"/>
        </w:numPr>
      </w:pPr>
      <w:r w:rsidRPr="007321E4">
        <w:t xml:space="preserve">Therefore, we </w:t>
      </w:r>
      <w:r w:rsidRPr="007321E4">
        <w:rPr>
          <w:u w:val="single"/>
        </w:rPr>
        <w:t>find</w:t>
      </w:r>
      <w:r w:rsidRPr="007321E4">
        <w:t xml:space="preserve"> that the burden of proof under Article XX</w:t>
      </w:r>
      <w:r w:rsidRPr="007321E4">
        <w:rPr>
          <w:szCs w:val="18"/>
        </w:rPr>
        <w:t xml:space="preserve"> of the GATT 1994</w:t>
      </w:r>
      <w:r w:rsidRPr="007321E4">
        <w:t xml:space="preserve"> remains with the respondent even when Article XX is applied thro</w:t>
      </w:r>
      <w:r w:rsidR="007913AF" w:rsidRPr="007321E4">
        <w:t>ugh the reference in the second </w:t>
      </w:r>
      <w:r w:rsidRPr="007321E4">
        <w:t xml:space="preserve">part of footnote 1 to Article 4.2 of the Agreement on Agriculture. </w:t>
      </w:r>
    </w:p>
    <w:p w:rsidR="0074451D" w:rsidRPr="007321E4" w:rsidRDefault="0074451D" w:rsidP="0074451D">
      <w:pPr>
        <w:pStyle w:val="BodyText2"/>
        <w:numPr>
          <w:ilvl w:val="7"/>
          <w:numId w:val="37"/>
        </w:numPr>
      </w:pPr>
      <w:r w:rsidRPr="007321E4">
        <w:t xml:space="preserve">In addition, we </w:t>
      </w:r>
      <w:r w:rsidRPr="007321E4">
        <w:rPr>
          <w:u w:val="single"/>
        </w:rPr>
        <w:t>find</w:t>
      </w:r>
      <w:r w:rsidRPr="007321E4">
        <w:t xml:space="preserve"> that Indonesia has not demonstrated that the Panel acted inconsistently with Article 11 of the DSU by failing to make an objective assessment of which party bears the burden of proof under the second part of footnote 1 to Article 4.2 of the Agreement on Agriculture.</w:t>
      </w:r>
    </w:p>
    <w:p w:rsidR="0074451D" w:rsidRPr="007321E4" w:rsidRDefault="0074451D" w:rsidP="0074451D">
      <w:pPr>
        <w:pStyle w:val="BodyText2"/>
        <w:numPr>
          <w:ilvl w:val="7"/>
          <w:numId w:val="37"/>
        </w:numPr>
      </w:pPr>
      <w:r w:rsidRPr="007321E4">
        <w:t xml:space="preserve">Consequently, we </w:t>
      </w:r>
      <w:r w:rsidRPr="007321E4">
        <w:rPr>
          <w:u w:val="single"/>
        </w:rPr>
        <w:t>uphold</w:t>
      </w:r>
      <w:r w:rsidRPr="007321E4">
        <w:t xml:space="preserve"> the Panel's finding, in paragraph 7.34 of the Panel </w:t>
      </w:r>
      <w:proofErr w:type="gramStart"/>
      <w:r w:rsidRPr="007321E4">
        <w:t>Report, that</w:t>
      </w:r>
      <w:proofErr w:type="gramEnd"/>
      <w:r w:rsidRPr="007321E4">
        <w:t xml:space="preserve"> the burden of proof under Article XX of the GATT 1994 referred to in the second part of footnote 1 to Article 4.2 of the Agreement on Agriculture rests on Indonesia. </w:t>
      </w:r>
    </w:p>
    <w:p w:rsidR="0074451D" w:rsidRPr="007321E4" w:rsidRDefault="0074451D" w:rsidP="0074451D">
      <w:pPr>
        <w:pStyle w:val="BodyText"/>
        <w:numPr>
          <w:ilvl w:val="6"/>
          <w:numId w:val="37"/>
        </w:numPr>
      </w:pPr>
      <w:r w:rsidRPr="007321E4">
        <w:t xml:space="preserve">With </w:t>
      </w:r>
      <w:r w:rsidRPr="007321E4">
        <w:rPr>
          <w:lang w:eastAsia="zh-CN"/>
        </w:rPr>
        <w:t>respect</w:t>
      </w:r>
      <w:r w:rsidRPr="007321E4">
        <w:t xml:space="preserve"> to Indonesia's request to reverse the Panel's finding in paragraphs 7.833 and 8.2 of the Panel Report</w:t>
      </w:r>
      <w:r w:rsidRPr="007321E4">
        <w:rPr>
          <w:rStyle w:val="FootnoteReference"/>
        </w:rPr>
        <w:footnoteReference w:id="264"/>
      </w:r>
      <w:r w:rsidRPr="007321E4">
        <w:t>, which pertain</w:t>
      </w:r>
      <w:r w:rsidR="00802052" w:rsidRPr="007321E4">
        <w:t>s</w:t>
      </w:r>
      <w:r w:rsidRPr="007321E4">
        <w:t xml:space="preserve"> to the Panel's exercise of judicial economy with respect to Article 4.2 of the Agreement on Agriculture, Indonesia has not explained how the alleged error by the Panel in connection with the allocation of the burden of proof under the second part of footnote 1 to Article 4.2 leads to the conclusion that the Panel erred in exercising judicial economy. In any event, as we have found that the burden of proof under Article XX of the GATT 1994 remains with the respondent also in the context of Article 4.2 of the Agreement on Agriculture and footnote 1 thereto, we see no reason to disturb the Panel's decision to exercise judicial economy with respect to the co-complainants' claims under Article 4.2 of the Agreement on Agriculture. </w:t>
      </w:r>
    </w:p>
    <w:p w:rsidR="0074451D" w:rsidRPr="007321E4" w:rsidRDefault="0074451D" w:rsidP="0074451D">
      <w:pPr>
        <w:pStyle w:val="BodyText2"/>
        <w:numPr>
          <w:ilvl w:val="7"/>
          <w:numId w:val="37"/>
        </w:numPr>
      </w:pPr>
      <w:r w:rsidRPr="007321E4">
        <w:t xml:space="preserve">Therefore, we </w:t>
      </w:r>
      <w:r w:rsidRPr="007321E4">
        <w:rPr>
          <w:u w:val="single"/>
        </w:rPr>
        <w:t>reject</w:t>
      </w:r>
      <w:r w:rsidRPr="007321E4">
        <w:t xml:space="preserve"> Indonesia's request to reverse the Panel's finding in paragraphs 7.833 and 8.2 of the Panel Report.</w:t>
      </w:r>
    </w:p>
    <w:p w:rsidR="0074451D" w:rsidRPr="007321E4" w:rsidRDefault="0074451D" w:rsidP="009C365D">
      <w:pPr>
        <w:pStyle w:val="Heading2"/>
        <w:numPr>
          <w:ilvl w:val="1"/>
          <w:numId w:val="12"/>
        </w:numPr>
      </w:pPr>
      <w:bookmarkStart w:id="175" w:name="_Toc496267435"/>
      <w:bookmarkStart w:id="176" w:name="_Toc497915409"/>
      <w:r w:rsidRPr="007321E4">
        <w:lastRenderedPageBreak/>
        <w:t>Indonesia's alternative claim that the Panel erred in finding that Article XI</w:t>
      </w:r>
      <w:proofErr w:type="gramStart"/>
      <w:r w:rsidRPr="007321E4">
        <w:t>:2</w:t>
      </w:r>
      <w:proofErr w:type="gramEnd"/>
      <w:r w:rsidRPr="007321E4">
        <w:t xml:space="preserve">(c) of the GATT 1994 has been rendered </w:t>
      </w:r>
      <w:r w:rsidR="00FE4110" w:rsidRPr="007321E4">
        <w:t>"</w:t>
      </w:r>
      <w:r w:rsidRPr="007321E4">
        <w:t>inoperative</w:t>
      </w:r>
      <w:r w:rsidR="00FE4110" w:rsidRPr="007321E4">
        <w:t>"</w:t>
      </w:r>
      <w:r w:rsidRPr="007321E4">
        <w:t xml:space="preserve"> by Article 4.2 of the Agreement on Agriculture</w:t>
      </w:r>
      <w:bookmarkEnd w:id="175"/>
      <w:bookmarkEnd w:id="176"/>
    </w:p>
    <w:p w:rsidR="0074451D" w:rsidRPr="007321E4" w:rsidRDefault="0074451D" w:rsidP="0074451D">
      <w:pPr>
        <w:pStyle w:val="BodyText"/>
        <w:numPr>
          <w:ilvl w:val="6"/>
          <w:numId w:val="37"/>
        </w:numPr>
      </w:pPr>
      <w:r w:rsidRPr="007321E4">
        <w:rPr>
          <w:lang w:eastAsia="zh-CN"/>
        </w:rPr>
        <w:t xml:space="preserve">We disagree with </w:t>
      </w:r>
      <w:r w:rsidRPr="007321E4">
        <w:t xml:space="preserve">Indonesia that </w:t>
      </w:r>
      <w:r w:rsidR="00802052" w:rsidRPr="007321E4">
        <w:t xml:space="preserve">agricultural </w:t>
      </w:r>
      <w:r w:rsidRPr="007321E4">
        <w:t xml:space="preserve">measures maintained under Article XI:2(c) of the GATT 1994 are not "quantitative import restrictions" within the meaning of the first part of footnote 1 to Article 4.2 of the Agreement on Agriculture. </w:t>
      </w:r>
    </w:p>
    <w:p w:rsidR="0074451D" w:rsidRPr="007321E4" w:rsidRDefault="0074451D" w:rsidP="0074451D">
      <w:pPr>
        <w:pStyle w:val="BodyText2"/>
        <w:numPr>
          <w:ilvl w:val="7"/>
          <w:numId w:val="37"/>
        </w:numPr>
      </w:pPr>
      <w:r w:rsidRPr="007321E4">
        <w:t xml:space="preserve">Therefore, we </w:t>
      </w:r>
      <w:r w:rsidRPr="007321E4">
        <w:rPr>
          <w:u w:val="single"/>
        </w:rPr>
        <w:t>find</w:t>
      </w:r>
      <w:r w:rsidRPr="007321E4">
        <w:t xml:space="preserve"> that the prohibition of "quantitative import restrictions" under Article 4.2 of the Agreement on Agriculture extends to measures satisfying the requirements of Article XI</w:t>
      </w:r>
      <w:proofErr w:type="gramStart"/>
      <w:r w:rsidRPr="007321E4">
        <w:t>:2</w:t>
      </w:r>
      <w:proofErr w:type="gramEnd"/>
      <w:r w:rsidRPr="007321E4">
        <w:t xml:space="preserve">(c) of the GATT 1994. </w:t>
      </w:r>
    </w:p>
    <w:p w:rsidR="0074451D" w:rsidRPr="007321E4" w:rsidRDefault="0074451D" w:rsidP="0074451D">
      <w:pPr>
        <w:pStyle w:val="BodyText2"/>
        <w:numPr>
          <w:ilvl w:val="7"/>
          <w:numId w:val="37"/>
        </w:numPr>
      </w:pPr>
      <w:r w:rsidRPr="007321E4">
        <w:t xml:space="preserve">We further </w:t>
      </w:r>
      <w:r w:rsidRPr="007321E4">
        <w:rPr>
          <w:u w:val="single"/>
        </w:rPr>
        <w:t>find</w:t>
      </w:r>
      <w:r w:rsidRPr="007321E4">
        <w:t xml:space="preserve"> that</w:t>
      </w:r>
      <w:r w:rsidR="00A17260" w:rsidRPr="007321E4">
        <w:t>,</w:t>
      </w:r>
      <w:r w:rsidRPr="007321E4">
        <w:t xml:space="preserve"> by virtue of Article 21.1 of the Agreement on Agriculture, Article XI</w:t>
      </w:r>
      <w:proofErr w:type="gramStart"/>
      <w:r w:rsidRPr="007321E4">
        <w:t>:2</w:t>
      </w:r>
      <w:proofErr w:type="gramEnd"/>
      <w:r w:rsidRPr="007321E4">
        <w:t xml:space="preserve">(c) of the GATT 1994 cannot be relied upon to justify or exempt quantitative import restrictions that are inconsistent with Article 4.2 of the Agreement on Agriculture. </w:t>
      </w:r>
    </w:p>
    <w:p w:rsidR="0074451D" w:rsidRPr="007321E4" w:rsidRDefault="0074451D" w:rsidP="0074451D">
      <w:pPr>
        <w:pStyle w:val="BodyText"/>
        <w:numPr>
          <w:ilvl w:val="6"/>
          <w:numId w:val="37"/>
        </w:numPr>
      </w:pPr>
      <w:r w:rsidRPr="007321E4">
        <w:t xml:space="preserve">In addition, </w:t>
      </w:r>
      <w:r w:rsidRPr="007321E4">
        <w:rPr>
          <w:lang w:eastAsia="zh-CN"/>
        </w:rPr>
        <w:t xml:space="preserve">the Panel's findings that Measures 4, 7, and 16 are </w:t>
      </w:r>
      <w:r w:rsidRPr="007321E4">
        <w:rPr>
          <w:i/>
          <w:lang w:eastAsia="zh-CN"/>
        </w:rPr>
        <w:t>quantitative restrictions</w:t>
      </w:r>
      <w:r w:rsidRPr="007321E4">
        <w:rPr>
          <w:lang w:eastAsia="zh-CN"/>
        </w:rPr>
        <w:t xml:space="preserve"> on the importation of agricultural products inconsistent with Article XI:1 of the GATT 1994 would lead to the conclusion that these measures also fall within the prohibition of quantitative import restrictions under Article 4.2 </w:t>
      </w:r>
      <w:r w:rsidRPr="007321E4">
        <w:t>of the Agreement on Agriculture</w:t>
      </w:r>
      <w:r w:rsidRPr="007321E4">
        <w:rPr>
          <w:lang w:eastAsia="zh-CN"/>
        </w:rPr>
        <w:t>. This conclusion does not change regardless of whether Article XI</w:t>
      </w:r>
      <w:proofErr w:type="gramStart"/>
      <w:r w:rsidRPr="007321E4">
        <w:rPr>
          <w:lang w:eastAsia="zh-CN"/>
        </w:rPr>
        <w:t>:2</w:t>
      </w:r>
      <w:proofErr w:type="gramEnd"/>
      <w:r w:rsidRPr="007321E4">
        <w:rPr>
          <w:lang w:eastAsia="zh-CN"/>
        </w:rPr>
        <w:t xml:space="preserve">(c) is being invoked by Indonesia in relation to Article XI:1 or Article 4.2. </w:t>
      </w:r>
    </w:p>
    <w:p w:rsidR="0074451D" w:rsidRPr="007321E4" w:rsidRDefault="0074451D" w:rsidP="0074451D">
      <w:pPr>
        <w:pStyle w:val="BodyText2"/>
        <w:numPr>
          <w:ilvl w:val="7"/>
          <w:numId w:val="37"/>
        </w:numPr>
      </w:pPr>
      <w:r w:rsidRPr="007321E4">
        <w:t xml:space="preserve">Consequently, we </w:t>
      </w:r>
      <w:r w:rsidRPr="007321E4">
        <w:rPr>
          <w:u w:val="single"/>
        </w:rPr>
        <w:t>uphold</w:t>
      </w:r>
      <w:r w:rsidRPr="007321E4">
        <w:t xml:space="preserve"> the Panel's finding, in paragraph 7.60 of the Panel Report, to the extent that it states that, by virtue of Article 21.1 of the Agreement on Agriculture, Article XI</w:t>
      </w:r>
      <w:proofErr w:type="gramStart"/>
      <w:r w:rsidRPr="007321E4">
        <w:t>:2</w:t>
      </w:r>
      <w:proofErr w:type="gramEnd"/>
      <w:r w:rsidRPr="007321E4">
        <w:t>(c) of the GATT 1994 cannot be relied upon to justify or exempt measures falling within the prohibition of quantitative import restrictions under Article 4.2 of the Agreement on Agriculture.</w:t>
      </w:r>
      <w:r w:rsidRPr="007321E4" w:rsidDel="00610098">
        <w:rPr>
          <w:u w:val="single"/>
        </w:rPr>
        <w:t xml:space="preserve"> </w:t>
      </w:r>
    </w:p>
    <w:p w:rsidR="0074451D" w:rsidRPr="007321E4" w:rsidRDefault="0074451D" w:rsidP="009C365D">
      <w:pPr>
        <w:pStyle w:val="Heading2"/>
        <w:numPr>
          <w:ilvl w:val="1"/>
          <w:numId w:val="12"/>
        </w:numPr>
      </w:pPr>
      <w:bookmarkStart w:id="177" w:name="_Toc496267436"/>
      <w:bookmarkStart w:id="178" w:name="_Toc497915410"/>
      <w:r w:rsidRPr="007321E4">
        <w:t>Indonesia's claim under Article XX of the GATT 1994</w:t>
      </w:r>
      <w:bookmarkEnd w:id="177"/>
      <w:bookmarkEnd w:id="178"/>
    </w:p>
    <w:p w:rsidR="0074451D" w:rsidRPr="007321E4" w:rsidRDefault="0074451D" w:rsidP="0074451D">
      <w:pPr>
        <w:pStyle w:val="BodyText"/>
        <w:numPr>
          <w:ilvl w:val="6"/>
          <w:numId w:val="37"/>
        </w:numPr>
      </w:pPr>
      <w:r w:rsidRPr="007321E4">
        <w:t xml:space="preserve">The normal sequence of analysis under Article XX of the GATT 1994 involves, first, an assessment of whether the measure at issue is provisionally justified under one of the paragraphs of Article XX and, second, an assessment of whether that measure also meets the requirements of the </w:t>
      </w:r>
      <w:r w:rsidRPr="007321E4">
        <w:rPr>
          <w:i/>
        </w:rPr>
        <w:t xml:space="preserve">chapeau </w:t>
      </w:r>
      <w:r w:rsidRPr="007321E4">
        <w:t xml:space="preserve">of Article XX. This reflects </w:t>
      </w:r>
      <w:r w:rsidR="00802052" w:rsidRPr="007321E4">
        <w:t>"</w:t>
      </w:r>
      <w:r w:rsidRPr="007321E4">
        <w:t>the fundamental structure and logic of Article XX".</w:t>
      </w:r>
      <w:r w:rsidRPr="007321E4">
        <w:rPr>
          <w:rStyle w:val="FootnoteReference"/>
        </w:rPr>
        <w:footnoteReference w:id="265"/>
      </w:r>
      <w:r w:rsidRPr="007321E4">
        <w:t xml:space="preserve"> It also comports with the function of the </w:t>
      </w:r>
      <w:r w:rsidRPr="007321E4">
        <w:rPr>
          <w:i/>
        </w:rPr>
        <w:t xml:space="preserve">chapeau </w:t>
      </w:r>
      <w:r w:rsidRPr="007321E4">
        <w:t>of Article XX, which is "to prevent abuse of the exceptions specified in the paragraphs of that provision"</w:t>
      </w:r>
      <w:r w:rsidRPr="007321E4">
        <w:rPr>
          <w:rStyle w:val="FootnoteReference"/>
        </w:rPr>
        <w:footnoteReference w:id="266"/>
      </w:r>
      <w:r w:rsidRPr="007321E4">
        <w:t>, and to ensure that a balance is struck between the right of a Member to invoke an exception under Article XX and the substantive rights of other Members under the GATT 1994.</w:t>
      </w:r>
      <w:r w:rsidRPr="007321E4">
        <w:rPr>
          <w:vertAlign w:val="superscript"/>
        </w:rPr>
        <w:footnoteReference w:id="267"/>
      </w:r>
      <w:r w:rsidRPr="007321E4">
        <w:t xml:space="preserve"> Depending on the particular circumstances of the case, a panel that deviates from the sequence of analysis under Article XX might not necessarily, for that reason alone, commit a reversible legal error provided the panel has made findings on those elements under the applicable paragraphs that are relevant for its analysis of the requirements of</w:t>
      </w:r>
      <w:r w:rsidR="0048565D" w:rsidRPr="007321E4">
        <w:t xml:space="preserve"> the</w:t>
      </w:r>
      <w:r w:rsidRPr="007321E4">
        <w:t xml:space="preserve"> </w:t>
      </w:r>
      <w:r w:rsidRPr="007321E4">
        <w:rPr>
          <w:i/>
        </w:rPr>
        <w:t>chapeau</w:t>
      </w:r>
      <w:r w:rsidRPr="007321E4">
        <w:t xml:space="preserve">. However, following the normal sequence of analysis under Article XX provides panels with the necessary tools to assess the requirements of the </w:t>
      </w:r>
      <w:r w:rsidRPr="007321E4">
        <w:rPr>
          <w:i/>
        </w:rPr>
        <w:t>chapeau</w:t>
      </w:r>
      <w:r w:rsidRPr="007321E4">
        <w:t xml:space="preserve">. </w:t>
      </w:r>
    </w:p>
    <w:p w:rsidR="00ED4414" w:rsidRPr="007321E4" w:rsidRDefault="0074451D" w:rsidP="0074451D">
      <w:pPr>
        <w:pStyle w:val="BodyText"/>
        <w:numPr>
          <w:ilvl w:val="6"/>
          <w:numId w:val="37"/>
        </w:numPr>
      </w:pPr>
      <w:r w:rsidRPr="007321E4">
        <w:t xml:space="preserve">Having made these observations, we note Indonesia's contention that it would not be possible for us to complete the legal analysis </w:t>
      </w:r>
      <w:r w:rsidR="00FE4110" w:rsidRPr="007321E4">
        <w:t xml:space="preserve">to determine whether </w:t>
      </w:r>
      <w:r w:rsidRPr="007321E4">
        <w:t>Measures 9 through 17 are justified under Article XX(a), (b)</w:t>
      </w:r>
      <w:r w:rsidR="00B83542" w:rsidRPr="007321E4">
        <w:t>,</w:t>
      </w:r>
      <w:r w:rsidRPr="007321E4">
        <w:t xml:space="preserve"> or (d)</w:t>
      </w:r>
      <w:r w:rsidR="00B83542" w:rsidRPr="007321E4">
        <w:t xml:space="preserve"> of the GATT 1994</w:t>
      </w:r>
      <w:r w:rsidRPr="007321E4">
        <w:t xml:space="preserve">. According to Indonesia, there are "insufficient factual findings on the record" in respect of Measures 9 through 17 for us to </w:t>
      </w:r>
      <w:r w:rsidR="00B83542" w:rsidRPr="007321E4">
        <w:t>do so</w:t>
      </w:r>
      <w:r w:rsidRPr="007321E4">
        <w:t>.</w:t>
      </w:r>
      <w:r w:rsidRPr="007321E4">
        <w:rPr>
          <w:vertAlign w:val="superscript"/>
        </w:rPr>
        <w:footnoteReference w:id="268"/>
      </w:r>
      <w:r w:rsidRPr="007321E4">
        <w:t xml:space="preserve"> We further note that, even if we were to accede to Indonesia's request on appeal and reverse the Panel's findings and conclusions under Article XX in respect of Measures 9 through 17 without</w:t>
      </w:r>
      <w:r w:rsidR="00ED4414" w:rsidRPr="007321E4">
        <w:br/>
      </w:r>
    </w:p>
    <w:p w:rsidR="00ED4414" w:rsidRPr="007321E4" w:rsidRDefault="00ED4414">
      <w:pPr>
        <w:jc w:val="left"/>
        <w:rPr>
          <w:szCs w:val="20"/>
          <w:lang w:eastAsia="en-GB"/>
        </w:rPr>
      </w:pPr>
      <w:r w:rsidRPr="007321E4">
        <w:br w:type="page"/>
      </w:r>
    </w:p>
    <w:p w:rsidR="0074451D" w:rsidRPr="007321E4" w:rsidRDefault="0074451D" w:rsidP="00ED4414">
      <w:pPr>
        <w:pStyle w:val="BodyText"/>
        <w:numPr>
          <w:ilvl w:val="0"/>
          <w:numId w:val="0"/>
        </w:numPr>
      </w:pPr>
      <w:proofErr w:type="gramStart"/>
      <w:r w:rsidRPr="007321E4">
        <w:lastRenderedPageBreak/>
        <w:t>completing</w:t>
      </w:r>
      <w:proofErr w:type="gramEnd"/>
      <w:r w:rsidRPr="007321E4">
        <w:t xml:space="preserve"> the legal analysis, the Panel's findings that these measures are inconsistent with Article XI</w:t>
      </w:r>
      <w:r w:rsidR="00802052" w:rsidRPr="007321E4">
        <w:t>:1</w:t>
      </w:r>
      <w:r w:rsidRPr="007321E4">
        <w:t xml:space="preserve"> of the GATT 1994 would remain undisturbed. For this reason, we consider that a ruling on Indonesia's claim on appeal under Article XX is unnecessary for the purposes of resolving this dispute. </w:t>
      </w:r>
    </w:p>
    <w:p w:rsidR="0074451D" w:rsidRPr="007321E4" w:rsidRDefault="0074451D" w:rsidP="0074451D">
      <w:pPr>
        <w:pStyle w:val="BodyText2"/>
        <w:numPr>
          <w:ilvl w:val="7"/>
          <w:numId w:val="37"/>
        </w:numPr>
      </w:pPr>
      <w:r w:rsidRPr="007321E4">
        <w:t xml:space="preserve">Therefore, we </w:t>
      </w:r>
      <w:r w:rsidRPr="007321E4">
        <w:rPr>
          <w:u w:val="single"/>
        </w:rPr>
        <w:t>decline to rule</w:t>
      </w:r>
      <w:r w:rsidRPr="007321E4">
        <w:t xml:space="preserve"> on Indonesia's claim on appeal under Article XX of the GATT 1994 and declare the Panel's finding that "Indonesia ha</w:t>
      </w:r>
      <w:r w:rsidR="00B83542" w:rsidRPr="007321E4">
        <w:t>[d]</w:t>
      </w:r>
      <w:r w:rsidRPr="007321E4">
        <w:t xml:space="preserve"> failed to demonstrate that Measures 9 through 17 are justified under Articles </w:t>
      </w:r>
      <w:proofErr w:type="gramStart"/>
      <w:r w:rsidRPr="007321E4">
        <w:t>XX(</w:t>
      </w:r>
      <w:proofErr w:type="gramEnd"/>
      <w:r w:rsidRPr="007321E4">
        <w:t>a), (b) or (d) of the GATT 1994, as appropriate", in paragraph 7.830 of the Panel Report</w:t>
      </w:r>
      <w:r w:rsidRPr="007321E4">
        <w:rPr>
          <w:rStyle w:val="FootnoteReference"/>
        </w:rPr>
        <w:footnoteReference w:id="269"/>
      </w:r>
      <w:r w:rsidRPr="007321E4">
        <w:t xml:space="preserve">, </w:t>
      </w:r>
      <w:r w:rsidRPr="007321E4">
        <w:rPr>
          <w:u w:val="single"/>
        </w:rPr>
        <w:t>moot and of no legal effect</w:t>
      </w:r>
      <w:r w:rsidRPr="007321E4">
        <w:t xml:space="preserve">. </w:t>
      </w:r>
    </w:p>
    <w:p w:rsidR="0074451D" w:rsidRPr="007321E4" w:rsidRDefault="0074451D" w:rsidP="002351B5">
      <w:pPr>
        <w:pStyle w:val="Heading2"/>
        <w:numPr>
          <w:ilvl w:val="1"/>
          <w:numId w:val="12"/>
        </w:numPr>
      </w:pPr>
      <w:bookmarkStart w:id="179" w:name="_Toc496267437"/>
      <w:bookmarkStart w:id="180" w:name="_Toc497915411"/>
      <w:r w:rsidRPr="007321E4">
        <w:t>Recommendation</w:t>
      </w:r>
      <w:bookmarkEnd w:id="179"/>
      <w:bookmarkEnd w:id="180"/>
    </w:p>
    <w:p w:rsidR="0074451D" w:rsidRPr="007321E4" w:rsidRDefault="0074451D" w:rsidP="0074451D">
      <w:pPr>
        <w:pStyle w:val="BodyText"/>
        <w:numPr>
          <w:ilvl w:val="6"/>
          <w:numId w:val="37"/>
        </w:numPr>
      </w:pPr>
      <w:r w:rsidRPr="007321E4">
        <w:t xml:space="preserve">The Appellate Body </w:t>
      </w:r>
      <w:r w:rsidRPr="007321E4">
        <w:rPr>
          <w:u w:val="single"/>
        </w:rPr>
        <w:t>recommends</w:t>
      </w:r>
      <w:r w:rsidRPr="007321E4">
        <w:t xml:space="preserve"> that the DSB request Indonesia to bring its measures, found in this Report, and in the Panel Report as modified by this Report, to be inconsistent with the GATT 1994, into conformity with its obligations under that Agreement.</w:t>
      </w:r>
    </w:p>
    <w:p w:rsidR="009C365D" w:rsidRPr="007321E4" w:rsidRDefault="009C365D" w:rsidP="009C365D">
      <w:r w:rsidRPr="007321E4">
        <w:t xml:space="preserve">Signed in the original in Geneva this 12th day of October 2017 by: </w:t>
      </w:r>
    </w:p>
    <w:p w:rsidR="009C365D" w:rsidRPr="007321E4" w:rsidRDefault="009C365D" w:rsidP="009C365D"/>
    <w:p w:rsidR="00DE409E" w:rsidRPr="007321E4" w:rsidRDefault="00DE409E" w:rsidP="009C365D"/>
    <w:p w:rsidR="00DE409E" w:rsidRPr="007321E4" w:rsidRDefault="00DE409E" w:rsidP="009C365D"/>
    <w:p w:rsidR="009C365D" w:rsidRPr="007321E4" w:rsidRDefault="009C365D" w:rsidP="009C365D"/>
    <w:p w:rsidR="009C365D" w:rsidRPr="007321E4" w:rsidRDefault="009C365D" w:rsidP="009C365D"/>
    <w:p w:rsidR="009C365D" w:rsidRPr="007321E4" w:rsidRDefault="009C365D" w:rsidP="009C365D"/>
    <w:p w:rsidR="009C365D" w:rsidRPr="007321E4" w:rsidRDefault="009C365D" w:rsidP="009C365D"/>
    <w:p w:rsidR="009C365D" w:rsidRPr="007321E4" w:rsidRDefault="009C365D" w:rsidP="009C365D"/>
    <w:p w:rsidR="009C365D" w:rsidRPr="007321E4" w:rsidRDefault="009C365D" w:rsidP="009C365D"/>
    <w:p w:rsidR="009C365D" w:rsidRPr="007321E4" w:rsidRDefault="009C365D" w:rsidP="009C365D">
      <w:pPr>
        <w:jc w:val="center"/>
      </w:pPr>
    </w:p>
    <w:p w:rsidR="009C365D" w:rsidRPr="007321E4" w:rsidRDefault="009C365D" w:rsidP="009C365D">
      <w:pPr>
        <w:jc w:val="center"/>
        <w:rPr>
          <w:b/>
        </w:rPr>
      </w:pPr>
      <w:r w:rsidRPr="007321E4">
        <w:rPr>
          <w:b/>
        </w:rPr>
        <w:t>_________________________</w:t>
      </w:r>
    </w:p>
    <w:p w:rsidR="009C365D" w:rsidRPr="007321E4" w:rsidRDefault="009C365D" w:rsidP="009C365D">
      <w:pPr>
        <w:jc w:val="center"/>
      </w:pPr>
      <w:proofErr w:type="spellStart"/>
      <w:r w:rsidRPr="007321E4">
        <w:t>Ujal</w:t>
      </w:r>
      <w:proofErr w:type="spellEnd"/>
      <w:r w:rsidRPr="007321E4">
        <w:t xml:space="preserve"> Singh Bhatia</w:t>
      </w:r>
    </w:p>
    <w:p w:rsidR="009C365D" w:rsidRPr="007321E4" w:rsidRDefault="009C365D" w:rsidP="009C365D">
      <w:pPr>
        <w:jc w:val="center"/>
      </w:pPr>
      <w:r w:rsidRPr="007321E4">
        <w:t>Presiding Member</w:t>
      </w:r>
    </w:p>
    <w:p w:rsidR="009C365D" w:rsidRPr="007321E4" w:rsidRDefault="009C365D" w:rsidP="009C365D">
      <w:pPr>
        <w:jc w:val="center"/>
      </w:pPr>
    </w:p>
    <w:p w:rsidR="009C365D" w:rsidRPr="007321E4" w:rsidRDefault="009C365D" w:rsidP="009C365D"/>
    <w:p w:rsidR="009C365D" w:rsidRPr="007321E4" w:rsidRDefault="009C365D" w:rsidP="009C365D"/>
    <w:p w:rsidR="009C365D" w:rsidRPr="007321E4" w:rsidRDefault="009C365D" w:rsidP="009C365D"/>
    <w:p w:rsidR="009C365D" w:rsidRPr="007321E4" w:rsidRDefault="009C365D" w:rsidP="009C365D"/>
    <w:p w:rsidR="009C365D" w:rsidRPr="007321E4" w:rsidRDefault="009C365D" w:rsidP="009C365D"/>
    <w:p w:rsidR="009C365D" w:rsidRPr="007321E4" w:rsidRDefault="009C365D" w:rsidP="009C365D"/>
    <w:p w:rsidR="009C365D" w:rsidRPr="007321E4" w:rsidRDefault="009C365D" w:rsidP="009C365D"/>
    <w:p w:rsidR="009C365D" w:rsidRPr="007321E4" w:rsidRDefault="009C365D" w:rsidP="009C365D">
      <w:r w:rsidRPr="007321E4">
        <w:rPr>
          <w:b/>
        </w:rPr>
        <w:t>_________________________</w:t>
      </w:r>
      <w:r w:rsidRPr="007321E4">
        <w:tab/>
      </w:r>
      <w:r w:rsidRPr="007321E4">
        <w:tab/>
      </w:r>
      <w:r w:rsidRPr="007321E4">
        <w:tab/>
      </w:r>
      <w:r w:rsidRPr="007321E4">
        <w:tab/>
      </w:r>
      <w:r w:rsidRPr="007321E4">
        <w:tab/>
      </w:r>
      <w:r w:rsidRPr="007321E4">
        <w:rPr>
          <w:b/>
        </w:rPr>
        <w:t>_________________________</w:t>
      </w:r>
    </w:p>
    <w:p w:rsidR="009C365D" w:rsidRPr="007321E4" w:rsidRDefault="009C365D" w:rsidP="009C365D">
      <w:pPr>
        <w:tabs>
          <w:tab w:val="left" w:pos="567"/>
          <w:tab w:val="left" w:pos="5670"/>
          <w:tab w:val="left" w:pos="5954"/>
        </w:tabs>
      </w:pPr>
      <w:r w:rsidRPr="007321E4">
        <w:tab/>
        <w:t>Thomas Graham</w:t>
      </w:r>
      <w:r w:rsidRPr="007321E4">
        <w:tab/>
      </w:r>
      <w:r w:rsidRPr="007321E4">
        <w:tab/>
      </w:r>
      <w:r w:rsidRPr="007321E4">
        <w:rPr>
          <w:szCs w:val="18"/>
        </w:rPr>
        <w:t xml:space="preserve">Ricardo </w:t>
      </w:r>
      <w:proofErr w:type="spellStart"/>
      <w:r w:rsidRPr="007321E4">
        <w:rPr>
          <w:szCs w:val="18"/>
        </w:rPr>
        <w:t>Ramírez</w:t>
      </w:r>
      <w:proofErr w:type="spellEnd"/>
      <w:r w:rsidRPr="007321E4">
        <w:rPr>
          <w:szCs w:val="18"/>
        </w:rPr>
        <w:t>-Hernández</w:t>
      </w:r>
    </w:p>
    <w:p w:rsidR="009C365D" w:rsidRPr="007321E4" w:rsidRDefault="009C365D" w:rsidP="009C365D">
      <w:pPr>
        <w:tabs>
          <w:tab w:val="left" w:pos="851"/>
          <w:tab w:val="left" w:pos="7088"/>
        </w:tabs>
      </w:pPr>
      <w:r w:rsidRPr="007321E4">
        <w:tab/>
        <w:t>Member</w:t>
      </w:r>
      <w:r w:rsidRPr="007321E4">
        <w:tab/>
      </w:r>
      <w:proofErr w:type="spellStart"/>
      <w:r w:rsidRPr="007321E4">
        <w:t>Member</w:t>
      </w:r>
      <w:bookmarkStart w:id="181" w:name="_Toc343522840"/>
      <w:proofErr w:type="spellEnd"/>
    </w:p>
    <w:p w:rsidR="00DE409E" w:rsidRPr="007321E4" w:rsidRDefault="00DE409E" w:rsidP="009C365D">
      <w:pPr>
        <w:tabs>
          <w:tab w:val="left" w:pos="851"/>
          <w:tab w:val="left" w:pos="7088"/>
        </w:tabs>
      </w:pPr>
    </w:p>
    <w:p w:rsidR="00DE409E" w:rsidRPr="007321E4" w:rsidRDefault="00DE409E" w:rsidP="00DE409E">
      <w:pPr>
        <w:tabs>
          <w:tab w:val="left" w:pos="851"/>
          <w:tab w:val="left" w:pos="7088"/>
        </w:tabs>
      </w:pPr>
    </w:p>
    <w:p w:rsidR="00DE409E" w:rsidRPr="007321E4" w:rsidRDefault="00DE409E" w:rsidP="00DE409E">
      <w:pPr>
        <w:tabs>
          <w:tab w:val="left" w:pos="851"/>
          <w:tab w:val="left" w:pos="7088"/>
        </w:tabs>
        <w:jc w:val="center"/>
      </w:pPr>
      <w:r w:rsidRPr="007321E4">
        <w:rPr>
          <w:b/>
        </w:rPr>
        <w:t>__________</w:t>
      </w:r>
      <w:bookmarkEnd w:id="181"/>
    </w:p>
    <w:sectPr w:rsidR="00DE409E" w:rsidRPr="007321E4" w:rsidSect="006E3D9B">
      <w:headerReference w:type="even" r:id="rId62"/>
      <w:headerReference w:type="default" r:id="rId63"/>
      <w:footerReference w:type="even" r:id="rId64"/>
      <w:headerReference w:type="first" r:id="rId6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8A" w:rsidRDefault="008E128A" w:rsidP="00ED54E0">
      <w:r>
        <w:separator/>
      </w:r>
    </w:p>
  </w:endnote>
  <w:endnote w:type="continuationSeparator" w:id="0">
    <w:p w:rsidR="008E128A" w:rsidRDefault="008E128A"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49" w:rsidRPr="00F75818" w:rsidRDefault="006A4249" w:rsidP="00F7581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8A" w:rsidRDefault="008E128A" w:rsidP="00ED54E0">
      <w:r>
        <w:separator/>
      </w:r>
    </w:p>
  </w:footnote>
  <w:footnote w:type="continuationSeparator" w:id="0">
    <w:p w:rsidR="008E128A" w:rsidRDefault="008E128A" w:rsidP="00ED54E0">
      <w:r>
        <w:continuationSeparator/>
      </w:r>
    </w:p>
  </w:footnote>
  <w:footnote w:id="1">
    <w:p w:rsidR="006A4249" w:rsidRPr="007321E4" w:rsidRDefault="006A4249" w:rsidP="00D0148B">
      <w:pPr>
        <w:pStyle w:val="FootnoteText"/>
        <w:rPr>
          <w:rFonts w:cs="Arial"/>
          <w:szCs w:val="16"/>
        </w:rPr>
      </w:pPr>
      <w:r w:rsidRPr="007321E4">
        <w:rPr>
          <w:rStyle w:val="FootnoteReference"/>
          <w:szCs w:val="16"/>
        </w:rPr>
        <w:footnoteRef/>
      </w:r>
      <w:r w:rsidRPr="007321E4">
        <w:t xml:space="preserve"> WT/DS477/R,</w:t>
      </w:r>
      <w:r w:rsidRPr="007321E4">
        <w:rPr>
          <w:rFonts w:cs="Arial"/>
          <w:szCs w:val="16"/>
        </w:rPr>
        <w:t xml:space="preserve"> WT/DS478/R, 22 December 2016.</w:t>
      </w:r>
    </w:p>
  </w:footnote>
  <w:footnote w:id="2">
    <w:p w:rsidR="006A4249" w:rsidRPr="007321E4" w:rsidRDefault="006A4249" w:rsidP="00D0148B">
      <w:pPr>
        <w:pStyle w:val="FootnoteText"/>
        <w:jc w:val="both"/>
      </w:pPr>
      <w:r w:rsidRPr="007321E4">
        <w:rPr>
          <w:rStyle w:val="FootnoteReference"/>
        </w:rPr>
        <w:footnoteRef/>
      </w:r>
      <w:r w:rsidRPr="007321E4">
        <w:t xml:space="preserve"> Request for the Establishment of a Panel by New Zealand, WT/DS477/9 (New Zealand's Panel Request).</w:t>
      </w:r>
    </w:p>
  </w:footnote>
  <w:footnote w:id="3">
    <w:p w:rsidR="006A4249" w:rsidRPr="007321E4" w:rsidRDefault="006A4249">
      <w:pPr>
        <w:pStyle w:val="FootnoteText"/>
      </w:pPr>
      <w:r w:rsidRPr="007321E4">
        <w:rPr>
          <w:rStyle w:val="FootnoteReference"/>
        </w:rPr>
        <w:footnoteRef/>
      </w:r>
      <w:r w:rsidRPr="007321E4">
        <w:t xml:space="preserve"> Request for the Establishment of a Panel by the United States, WT/DS478/9 (United States' Panel Request).</w:t>
      </w:r>
    </w:p>
  </w:footnote>
  <w:footnote w:id="4">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1.3 (referring to the Minutes of the DSB Meeting held on 20 May 2015, WT/DSB/M/361).</w:t>
      </w:r>
    </w:p>
  </w:footnote>
  <w:footnote w:id="5">
    <w:p w:rsidR="006A4249" w:rsidRPr="007321E4" w:rsidRDefault="006A4249" w:rsidP="001C0D17">
      <w:pPr>
        <w:pStyle w:val="FootnoteText"/>
        <w:keepNext/>
        <w:keepLines/>
      </w:pPr>
      <w:r w:rsidRPr="007321E4">
        <w:rPr>
          <w:rStyle w:val="FootnoteReference"/>
        </w:rPr>
        <w:footnoteRef/>
      </w:r>
      <w:r w:rsidRPr="007321E4">
        <w:t xml:space="preserve"> The discrete elements of Indonesia's import licensing regime for horticultural products challenged by the co</w:t>
      </w:r>
      <w:r w:rsidRPr="007321E4">
        <w:noBreakHyphen/>
        <w:t xml:space="preserve">complainants are set out in the Panel Report as follows: </w:t>
      </w:r>
    </w:p>
    <w:p w:rsidR="006A4249" w:rsidRPr="007321E4" w:rsidRDefault="006A4249" w:rsidP="001C0D17">
      <w:pPr>
        <w:pStyle w:val="FootnoteText"/>
        <w:keepNext/>
        <w:keepLines/>
        <w:numPr>
          <w:ilvl w:val="0"/>
          <w:numId w:val="42"/>
        </w:numPr>
        <w:ind w:left="720" w:hanging="180"/>
      </w:pPr>
      <w:r w:rsidRPr="007321E4">
        <w:rPr>
          <w:u w:val="single"/>
        </w:rPr>
        <w:t>Measure 1</w:t>
      </w:r>
      <w:r w:rsidRPr="007321E4">
        <w:t xml:space="preserve"> (limited application windows and validity periods) – a combination of limited application windows and six</w:t>
      </w:r>
      <w:r w:rsidRPr="007321E4">
        <w:noBreakHyphen/>
        <w:t xml:space="preserve">month validity periods of the import recommendations obtained from the Ministry of Agriculture and the import approvals obtained from the Ministry of Trade (para. 2.33. See also para. 2.11); </w:t>
      </w:r>
    </w:p>
    <w:p w:rsidR="006A4249" w:rsidRPr="007321E4" w:rsidRDefault="006A4249" w:rsidP="001C0D17">
      <w:pPr>
        <w:pStyle w:val="FootnoteText"/>
        <w:keepNext/>
        <w:keepLines/>
        <w:numPr>
          <w:ilvl w:val="0"/>
          <w:numId w:val="42"/>
        </w:numPr>
        <w:ind w:left="720" w:hanging="180"/>
      </w:pPr>
      <w:r w:rsidRPr="007321E4">
        <w:rPr>
          <w:u w:val="single"/>
        </w:rPr>
        <w:t>Measure 2</w:t>
      </w:r>
      <w:r w:rsidRPr="007321E4">
        <w:t xml:space="preserve"> (periodic and fixed import terms) – the requirement to import horticultural products only within the terms of the import recommendations and import approvals (para. 2.35); </w:t>
      </w:r>
    </w:p>
    <w:p w:rsidR="006A4249" w:rsidRPr="007321E4" w:rsidRDefault="006A4249" w:rsidP="001C0D17">
      <w:pPr>
        <w:pStyle w:val="FootnoteText"/>
        <w:keepNext/>
        <w:keepLines/>
        <w:numPr>
          <w:ilvl w:val="0"/>
          <w:numId w:val="42"/>
        </w:numPr>
        <w:ind w:left="720" w:hanging="180"/>
      </w:pPr>
      <w:r w:rsidRPr="007321E4">
        <w:rPr>
          <w:u w:val="single"/>
        </w:rPr>
        <w:t>Measure 3</w:t>
      </w:r>
      <w:r w:rsidRPr="007321E4">
        <w:t xml:space="preserve"> (80% realization requirement) – the requirement that registered importers of fresh horticultural products import at least 80% of the quantity of each type of product specified on their import approvals for every six</w:t>
      </w:r>
      <w:r w:rsidRPr="007321E4">
        <w:noBreakHyphen/>
        <w:t xml:space="preserve">month validity period (para. 2.37); </w:t>
      </w:r>
    </w:p>
    <w:p w:rsidR="006A4249" w:rsidRPr="007321E4" w:rsidRDefault="006A4249" w:rsidP="001C0D17">
      <w:pPr>
        <w:pStyle w:val="FootnoteText"/>
        <w:keepNext/>
        <w:keepLines/>
        <w:numPr>
          <w:ilvl w:val="0"/>
          <w:numId w:val="42"/>
        </w:numPr>
        <w:ind w:left="720" w:hanging="180"/>
      </w:pPr>
      <w:r w:rsidRPr="007321E4">
        <w:rPr>
          <w:u w:val="single"/>
        </w:rPr>
        <w:t>Measure 4</w:t>
      </w:r>
      <w:r w:rsidRPr="007321E4">
        <w:t xml:space="preserve"> (harvest period requirement) – the requirement that the importation of horticultural products takes place prior to, during, and after the respective domestic harvest seasons within a certain time period (para. 2.39); </w:t>
      </w:r>
    </w:p>
    <w:p w:rsidR="006A4249" w:rsidRPr="007321E4" w:rsidRDefault="006A4249" w:rsidP="001C0D17">
      <w:pPr>
        <w:pStyle w:val="FootnoteText"/>
        <w:keepNext/>
        <w:keepLines/>
        <w:numPr>
          <w:ilvl w:val="0"/>
          <w:numId w:val="42"/>
        </w:numPr>
        <w:ind w:left="720" w:hanging="180"/>
      </w:pPr>
      <w:r w:rsidRPr="007321E4">
        <w:rPr>
          <w:u w:val="single"/>
        </w:rPr>
        <w:t>Measure 5</w:t>
      </w:r>
      <w:r w:rsidRPr="007321E4">
        <w:t xml:space="preserve"> (storage ownership and capacity requirements) – the requirement that importers must own their storage facilities with sufficient capacity to hold the full quantity requested on their import application (para. 2.41); </w:t>
      </w:r>
    </w:p>
    <w:p w:rsidR="006A4249" w:rsidRPr="007321E4" w:rsidRDefault="006A4249" w:rsidP="001C0D17">
      <w:pPr>
        <w:pStyle w:val="FootnoteText"/>
        <w:keepNext/>
        <w:keepLines/>
        <w:numPr>
          <w:ilvl w:val="0"/>
          <w:numId w:val="42"/>
        </w:numPr>
        <w:ind w:left="720" w:hanging="180"/>
      </w:pPr>
      <w:r w:rsidRPr="007321E4">
        <w:rPr>
          <w:u w:val="single"/>
        </w:rPr>
        <w:t>Measure 6</w:t>
      </w:r>
      <w:r w:rsidRPr="007321E4">
        <w:t xml:space="preserve"> (use, sale and distribution requirements for horticultural products) – the requirements that limit the use, sale, and distribution of the imported products (para. 2.43); </w:t>
      </w:r>
    </w:p>
    <w:p w:rsidR="006A4249" w:rsidRPr="007321E4" w:rsidRDefault="006A4249" w:rsidP="001C0D17">
      <w:pPr>
        <w:pStyle w:val="FootnoteText"/>
        <w:keepNext/>
        <w:keepLines/>
        <w:numPr>
          <w:ilvl w:val="0"/>
          <w:numId w:val="42"/>
        </w:numPr>
        <w:ind w:left="720" w:hanging="180"/>
      </w:pPr>
      <w:r w:rsidRPr="007321E4">
        <w:rPr>
          <w:u w:val="single"/>
        </w:rPr>
        <w:t>Measure 7</w:t>
      </w:r>
      <w:r w:rsidRPr="007321E4">
        <w:t xml:space="preserve"> (reference prices for chillies and fresh shallots for consumption) – the implementation of a reference price system by the Ministry of Trade on imports of chillies and fresh shallots for consumption (para. 2.45); and </w:t>
      </w:r>
    </w:p>
    <w:p w:rsidR="006A4249" w:rsidRPr="007321E4" w:rsidRDefault="006A4249" w:rsidP="00EC59AA">
      <w:pPr>
        <w:pStyle w:val="FootnoteText"/>
        <w:keepNext/>
        <w:keepLines/>
        <w:numPr>
          <w:ilvl w:val="0"/>
          <w:numId w:val="42"/>
        </w:numPr>
        <w:ind w:left="720" w:hanging="180"/>
      </w:pPr>
      <w:r w:rsidRPr="007321E4">
        <w:rPr>
          <w:u w:val="single"/>
        </w:rPr>
        <w:t>Measure 8</w:t>
      </w:r>
      <w:r w:rsidRPr="007321E4">
        <w:t xml:space="preserve"> (six-month harvest requirement) – the requirement that all imported fresh horticultural products have been harvested less than six months prior to importation (para. 2.48). </w:t>
      </w:r>
    </w:p>
  </w:footnote>
  <w:footnote w:id="6">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2.49.</w:t>
      </w:r>
    </w:p>
  </w:footnote>
  <w:footnote w:id="7">
    <w:p w:rsidR="006A4249" w:rsidRPr="007321E4" w:rsidRDefault="006A4249" w:rsidP="001C0D17">
      <w:pPr>
        <w:pStyle w:val="FootnoteText"/>
        <w:keepNext/>
        <w:keepLines/>
      </w:pPr>
      <w:r w:rsidRPr="007321E4">
        <w:rPr>
          <w:rStyle w:val="FootnoteReference"/>
        </w:rPr>
        <w:footnoteRef/>
      </w:r>
      <w:r w:rsidRPr="007321E4">
        <w:t xml:space="preserve"> The discrete elements of Indonesia's import licensing regime for animals and animal products challenged by the co-complainants are set out in the Panel Report as follows: </w:t>
      </w:r>
    </w:p>
    <w:p w:rsidR="006A4249" w:rsidRPr="007321E4" w:rsidRDefault="006A4249" w:rsidP="001C0D17">
      <w:pPr>
        <w:pStyle w:val="FootnoteText"/>
        <w:keepNext/>
        <w:keepLines/>
        <w:numPr>
          <w:ilvl w:val="0"/>
          <w:numId w:val="42"/>
        </w:numPr>
        <w:ind w:left="720" w:hanging="180"/>
      </w:pPr>
      <w:r w:rsidRPr="007321E4">
        <w:rPr>
          <w:u w:val="single"/>
        </w:rPr>
        <w:t>Measure 10</w:t>
      </w:r>
      <w:r w:rsidRPr="007321E4">
        <w:t xml:space="preserve"> (prohibition of importation of certain animals and animal products, except in emergency circumstances) – the prohibition on the importation of certain bovine meat, offal, carcass, and processed products as well as of certain non-bovine and processed products (para. 2.50); </w:t>
      </w:r>
    </w:p>
    <w:p w:rsidR="006A4249" w:rsidRPr="007321E4" w:rsidRDefault="006A4249" w:rsidP="001C0D17">
      <w:pPr>
        <w:pStyle w:val="FootnoteText"/>
        <w:keepNext/>
        <w:keepLines/>
        <w:numPr>
          <w:ilvl w:val="0"/>
          <w:numId w:val="42"/>
        </w:numPr>
        <w:ind w:left="720" w:hanging="180"/>
      </w:pPr>
      <w:r w:rsidRPr="007321E4">
        <w:rPr>
          <w:u w:val="single"/>
        </w:rPr>
        <w:t>Measure 11</w:t>
      </w:r>
      <w:r w:rsidRPr="007321E4">
        <w:t xml:space="preserve"> (limited application windows and validity periods) – a combination of requirements, including the prohibition on importers from applying for import recommendations and import approvals outside four one</w:t>
      </w:r>
      <w:r w:rsidRPr="007321E4">
        <w:noBreakHyphen/>
        <w:t>month periods, the provision that import approvals are valid for only the three</w:t>
      </w:r>
      <w:r w:rsidRPr="007321E4">
        <w:noBreakHyphen/>
        <w:t xml:space="preserve">month duration of each quarter, and the requirement that importers are only permitted to apply for import recommendations and import approvals in the month preceding the start of the relevant quarter (para. 2.52); </w:t>
      </w:r>
    </w:p>
    <w:p w:rsidR="006A4249" w:rsidRPr="007321E4" w:rsidRDefault="006A4249" w:rsidP="001C0D17">
      <w:pPr>
        <w:pStyle w:val="FootnoteText"/>
        <w:keepNext/>
        <w:keepLines/>
        <w:numPr>
          <w:ilvl w:val="0"/>
          <w:numId w:val="42"/>
        </w:numPr>
        <w:ind w:left="720" w:hanging="180"/>
      </w:pPr>
      <w:r w:rsidRPr="007321E4">
        <w:rPr>
          <w:u w:val="single"/>
        </w:rPr>
        <w:t>Measure 12</w:t>
      </w:r>
      <w:r w:rsidRPr="007321E4">
        <w:t xml:space="preserve"> (periodic and fixed import terms) – the requirement to import only animals and animal products within the terms of the import recommendations and import approvals, the prohibition of importing types/categories of carcasses, meat, and/or their processed products other than as specified in import approvals and import recommendations, and the prohibition from requesting changes to the elements specified in the import recommendations once they have been issued (para. 2.54); </w:t>
      </w:r>
    </w:p>
    <w:p w:rsidR="006A4249" w:rsidRPr="007321E4" w:rsidRDefault="006A4249" w:rsidP="001C0D17">
      <w:pPr>
        <w:pStyle w:val="FootnoteText"/>
        <w:keepNext/>
        <w:keepLines/>
        <w:numPr>
          <w:ilvl w:val="0"/>
          <w:numId w:val="42"/>
        </w:numPr>
        <w:ind w:left="720" w:hanging="180"/>
      </w:pPr>
      <w:r w:rsidRPr="007321E4">
        <w:rPr>
          <w:u w:val="single"/>
        </w:rPr>
        <w:t>Measure 13</w:t>
      </w:r>
      <w:r w:rsidRPr="007321E4">
        <w:t xml:space="preserve"> (80% realization requirement) – the requirement whereby registered importers must import at least 80% of each type of product covered by their import approvals every year (para. 2.56); </w:t>
      </w:r>
    </w:p>
    <w:p w:rsidR="006A4249" w:rsidRPr="007321E4" w:rsidRDefault="006A4249" w:rsidP="001C0D17">
      <w:pPr>
        <w:pStyle w:val="FootnoteText"/>
        <w:keepNext/>
        <w:keepLines/>
        <w:numPr>
          <w:ilvl w:val="0"/>
          <w:numId w:val="42"/>
        </w:numPr>
        <w:ind w:left="720" w:hanging="180"/>
      </w:pPr>
      <w:r w:rsidRPr="007321E4">
        <w:rPr>
          <w:u w:val="single"/>
        </w:rPr>
        <w:t>Measure 14</w:t>
      </w:r>
      <w:r w:rsidRPr="007321E4">
        <w:t xml:space="preserve"> (use, sale, and distribution of imported bovine meat and offal requirements) – certain requirements that limit the use, sale, and distribution of imported animals and animal products, including bovine meat and offal (para. 2.58); </w:t>
      </w:r>
    </w:p>
    <w:p w:rsidR="006A4249" w:rsidRPr="007321E4" w:rsidRDefault="006A4249" w:rsidP="001C0D17">
      <w:pPr>
        <w:pStyle w:val="FootnoteText"/>
        <w:keepNext/>
        <w:keepLines/>
        <w:numPr>
          <w:ilvl w:val="0"/>
          <w:numId w:val="42"/>
        </w:numPr>
        <w:ind w:left="720" w:hanging="180"/>
      </w:pPr>
      <w:r w:rsidRPr="007321E4">
        <w:rPr>
          <w:u w:val="single"/>
        </w:rPr>
        <w:t>Measure 15</w:t>
      </w:r>
      <w:r w:rsidRPr="007321E4">
        <w:t xml:space="preserve"> (domestic purchase requirement) – the requirement imposed upon importers of large ruminant meats to absorb local beef (para. 2.60); and </w:t>
      </w:r>
    </w:p>
    <w:p w:rsidR="006A4249" w:rsidRPr="007321E4" w:rsidRDefault="006A4249" w:rsidP="001C0D17">
      <w:pPr>
        <w:pStyle w:val="FootnoteText"/>
        <w:keepNext/>
        <w:keepLines/>
        <w:numPr>
          <w:ilvl w:val="0"/>
          <w:numId w:val="42"/>
        </w:numPr>
        <w:ind w:left="720" w:hanging="180"/>
      </w:pPr>
      <w:r w:rsidRPr="007321E4">
        <w:rPr>
          <w:u w:val="single"/>
        </w:rPr>
        <w:t>Measure 16</w:t>
      </w:r>
      <w:r w:rsidRPr="007321E4">
        <w:t xml:space="preserve"> (beef reference price) – the implementation of a reference price system on imports of certain animals and animal products (para. 2.62).</w:t>
      </w:r>
    </w:p>
  </w:footnote>
  <w:footnote w:id="8">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2.64.</w:t>
      </w:r>
    </w:p>
  </w:footnote>
  <w:footnote w:id="9">
    <w:p w:rsidR="006A4249" w:rsidRPr="007321E4" w:rsidRDefault="006A4249" w:rsidP="00FD4EBB">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2.65.</w:t>
      </w:r>
    </w:p>
  </w:footnote>
  <w:footnote w:id="10">
    <w:p w:rsidR="006A4249" w:rsidRPr="007321E4" w:rsidRDefault="006A4249" w:rsidP="007D7734">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2.32. (emphasis original)</w:t>
      </w:r>
    </w:p>
  </w:footnote>
  <w:footnote w:id="11">
    <w:p w:rsidR="006A4249" w:rsidRPr="007321E4" w:rsidRDefault="006A4249" w:rsidP="00177A25">
      <w:pPr>
        <w:pStyle w:val="FootnoteText"/>
      </w:pPr>
      <w:r w:rsidRPr="007321E4">
        <w:rPr>
          <w:rStyle w:val="FootnoteReference"/>
        </w:rPr>
        <w:footnoteRef/>
      </w:r>
      <w:r w:rsidRPr="007321E4">
        <w:t xml:space="preserve"> </w:t>
      </w:r>
      <w:proofErr w:type="gramStart"/>
      <w:r w:rsidRPr="007321E4">
        <w:t>Panel Report, paras.</w:t>
      </w:r>
      <w:proofErr w:type="gramEnd"/>
      <w:r w:rsidRPr="007321E4">
        <w:t xml:space="preserve"> 3.1.a-3.1.c (referring to New Zealand's Panel Request, pp. 1-7; first written submission to the Panel, para. 435) and para. </w:t>
      </w:r>
      <w:proofErr w:type="gramStart"/>
      <w:r w:rsidRPr="007321E4">
        <w:t>3.3 (referring to United States' Panel Request; first written submission to the Panel, para. 395; second written submission to the Panel, para. 242).</w:t>
      </w:r>
      <w:proofErr w:type="gramEnd"/>
    </w:p>
  </w:footnote>
  <w:footnote w:id="12">
    <w:p w:rsidR="006A4249" w:rsidRPr="007321E4" w:rsidRDefault="006A4249" w:rsidP="00177A25">
      <w:pPr>
        <w:pStyle w:val="FootnoteText"/>
      </w:pPr>
      <w:r w:rsidRPr="007321E4">
        <w:rPr>
          <w:rStyle w:val="FootnoteReference"/>
        </w:rPr>
        <w:footnoteRef/>
      </w:r>
      <w:r w:rsidRPr="007321E4">
        <w:t xml:space="preserve"> </w:t>
      </w:r>
      <w:proofErr w:type="gramStart"/>
      <w:r w:rsidRPr="007321E4">
        <w:t>Panel Report, paras.</w:t>
      </w:r>
      <w:proofErr w:type="gramEnd"/>
      <w:r w:rsidRPr="007321E4">
        <w:t xml:space="preserve"> 3.1.d-3.1.e (referring to New Zealand's Panel Request, pp. 3 and 5-6, </w:t>
      </w:r>
      <w:proofErr w:type="spellStart"/>
      <w:r w:rsidRPr="007321E4">
        <w:t>fns</w:t>
      </w:r>
      <w:proofErr w:type="spellEnd"/>
      <w:r w:rsidRPr="007321E4">
        <w:t xml:space="preserve"> 7, 12, and 14; first written submission to the Panel, para. 435) and </w:t>
      </w:r>
      <w:proofErr w:type="spellStart"/>
      <w:r w:rsidRPr="007321E4">
        <w:t>fn</w:t>
      </w:r>
      <w:proofErr w:type="spellEnd"/>
      <w:r w:rsidRPr="007321E4">
        <w:t xml:space="preserve"> 241 to para. 3.3. See also para. 7.834.</w:t>
      </w:r>
    </w:p>
  </w:footnote>
  <w:footnote w:id="13">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3.1.f (referring to New Zealand's Panel Request, pp. 2 and 4, </w:t>
      </w:r>
      <w:proofErr w:type="spellStart"/>
      <w:r w:rsidRPr="007321E4">
        <w:t>fns</w:t>
      </w:r>
      <w:proofErr w:type="spellEnd"/>
      <w:r w:rsidRPr="007321E4">
        <w:t xml:space="preserve"> 5 and 8; first written submission to the Panel, para. 435) and para. 3.4 (referring to United States' Panel Request, pp. 2 and 4, </w:t>
      </w:r>
      <w:proofErr w:type="spellStart"/>
      <w:r w:rsidRPr="007321E4">
        <w:t>fns</w:t>
      </w:r>
      <w:proofErr w:type="spellEnd"/>
      <w:r w:rsidRPr="007321E4">
        <w:t xml:space="preserve"> 5 and 8; first written submission to the Panel, paras. 384 and 394).</w:t>
      </w:r>
    </w:p>
  </w:footnote>
  <w:footnote w:id="14">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3.1</w:t>
      </w:r>
      <w:proofErr w:type="gramStart"/>
      <w:r w:rsidRPr="007321E4">
        <w:t>.f</w:t>
      </w:r>
      <w:proofErr w:type="gramEnd"/>
      <w:r w:rsidRPr="007321E4">
        <w:t xml:space="preserve"> (referring to New Zealand's response to Panel question No. 5) and </w:t>
      </w:r>
      <w:proofErr w:type="spellStart"/>
      <w:r w:rsidRPr="007321E4">
        <w:t>fn</w:t>
      </w:r>
      <w:proofErr w:type="spellEnd"/>
      <w:r w:rsidRPr="007321E4">
        <w:t xml:space="preserve"> 241 to para. 3.3.</w:t>
      </w:r>
    </w:p>
  </w:footnote>
  <w:footnote w:id="15">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w:t>
      </w:r>
      <w:proofErr w:type="gramStart"/>
      <w:r w:rsidRPr="007321E4">
        <w:t>3.6 (referring to Indonesia's first written submission to the Panel, para. 189; second written submission to the Panel, para. 278).</w:t>
      </w:r>
      <w:proofErr w:type="gramEnd"/>
    </w:p>
  </w:footnote>
  <w:footnote w:id="16">
    <w:p w:rsidR="006A4249" w:rsidRPr="007321E4" w:rsidRDefault="006A4249" w:rsidP="00F60353">
      <w:pPr>
        <w:pStyle w:val="FootnoteText"/>
      </w:pPr>
      <w:r w:rsidRPr="007321E4">
        <w:rPr>
          <w:rStyle w:val="FootnoteReference"/>
        </w:rPr>
        <w:footnoteRef/>
      </w:r>
      <w:r w:rsidRPr="007321E4">
        <w:t xml:space="preserve"> </w:t>
      </w:r>
      <w:proofErr w:type="gramStart"/>
      <w:r w:rsidRPr="007321E4">
        <w:t>Panel Report, paras.</w:t>
      </w:r>
      <w:proofErr w:type="gramEnd"/>
      <w:r w:rsidRPr="007321E4">
        <w:t xml:space="preserve"> </w:t>
      </w:r>
      <w:proofErr w:type="gramStart"/>
      <w:r w:rsidRPr="007321E4">
        <w:t>7.69-7.72, 7.100, 7.119-7.121, 7.141-7.143, 7.164-7.165, 7.186-7.187, 7.208</w:t>
      </w:r>
      <w:r w:rsidRPr="007321E4">
        <w:noBreakHyphen/>
        <w:t>7.209, 7.232-7.233, 7.251-7.255, 7.282-7.284, 7.307-7.309, 7.336, 7.361-7.362, 7.382-7.383, 7.411-7.414, 7.435, 7.458-7.464, and 7.487.</w:t>
      </w:r>
      <w:proofErr w:type="gramEnd"/>
      <w:r w:rsidRPr="007321E4">
        <w:t xml:space="preserve"> The Panel observed that most of Indonesia's arguments under Article XI</w:t>
      </w:r>
      <w:proofErr w:type="gramStart"/>
      <w:r w:rsidRPr="007321E4">
        <w:t>:1</w:t>
      </w:r>
      <w:proofErr w:type="gramEnd"/>
      <w:r w:rsidRPr="007321E4">
        <w:t xml:space="preserve"> of the GATT 1994 applied </w:t>
      </w:r>
      <w:r w:rsidRPr="007321E4">
        <w:rPr>
          <w:i/>
        </w:rPr>
        <w:t>mutatis mutandis</w:t>
      </w:r>
      <w:r w:rsidRPr="007321E4">
        <w:t xml:space="preserve"> to the claims under Article 4.2 of the Agreement on Agriculture. (Ibid., para. 7.831) </w:t>
      </w:r>
    </w:p>
  </w:footnote>
  <w:footnote w:id="17">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7.27.</w:t>
      </w:r>
    </w:p>
  </w:footnote>
  <w:footnote w:id="18">
    <w:p w:rsidR="006A4249" w:rsidRPr="007321E4" w:rsidRDefault="006A4249" w:rsidP="00B113BC">
      <w:pPr>
        <w:pStyle w:val="FootnoteText"/>
      </w:pPr>
      <w:r w:rsidRPr="007321E4">
        <w:rPr>
          <w:rStyle w:val="FootnoteReference"/>
        </w:rPr>
        <w:footnoteRef/>
      </w:r>
      <w:r w:rsidRPr="007321E4">
        <w:t xml:space="preserve"> </w:t>
      </w:r>
      <w:proofErr w:type="gramStart"/>
      <w:r w:rsidRPr="007321E4">
        <w:t>Panel Report, paras.</w:t>
      </w:r>
      <w:proofErr w:type="gramEnd"/>
      <w:r w:rsidRPr="007321E4">
        <w:t xml:space="preserve"> 7.27 </w:t>
      </w:r>
      <w:proofErr w:type="gramStart"/>
      <w:r w:rsidRPr="007321E4">
        <w:t>and</w:t>
      </w:r>
      <w:proofErr w:type="gramEnd"/>
      <w:r w:rsidRPr="007321E4">
        <w:t xml:space="preserve"> 7.58 (referring to Indonesia's second written submission to the Panel, paras. 197, 199, and 203). </w:t>
      </w:r>
    </w:p>
  </w:footnote>
  <w:footnote w:id="19">
    <w:p w:rsidR="006A4249" w:rsidRPr="007321E4" w:rsidRDefault="006A4249">
      <w:pPr>
        <w:pStyle w:val="FootnoteText"/>
      </w:pPr>
      <w:r w:rsidRPr="007321E4">
        <w:rPr>
          <w:rStyle w:val="FootnoteReference"/>
        </w:rPr>
        <w:footnoteRef/>
      </w:r>
      <w:r w:rsidRPr="007321E4">
        <w:t xml:space="preserve"> </w:t>
      </w:r>
      <w:proofErr w:type="gramStart"/>
      <w:r w:rsidRPr="007321E4">
        <w:t>Panel Report, paras.</w:t>
      </w:r>
      <w:proofErr w:type="gramEnd"/>
      <w:r w:rsidRPr="007321E4">
        <w:t xml:space="preserve"> 7.32-7.33. </w:t>
      </w:r>
    </w:p>
  </w:footnote>
  <w:footnote w:id="20">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7.33 (quoting </w:t>
      </w:r>
      <w:proofErr w:type="spellStart"/>
      <w:proofErr w:type="gramStart"/>
      <w:r w:rsidRPr="007321E4">
        <w:t>fn</w:t>
      </w:r>
      <w:proofErr w:type="spellEnd"/>
      <w:proofErr w:type="gramEnd"/>
      <w:r w:rsidRPr="007321E4">
        <w:t xml:space="preserve"> 1 to Article 4.2 of the Agreement on Agriculture). </w:t>
      </w:r>
    </w:p>
  </w:footnote>
  <w:footnote w:id="21">
    <w:p w:rsidR="006A4249" w:rsidRPr="007321E4" w:rsidRDefault="006A4249" w:rsidP="00FF09A2">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w:t>
      </w:r>
      <w:proofErr w:type="gramStart"/>
      <w:r w:rsidRPr="007321E4">
        <w:t>7.34 (quoting Indonesia's second written submission to the Panel, para. 38).</w:t>
      </w:r>
      <w:proofErr w:type="gramEnd"/>
      <w:r w:rsidRPr="007321E4">
        <w:t xml:space="preserve"> </w:t>
      </w:r>
    </w:p>
  </w:footnote>
  <w:footnote w:id="22">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7.34. </w:t>
      </w:r>
    </w:p>
  </w:footnote>
  <w:footnote w:id="23">
    <w:p w:rsidR="006A4249" w:rsidRPr="007321E4" w:rsidRDefault="006A4249" w:rsidP="00546EB5">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7.60. </w:t>
      </w:r>
    </w:p>
  </w:footnote>
  <w:footnote w:id="24">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8.1</w:t>
      </w:r>
      <w:proofErr w:type="gramStart"/>
      <w:r w:rsidRPr="007321E4">
        <w:t>.b.i</w:t>
      </w:r>
      <w:proofErr w:type="gramEnd"/>
      <w:r w:rsidRPr="007321E4">
        <w:t xml:space="preserve">. See also paras. </w:t>
      </w:r>
      <w:proofErr w:type="gramStart"/>
      <w:r w:rsidRPr="007321E4">
        <w:t>7.92, 7.112, 7.134, 7.156, 7.179, 7.200, 7.227, 7.270, 7.327, 7.349, 7.375, 7.398, 7.428, 7.451, and 7.478.</w:t>
      </w:r>
      <w:proofErr w:type="gramEnd"/>
      <w:r w:rsidRPr="007321E4">
        <w:t xml:space="preserve"> </w:t>
      </w:r>
    </w:p>
  </w:footnote>
  <w:footnote w:id="25">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8.1</w:t>
      </w:r>
      <w:proofErr w:type="gramStart"/>
      <w:r w:rsidRPr="007321E4">
        <w:t>.b.ii</w:t>
      </w:r>
      <w:proofErr w:type="gramEnd"/>
      <w:r w:rsidRPr="007321E4">
        <w:t xml:space="preserve">. See also paras. 7.243 </w:t>
      </w:r>
      <w:proofErr w:type="gramStart"/>
      <w:r w:rsidRPr="007321E4">
        <w:t>and</w:t>
      </w:r>
      <w:proofErr w:type="gramEnd"/>
      <w:r w:rsidRPr="007321E4">
        <w:t xml:space="preserve"> 7.299.</w:t>
      </w:r>
    </w:p>
  </w:footnote>
  <w:footnote w:id="26">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8.1</w:t>
      </w:r>
      <w:proofErr w:type="gramStart"/>
      <w:r w:rsidRPr="007321E4">
        <w:t>.b.iii</w:t>
      </w:r>
      <w:proofErr w:type="gramEnd"/>
      <w:r w:rsidRPr="007321E4">
        <w:t xml:space="preserve">. See also para. 7.501. Having reached this finding, the Panel declined to rule on whether Measure 18 is also inconsistent </w:t>
      </w:r>
      <w:r w:rsidRPr="007321E4">
        <w:rPr>
          <w:i/>
        </w:rPr>
        <w:t>as applied</w:t>
      </w:r>
      <w:r w:rsidRPr="007321E4">
        <w:t xml:space="preserve"> with Article XI</w:t>
      </w:r>
      <w:proofErr w:type="gramStart"/>
      <w:r w:rsidRPr="007321E4">
        <w:t>:1</w:t>
      </w:r>
      <w:proofErr w:type="gramEnd"/>
      <w:r w:rsidRPr="007321E4">
        <w:t xml:space="preserve"> of the GATT 1994. </w:t>
      </w:r>
    </w:p>
  </w:footnote>
  <w:footnote w:id="27">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8.1</w:t>
      </w:r>
      <w:proofErr w:type="gramStart"/>
      <w:r w:rsidRPr="007321E4">
        <w:t>.c.i</w:t>
      </w:r>
      <w:proofErr w:type="gramEnd"/>
      <w:r w:rsidRPr="007321E4">
        <w:t xml:space="preserve">. See also paras. </w:t>
      </w:r>
      <w:proofErr w:type="gramStart"/>
      <w:r w:rsidRPr="007321E4">
        <w:t>7.586, 7.595, and 7.606.</w:t>
      </w:r>
      <w:proofErr w:type="gramEnd"/>
    </w:p>
  </w:footnote>
  <w:footnote w:id="28">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8.1</w:t>
      </w:r>
      <w:proofErr w:type="gramStart"/>
      <w:r w:rsidRPr="007321E4">
        <w:t>.c.ii</w:t>
      </w:r>
      <w:proofErr w:type="gramEnd"/>
      <w:r w:rsidRPr="007321E4">
        <w:t>. See also para. 7.636.</w:t>
      </w:r>
    </w:p>
  </w:footnote>
  <w:footnote w:id="29">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8.1</w:t>
      </w:r>
      <w:proofErr w:type="gramStart"/>
      <w:r w:rsidRPr="007321E4">
        <w:t>.c.iii</w:t>
      </w:r>
      <w:proofErr w:type="gramEnd"/>
      <w:r w:rsidRPr="007321E4">
        <w:t xml:space="preserve">. See also paras. </w:t>
      </w:r>
      <w:proofErr w:type="gramStart"/>
      <w:r w:rsidRPr="007321E4">
        <w:t>7.661, 7.683, 7.693, 7.721, 7.743, and 7.751.</w:t>
      </w:r>
      <w:proofErr w:type="gramEnd"/>
      <w:r w:rsidRPr="007321E4">
        <w:t xml:space="preserve"> </w:t>
      </w:r>
    </w:p>
  </w:footnote>
  <w:footnote w:id="30">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8.1</w:t>
      </w:r>
      <w:proofErr w:type="gramStart"/>
      <w:r w:rsidRPr="007321E4">
        <w:t>.c.iv</w:t>
      </w:r>
      <w:proofErr w:type="gramEnd"/>
      <w:r w:rsidRPr="007321E4">
        <w:t>. See also para. 7.777.</w:t>
      </w:r>
    </w:p>
  </w:footnote>
  <w:footnote w:id="31">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8.1</w:t>
      </w:r>
      <w:proofErr w:type="gramStart"/>
      <w:r w:rsidRPr="007321E4">
        <w:t>.c.v</w:t>
      </w:r>
      <w:proofErr w:type="gramEnd"/>
      <w:r w:rsidRPr="007321E4">
        <w:t>. See also para. 7.828.</w:t>
      </w:r>
    </w:p>
  </w:footnote>
  <w:footnote w:id="32">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8.1</w:t>
      </w:r>
      <w:proofErr w:type="gramStart"/>
      <w:r w:rsidRPr="007321E4">
        <w:t>.c.vi</w:t>
      </w:r>
      <w:proofErr w:type="gramEnd"/>
      <w:r w:rsidRPr="007321E4">
        <w:t xml:space="preserve">. See also paras. 7.829-7.830. </w:t>
      </w:r>
    </w:p>
  </w:footnote>
  <w:footnote w:id="33">
    <w:p w:rsidR="006A4249" w:rsidRPr="007321E4" w:rsidRDefault="006A4249" w:rsidP="00FF09A2">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8.2. See also para. 7.833.</w:t>
      </w:r>
    </w:p>
  </w:footnote>
  <w:footnote w:id="34">
    <w:p w:rsidR="006A4249" w:rsidRPr="007321E4" w:rsidRDefault="006A4249" w:rsidP="00E30A1F">
      <w:pPr>
        <w:pStyle w:val="FootnoteText"/>
      </w:pPr>
      <w:r w:rsidRPr="007321E4">
        <w:rPr>
          <w:rStyle w:val="FootnoteReference"/>
        </w:rPr>
        <w:footnoteRef/>
      </w:r>
      <w:r w:rsidRPr="007321E4">
        <w:t xml:space="preserve"> With respect to New Zealand's claims under Article III</w:t>
      </w:r>
      <w:proofErr w:type="gramStart"/>
      <w:r w:rsidRPr="007321E4">
        <w:t>:4</w:t>
      </w:r>
      <w:proofErr w:type="gramEnd"/>
      <w:r w:rsidRPr="007321E4">
        <w:t xml:space="preserve"> of the GATT 1994, the Panel declined to rule because its findings pertaining to the inconsistency of Measures 6, 14, and 15 with Article XI:1 of the GATT 1994 and the absence of justification under Article XX(a), (b), or (d) of the GATT 1994 ensure the effective resolution of this dispute. (Panel Report, para. 8.3) Concerning the co-complainants' claims under Article 3.2 of the Import Licensing Agreement, the Panel declined to rule because its findings pertaining to the inconsistency of Measures 1 and 11 with Article XI</w:t>
      </w:r>
      <w:proofErr w:type="gramStart"/>
      <w:r w:rsidRPr="007321E4">
        <w:t>:1</w:t>
      </w:r>
      <w:proofErr w:type="gramEnd"/>
      <w:r w:rsidRPr="007321E4">
        <w:t xml:space="preserve"> of the GATT 1994 ensure the effective resolution of this dispute. (</w:t>
      </w:r>
      <w:proofErr w:type="gramStart"/>
      <w:r w:rsidRPr="007321E4">
        <w:t>Ibid.,</w:t>
      </w:r>
      <w:proofErr w:type="gramEnd"/>
      <w:r w:rsidRPr="007321E4">
        <w:t xml:space="preserve"> para. 8.4). See also paras. </w:t>
      </w:r>
      <w:proofErr w:type="gramStart"/>
      <w:r w:rsidRPr="007321E4">
        <w:t>7.839-7.840, 7.845-7.846, 7.850</w:t>
      </w:r>
      <w:r w:rsidRPr="007321E4">
        <w:noBreakHyphen/>
        <w:t>7.851, and 7.870-7.871.</w:t>
      </w:r>
      <w:proofErr w:type="gramEnd"/>
    </w:p>
  </w:footnote>
  <w:footnote w:id="35">
    <w:p w:rsidR="006A4249" w:rsidRPr="007321E4" w:rsidRDefault="006A4249">
      <w:pPr>
        <w:pStyle w:val="FootnoteText"/>
      </w:pPr>
      <w:r w:rsidRPr="007321E4">
        <w:rPr>
          <w:rStyle w:val="FootnoteReference"/>
        </w:rPr>
        <w:footnoteRef/>
      </w:r>
      <w:r w:rsidRPr="007321E4">
        <w:t xml:space="preserve"> The Panel distinguished between New Zealand's and the United States' claims under Article III</w:t>
      </w:r>
      <w:proofErr w:type="gramStart"/>
      <w:r w:rsidRPr="007321E4">
        <w:t>:4</w:t>
      </w:r>
      <w:proofErr w:type="gramEnd"/>
      <w:r w:rsidRPr="007321E4">
        <w:t xml:space="preserve"> of the GATT 1994. In the absence of any argumentation by the United States, the Panel found that the United States had failed to make a </w:t>
      </w:r>
      <w:r w:rsidRPr="007321E4">
        <w:rPr>
          <w:i/>
        </w:rPr>
        <w:t>prima facie</w:t>
      </w:r>
      <w:r w:rsidRPr="007321E4">
        <w:t xml:space="preserve"> case with respect to its claims under Article III</w:t>
      </w:r>
      <w:proofErr w:type="gramStart"/>
      <w:r w:rsidRPr="007321E4">
        <w:t>:4</w:t>
      </w:r>
      <w:proofErr w:type="gramEnd"/>
      <w:r w:rsidRPr="007321E4">
        <w:t xml:space="preserve">. (Panel Report, paras. 7.834 and 8.5) By contrast, as set out in </w:t>
      </w:r>
      <w:proofErr w:type="spellStart"/>
      <w:r w:rsidRPr="007321E4">
        <w:t>fn</w:t>
      </w:r>
      <w:proofErr w:type="spellEnd"/>
      <w:r w:rsidRPr="007321E4">
        <w:t xml:space="preserve"> </w:t>
      </w:r>
      <w:r w:rsidR="003310FF" w:rsidRPr="007321E4">
        <w:t>34</w:t>
      </w:r>
      <w:r w:rsidRPr="007321E4">
        <w:t xml:space="preserve"> above, with respect to New Zealand's claims under Article III</w:t>
      </w:r>
      <w:proofErr w:type="gramStart"/>
      <w:r w:rsidRPr="007321E4">
        <w:t>:4</w:t>
      </w:r>
      <w:proofErr w:type="gramEnd"/>
      <w:r w:rsidRPr="007321E4">
        <w:t>, the Panel declined to rule because its findings pertaining to the inconsistency of the measures at issue with Article XI:1 of the GATT 1994 and the absence of justification under Article XX(a), (b), or (d) of the GATT 1994 ensure the effective resolution of this dispute. (Ibid., para. 8.3)</w:t>
      </w:r>
    </w:p>
  </w:footnote>
  <w:footnote w:id="36">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8.5. See also paras. </w:t>
      </w:r>
      <w:proofErr w:type="gramStart"/>
      <w:r w:rsidRPr="007321E4">
        <w:t>7.834-7.835 and 7.852-7.853.</w:t>
      </w:r>
      <w:proofErr w:type="gramEnd"/>
      <w:r w:rsidRPr="007321E4">
        <w:t xml:space="preserve"> </w:t>
      </w:r>
    </w:p>
  </w:footnote>
  <w:footnote w:id="37">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8.7.</w:t>
      </w:r>
    </w:p>
  </w:footnote>
  <w:footnote w:id="38">
    <w:p w:rsidR="006A4249" w:rsidRPr="007321E4" w:rsidRDefault="006A4249" w:rsidP="00D0148B">
      <w:pPr>
        <w:pStyle w:val="FootnoteText"/>
        <w:rPr>
          <w:szCs w:val="16"/>
        </w:rPr>
      </w:pPr>
      <w:r w:rsidRPr="007321E4">
        <w:rPr>
          <w:rStyle w:val="FootnoteReference"/>
          <w:szCs w:val="16"/>
        </w:rPr>
        <w:footnoteRef/>
      </w:r>
      <w:r w:rsidRPr="007321E4">
        <w:t xml:space="preserve"> </w:t>
      </w:r>
      <w:proofErr w:type="gramStart"/>
      <w:r w:rsidRPr="007321E4">
        <w:t>WT/DS477/11; WT/DS478/11.</w:t>
      </w:r>
      <w:proofErr w:type="gramEnd"/>
      <w:r w:rsidRPr="007321E4">
        <w:rPr>
          <w:szCs w:val="16"/>
        </w:rPr>
        <w:t xml:space="preserve"> </w:t>
      </w:r>
    </w:p>
  </w:footnote>
  <w:footnote w:id="39">
    <w:p w:rsidR="006A4249" w:rsidRPr="007321E4" w:rsidRDefault="006A4249" w:rsidP="00D0148B">
      <w:pPr>
        <w:pStyle w:val="FootnoteText"/>
        <w:rPr>
          <w:szCs w:val="16"/>
        </w:rPr>
      </w:pPr>
      <w:r w:rsidRPr="007321E4">
        <w:rPr>
          <w:rStyle w:val="FootnoteReference"/>
          <w:szCs w:val="16"/>
        </w:rPr>
        <w:footnoteRef/>
      </w:r>
      <w:r w:rsidRPr="007321E4">
        <w:t xml:space="preserve"> WT/AB/WP/6</w:t>
      </w:r>
      <w:r w:rsidRPr="007321E4">
        <w:rPr>
          <w:spacing w:val="-2"/>
          <w:szCs w:val="16"/>
        </w:rPr>
        <w:t xml:space="preserve">, 16 August 2010. </w:t>
      </w:r>
    </w:p>
  </w:footnote>
  <w:footnote w:id="40">
    <w:p w:rsidR="006A4249" w:rsidRPr="007321E4" w:rsidRDefault="006A4249" w:rsidP="00D0148B">
      <w:pPr>
        <w:pStyle w:val="FootnoteText"/>
        <w:rPr>
          <w:szCs w:val="16"/>
        </w:rPr>
      </w:pPr>
      <w:r w:rsidRPr="007321E4">
        <w:rPr>
          <w:rStyle w:val="FootnoteReference"/>
          <w:szCs w:val="16"/>
        </w:rPr>
        <w:footnoteRef/>
      </w:r>
      <w:r w:rsidRPr="007321E4">
        <w:rPr>
          <w:szCs w:val="16"/>
        </w:rPr>
        <w:t xml:space="preserve"> </w:t>
      </w:r>
      <w:proofErr w:type="gramStart"/>
      <w:r w:rsidRPr="007321E4">
        <w:rPr>
          <w:szCs w:val="16"/>
        </w:rPr>
        <w:t>Pursuant to Rule 22 of the Working Procedures.</w:t>
      </w:r>
      <w:proofErr w:type="gramEnd"/>
      <w:r w:rsidRPr="007321E4">
        <w:rPr>
          <w:szCs w:val="16"/>
        </w:rPr>
        <w:t xml:space="preserve"> </w:t>
      </w:r>
    </w:p>
  </w:footnote>
  <w:footnote w:id="41">
    <w:p w:rsidR="006A4249" w:rsidRPr="007321E4" w:rsidRDefault="006A4249" w:rsidP="00CA2FF9">
      <w:pPr>
        <w:pStyle w:val="FootnoteText"/>
        <w:rPr>
          <w:szCs w:val="16"/>
        </w:rPr>
      </w:pPr>
      <w:r w:rsidRPr="007321E4">
        <w:rPr>
          <w:rStyle w:val="FootnoteReference"/>
          <w:szCs w:val="16"/>
        </w:rPr>
        <w:footnoteRef/>
      </w:r>
      <w:r w:rsidRPr="007321E4">
        <w:rPr>
          <w:szCs w:val="16"/>
        </w:rPr>
        <w:t xml:space="preserve"> </w:t>
      </w:r>
      <w:proofErr w:type="gramStart"/>
      <w:r w:rsidRPr="007321E4">
        <w:rPr>
          <w:szCs w:val="16"/>
        </w:rPr>
        <w:t>Pursuant to Rule 24(2) of the Working Procedures.</w:t>
      </w:r>
      <w:proofErr w:type="gramEnd"/>
    </w:p>
  </w:footnote>
  <w:footnote w:id="42">
    <w:p w:rsidR="006A4249" w:rsidRPr="007321E4" w:rsidRDefault="006A4249" w:rsidP="00D0148B">
      <w:pPr>
        <w:pStyle w:val="FootnoteText"/>
        <w:rPr>
          <w:szCs w:val="16"/>
        </w:rPr>
      </w:pPr>
      <w:r w:rsidRPr="007321E4">
        <w:rPr>
          <w:rStyle w:val="FootnoteReference"/>
          <w:szCs w:val="16"/>
        </w:rPr>
        <w:footnoteRef/>
      </w:r>
      <w:r w:rsidRPr="007321E4">
        <w:rPr>
          <w:szCs w:val="16"/>
        </w:rPr>
        <w:t xml:space="preserve"> </w:t>
      </w:r>
      <w:proofErr w:type="gramStart"/>
      <w:r w:rsidRPr="007321E4">
        <w:rPr>
          <w:szCs w:val="16"/>
        </w:rPr>
        <w:t>Pursuant to Rule 24(1) of the Working Procedures.</w:t>
      </w:r>
      <w:proofErr w:type="gramEnd"/>
    </w:p>
  </w:footnote>
  <w:footnote w:id="43">
    <w:p w:rsidR="006A4249" w:rsidRPr="007321E4" w:rsidRDefault="006A4249" w:rsidP="00E80966">
      <w:pPr>
        <w:pStyle w:val="FootnoteText"/>
        <w:rPr>
          <w:szCs w:val="16"/>
        </w:rPr>
      </w:pPr>
      <w:r w:rsidRPr="007321E4">
        <w:rPr>
          <w:rStyle w:val="FootnoteReference"/>
          <w:szCs w:val="16"/>
        </w:rPr>
        <w:footnoteRef/>
      </w:r>
      <w:r w:rsidRPr="007321E4">
        <w:rPr>
          <w:szCs w:val="16"/>
        </w:rPr>
        <w:t xml:space="preserve"> </w:t>
      </w:r>
      <w:proofErr w:type="gramStart"/>
      <w:r w:rsidRPr="007321E4">
        <w:rPr>
          <w:szCs w:val="16"/>
        </w:rPr>
        <w:t>Pursuant to Rule 24(2) of the Working Procedures.</w:t>
      </w:r>
      <w:proofErr w:type="gramEnd"/>
      <w:r w:rsidRPr="007321E4">
        <w:rPr>
          <w:szCs w:val="16"/>
        </w:rPr>
        <w:t xml:space="preserve"> </w:t>
      </w:r>
    </w:p>
  </w:footnote>
  <w:footnote w:id="44">
    <w:p w:rsidR="006A4249" w:rsidRPr="007321E4" w:rsidRDefault="006A4249">
      <w:pPr>
        <w:pStyle w:val="FootnoteText"/>
      </w:pPr>
      <w:r w:rsidRPr="007321E4">
        <w:rPr>
          <w:rStyle w:val="FootnoteReference"/>
        </w:rPr>
        <w:footnoteRef/>
      </w:r>
      <w:r w:rsidRPr="007321E4">
        <w:t xml:space="preserve"> </w:t>
      </w:r>
      <w:proofErr w:type="gramStart"/>
      <w:r w:rsidRPr="007321E4">
        <w:t>Pursuant to Rule 24(4) of the Working Procedures.</w:t>
      </w:r>
      <w:proofErr w:type="gramEnd"/>
      <w:r w:rsidRPr="007321E4">
        <w:rPr>
          <w:szCs w:val="16"/>
        </w:rPr>
        <w:t xml:space="preserve"> </w:t>
      </w:r>
    </w:p>
  </w:footnote>
  <w:footnote w:id="45">
    <w:p w:rsidR="006A4249" w:rsidRPr="007321E4" w:rsidRDefault="006A4249" w:rsidP="00A56DCB">
      <w:pPr>
        <w:pStyle w:val="FootnoteText"/>
        <w:rPr>
          <w:szCs w:val="16"/>
        </w:rPr>
      </w:pPr>
      <w:r w:rsidRPr="007321E4">
        <w:rPr>
          <w:rStyle w:val="FootnoteReference"/>
          <w:szCs w:val="16"/>
        </w:rPr>
        <w:footnoteRef/>
      </w:r>
      <w:r w:rsidRPr="007321E4">
        <w:rPr>
          <w:szCs w:val="16"/>
        </w:rPr>
        <w:t xml:space="preserve"> </w:t>
      </w:r>
      <w:proofErr w:type="gramStart"/>
      <w:r w:rsidRPr="007321E4">
        <w:rPr>
          <w:szCs w:val="16"/>
        </w:rPr>
        <w:t>WT/DS477/12; WT/DS478/12.</w:t>
      </w:r>
      <w:proofErr w:type="gramEnd"/>
    </w:p>
  </w:footnote>
  <w:footnote w:id="46">
    <w:p w:rsidR="006A4249" w:rsidRPr="007321E4" w:rsidRDefault="006A4249">
      <w:pPr>
        <w:pStyle w:val="FootnoteText"/>
      </w:pPr>
      <w:r w:rsidRPr="007321E4">
        <w:rPr>
          <w:rStyle w:val="FootnoteReference"/>
        </w:rPr>
        <w:footnoteRef/>
      </w:r>
      <w:r w:rsidRPr="007321E4">
        <w:t xml:space="preserve"> </w:t>
      </w:r>
      <w:proofErr w:type="gramStart"/>
      <w:r w:rsidRPr="007321E4">
        <w:rPr>
          <w:szCs w:val="16"/>
        </w:rPr>
        <w:t>WT/DS477/13; WT/DS478/13.</w:t>
      </w:r>
      <w:proofErr w:type="gramEnd"/>
    </w:p>
  </w:footnote>
  <w:footnote w:id="47">
    <w:p w:rsidR="006A4249" w:rsidRPr="007321E4" w:rsidRDefault="006A4249" w:rsidP="00B705A0">
      <w:pPr>
        <w:pStyle w:val="FootnoteText"/>
        <w:rPr>
          <w:szCs w:val="16"/>
        </w:rPr>
      </w:pPr>
      <w:r w:rsidRPr="007321E4">
        <w:rPr>
          <w:rStyle w:val="FootnoteReference"/>
          <w:szCs w:val="16"/>
        </w:rPr>
        <w:footnoteRef/>
      </w:r>
      <w:r w:rsidRPr="007321E4">
        <w:rPr>
          <w:szCs w:val="16"/>
        </w:rPr>
        <w:t xml:space="preserve"> Pursuant to the Appellate Body's communication on "Executive Summaries of Written Submissions in Appellate Proceedings" and "Guidelines in Respect of Executive Summaries of Written Submissions in Appellate Proceedings" (WT/AB/23, 11 March 2015). </w:t>
      </w:r>
    </w:p>
  </w:footnote>
  <w:footnote w:id="48">
    <w:p w:rsidR="006A4249" w:rsidRPr="007321E4" w:rsidRDefault="006A4249" w:rsidP="00B705A0">
      <w:pPr>
        <w:pStyle w:val="FootnoteText"/>
        <w:rPr>
          <w:szCs w:val="16"/>
        </w:rPr>
      </w:pPr>
      <w:r w:rsidRPr="007321E4">
        <w:rPr>
          <w:rStyle w:val="FootnoteReference"/>
          <w:szCs w:val="16"/>
        </w:rPr>
        <w:footnoteRef/>
      </w:r>
      <w:r w:rsidRPr="007321E4">
        <w:rPr>
          <w:szCs w:val="16"/>
        </w:rPr>
        <w:t xml:space="preserve"> Pursuant to the Appellate Body's communication on "Executive Summaries of Written Submissions in Appellate Proceedings" and "Guidelines in Respect of Executive Summaries of Written Submissions in Appellate Proceedings" (WT/AB/23, 11 March 2015). </w:t>
      </w:r>
    </w:p>
  </w:footnote>
  <w:footnote w:id="49">
    <w:p w:rsidR="006A4249" w:rsidRPr="007321E4" w:rsidRDefault="006A4249" w:rsidP="00AA017B">
      <w:pPr>
        <w:pStyle w:val="FootnoteText"/>
      </w:pPr>
      <w:r w:rsidRPr="007321E4">
        <w:rPr>
          <w:rStyle w:val="FootnoteReference"/>
        </w:rPr>
        <w:footnoteRef/>
      </w:r>
      <w:r w:rsidRPr="007321E4">
        <w:t xml:space="preserve"> In its Notice of Appeal, Indonesia specifies that this claim is made in the alternative, that is, "[i]f the Panel were correct that Article XI</w:t>
      </w:r>
      <w:proofErr w:type="gramStart"/>
      <w:r w:rsidRPr="007321E4">
        <w:t>:1</w:t>
      </w:r>
      <w:proofErr w:type="gramEnd"/>
      <w:r w:rsidRPr="007321E4">
        <w:t xml:space="preserve"> of the GATT 1994 is the agreement that deals specifically with quantitative import restrictions on agricultural products". (Indonesia's Notice of Appeal, Section IV, p. 2</w:t>
      </w:r>
      <w:r w:rsidRPr="007321E4">
        <w:rPr>
          <w:szCs w:val="16"/>
        </w:rPr>
        <w:t>)</w:t>
      </w:r>
    </w:p>
  </w:footnote>
  <w:footnote w:id="50">
    <w:p w:rsidR="006A4249" w:rsidRPr="007321E4" w:rsidRDefault="006A4249" w:rsidP="00F75F41">
      <w:pPr>
        <w:pStyle w:val="FootnoteText"/>
      </w:pPr>
      <w:r w:rsidRPr="007321E4">
        <w:rPr>
          <w:rStyle w:val="FootnoteReference"/>
        </w:rPr>
        <w:footnoteRef/>
      </w:r>
      <w:r w:rsidRPr="007321E4">
        <w:t xml:space="preserve"> Indonesia's appellant's submission, para. 64 (referring to Panel Report, paras. 7.31-7.33, 7.92, 7.112, 7.134, 7.156, 7.179, 7.200, 7.227, 7.243, 7.270, 7.299, 7.327, 7.349, 7.375, 7.398, 7.428, 7.451, 7.478, 7.501, and 8.1.b).</w:t>
      </w:r>
    </w:p>
  </w:footnote>
  <w:footnote w:id="51">
    <w:p w:rsidR="006A4249" w:rsidRPr="007321E4" w:rsidRDefault="006A4249" w:rsidP="00F75F41">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w:t>
      </w:r>
      <w:proofErr w:type="gramEnd"/>
      <w:r w:rsidRPr="007321E4">
        <w:t xml:space="preserve"> </w:t>
      </w:r>
      <w:proofErr w:type="gramStart"/>
      <w:r w:rsidRPr="007321E4">
        <w:t xml:space="preserve">59; United States' </w:t>
      </w:r>
      <w:proofErr w:type="spellStart"/>
      <w:r w:rsidRPr="007321E4">
        <w:t>appellee's</w:t>
      </w:r>
      <w:proofErr w:type="spellEnd"/>
      <w:r w:rsidRPr="007321E4">
        <w:t xml:space="preserve"> submission, paras.</w:t>
      </w:r>
      <w:proofErr w:type="gramEnd"/>
      <w:r w:rsidRPr="007321E4">
        <w:t> </w:t>
      </w:r>
      <w:proofErr w:type="gramStart"/>
      <w:r w:rsidRPr="007321E4">
        <w:t>18, 68</w:t>
      </w:r>
      <w:r w:rsidRPr="007321E4">
        <w:noBreakHyphen/>
        <w:t>69, and 205.</w:t>
      </w:r>
      <w:proofErr w:type="gramEnd"/>
      <w:r w:rsidRPr="007321E4">
        <w:t xml:space="preserve"> </w:t>
      </w:r>
    </w:p>
  </w:footnote>
  <w:footnote w:id="52">
    <w:p w:rsidR="006A4249" w:rsidRPr="007321E4" w:rsidRDefault="006A4249" w:rsidP="00F75F41">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7.27.</w:t>
      </w:r>
    </w:p>
  </w:footnote>
  <w:footnote w:id="53">
    <w:p w:rsidR="006A4249" w:rsidRPr="007321E4" w:rsidRDefault="006A4249" w:rsidP="00F75F41">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w:t>
      </w:r>
      <w:proofErr w:type="gramStart"/>
      <w:r w:rsidRPr="007321E4">
        <w:t xml:space="preserve">7.31 (referring to Panel Report, </w:t>
      </w:r>
      <w:r w:rsidRPr="007321E4">
        <w:rPr>
          <w:i/>
        </w:rPr>
        <w:t>India – Autos</w:t>
      </w:r>
      <w:r w:rsidRPr="007321E4">
        <w:t>, para. 7.154).</w:t>
      </w:r>
      <w:proofErr w:type="gramEnd"/>
    </w:p>
  </w:footnote>
  <w:footnote w:id="54">
    <w:p w:rsidR="006A4249" w:rsidRPr="007321E4" w:rsidRDefault="006A4249" w:rsidP="00F75F41">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w:t>
      </w:r>
      <w:proofErr w:type="gramStart"/>
      <w:r w:rsidRPr="007321E4">
        <w:t xml:space="preserve">7.31 (quoting Appellate Body Report, </w:t>
      </w:r>
      <w:r w:rsidRPr="007321E4">
        <w:rPr>
          <w:i/>
        </w:rPr>
        <w:t>EC – Bananas III</w:t>
      </w:r>
      <w:r w:rsidRPr="007321E4">
        <w:t>, para. 204).</w:t>
      </w:r>
      <w:proofErr w:type="gramEnd"/>
    </w:p>
  </w:footnote>
  <w:footnote w:id="55">
    <w:p w:rsidR="006A4249" w:rsidRPr="007321E4" w:rsidRDefault="006A4249" w:rsidP="00F75F41">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7.32.</w:t>
      </w:r>
    </w:p>
  </w:footnote>
  <w:footnote w:id="56">
    <w:p w:rsidR="006A4249" w:rsidRPr="007321E4" w:rsidRDefault="006A4249" w:rsidP="00F75F41">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7.33.</w:t>
      </w:r>
    </w:p>
  </w:footnote>
  <w:footnote w:id="57">
    <w:p w:rsidR="006A4249" w:rsidRPr="007321E4" w:rsidRDefault="006A4249" w:rsidP="00F75F41">
      <w:pPr>
        <w:pStyle w:val="FootnoteText"/>
      </w:pPr>
      <w:r w:rsidRPr="007321E4">
        <w:rPr>
          <w:rStyle w:val="FootnoteReference"/>
        </w:rPr>
        <w:footnoteRef/>
      </w:r>
      <w:r w:rsidRPr="007321E4">
        <w:t xml:space="preserve"> </w:t>
      </w:r>
      <w:proofErr w:type="gramStart"/>
      <w:r w:rsidRPr="007321E4">
        <w:t>Panel Report, paras.</w:t>
      </w:r>
      <w:proofErr w:type="gramEnd"/>
      <w:r w:rsidRPr="007321E4">
        <w:t xml:space="preserve"> 7.832-7.833.</w:t>
      </w:r>
    </w:p>
  </w:footnote>
  <w:footnote w:id="58">
    <w:p w:rsidR="006A4249" w:rsidRPr="007321E4" w:rsidRDefault="006A4249" w:rsidP="00F75F41">
      <w:pPr>
        <w:pStyle w:val="FootnoteText"/>
      </w:pPr>
      <w:r w:rsidRPr="007321E4">
        <w:rPr>
          <w:rStyle w:val="FootnoteReference"/>
        </w:rPr>
        <w:footnoteRef/>
      </w:r>
      <w:r w:rsidRPr="007321E4">
        <w:t xml:space="preserve"> In this respect, we note that, while Indonesia's claim on appeal is entitled "The Panel Erred in Determining that Article XI:1 of the GATT 1994 is More Specific than Article 4.2 of the Agreement on Agriculture" in its appellant's submission, its arguments on specificity essentially relate to whether</w:t>
      </w:r>
      <w:r w:rsidR="00CB4EF3" w:rsidRPr="007321E4">
        <w:t xml:space="preserve"> </w:t>
      </w:r>
      <w:r w:rsidRPr="007321E4">
        <w:t xml:space="preserve">"the Agreement on Agriculture would apply to the </w:t>
      </w:r>
      <w:r w:rsidRPr="007321E4">
        <w:rPr>
          <w:u w:val="single"/>
        </w:rPr>
        <w:t>exclusion</w:t>
      </w:r>
      <w:r w:rsidRPr="007321E4">
        <w:t xml:space="preserve"> of the more general agreements, such as the GATT 1994, to the extent that the Agreement on Agriculture contains specific provisions dealing specifically with the same matter". (Indonesia's appellant submission, heading II and para. 53 (emphasis original)) Indonesia subsequently reiterated at the oral hearing, both in its opening and closing statements and in response to questioning, that its first ground of appeal addresses whether both agreements can apply cumulatively to the challenged measures, or whether by virtue of Article 21.1 of the Agreement on Agriculture, Article 4.2 of the Agreement on Agriculture applies to the exclusion of Article XI</w:t>
      </w:r>
      <w:proofErr w:type="gramStart"/>
      <w:r w:rsidRPr="007321E4">
        <w:t>:1</w:t>
      </w:r>
      <w:proofErr w:type="gramEnd"/>
      <w:r w:rsidRPr="007321E4">
        <w:t xml:space="preserve"> of the GATT 1994 because Article 4.2 contains more specific substantive and procedural rules. </w:t>
      </w:r>
    </w:p>
  </w:footnote>
  <w:footnote w:id="59">
    <w:p w:rsidR="006A4249" w:rsidRPr="007321E4" w:rsidRDefault="006A4249" w:rsidP="00F75F41">
      <w:pPr>
        <w:pStyle w:val="FootnoteText"/>
      </w:pPr>
      <w:r w:rsidRPr="007321E4">
        <w:rPr>
          <w:rStyle w:val="FootnoteReference"/>
        </w:rPr>
        <w:footnoteRef/>
      </w:r>
      <w:r w:rsidRPr="007321E4">
        <w:t xml:space="preserve"> Indonesia's appellant's submission, para. 39.</w:t>
      </w:r>
    </w:p>
  </w:footnote>
  <w:footnote w:id="60">
    <w:p w:rsidR="006A4249" w:rsidRPr="007321E4" w:rsidRDefault="006A4249" w:rsidP="00F75F41">
      <w:pPr>
        <w:pStyle w:val="FootnoteText"/>
      </w:pPr>
      <w:r w:rsidRPr="007321E4">
        <w:rPr>
          <w:rStyle w:val="FootnoteReference"/>
        </w:rPr>
        <w:footnoteRef/>
      </w:r>
      <w:r w:rsidRPr="007321E4">
        <w:t xml:space="preserve"> Indonesia's appellant's submission, para. 62.</w:t>
      </w:r>
    </w:p>
  </w:footnote>
  <w:footnote w:id="61">
    <w:p w:rsidR="006A4249" w:rsidRPr="007321E4" w:rsidRDefault="006A4249" w:rsidP="00F75F41">
      <w:pPr>
        <w:pStyle w:val="FootnoteText"/>
      </w:pPr>
      <w:r w:rsidRPr="007321E4">
        <w:rPr>
          <w:rStyle w:val="FootnoteReference"/>
        </w:rPr>
        <w:footnoteRef/>
      </w:r>
      <w:r w:rsidRPr="007321E4">
        <w:t xml:space="preserve"> Indonesia's appellant's submission, para. 53. (emphasis original) </w:t>
      </w:r>
    </w:p>
  </w:footnote>
  <w:footnote w:id="62">
    <w:p w:rsidR="006A4249" w:rsidRPr="007321E4" w:rsidRDefault="006A4249" w:rsidP="00F75F41">
      <w:pPr>
        <w:pStyle w:val="FootnoteText"/>
      </w:pPr>
      <w:r w:rsidRPr="007321E4">
        <w:rPr>
          <w:rStyle w:val="FootnoteReference"/>
        </w:rPr>
        <w:footnoteRef/>
      </w:r>
      <w:r w:rsidRPr="007321E4">
        <w:t xml:space="preserve"> Indonesia's appellant's submission, para. 53.</w:t>
      </w:r>
    </w:p>
  </w:footnote>
  <w:footnote w:id="63">
    <w:p w:rsidR="006A4249" w:rsidRPr="007321E4" w:rsidRDefault="006A4249" w:rsidP="00F75F41">
      <w:pPr>
        <w:pStyle w:val="FootnoteText"/>
      </w:pPr>
      <w:r w:rsidRPr="007321E4">
        <w:rPr>
          <w:rStyle w:val="FootnoteReference"/>
        </w:rPr>
        <w:footnoteRef/>
      </w:r>
      <w:r w:rsidRPr="007321E4">
        <w:t xml:space="preserve"> Indonesia's opening statement at the oral hearing.</w:t>
      </w:r>
    </w:p>
  </w:footnote>
  <w:footnote w:id="64">
    <w:p w:rsidR="006A4249" w:rsidRPr="007321E4" w:rsidRDefault="006A4249" w:rsidP="00F75F41">
      <w:pPr>
        <w:pStyle w:val="FootnoteText"/>
      </w:pPr>
      <w:r w:rsidRPr="007321E4">
        <w:rPr>
          <w:rStyle w:val="FootnoteReference"/>
        </w:rPr>
        <w:footnoteRef/>
      </w:r>
      <w:r w:rsidRPr="007321E4">
        <w:t xml:space="preserve"> Indonesia argued at the oral hearing that, even if the differences between Article XI:1 and Article 4.2 do not amount to a conflict, the Panel should have applied the specific rules on quantitative import restrictions on agricultural goods under Article 4.2, as required under Article 21.1. (Indonesia's opening statement at the oral hearing)</w:t>
      </w:r>
    </w:p>
  </w:footnote>
  <w:footnote w:id="65">
    <w:p w:rsidR="006A4249" w:rsidRPr="007321E4" w:rsidRDefault="006A4249" w:rsidP="00F75F41">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paras.</w:t>
      </w:r>
      <w:proofErr w:type="gramEnd"/>
      <w:r w:rsidRPr="007321E4">
        <w:t xml:space="preserve"> </w:t>
      </w:r>
      <w:proofErr w:type="gramStart"/>
      <w:r w:rsidRPr="007321E4">
        <w:t xml:space="preserve">22 and 35-36; United States' </w:t>
      </w:r>
      <w:proofErr w:type="spellStart"/>
      <w:r w:rsidRPr="007321E4">
        <w:t>appellee's</w:t>
      </w:r>
      <w:proofErr w:type="spellEnd"/>
      <w:r w:rsidRPr="007321E4">
        <w:t xml:space="preserve"> submission, para.</w:t>
      </w:r>
      <w:proofErr w:type="gramEnd"/>
      <w:r w:rsidRPr="007321E4">
        <w:t> 44.</w:t>
      </w:r>
    </w:p>
  </w:footnote>
  <w:footnote w:id="66">
    <w:p w:rsidR="006A4249" w:rsidRPr="007321E4" w:rsidRDefault="006A4249">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paras.</w:t>
      </w:r>
      <w:proofErr w:type="gramEnd"/>
      <w:r w:rsidRPr="007321E4">
        <w:t xml:space="preserve"> </w:t>
      </w:r>
      <w:proofErr w:type="gramStart"/>
      <w:r w:rsidRPr="007321E4">
        <w:t xml:space="preserve">28-29; United States' </w:t>
      </w:r>
      <w:proofErr w:type="spellStart"/>
      <w:r w:rsidRPr="007321E4">
        <w:t>appellee's</w:t>
      </w:r>
      <w:proofErr w:type="spellEnd"/>
      <w:r w:rsidRPr="007321E4">
        <w:t xml:space="preserve"> submission, paras.</w:t>
      </w:r>
      <w:proofErr w:type="gramEnd"/>
      <w:r w:rsidRPr="007321E4">
        <w:t> </w:t>
      </w:r>
      <w:proofErr w:type="gramStart"/>
      <w:r w:rsidRPr="007321E4">
        <w:t>41, 51, and 53.</w:t>
      </w:r>
      <w:proofErr w:type="gramEnd"/>
    </w:p>
  </w:footnote>
  <w:footnote w:id="67">
    <w:p w:rsidR="006A4249" w:rsidRPr="007321E4" w:rsidRDefault="006A4249">
      <w:pPr>
        <w:pStyle w:val="FootnoteText"/>
      </w:pPr>
      <w:r w:rsidRPr="007321E4">
        <w:rPr>
          <w:rStyle w:val="FootnoteReference"/>
        </w:rPr>
        <w:footnoteRef/>
      </w:r>
      <w:r w:rsidRPr="007321E4">
        <w:t xml:space="preserve"> </w:t>
      </w:r>
      <w:proofErr w:type="gramStart"/>
      <w:r w:rsidRPr="007321E4">
        <w:t xml:space="preserve">United States' </w:t>
      </w:r>
      <w:proofErr w:type="spellStart"/>
      <w:r w:rsidRPr="007321E4">
        <w:t>appellee's</w:t>
      </w:r>
      <w:proofErr w:type="spellEnd"/>
      <w:r w:rsidRPr="007321E4">
        <w:t xml:space="preserve"> submission, para.</w:t>
      </w:r>
      <w:proofErr w:type="gramEnd"/>
      <w:r w:rsidRPr="007321E4">
        <w:t xml:space="preserve"> 53.</w:t>
      </w:r>
    </w:p>
  </w:footnote>
  <w:footnote w:id="68">
    <w:p w:rsidR="006A4249" w:rsidRPr="007321E4" w:rsidRDefault="006A4249" w:rsidP="00F75F41">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paras.</w:t>
      </w:r>
      <w:proofErr w:type="gramEnd"/>
      <w:r w:rsidRPr="007321E4">
        <w:t xml:space="preserve"> </w:t>
      </w:r>
      <w:proofErr w:type="gramStart"/>
      <w:r w:rsidRPr="007321E4">
        <w:t xml:space="preserve">40-41 (quoting Appellate Body Report, </w:t>
      </w:r>
      <w:r w:rsidRPr="007321E4">
        <w:rPr>
          <w:i/>
        </w:rPr>
        <w:t xml:space="preserve">Canada – Autos, </w:t>
      </w:r>
      <w:r w:rsidRPr="007321E4">
        <w:t>para. 151).</w:t>
      </w:r>
      <w:proofErr w:type="gramEnd"/>
      <w:r w:rsidRPr="007321E4">
        <w:t xml:space="preserve"> See also </w:t>
      </w:r>
      <w:proofErr w:type="gramStart"/>
      <w:r w:rsidRPr="007321E4">
        <w:t>ibid.,</w:t>
      </w:r>
      <w:proofErr w:type="gramEnd"/>
      <w:r w:rsidRPr="007321E4">
        <w:t xml:space="preserve"> para. </w:t>
      </w:r>
      <w:proofErr w:type="gramStart"/>
      <w:r w:rsidRPr="007321E4">
        <w:t xml:space="preserve">43; United States' </w:t>
      </w:r>
      <w:proofErr w:type="spellStart"/>
      <w:r w:rsidRPr="007321E4">
        <w:t>appellee's</w:t>
      </w:r>
      <w:proofErr w:type="spellEnd"/>
      <w:r w:rsidRPr="007321E4">
        <w:t xml:space="preserve"> submission, paras.</w:t>
      </w:r>
      <w:proofErr w:type="gramEnd"/>
      <w:r w:rsidRPr="007321E4">
        <w:t xml:space="preserve"> </w:t>
      </w:r>
      <w:proofErr w:type="gramStart"/>
      <w:r w:rsidRPr="007321E4">
        <w:t>21 and 24.</w:t>
      </w:r>
      <w:proofErr w:type="gramEnd"/>
    </w:p>
  </w:footnote>
  <w:footnote w:id="69">
    <w:p w:rsidR="006A4249" w:rsidRPr="007321E4" w:rsidRDefault="006A4249" w:rsidP="00F75F41">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paras.</w:t>
      </w:r>
      <w:proofErr w:type="gramEnd"/>
      <w:r w:rsidRPr="007321E4">
        <w:t xml:space="preserve"> </w:t>
      </w:r>
      <w:proofErr w:type="gramStart"/>
      <w:r w:rsidRPr="007321E4">
        <w:t xml:space="preserve">44-45; United States' </w:t>
      </w:r>
      <w:proofErr w:type="spellStart"/>
      <w:r w:rsidRPr="007321E4">
        <w:t>appellee's</w:t>
      </w:r>
      <w:proofErr w:type="spellEnd"/>
      <w:r w:rsidRPr="007321E4">
        <w:t xml:space="preserve"> submission, paras.</w:t>
      </w:r>
      <w:proofErr w:type="gramEnd"/>
      <w:r w:rsidRPr="007321E4">
        <w:t> </w:t>
      </w:r>
      <w:proofErr w:type="gramStart"/>
      <w:r w:rsidRPr="007321E4">
        <w:t>21,</w:t>
      </w:r>
      <w:proofErr w:type="gramEnd"/>
      <w:r w:rsidRPr="007321E4">
        <w:t xml:space="preserve"> and 34</w:t>
      </w:r>
      <w:r w:rsidRPr="007321E4">
        <w:noBreakHyphen/>
        <w:t>39.</w:t>
      </w:r>
    </w:p>
  </w:footnote>
  <w:footnote w:id="70">
    <w:p w:rsidR="006A4249" w:rsidRPr="007321E4" w:rsidRDefault="006A4249" w:rsidP="00F75F41">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paras.</w:t>
      </w:r>
      <w:proofErr w:type="gramEnd"/>
      <w:r w:rsidRPr="007321E4">
        <w:t xml:space="preserve"> </w:t>
      </w:r>
      <w:proofErr w:type="gramStart"/>
      <w:r w:rsidRPr="007321E4">
        <w:t xml:space="preserve">47-53; United States' </w:t>
      </w:r>
      <w:proofErr w:type="spellStart"/>
      <w:r w:rsidRPr="007321E4">
        <w:t>appellee's</w:t>
      </w:r>
      <w:proofErr w:type="spellEnd"/>
      <w:r w:rsidRPr="007321E4">
        <w:t xml:space="preserve"> submission, paras.</w:t>
      </w:r>
      <w:proofErr w:type="gramEnd"/>
      <w:r w:rsidRPr="007321E4">
        <w:t> </w:t>
      </w:r>
      <w:proofErr w:type="gramStart"/>
      <w:r w:rsidRPr="007321E4">
        <w:t>62</w:t>
      </w:r>
      <w:r w:rsidRPr="007321E4">
        <w:noBreakHyphen/>
        <w:t>64.</w:t>
      </w:r>
      <w:proofErr w:type="gramEnd"/>
    </w:p>
  </w:footnote>
  <w:footnote w:id="71">
    <w:p w:rsidR="006A4249" w:rsidRPr="007321E4" w:rsidRDefault="006A4249">
      <w:pPr>
        <w:pStyle w:val="FootnoteText"/>
      </w:pPr>
      <w:r w:rsidRPr="007321E4">
        <w:rPr>
          <w:rStyle w:val="FootnoteReference"/>
        </w:rPr>
        <w:footnoteRef/>
      </w:r>
      <w:r w:rsidRPr="007321E4">
        <w:t xml:space="preserve"> Indonesia's appellant's submission, para. 53. (emphasis original)</w:t>
      </w:r>
    </w:p>
  </w:footnote>
  <w:footnote w:id="72">
    <w:p w:rsidR="006A4249" w:rsidRPr="007321E4" w:rsidRDefault="006A4249" w:rsidP="00F75F41">
      <w:pPr>
        <w:pStyle w:val="FootnoteText"/>
      </w:pPr>
      <w:r w:rsidRPr="007321E4">
        <w:rPr>
          <w:rStyle w:val="FootnoteReference"/>
        </w:rPr>
        <w:footnoteRef/>
      </w:r>
      <w:r w:rsidRPr="007321E4">
        <w:t xml:space="preserve"> Appellate Body Report, </w:t>
      </w:r>
      <w:r w:rsidRPr="007321E4">
        <w:rPr>
          <w:i/>
        </w:rPr>
        <w:t>EC – Export Subsidies on Sugar</w:t>
      </w:r>
      <w:r w:rsidRPr="007321E4">
        <w:t>, para. 221. (italics omitted)</w:t>
      </w:r>
    </w:p>
  </w:footnote>
  <w:footnote w:id="73">
    <w:p w:rsidR="006A4249" w:rsidRPr="007321E4" w:rsidRDefault="006A4249" w:rsidP="00F75F41">
      <w:pPr>
        <w:pStyle w:val="FootnoteText"/>
      </w:pPr>
      <w:r w:rsidRPr="007321E4">
        <w:rPr>
          <w:rStyle w:val="FootnoteReference"/>
        </w:rPr>
        <w:footnoteRef/>
      </w:r>
      <w:r w:rsidRPr="007321E4">
        <w:t xml:space="preserve"> Appellate Body Report, </w:t>
      </w:r>
      <w:r w:rsidRPr="007321E4">
        <w:rPr>
          <w:i/>
        </w:rPr>
        <w:t>EC – Export Subsidies on Sugar</w:t>
      </w:r>
      <w:r w:rsidRPr="007321E4">
        <w:t>, paras. 222-226.</w:t>
      </w:r>
    </w:p>
  </w:footnote>
  <w:footnote w:id="74">
    <w:p w:rsidR="006A4249" w:rsidRPr="007321E4" w:rsidRDefault="006A4249" w:rsidP="00F75F41">
      <w:pPr>
        <w:pStyle w:val="FootnoteText"/>
      </w:pPr>
      <w:r w:rsidRPr="007321E4">
        <w:rPr>
          <w:rStyle w:val="FootnoteReference"/>
        </w:rPr>
        <w:footnoteRef/>
      </w:r>
      <w:r w:rsidRPr="007321E4">
        <w:t xml:space="preserve"> </w:t>
      </w:r>
      <w:proofErr w:type="gramStart"/>
      <w:r w:rsidRPr="007321E4">
        <w:t xml:space="preserve">Appellate Body Report, </w:t>
      </w:r>
      <w:r w:rsidRPr="007321E4">
        <w:rPr>
          <w:i/>
        </w:rPr>
        <w:t>EC – Bananas III</w:t>
      </w:r>
      <w:r w:rsidRPr="007321E4">
        <w:t>, para.</w:t>
      </w:r>
      <w:proofErr w:type="gramEnd"/>
      <w:r w:rsidRPr="007321E4">
        <w:t xml:space="preserve"> 155. (italics omitted)</w:t>
      </w:r>
    </w:p>
  </w:footnote>
  <w:footnote w:id="75">
    <w:p w:rsidR="006A4249" w:rsidRPr="007321E4" w:rsidRDefault="006A4249">
      <w:pPr>
        <w:pStyle w:val="FootnoteText"/>
      </w:pPr>
      <w:r w:rsidRPr="007321E4">
        <w:rPr>
          <w:rStyle w:val="FootnoteReference"/>
        </w:rPr>
        <w:footnoteRef/>
      </w:r>
      <w:r w:rsidRPr="007321E4">
        <w:t xml:space="preserve"> </w:t>
      </w:r>
      <w:proofErr w:type="gramStart"/>
      <w:r w:rsidRPr="007321E4">
        <w:t xml:space="preserve">Appellate Body Report, </w:t>
      </w:r>
      <w:r w:rsidRPr="007321E4">
        <w:rPr>
          <w:i/>
        </w:rPr>
        <w:t>EC – Bananas III</w:t>
      </w:r>
      <w:r w:rsidRPr="007321E4">
        <w:t>, para.</w:t>
      </w:r>
      <w:proofErr w:type="gramEnd"/>
      <w:r w:rsidRPr="007321E4">
        <w:t xml:space="preserve"> 153. (italics omitted)</w:t>
      </w:r>
    </w:p>
  </w:footnote>
  <w:footnote w:id="76">
    <w:p w:rsidR="006A4249" w:rsidRPr="007321E4" w:rsidRDefault="006A4249">
      <w:pPr>
        <w:pStyle w:val="FootnoteText"/>
      </w:pPr>
      <w:r w:rsidRPr="007321E4">
        <w:rPr>
          <w:rStyle w:val="FootnoteReference"/>
        </w:rPr>
        <w:footnoteRef/>
      </w:r>
      <w:r w:rsidRPr="007321E4">
        <w:t xml:space="preserve"> </w:t>
      </w:r>
      <w:proofErr w:type="gramStart"/>
      <w:r w:rsidRPr="007321E4">
        <w:t xml:space="preserve">Appellate Body Report, </w:t>
      </w:r>
      <w:r w:rsidRPr="007321E4">
        <w:rPr>
          <w:i/>
        </w:rPr>
        <w:t>EC – Bananas III</w:t>
      </w:r>
      <w:r w:rsidRPr="007321E4">
        <w:t>, para.</w:t>
      </w:r>
      <w:proofErr w:type="gramEnd"/>
      <w:r w:rsidRPr="007321E4">
        <w:t xml:space="preserve"> 157. In particular, the Appellate Body stated:</w:t>
      </w:r>
    </w:p>
    <w:p w:rsidR="006A4249" w:rsidRPr="007321E4" w:rsidRDefault="006A4249" w:rsidP="00F75F41">
      <w:pPr>
        <w:pStyle w:val="FootnoteText"/>
        <w:ind w:left="567" w:right="566" w:firstLine="0"/>
        <w:jc w:val="both"/>
      </w:pPr>
      <w:r w:rsidRPr="007321E4">
        <w:t>There is nothing in Articles 4.1 or 4.2, or in any other article of the Agreement on Agriculture, that deals specifically with the allocation of tariff quotas on agricultural products. If the negotiators had intended to permit Members to act inconsistently with Article XIII of the GATT 1994, they would have said so explicitly.</w:t>
      </w:r>
    </w:p>
    <w:p w:rsidR="006A4249" w:rsidRPr="007321E4" w:rsidRDefault="006A4249" w:rsidP="00F75F41">
      <w:pPr>
        <w:pStyle w:val="FootnoteText"/>
        <w:ind w:firstLine="0"/>
      </w:pPr>
      <w:r w:rsidRPr="007321E4">
        <w:t>(Ibid. (italics omitted))</w:t>
      </w:r>
    </w:p>
  </w:footnote>
  <w:footnote w:id="77">
    <w:p w:rsidR="006A4249" w:rsidRPr="007321E4" w:rsidRDefault="006A4249">
      <w:pPr>
        <w:pStyle w:val="FootnoteText"/>
      </w:pPr>
      <w:r w:rsidRPr="007321E4">
        <w:rPr>
          <w:rStyle w:val="FootnoteReference"/>
        </w:rPr>
        <w:footnoteRef/>
      </w:r>
      <w:r w:rsidRPr="007321E4">
        <w:t xml:space="preserve"> </w:t>
      </w:r>
      <w:proofErr w:type="gramStart"/>
      <w:r w:rsidRPr="007321E4">
        <w:t xml:space="preserve">Appellate Body Report, </w:t>
      </w:r>
      <w:r w:rsidRPr="007321E4">
        <w:rPr>
          <w:i/>
        </w:rPr>
        <w:t>EC – Bananas III</w:t>
      </w:r>
      <w:r w:rsidRPr="007321E4">
        <w:t>, para.</w:t>
      </w:r>
      <w:proofErr w:type="gramEnd"/>
      <w:r w:rsidRPr="007321E4">
        <w:t xml:space="preserve"> 155. (italics omitted)</w:t>
      </w:r>
    </w:p>
  </w:footnote>
  <w:footnote w:id="78">
    <w:p w:rsidR="006A4249" w:rsidRPr="007321E4" w:rsidRDefault="006A4249" w:rsidP="00F75F41">
      <w:pPr>
        <w:pStyle w:val="FootnoteText"/>
      </w:pPr>
      <w:r w:rsidRPr="007321E4">
        <w:rPr>
          <w:rStyle w:val="FootnoteReference"/>
        </w:rPr>
        <w:footnoteRef/>
      </w:r>
      <w:r w:rsidRPr="007321E4">
        <w:t xml:space="preserve"> </w:t>
      </w:r>
      <w:proofErr w:type="gramStart"/>
      <w:r w:rsidRPr="007321E4">
        <w:t xml:space="preserve">Appellate Body Report, </w:t>
      </w:r>
      <w:r w:rsidRPr="007321E4">
        <w:rPr>
          <w:i/>
        </w:rPr>
        <w:t>EC – Bananas III</w:t>
      </w:r>
      <w:r w:rsidRPr="007321E4">
        <w:t>, paras.</w:t>
      </w:r>
      <w:proofErr w:type="gramEnd"/>
      <w:r w:rsidRPr="007321E4">
        <w:t xml:space="preserve"> 157-158. See also Appellate Body Report, </w:t>
      </w:r>
      <w:r w:rsidR="002C5BBA" w:rsidRPr="007321E4">
        <w:br/>
      </w:r>
      <w:r w:rsidRPr="007321E4">
        <w:rPr>
          <w:i/>
        </w:rPr>
        <w:t>US –Upland Cotton</w:t>
      </w:r>
      <w:r w:rsidRPr="007321E4">
        <w:t>, paras. 547-550.</w:t>
      </w:r>
    </w:p>
  </w:footnote>
  <w:footnote w:id="79">
    <w:p w:rsidR="006A4249" w:rsidRPr="007321E4" w:rsidRDefault="006A4249" w:rsidP="00F75F41">
      <w:pPr>
        <w:pStyle w:val="FootnoteText"/>
      </w:pPr>
      <w:r w:rsidRPr="007321E4">
        <w:rPr>
          <w:rStyle w:val="FootnoteReference"/>
        </w:rPr>
        <w:footnoteRef/>
      </w:r>
      <w:r w:rsidRPr="007321E4">
        <w:t xml:space="preserve"> Indonesia's appellant's submission, para. 53. (</w:t>
      </w:r>
      <w:proofErr w:type="gramStart"/>
      <w:r w:rsidRPr="007321E4">
        <w:t>emphasis</w:t>
      </w:r>
      <w:proofErr w:type="gramEnd"/>
      <w:r w:rsidRPr="007321E4">
        <w:t xml:space="preserve"> original) Indonesia further submits that such an approach was confirmed by the Appellate Body in </w:t>
      </w:r>
      <w:r w:rsidRPr="007321E4">
        <w:rPr>
          <w:i/>
        </w:rPr>
        <w:t>Chile – Price Band System</w:t>
      </w:r>
      <w:r w:rsidRPr="007321E4">
        <w:t xml:space="preserve">. (Ibid., paras. 52 and 56) We note, however, that the Appellate Body in </w:t>
      </w:r>
      <w:r w:rsidRPr="007321E4">
        <w:rPr>
          <w:i/>
        </w:rPr>
        <w:t>Chile – Price Band System</w:t>
      </w:r>
      <w:r w:rsidRPr="007321E4">
        <w:t xml:space="preserve"> did not </w:t>
      </w:r>
      <w:r w:rsidRPr="007321E4">
        <w:rPr>
          <w:i/>
        </w:rPr>
        <w:t>exclude</w:t>
      </w:r>
      <w:r w:rsidRPr="007321E4">
        <w:t xml:space="preserve"> the application of Article II</w:t>
      </w:r>
      <w:proofErr w:type="gramStart"/>
      <w:r w:rsidRPr="007321E4">
        <w:t>:1</w:t>
      </w:r>
      <w:proofErr w:type="gramEnd"/>
      <w:r w:rsidRPr="007321E4">
        <w:t xml:space="preserve">(b) of the GATT 1994 in favour of Article 4.2 of the Agreement on Agriculture. In that dispute, both provisions applied cumulatively. (Appellate Body Report, </w:t>
      </w:r>
      <w:r w:rsidRPr="007321E4">
        <w:rPr>
          <w:i/>
        </w:rPr>
        <w:t>Chile – Price Band System</w:t>
      </w:r>
      <w:r w:rsidRPr="007321E4">
        <w:t>, para. 190)</w:t>
      </w:r>
    </w:p>
  </w:footnote>
  <w:footnote w:id="80">
    <w:p w:rsidR="006A4249" w:rsidRPr="007321E4" w:rsidRDefault="006A4249">
      <w:pPr>
        <w:pStyle w:val="FootnoteText"/>
      </w:pPr>
      <w:r w:rsidRPr="007321E4">
        <w:rPr>
          <w:rStyle w:val="FootnoteReference"/>
        </w:rPr>
        <w:footnoteRef/>
      </w:r>
      <w:r w:rsidRPr="007321E4">
        <w:t xml:space="preserve"> Appellate Body Reports, </w:t>
      </w:r>
      <w:r w:rsidRPr="007321E4">
        <w:rPr>
          <w:i/>
        </w:rPr>
        <w:t>EC – Export Subsidies on Sugar</w:t>
      </w:r>
      <w:r w:rsidRPr="007321E4">
        <w:t xml:space="preserve">, para. </w:t>
      </w:r>
      <w:proofErr w:type="gramStart"/>
      <w:r w:rsidRPr="007321E4">
        <w:t xml:space="preserve">221; </w:t>
      </w:r>
      <w:r w:rsidRPr="007321E4">
        <w:rPr>
          <w:i/>
        </w:rPr>
        <w:t>EC – Bananas III</w:t>
      </w:r>
      <w:r w:rsidRPr="007321E4">
        <w:t>, para.</w:t>
      </w:r>
      <w:proofErr w:type="gramEnd"/>
      <w:r w:rsidRPr="007321E4">
        <w:t xml:space="preserve"> 155.</w:t>
      </w:r>
    </w:p>
  </w:footnote>
  <w:footnote w:id="81">
    <w:p w:rsidR="006A4249" w:rsidRPr="007321E4" w:rsidRDefault="006A4249" w:rsidP="00F75F41">
      <w:pPr>
        <w:pStyle w:val="FootnoteText"/>
      </w:pPr>
      <w:r w:rsidRPr="007321E4">
        <w:rPr>
          <w:rStyle w:val="FootnoteReference"/>
        </w:rPr>
        <w:footnoteRef/>
      </w:r>
      <w:r w:rsidRPr="007321E4">
        <w:t xml:space="preserve"> </w:t>
      </w:r>
      <w:proofErr w:type="gramStart"/>
      <w:r w:rsidRPr="007321E4">
        <w:t>Panel Report, paras.</w:t>
      </w:r>
      <w:proofErr w:type="gramEnd"/>
      <w:r w:rsidRPr="007321E4">
        <w:t xml:space="preserve"> 3.1</w:t>
      </w:r>
      <w:proofErr w:type="gramStart"/>
      <w:r w:rsidRPr="007321E4">
        <w:t>.a</w:t>
      </w:r>
      <w:proofErr w:type="gramEnd"/>
      <w:r w:rsidRPr="007321E4">
        <w:t xml:space="preserve">-3.1.c, 3.3, and 7.32. </w:t>
      </w:r>
    </w:p>
  </w:footnote>
  <w:footnote w:id="82">
    <w:p w:rsidR="006A4249" w:rsidRPr="007321E4" w:rsidRDefault="006A4249" w:rsidP="00F75F41">
      <w:pPr>
        <w:pStyle w:val="FootnoteText"/>
      </w:pPr>
      <w:r w:rsidRPr="007321E4">
        <w:rPr>
          <w:rStyle w:val="FootnoteReference"/>
        </w:rPr>
        <w:footnoteRef/>
      </w:r>
      <w:r w:rsidRPr="007321E4">
        <w:t xml:space="preserve"> We recall that the 18 measures at issue concern Indonesia's import licensing regimes for horticultural products and </w:t>
      </w:r>
      <w:r w:rsidRPr="007321E4">
        <w:rPr>
          <w:szCs w:val="20"/>
        </w:rPr>
        <w:t>animals</w:t>
      </w:r>
      <w:r w:rsidRPr="007321E4">
        <w:t xml:space="preserve"> and animal products. (Panel Report, para. 2.32) Indonesia does not dispute that these import licensing regimes fall within the scope of Annex 1 to the Agreement on Agriculture. (Indonesia's appellant's submission, para. 10) </w:t>
      </w:r>
    </w:p>
  </w:footnote>
  <w:footnote w:id="83">
    <w:p w:rsidR="006A4249" w:rsidRPr="007321E4" w:rsidRDefault="006A4249" w:rsidP="00F75F41">
      <w:pPr>
        <w:pStyle w:val="FootnoteText"/>
      </w:pPr>
      <w:r w:rsidRPr="007321E4">
        <w:rPr>
          <w:rStyle w:val="FootnoteReference"/>
        </w:rPr>
        <w:footnoteRef/>
      </w:r>
      <w:r w:rsidRPr="007321E4">
        <w:t xml:space="preserve"> Indonesia's appellant's submission, para. 59. </w:t>
      </w:r>
    </w:p>
  </w:footnote>
  <w:footnote w:id="84">
    <w:p w:rsidR="006A4249" w:rsidRPr="007321E4" w:rsidRDefault="006A4249">
      <w:pPr>
        <w:pStyle w:val="FootnoteText"/>
      </w:pPr>
      <w:r w:rsidRPr="007321E4">
        <w:rPr>
          <w:rStyle w:val="FootnoteReference"/>
        </w:rPr>
        <w:footnoteRef/>
      </w:r>
      <w:r w:rsidRPr="007321E4">
        <w:t xml:space="preserve"> Article XI</w:t>
      </w:r>
      <w:proofErr w:type="gramStart"/>
      <w:r w:rsidRPr="007321E4">
        <w:t>:1</w:t>
      </w:r>
      <w:proofErr w:type="gramEnd"/>
      <w:r w:rsidRPr="007321E4">
        <w:t xml:space="preserve"> of the GATT 1994, which applies to all types of goods, requires the elimination of "prohibitions or restrictions other than duties, taxes or other charges". Article 4.2 of the Agreement on Agriculture, which applies only to agricultural products, requires the elimination of "any measures of the kind which have been required to be converted into ordinary customs duties", including quantitative import restrictions, as footnote 1 thereto provides.</w:t>
      </w:r>
    </w:p>
  </w:footnote>
  <w:footnote w:id="85">
    <w:p w:rsidR="006A4249" w:rsidRPr="007321E4" w:rsidRDefault="006A4249">
      <w:pPr>
        <w:pStyle w:val="FootnoteText"/>
      </w:pPr>
      <w:r w:rsidRPr="007321E4">
        <w:rPr>
          <w:rStyle w:val="FootnoteReference"/>
        </w:rPr>
        <w:footnoteRef/>
      </w:r>
      <w:r w:rsidRPr="007321E4">
        <w:t xml:space="preserve"> </w:t>
      </w:r>
      <w:r w:rsidRPr="007321E4">
        <w:rPr>
          <w:szCs w:val="20"/>
        </w:rPr>
        <w:t xml:space="preserve">In </w:t>
      </w:r>
      <w:r w:rsidRPr="007321E4">
        <w:rPr>
          <w:i/>
          <w:szCs w:val="20"/>
        </w:rPr>
        <w:t>Chile – Price Band System</w:t>
      </w:r>
      <w:r w:rsidRPr="007321E4">
        <w:rPr>
          <w:szCs w:val="20"/>
        </w:rPr>
        <w:t>, the Appellate Body stated that the conversion into ordinary customs duties of measures within the meaning of Article 4.2 began during the Uruguay Round negotiations, and that, after the signing of the WTO Agreement, "there was no longer an option to replace measures covered by Article 4.2 with ordinary customs duties in excess of the levels of previously bound tariff rates." (</w:t>
      </w:r>
      <w:r w:rsidRPr="007321E4">
        <w:t xml:space="preserve">Appellate Body Report, </w:t>
      </w:r>
      <w:r w:rsidRPr="007321E4">
        <w:rPr>
          <w:i/>
        </w:rPr>
        <w:t>Chile – Price Band System</w:t>
      </w:r>
      <w:r w:rsidRPr="007321E4">
        <w:t xml:space="preserve">, para. 206) </w:t>
      </w:r>
      <w:r w:rsidRPr="007321E4">
        <w:rPr>
          <w:szCs w:val="20"/>
        </w:rPr>
        <w:t>After the entry into force of the WTO</w:t>
      </w:r>
      <w:r w:rsidR="005F6B99" w:rsidRPr="007321E4">
        <w:rPr>
          <w:szCs w:val="20"/>
        </w:rPr>
        <w:t> </w:t>
      </w:r>
      <w:r w:rsidRPr="007321E4">
        <w:rPr>
          <w:szCs w:val="20"/>
        </w:rPr>
        <w:t>Agreement, Members simply have to "refrain from maintaining, reverting to, or resorting to, measures prohibited by Article 4.2". (</w:t>
      </w:r>
      <w:r w:rsidRPr="007321E4">
        <w:t>Ibid.)</w:t>
      </w:r>
    </w:p>
  </w:footnote>
  <w:footnote w:id="86">
    <w:p w:rsidR="006A4249" w:rsidRPr="007321E4" w:rsidRDefault="006A4249">
      <w:pPr>
        <w:pStyle w:val="FootnoteText"/>
      </w:pPr>
      <w:r w:rsidRPr="007321E4">
        <w:rPr>
          <w:rStyle w:val="FootnoteReference"/>
        </w:rPr>
        <w:footnoteRef/>
      </w:r>
      <w:r w:rsidRPr="007321E4">
        <w:t xml:space="preserve"> The Panel found that each of the 18 measures at issue is inconsistent with Article XI:1 of the GATT 1994 because, by virtue of its design, architecture, and revealing structure, it constitutes either a restriction having a limiting effect on importation (Measures 1 through 7, 9, and 11 through 18) or a prohibition on importation (Measures 8 and 10). </w:t>
      </w:r>
      <w:proofErr w:type="gramStart"/>
      <w:r w:rsidRPr="007321E4">
        <w:t>(Panel Report, para.</w:t>
      </w:r>
      <w:proofErr w:type="gramEnd"/>
      <w:r w:rsidRPr="007321E4">
        <w:t xml:space="preserve"> 8.1.b)</w:t>
      </w:r>
    </w:p>
  </w:footnote>
  <w:footnote w:id="87">
    <w:p w:rsidR="006A4249" w:rsidRPr="007321E4" w:rsidRDefault="006A4249">
      <w:pPr>
        <w:pStyle w:val="FootnoteText"/>
      </w:pPr>
      <w:r w:rsidRPr="007321E4">
        <w:rPr>
          <w:rStyle w:val="FootnoteReference"/>
        </w:rPr>
        <w:footnoteRef/>
      </w:r>
      <w:r w:rsidRPr="007321E4">
        <w:t xml:space="preserve"> See section </w:t>
      </w:r>
      <w:r w:rsidRPr="007321E4">
        <w:fldChar w:fldCharType="begin"/>
      </w:r>
      <w:r w:rsidRPr="007321E4">
        <w:instrText xml:space="preserve"> REF _Ref495593487 \r \h </w:instrText>
      </w:r>
      <w:r w:rsidRPr="007321E4">
        <w:fldChar w:fldCharType="separate"/>
      </w:r>
      <w:r w:rsidRPr="007321E4">
        <w:t>5.2.2 </w:t>
      </w:r>
      <w:r w:rsidRPr="007321E4">
        <w:fldChar w:fldCharType="end"/>
      </w:r>
      <w:r w:rsidRPr="007321E4">
        <w:t>below.</w:t>
      </w:r>
    </w:p>
  </w:footnote>
  <w:footnote w:id="88">
    <w:p w:rsidR="006A4249" w:rsidRPr="007321E4" w:rsidRDefault="006A4249">
      <w:pPr>
        <w:pStyle w:val="FootnoteText"/>
      </w:pPr>
      <w:r w:rsidRPr="007321E4">
        <w:rPr>
          <w:rStyle w:val="FootnoteReference"/>
        </w:rPr>
        <w:footnoteRef/>
      </w:r>
      <w:r w:rsidRPr="007321E4">
        <w:t xml:space="preserve"> See section </w:t>
      </w:r>
      <w:r w:rsidRPr="007321E4">
        <w:fldChar w:fldCharType="begin"/>
      </w:r>
      <w:r w:rsidRPr="007321E4">
        <w:instrText xml:space="preserve"> REF _Ref495593487 \r \h </w:instrText>
      </w:r>
      <w:r w:rsidRPr="007321E4">
        <w:fldChar w:fldCharType="separate"/>
      </w:r>
      <w:r w:rsidRPr="007321E4">
        <w:t>5.2.2 </w:t>
      </w:r>
      <w:r w:rsidRPr="007321E4">
        <w:fldChar w:fldCharType="end"/>
      </w:r>
      <w:r w:rsidRPr="007321E4">
        <w:t>below.</w:t>
      </w:r>
    </w:p>
  </w:footnote>
  <w:footnote w:id="89">
    <w:p w:rsidR="006A4249" w:rsidRPr="007321E4" w:rsidRDefault="006A4249">
      <w:pPr>
        <w:pStyle w:val="FootnoteText"/>
      </w:pPr>
      <w:r w:rsidRPr="007321E4">
        <w:rPr>
          <w:rStyle w:val="FootnoteReference"/>
        </w:rPr>
        <w:footnoteRef/>
      </w:r>
      <w:r w:rsidRPr="007321E4">
        <w:t xml:space="preserve"> Indonesia's appellant's submission, para. 53. (emphasis original)</w:t>
      </w:r>
    </w:p>
  </w:footnote>
  <w:footnote w:id="90">
    <w:p w:rsidR="006A4249" w:rsidRPr="007321E4" w:rsidRDefault="006A4249">
      <w:pPr>
        <w:pStyle w:val="FootnoteText"/>
      </w:pPr>
      <w:r w:rsidRPr="007321E4">
        <w:rPr>
          <w:rStyle w:val="FootnoteReference"/>
        </w:rPr>
        <w:footnoteRef/>
      </w:r>
      <w:r w:rsidRPr="007321E4">
        <w:t xml:space="preserve"> See also section </w:t>
      </w:r>
      <w:r w:rsidRPr="007321E4">
        <w:fldChar w:fldCharType="begin"/>
      </w:r>
      <w:r w:rsidRPr="007321E4">
        <w:instrText xml:space="preserve"> REF _Ref495593409 \r \h  \* MERGEFORMAT </w:instrText>
      </w:r>
      <w:r w:rsidRPr="007321E4">
        <w:fldChar w:fldCharType="separate"/>
      </w:r>
      <w:r w:rsidRPr="007321E4">
        <w:t>5.2 </w:t>
      </w:r>
      <w:r w:rsidRPr="007321E4">
        <w:fldChar w:fldCharType="end"/>
      </w:r>
      <w:r w:rsidRPr="007321E4">
        <w:t>below.</w:t>
      </w:r>
    </w:p>
  </w:footnote>
  <w:footnote w:id="91">
    <w:p w:rsidR="006A4249" w:rsidRPr="007321E4" w:rsidRDefault="006A4249">
      <w:pPr>
        <w:pStyle w:val="FootnoteText"/>
      </w:pPr>
      <w:r w:rsidRPr="007321E4">
        <w:rPr>
          <w:rStyle w:val="FootnoteReference"/>
        </w:rPr>
        <w:footnoteRef/>
      </w:r>
      <w:r w:rsidRPr="007321E4">
        <w:t xml:space="preserve"> See Appellate Body Report, </w:t>
      </w:r>
      <w:r w:rsidRPr="007321E4">
        <w:rPr>
          <w:i/>
          <w:szCs w:val="20"/>
        </w:rPr>
        <w:t>Canada – Wheat Export</w:t>
      </w:r>
      <w:r w:rsidR="008B2FAE" w:rsidRPr="007321E4">
        <w:rPr>
          <w:i/>
          <w:szCs w:val="20"/>
        </w:rPr>
        <w:t>s</w:t>
      </w:r>
      <w:r w:rsidRPr="007321E4">
        <w:rPr>
          <w:i/>
          <w:szCs w:val="20"/>
        </w:rPr>
        <w:t xml:space="preserve"> and Grain Imports</w:t>
      </w:r>
      <w:r w:rsidRPr="007321E4">
        <w:rPr>
          <w:szCs w:val="20"/>
        </w:rPr>
        <w:t>, para. 109.</w:t>
      </w:r>
    </w:p>
  </w:footnote>
  <w:footnote w:id="92">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7.32.</w:t>
      </w:r>
    </w:p>
  </w:footnote>
  <w:footnote w:id="93">
    <w:p w:rsidR="006A4249" w:rsidRPr="007321E4" w:rsidRDefault="006A4249">
      <w:pPr>
        <w:pStyle w:val="FootnoteText"/>
      </w:pPr>
      <w:r w:rsidRPr="007321E4">
        <w:rPr>
          <w:rStyle w:val="FootnoteReference"/>
        </w:rPr>
        <w:footnoteRef/>
      </w:r>
      <w:r w:rsidRPr="007321E4">
        <w:t xml:space="preserve"> Indonesia's appellant's submission, para. 39.</w:t>
      </w:r>
    </w:p>
  </w:footnote>
  <w:footnote w:id="94">
    <w:p w:rsidR="006A4249" w:rsidRPr="007321E4" w:rsidRDefault="006A4249">
      <w:pPr>
        <w:pStyle w:val="FootnoteText"/>
      </w:pPr>
      <w:r w:rsidRPr="007321E4">
        <w:rPr>
          <w:rStyle w:val="FootnoteReference"/>
        </w:rPr>
        <w:footnoteRef/>
      </w:r>
      <w:r w:rsidRPr="007321E4">
        <w:t xml:space="preserve"> Indonesia's appellant's submission, para. 47. Indonesia further asserts that the Panel's reliance on Article 21.1 of the Agreement on Agriculture to find that "Article XI</w:t>
      </w:r>
      <w:proofErr w:type="gramStart"/>
      <w:r w:rsidRPr="007321E4">
        <w:t>:2</w:t>
      </w:r>
      <w:proofErr w:type="gramEnd"/>
      <w:r w:rsidRPr="007321E4">
        <w:t>(c) of the GATT 1994 is no longer available with respect to agricultural products" further suggests that Article 4.2 "deals more specifically with quantitative import restrictions than does Article XI:1". (Indonesia's appellant's submission, para. 58 (referring to Panel Report, para. 7.59)) We discuss the specific issues pertaining to Article XI</w:t>
      </w:r>
      <w:proofErr w:type="gramStart"/>
      <w:r w:rsidRPr="007321E4">
        <w:t>:2</w:t>
      </w:r>
      <w:proofErr w:type="gramEnd"/>
      <w:r w:rsidRPr="007321E4">
        <w:t>(c) of the GATT 1994 in section </w:t>
      </w:r>
      <w:r w:rsidRPr="007321E4">
        <w:fldChar w:fldCharType="begin"/>
      </w:r>
      <w:r w:rsidRPr="007321E4">
        <w:instrText xml:space="preserve"> REF _Ref495593427 \r \h </w:instrText>
      </w:r>
      <w:r w:rsidRPr="007321E4">
        <w:fldChar w:fldCharType="separate"/>
      </w:r>
      <w:r w:rsidRPr="007321E4">
        <w:t>5.3 </w:t>
      </w:r>
      <w:r w:rsidRPr="007321E4">
        <w:fldChar w:fldCharType="end"/>
      </w:r>
      <w:r w:rsidRPr="007321E4">
        <w:t>below.</w:t>
      </w:r>
    </w:p>
  </w:footnote>
  <w:footnote w:id="95">
    <w:p w:rsidR="006A4249" w:rsidRPr="007321E4" w:rsidRDefault="006A4249">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paras.</w:t>
      </w:r>
      <w:proofErr w:type="gramEnd"/>
      <w:r w:rsidRPr="007321E4">
        <w:t xml:space="preserve"> </w:t>
      </w:r>
      <w:proofErr w:type="gramStart"/>
      <w:r w:rsidRPr="007321E4">
        <w:t xml:space="preserve">42-45; United States' </w:t>
      </w:r>
      <w:proofErr w:type="spellStart"/>
      <w:r w:rsidRPr="007321E4">
        <w:t>appellee's</w:t>
      </w:r>
      <w:proofErr w:type="spellEnd"/>
      <w:r w:rsidRPr="007321E4">
        <w:t xml:space="preserve"> submission, paras.</w:t>
      </w:r>
      <w:proofErr w:type="gramEnd"/>
      <w:r w:rsidRPr="007321E4">
        <w:t> </w:t>
      </w:r>
      <w:proofErr w:type="gramStart"/>
      <w:r w:rsidRPr="007321E4">
        <w:t>34</w:t>
      </w:r>
      <w:r w:rsidRPr="007321E4">
        <w:noBreakHyphen/>
        <w:t>35.</w:t>
      </w:r>
      <w:proofErr w:type="gramEnd"/>
    </w:p>
  </w:footnote>
  <w:footnote w:id="96">
    <w:p w:rsidR="006A4249" w:rsidRPr="007321E4" w:rsidRDefault="006A4249">
      <w:pPr>
        <w:pStyle w:val="FootnoteText"/>
      </w:pPr>
      <w:r w:rsidRPr="007321E4">
        <w:rPr>
          <w:rStyle w:val="FootnoteReference"/>
        </w:rPr>
        <w:footnoteRef/>
      </w:r>
      <w:r w:rsidRPr="007321E4">
        <w:t xml:space="preserve"> See also Appellate Body Reports, </w:t>
      </w:r>
      <w:r w:rsidRPr="007321E4">
        <w:rPr>
          <w:i/>
        </w:rPr>
        <w:t>EC – Export Subsidies on Sugar</w:t>
      </w:r>
      <w:r w:rsidRPr="007321E4">
        <w:t xml:space="preserve">, para. </w:t>
      </w:r>
      <w:proofErr w:type="gramStart"/>
      <w:r w:rsidRPr="007321E4">
        <w:t xml:space="preserve">221; </w:t>
      </w:r>
      <w:r w:rsidRPr="007321E4">
        <w:rPr>
          <w:i/>
        </w:rPr>
        <w:t>EC – Bananas III</w:t>
      </w:r>
      <w:r w:rsidRPr="007321E4">
        <w:t>, para.</w:t>
      </w:r>
      <w:proofErr w:type="gramEnd"/>
      <w:r w:rsidRPr="007321E4">
        <w:t> 155.</w:t>
      </w:r>
    </w:p>
  </w:footnote>
  <w:footnote w:id="97">
    <w:p w:rsidR="006A4249" w:rsidRPr="007321E4" w:rsidRDefault="006A4249">
      <w:pPr>
        <w:pStyle w:val="FootnoteText"/>
      </w:pPr>
      <w:r w:rsidRPr="007321E4">
        <w:rPr>
          <w:rStyle w:val="FootnoteReference"/>
        </w:rPr>
        <w:footnoteRef/>
      </w:r>
      <w:r w:rsidRPr="007321E4">
        <w:t xml:space="preserve"> Appellate Body Report, </w:t>
      </w:r>
      <w:r w:rsidRPr="007321E4">
        <w:rPr>
          <w:i/>
        </w:rPr>
        <w:t>Canada – Wheat Exports and Grain Imports</w:t>
      </w:r>
      <w:r w:rsidRPr="007321E4">
        <w:t>, para. 109.</w:t>
      </w:r>
    </w:p>
  </w:footnote>
  <w:footnote w:id="98">
    <w:p w:rsidR="006A4249" w:rsidRPr="007321E4" w:rsidRDefault="006A4249">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Canada – Renewable Energy / Canada – Feed-in Tariff Program</w:t>
      </w:r>
      <w:r w:rsidRPr="007321E4">
        <w:t>, paras.</w:t>
      </w:r>
      <w:proofErr w:type="gramEnd"/>
      <w:r w:rsidRPr="007321E4">
        <w:t xml:space="preserve"> </w:t>
      </w:r>
      <w:r w:rsidR="003310FF" w:rsidRPr="007321E4">
        <w:t xml:space="preserve">5.8 </w:t>
      </w:r>
      <w:proofErr w:type="gramStart"/>
      <w:r w:rsidR="003310FF" w:rsidRPr="007321E4">
        <w:t>and</w:t>
      </w:r>
      <w:proofErr w:type="gramEnd"/>
      <w:r w:rsidR="003310FF" w:rsidRPr="007321E4">
        <w:t xml:space="preserve"> </w:t>
      </w:r>
      <w:r w:rsidRPr="007321E4">
        <w:t>5.5, respectively.</w:t>
      </w:r>
    </w:p>
  </w:footnote>
  <w:footnote w:id="99">
    <w:p w:rsidR="006A4249" w:rsidRPr="007321E4" w:rsidRDefault="006A4249">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Canada – Renewable Energy / Canada – Feed-in Tariff Program</w:t>
      </w:r>
      <w:r w:rsidRPr="007321E4">
        <w:t>, para.</w:t>
      </w:r>
      <w:proofErr w:type="gramEnd"/>
      <w:r w:rsidRPr="007321E4">
        <w:t xml:space="preserve"> 5.8.</w:t>
      </w:r>
    </w:p>
  </w:footnote>
  <w:footnote w:id="100">
    <w:p w:rsidR="006A4249" w:rsidRPr="007321E4" w:rsidRDefault="006A4249">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Canada – Renewable Energy / Canada – Feed-in Tariff Program</w:t>
      </w:r>
      <w:r w:rsidRPr="007321E4">
        <w:t>, para.</w:t>
      </w:r>
      <w:proofErr w:type="gramEnd"/>
      <w:r w:rsidRPr="007321E4">
        <w:t xml:space="preserve"> </w:t>
      </w:r>
      <w:proofErr w:type="gramStart"/>
      <w:r w:rsidRPr="007321E4">
        <w:t xml:space="preserve">5.8 (referring to Appellate Body Report, </w:t>
      </w:r>
      <w:r w:rsidRPr="007321E4">
        <w:rPr>
          <w:i/>
        </w:rPr>
        <w:t>Canada – Wheat Exports and Grain Imports</w:t>
      </w:r>
      <w:r w:rsidRPr="007321E4">
        <w:t>, para. 126).</w:t>
      </w:r>
      <w:proofErr w:type="gramEnd"/>
    </w:p>
  </w:footnote>
  <w:footnote w:id="101">
    <w:p w:rsidR="006A4249" w:rsidRPr="007321E4" w:rsidRDefault="006A4249">
      <w:pPr>
        <w:pStyle w:val="FootnoteText"/>
      </w:pPr>
      <w:r w:rsidRPr="007321E4">
        <w:rPr>
          <w:rStyle w:val="FootnoteReference"/>
        </w:rPr>
        <w:footnoteRef/>
      </w:r>
      <w:r w:rsidRPr="007321E4">
        <w:t xml:space="preserve"> A particular sequence may also have been required for reasons related to judicial economy, if, for example, starting its analysis with Article 4.2, rather than with Article XI</w:t>
      </w:r>
      <w:proofErr w:type="gramStart"/>
      <w:r w:rsidRPr="007321E4">
        <w:t>:1</w:t>
      </w:r>
      <w:proofErr w:type="gramEnd"/>
      <w:r w:rsidRPr="007321E4">
        <w:t>, would have allowed the Panel to exercise judicial economy under Article XI:1, while the reverse is not true.</w:t>
      </w:r>
    </w:p>
  </w:footnote>
  <w:footnote w:id="102">
    <w:p w:rsidR="006A4249" w:rsidRPr="007321E4" w:rsidRDefault="006A4249">
      <w:pPr>
        <w:pStyle w:val="FootnoteText"/>
      </w:pPr>
      <w:r w:rsidRPr="007321E4">
        <w:rPr>
          <w:rStyle w:val="FootnoteReference"/>
        </w:rPr>
        <w:footnoteRef/>
      </w:r>
      <w:r w:rsidRPr="007321E4">
        <w:t xml:space="preserve"> See also section </w:t>
      </w:r>
      <w:r w:rsidRPr="007321E4">
        <w:fldChar w:fldCharType="begin"/>
      </w:r>
      <w:r w:rsidRPr="007321E4">
        <w:instrText xml:space="preserve"> REF _Ref495593448 \r \h </w:instrText>
      </w:r>
      <w:r w:rsidRPr="007321E4">
        <w:fldChar w:fldCharType="separate"/>
      </w:r>
      <w:r w:rsidRPr="007321E4">
        <w:t>5.2 </w:t>
      </w:r>
      <w:r w:rsidRPr="007321E4">
        <w:fldChar w:fldCharType="end"/>
      </w:r>
      <w:r w:rsidRPr="007321E4">
        <w:t>below.</w:t>
      </w:r>
    </w:p>
  </w:footnote>
  <w:footnote w:id="103">
    <w:p w:rsidR="006A4249" w:rsidRPr="007321E4" w:rsidRDefault="006A4249">
      <w:pPr>
        <w:pStyle w:val="FootnoteText"/>
      </w:pPr>
      <w:r w:rsidRPr="007321E4">
        <w:rPr>
          <w:rStyle w:val="FootnoteReference"/>
        </w:rPr>
        <w:footnoteRef/>
      </w:r>
      <w:r w:rsidRPr="007321E4">
        <w:t xml:space="preserve"> </w:t>
      </w:r>
      <w:r w:rsidRPr="007321E4">
        <w:rPr>
          <w:lang w:eastAsia="zh-CN"/>
        </w:rPr>
        <w:t xml:space="preserve">As we examine in section </w:t>
      </w:r>
      <w:r w:rsidRPr="007321E4">
        <w:rPr>
          <w:lang w:eastAsia="zh-CN"/>
        </w:rPr>
        <w:fldChar w:fldCharType="begin"/>
      </w:r>
      <w:r w:rsidRPr="007321E4">
        <w:rPr>
          <w:lang w:eastAsia="zh-CN"/>
        </w:rPr>
        <w:instrText xml:space="preserve"> REF _Ref495593487 \r \h </w:instrText>
      </w:r>
      <w:r w:rsidRPr="007321E4">
        <w:rPr>
          <w:lang w:eastAsia="zh-CN"/>
        </w:rPr>
      </w:r>
      <w:r w:rsidRPr="007321E4">
        <w:rPr>
          <w:lang w:eastAsia="zh-CN"/>
        </w:rPr>
        <w:fldChar w:fldCharType="separate"/>
      </w:r>
      <w:r w:rsidRPr="007321E4">
        <w:rPr>
          <w:lang w:eastAsia="zh-CN"/>
        </w:rPr>
        <w:t>5.2.2 </w:t>
      </w:r>
      <w:r w:rsidRPr="007321E4">
        <w:rPr>
          <w:lang w:eastAsia="zh-CN"/>
        </w:rPr>
        <w:fldChar w:fldCharType="end"/>
      </w:r>
      <w:r w:rsidRPr="007321E4">
        <w:rPr>
          <w:lang w:eastAsia="zh-CN"/>
        </w:rPr>
        <w:t>below, we do not consider that a different burden of proof applies depending on whether Article XX is invoked in relation to Article XI</w:t>
      </w:r>
      <w:proofErr w:type="gramStart"/>
      <w:r w:rsidRPr="007321E4">
        <w:rPr>
          <w:lang w:eastAsia="zh-CN"/>
        </w:rPr>
        <w:t>:1</w:t>
      </w:r>
      <w:proofErr w:type="gramEnd"/>
      <w:r w:rsidRPr="007321E4">
        <w:rPr>
          <w:lang w:eastAsia="zh-CN"/>
        </w:rPr>
        <w:t xml:space="preserve"> or Article 4.2.</w:t>
      </w:r>
    </w:p>
  </w:footnote>
  <w:footnote w:id="104">
    <w:p w:rsidR="006A4249" w:rsidRPr="007321E4" w:rsidRDefault="006A4249">
      <w:pPr>
        <w:pStyle w:val="FootnoteText"/>
      </w:pPr>
      <w:r w:rsidRPr="007321E4">
        <w:rPr>
          <w:rStyle w:val="FootnoteReference"/>
        </w:rPr>
        <w:footnoteRef/>
      </w:r>
      <w:r w:rsidRPr="007321E4">
        <w:t xml:space="preserve"> Appellate Body Report, </w:t>
      </w:r>
      <w:r w:rsidRPr="007321E4">
        <w:rPr>
          <w:i/>
        </w:rPr>
        <w:t>Canada – Wheat Exports and Grain Imports</w:t>
      </w:r>
      <w:r w:rsidRPr="007321E4">
        <w:t>, para. 109.</w:t>
      </w:r>
    </w:p>
  </w:footnote>
  <w:footnote w:id="105">
    <w:p w:rsidR="006A4249" w:rsidRPr="007321E4" w:rsidRDefault="006A4249">
      <w:pPr>
        <w:pStyle w:val="FootnoteText"/>
      </w:pPr>
      <w:r w:rsidRPr="007321E4">
        <w:rPr>
          <w:rStyle w:val="FootnoteReference"/>
        </w:rPr>
        <w:footnoteRef/>
      </w:r>
      <w:r w:rsidRPr="007321E4">
        <w:t xml:space="preserve"> Indonesia's appellant's submission, para. 47.</w:t>
      </w:r>
    </w:p>
  </w:footnote>
  <w:footnote w:id="106">
    <w:p w:rsidR="006A4249" w:rsidRPr="007321E4" w:rsidRDefault="006A4249">
      <w:pPr>
        <w:pStyle w:val="FootnoteText"/>
      </w:pPr>
      <w:r w:rsidRPr="007321E4">
        <w:rPr>
          <w:rStyle w:val="FootnoteReference"/>
        </w:rPr>
        <w:footnoteRef/>
      </w:r>
      <w:r w:rsidRPr="007321E4">
        <w:t xml:space="preserve"> </w:t>
      </w:r>
      <w:r w:rsidRPr="007321E4">
        <w:rPr>
          <w:lang w:eastAsia="zh-CN"/>
        </w:rPr>
        <w:t xml:space="preserve">For instance, the Agreement on Agriculture, which applies only to agricultural products, has </w:t>
      </w:r>
      <w:proofErr w:type="gramStart"/>
      <w:r w:rsidRPr="007321E4">
        <w:rPr>
          <w:lang w:eastAsia="zh-CN"/>
        </w:rPr>
        <w:t>a narrower</w:t>
      </w:r>
      <w:proofErr w:type="gramEnd"/>
      <w:r w:rsidRPr="007321E4">
        <w:rPr>
          <w:lang w:eastAsia="zh-CN"/>
        </w:rPr>
        <w:t xml:space="preserve"> product coverage than the GATT 1994. At the same time, the obligation not to maintain, resort to, or revert to certain types of measures in Article 4.2 of the Agreement on Agriculture applies to more types of measures than Article XI</w:t>
      </w:r>
      <w:proofErr w:type="gramStart"/>
      <w:r w:rsidRPr="007321E4">
        <w:rPr>
          <w:lang w:eastAsia="zh-CN"/>
        </w:rPr>
        <w:t>:1</w:t>
      </w:r>
      <w:proofErr w:type="gramEnd"/>
      <w:r w:rsidRPr="007321E4">
        <w:rPr>
          <w:lang w:eastAsia="zh-CN"/>
        </w:rPr>
        <w:t xml:space="preserve"> of the GATT 1994, which only addresses quantitative import and export restrictions.</w:t>
      </w:r>
    </w:p>
  </w:footnote>
  <w:footnote w:id="107">
    <w:p w:rsidR="006A4249" w:rsidRPr="007321E4" w:rsidRDefault="006A4249">
      <w:pPr>
        <w:pStyle w:val="FootnoteText"/>
      </w:pPr>
      <w:r w:rsidRPr="007321E4">
        <w:rPr>
          <w:rStyle w:val="FootnoteReference"/>
        </w:rPr>
        <w:footnoteRef/>
      </w:r>
      <w:r w:rsidRPr="007321E4">
        <w:t xml:space="preserve"> Indonesia submits two claims on appeal under Article 11 of the DSU, namely: (i) that the Panel failed to conduct an objective assessment of the applicability of Article 4.2 of the Agreement on Agriculture; and (ii) that the Panel failed to conduct an objective assessment of which party bears the burden of proof under the second part of footnote 1 to Article 4.2. (Indonesia's appellant's submission, paras. 5 and 106) Indonesia submits both claims with a single request for us to reverse the Panel's conclusions and legal interpretations contained in paragraphs 7.31-7.34 and 7.833 of the Panel Report, and to reverse the Panel's findings in paragraphs 7.92, 7.112, 7.134, 7.156, 7.179, 7.200, 7.227, 7.243, 7.270, 7.299, 7.327, 7.349, 7.375, 7.398, 7.428, 7.451, 7.478, 7.501, 8.1.b, and 8.2 of the Panel Report. (Ibid., paras. 106-107) In this section, we address Indonesia's first claim under Article 11 of the DSU. Indonesia's claim that the Panel failed to conduct an objective assessment of which party bears the burden of proof under the second part of footnote 1 to Article</w:t>
      </w:r>
      <w:r w:rsidR="00E51DB6" w:rsidRPr="007321E4">
        <w:t> </w:t>
      </w:r>
      <w:r w:rsidRPr="007321E4">
        <w:t xml:space="preserve">4.2 is addressed in section </w:t>
      </w:r>
      <w:r w:rsidRPr="007321E4">
        <w:fldChar w:fldCharType="begin"/>
      </w:r>
      <w:r w:rsidRPr="007321E4">
        <w:instrText xml:space="preserve"> REF _Ref495916794 \r \h </w:instrText>
      </w:r>
      <w:r w:rsidRPr="007321E4">
        <w:fldChar w:fldCharType="separate"/>
      </w:r>
      <w:r w:rsidRPr="007321E4">
        <w:t>5.2.3 </w:t>
      </w:r>
      <w:r w:rsidRPr="007321E4">
        <w:fldChar w:fldCharType="end"/>
      </w:r>
      <w:r w:rsidRPr="007321E4">
        <w:t>below.</w:t>
      </w:r>
    </w:p>
  </w:footnote>
  <w:footnote w:id="108">
    <w:p w:rsidR="006A4249" w:rsidRPr="007321E4" w:rsidRDefault="006A4249">
      <w:pPr>
        <w:pStyle w:val="FootnoteText"/>
      </w:pPr>
      <w:r w:rsidRPr="007321E4">
        <w:rPr>
          <w:rStyle w:val="FootnoteReference"/>
        </w:rPr>
        <w:footnoteRef/>
      </w:r>
      <w:r w:rsidRPr="007321E4">
        <w:t xml:space="preserve"> Indonesia's appellant's submission, para. 102.</w:t>
      </w:r>
    </w:p>
  </w:footnote>
  <w:footnote w:id="109">
    <w:p w:rsidR="006A4249" w:rsidRPr="007321E4" w:rsidRDefault="006A4249">
      <w:pPr>
        <w:pStyle w:val="FootnoteText"/>
      </w:pPr>
      <w:r w:rsidRPr="007321E4">
        <w:rPr>
          <w:rStyle w:val="FootnoteReference"/>
        </w:rPr>
        <w:footnoteRef/>
      </w:r>
      <w:r w:rsidRPr="007321E4">
        <w:t xml:space="preserve"> Indonesia's appellant's submission, paras. 101-104.</w:t>
      </w:r>
    </w:p>
  </w:footnote>
  <w:footnote w:id="110">
    <w:p w:rsidR="006A4249" w:rsidRPr="007321E4" w:rsidRDefault="006A4249">
      <w:pPr>
        <w:pStyle w:val="FootnoteText"/>
      </w:pPr>
      <w:r w:rsidRPr="007321E4">
        <w:rPr>
          <w:rStyle w:val="FootnoteReference"/>
        </w:rPr>
        <w:footnoteRef/>
      </w:r>
      <w:r w:rsidRPr="007321E4">
        <w:t xml:space="preserve"> </w:t>
      </w:r>
      <w:proofErr w:type="gramStart"/>
      <w:r w:rsidRPr="007321E4">
        <w:t>Indonesia's opening statement at the oral hearing; response to questioning at the oral hearing.</w:t>
      </w:r>
      <w:proofErr w:type="gramEnd"/>
    </w:p>
  </w:footnote>
  <w:footnote w:id="111">
    <w:p w:rsidR="006A4249" w:rsidRPr="007321E4" w:rsidRDefault="006A4249">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paras.</w:t>
      </w:r>
      <w:proofErr w:type="gramEnd"/>
      <w:r w:rsidRPr="007321E4">
        <w:t xml:space="preserve"> </w:t>
      </w:r>
      <w:proofErr w:type="gramStart"/>
      <w:r w:rsidRPr="007321E4">
        <w:t xml:space="preserve">10 and 101; United States' </w:t>
      </w:r>
      <w:proofErr w:type="spellStart"/>
      <w:r w:rsidRPr="007321E4">
        <w:t>appellee's</w:t>
      </w:r>
      <w:proofErr w:type="spellEnd"/>
      <w:r w:rsidRPr="007321E4">
        <w:t xml:space="preserve"> submission, paras.</w:t>
      </w:r>
      <w:proofErr w:type="gramEnd"/>
      <w:r w:rsidRPr="007321E4">
        <w:t> </w:t>
      </w:r>
      <w:proofErr w:type="gramStart"/>
      <w:r w:rsidRPr="007321E4">
        <w:t>71, 78, and 81.</w:t>
      </w:r>
      <w:proofErr w:type="gramEnd"/>
    </w:p>
  </w:footnote>
  <w:footnote w:id="112">
    <w:p w:rsidR="006A4249" w:rsidRPr="007321E4" w:rsidRDefault="006A4249">
      <w:pPr>
        <w:pStyle w:val="FootnoteText"/>
      </w:pPr>
      <w:r w:rsidRPr="007321E4">
        <w:rPr>
          <w:rStyle w:val="FootnoteReference"/>
        </w:rPr>
        <w:footnoteRef/>
      </w:r>
      <w:r w:rsidRPr="007321E4">
        <w:t xml:space="preserve"> Appellate Body Report, </w:t>
      </w:r>
      <w:r w:rsidRPr="007321E4">
        <w:rPr>
          <w:i/>
        </w:rPr>
        <w:t>Peru – Agricultural Products</w:t>
      </w:r>
      <w:r w:rsidRPr="007321E4">
        <w:t xml:space="preserve">, para. 5.66. See also Appellate Body Reports, </w:t>
      </w:r>
      <w:r w:rsidRPr="007321E4">
        <w:rPr>
          <w:i/>
        </w:rPr>
        <w:t>China – Rare Earths</w:t>
      </w:r>
      <w:r w:rsidRPr="007321E4">
        <w:t>, para. </w:t>
      </w:r>
      <w:proofErr w:type="gramStart"/>
      <w:r w:rsidRPr="007321E4">
        <w:t xml:space="preserve">5.227; </w:t>
      </w:r>
      <w:r w:rsidRPr="007321E4">
        <w:rPr>
          <w:i/>
        </w:rPr>
        <w:t>EC – Poultry</w:t>
      </w:r>
      <w:r w:rsidRPr="007321E4">
        <w:t>, para.</w:t>
      </w:r>
      <w:proofErr w:type="gramEnd"/>
      <w:r w:rsidRPr="007321E4">
        <w:t> 133.</w:t>
      </w:r>
    </w:p>
  </w:footnote>
  <w:footnote w:id="113">
    <w:p w:rsidR="006A4249" w:rsidRPr="007321E4" w:rsidRDefault="006A4249">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China – Rare Earths</w:t>
      </w:r>
      <w:r w:rsidRPr="007321E4">
        <w:t>, para.</w:t>
      </w:r>
      <w:proofErr w:type="gramEnd"/>
      <w:r w:rsidRPr="007321E4">
        <w:t xml:space="preserve"> </w:t>
      </w:r>
      <w:proofErr w:type="gramStart"/>
      <w:r w:rsidRPr="007321E4">
        <w:t xml:space="preserve">5.178; </w:t>
      </w:r>
      <w:r w:rsidRPr="007321E4">
        <w:rPr>
          <w:i/>
          <w:szCs w:val="16"/>
        </w:rPr>
        <w:t>EC </w:t>
      </w:r>
      <w:r w:rsidRPr="007321E4">
        <w:rPr>
          <w:i/>
        </w:rPr>
        <w:t xml:space="preserve">– </w:t>
      </w:r>
      <w:r w:rsidRPr="007321E4">
        <w:rPr>
          <w:i/>
          <w:szCs w:val="16"/>
        </w:rPr>
        <w:t>Fasteners (China)</w:t>
      </w:r>
      <w:r w:rsidRPr="007321E4">
        <w:rPr>
          <w:szCs w:val="16"/>
        </w:rPr>
        <w:t>, para.</w:t>
      </w:r>
      <w:proofErr w:type="gramEnd"/>
      <w:r w:rsidRPr="007321E4">
        <w:rPr>
          <w:szCs w:val="16"/>
        </w:rPr>
        <w:t xml:space="preserve"> 442. (</w:t>
      </w:r>
      <w:proofErr w:type="gramStart"/>
      <w:r w:rsidRPr="007321E4">
        <w:rPr>
          <w:szCs w:val="16"/>
        </w:rPr>
        <w:t>emphasis</w:t>
      </w:r>
      <w:proofErr w:type="gramEnd"/>
      <w:r w:rsidRPr="007321E4">
        <w:rPr>
          <w:szCs w:val="16"/>
        </w:rPr>
        <w:t xml:space="preserve"> original) See also Appellate Body Reports, </w:t>
      </w:r>
      <w:r w:rsidRPr="007321E4">
        <w:rPr>
          <w:i/>
          <w:szCs w:val="16"/>
        </w:rPr>
        <w:t>US – Steel Safeguards</w:t>
      </w:r>
      <w:r w:rsidRPr="007321E4">
        <w:rPr>
          <w:szCs w:val="16"/>
        </w:rPr>
        <w:t>, para. </w:t>
      </w:r>
      <w:proofErr w:type="gramStart"/>
      <w:r w:rsidRPr="007321E4">
        <w:rPr>
          <w:szCs w:val="16"/>
        </w:rPr>
        <w:t xml:space="preserve">498; </w:t>
      </w:r>
      <w:r w:rsidR="002C5BBA" w:rsidRPr="007321E4">
        <w:rPr>
          <w:szCs w:val="16"/>
        </w:rPr>
        <w:br/>
      </w:r>
      <w:r w:rsidRPr="007321E4">
        <w:rPr>
          <w:i/>
          <w:szCs w:val="16"/>
        </w:rPr>
        <w:t>Chile – Price Band System (Article 21.5 – Argentina)</w:t>
      </w:r>
      <w:r w:rsidRPr="007321E4">
        <w:rPr>
          <w:szCs w:val="16"/>
        </w:rPr>
        <w:t>, para.</w:t>
      </w:r>
      <w:proofErr w:type="gramEnd"/>
      <w:r w:rsidRPr="007321E4">
        <w:rPr>
          <w:szCs w:val="16"/>
        </w:rPr>
        <w:t xml:space="preserve"> 238.</w:t>
      </w:r>
    </w:p>
  </w:footnote>
  <w:footnote w:id="114">
    <w:p w:rsidR="006A4249" w:rsidRPr="007321E4" w:rsidRDefault="006A4249">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Peru – Agricultural Products</w:t>
      </w:r>
      <w:r w:rsidRPr="007321E4">
        <w:t>, para.</w:t>
      </w:r>
      <w:proofErr w:type="gramEnd"/>
      <w:r w:rsidRPr="007321E4">
        <w:t xml:space="preserve"> </w:t>
      </w:r>
      <w:proofErr w:type="gramStart"/>
      <w:r w:rsidRPr="007321E4">
        <w:t>5.66;</w:t>
      </w:r>
      <w:r w:rsidRPr="007321E4">
        <w:rPr>
          <w:i/>
        </w:rPr>
        <w:t xml:space="preserve"> US – Anti</w:t>
      </w:r>
      <w:r w:rsidRPr="007321E4">
        <w:rPr>
          <w:i/>
        </w:rPr>
        <w:noBreakHyphen/>
        <w:t>Dumping and Countervailing Duties (China)</w:t>
      </w:r>
      <w:r w:rsidRPr="007321E4">
        <w:t>, para.</w:t>
      </w:r>
      <w:proofErr w:type="gramEnd"/>
      <w:r w:rsidRPr="007321E4">
        <w:t xml:space="preserve"> 337. See also Appellate Body Reports, </w:t>
      </w:r>
      <w:r w:rsidRPr="007321E4">
        <w:rPr>
          <w:i/>
        </w:rPr>
        <w:t>US – Steel Safeguards</w:t>
      </w:r>
      <w:r w:rsidRPr="007321E4">
        <w:t xml:space="preserve">, para. </w:t>
      </w:r>
      <w:proofErr w:type="gramStart"/>
      <w:r w:rsidRPr="007321E4">
        <w:t xml:space="preserve">498; </w:t>
      </w:r>
      <w:r w:rsidRPr="007321E4">
        <w:rPr>
          <w:i/>
        </w:rPr>
        <w:t>Chile</w:t>
      </w:r>
      <w:r w:rsidRPr="007321E4">
        <w:t> </w:t>
      </w:r>
      <w:r w:rsidRPr="007321E4">
        <w:rPr>
          <w:i/>
        </w:rPr>
        <w:t>– Price Band System (Article 21.5 – Argentina)</w:t>
      </w:r>
      <w:r w:rsidRPr="007321E4">
        <w:t>, para.</w:t>
      </w:r>
      <w:proofErr w:type="gramEnd"/>
      <w:r w:rsidRPr="007321E4">
        <w:t> </w:t>
      </w:r>
      <w:proofErr w:type="gramStart"/>
      <w:r w:rsidRPr="007321E4">
        <w:t xml:space="preserve">238; </w:t>
      </w:r>
      <w:r w:rsidRPr="007321E4">
        <w:rPr>
          <w:i/>
          <w:szCs w:val="16"/>
        </w:rPr>
        <w:t>Australia – Apples</w:t>
      </w:r>
      <w:r w:rsidRPr="007321E4">
        <w:rPr>
          <w:szCs w:val="16"/>
        </w:rPr>
        <w:t>, para.</w:t>
      </w:r>
      <w:proofErr w:type="gramEnd"/>
      <w:r w:rsidRPr="007321E4">
        <w:rPr>
          <w:szCs w:val="16"/>
        </w:rPr>
        <w:t xml:space="preserve"> </w:t>
      </w:r>
      <w:proofErr w:type="gramStart"/>
      <w:r w:rsidRPr="007321E4">
        <w:rPr>
          <w:szCs w:val="16"/>
        </w:rPr>
        <w:t xml:space="preserve">406; </w:t>
      </w:r>
      <w:r w:rsidR="002C5BBA" w:rsidRPr="007321E4">
        <w:rPr>
          <w:szCs w:val="16"/>
        </w:rPr>
        <w:br/>
      </w:r>
      <w:r w:rsidRPr="007321E4">
        <w:rPr>
          <w:i/>
        </w:rPr>
        <w:t>China – Rare Earths</w:t>
      </w:r>
      <w:r w:rsidRPr="007321E4">
        <w:t>, para.</w:t>
      </w:r>
      <w:proofErr w:type="gramEnd"/>
      <w:r w:rsidRPr="007321E4">
        <w:t> 5.173.</w:t>
      </w:r>
    </w:p>
  </w:footnote>
  <w:footnote w:id="115">
    <w:p w:rsidR="006A4249" w:rsidRPr="007321E4" w:rsidRDefault="006A4249">
      <w:pPr>
        <w:pStyle w:val="FootnoteText"/>
      </w:pPr>
      <w:r w:rsidRPr="007321E4">
        <w:rPr>
          <w:rStyle w:val="FootnoteReference"/>
        </w:rPr>
        <w:footnoteRef/>
      </w:r>
      <w:r w:rsidRPr="007321E4">
        <w:t xml:space="preserve"> Indonesia's appellant's submission, paras. </w:t>
      </w:r>
      <w:proofErr w:type="gramStart"/>
      <w:r w:rsidRPr="007321E4">
        <w:t>63 and 104.</w:t>
      </w:r>
      <w:proofErr w:type="gramEnd"/>
    </w:p>
  </w:footnote>
  <w:footnote w:id="116">
    <w:p w:rsidR="006A4249" w:rsidRPr="007321E4" w:rsidRDefault="006A4249">
      <w:pPr>
        <w:pStyle w:val="FootnoteText"/>
      </w:pPr>
      <w:r w:rsidRPr="007321E4">
        <w:rPr>
          <w:rStyle w:val="FootnoteReference"/>
        </w:rPr>
        <w:footnoteRef/>
      </w:r>
      <w:r w:rsidRPr="007321E4">
        <w:t xml:space="preserve"> Indonesia's appellant's submission, paras. </w:t>
      </w:r>
      <w:proofErr w:type="gramStart"/>
      <w:r w:rsidRPr="007321E4">
        <w:t>58 and 104.</w:t>
      </w:r>
      <w:proofErr w:type="gramEnd"/>
    </w:p>
  </w:footnote>
  <w:footnote w:id="117">
    <w:p w:rsidR="006A4249" w:rsidRPr="007321E4" w:rsidRDefault="006A4249">
      <w:pPr>
        <w:pStyle w:val="FootnoteText"/>
      </w:pPr>
      <w:r w:rsidRPr="007321E4">
        <w:rPr>
          <w:rStyle w:val="FootnoteReference"/>
        </w:rPr>
        <w:footnoteRef/>
      </w:r>
      <w:r w:rsidRPr="007321E4">
        <w:t xml:space="preserve"> </w:t>
      </w:r>
      <w:proofErr w:type="gramStart"/>
      <w:r w:rsidRPr="007321E4">
        <w:t xml:space="preserve">Appellate Body Report, </w:t>
      </w:r>
      <w:r w:rsidRPr="007321E4">
        <w:rPr>
          <w:i/>
        </w:rPr>
        <w:t>US – Anti-Dumping and Countervailing Duties (China)</w:t>
      </w:r>
      <w:r w:rsidRPr="007321E4">
        <w:t>, para.</w:t>
      </w:r>
      <w:proofErr w:type="gramEnd"/>
      <w:r w:rsidRPr="007321E4">
        <w:t xml:space="preserve"> 337 (referring to Appellate Body Reports, </w:t>
      </w:r>
      <w:r w:rsidRPr="007321E4">
        <w:rPr>
          <w:i/>
        </w:rPr>
        <w:t>US – Steel Safeguards</w:t>
      </w:r>
      <w:r w:rsidRPr="007321E4">
        <w:t xml:space="preserve">, para. 498; </w:t>
      </w:r>
      <w:r w:rsidRPr="007321E4">
        <w:rPr>
          <w:i/>
        </w:rPr>
        <w:t>Australia – Apples</w:t>
      </w:r>
      <w:r w:rsidRPr="007321E4">
        <w:t>, para. 406).</w:t>
      </w:r>
    </w:p>
  </w:footnote>
  <w:footnote w:id="118">
    <w:p w:rsidR="006A4249" w:rsidRPr="007321E4" w:rsidRDefault="006A4249">
      <w:pPr>
        <w:pStyle w:val="FootnoteText"/>
      </w:pPr>
      <w:r w:rsidRPr="007321E4">
        <w:rPr>
          <w:rStyle w:val="FootnoteReference"/>
        </w:rPr>
        <w:footnoteRef/>
      </w:r>
      <w:r w:rsidRPr="007321E4">
        <w:t xml:space="preserve"> As briefly set out above, Indonesia argued at the oral hearing that the Panel impaired Indonesia's due process rights by deciding the case based on the wrong provision. According to Indonesia, this distinguishes its claim under Article 11 of the DSU from its substantive claims on appeal. (Indonesia's opening statement </w:t>
      </w:r>
      <w:r w:rsidRPr="007321E4">
        <w:rPr>
          <w:szCs w:val="16"/>
        </w:rPr>
        <w:t>at the oral hearing; response to questioning at the oral hearing</w:t>
      </w:r>
      <w:r w:rsidRPr="007321E4">
        <w:t>) We note, however, that this due process argument was raised in support of Indonesia's challenge under Article 11 of the DSU for the first time during the oral hearing, whereas Indonesia raised the same due process concerns in support of its substantive claim under Article 4.2 of the Agreement on Agriculture in its appellant's submission. (Indonesia's appellant's submission, para. 93) Moreover, this argument rests on the assumption that the Panel erred in not finding that Article 4.2 of the Agreement on Agriculture applies to the exclusion of Article XI</w:t>
      </w:r>
      <w:proofErr w:type="gramStart"/>
      <w:r w:rsidRPr="007321E4">
        <w:t>:1</w:t>
      </w:r>
      <w:proofErr w:type="gramEnd"/>
      <w:r w:rsidRPr="007321E4">
        <w:t xml:space="preserve"> of the GATT 1994. Above, we concluded that Article 4.2 of the Agreement on Agriculture does not apply to the exclusion of Article XI</w:t>
      </w:r>
      <w:proofErr w:type="gramStart"/>
      <w:r w:rsidRPr="007321E4">
        <w:t>:1</w:t>
      </w:r>
      <w:proofErr w:type="gramEnd"/>
      <w:r w:rsidRPr="007321E4">
        <w:t xml:space="preserve"> of the GATT 1994 in this dispute. Therefore, Indonesia's allegation at the oral hearing that the Panel impaired its due process rights by applying Article XI</w:t>
      </w:r>
      <w:proofErr w:type="gramStart"/>
      <w:r w:rsidRPr="007321E4">
        <w:t>:1</w:t>
      </w:r>
      <w:proofErr w:type="gramEnd"/>
      <w:r w:rsidRPr="007321E4">
        <w:t xml:space="preserve"> instead of Article 4.2 does not alter our conclusion that Indonesia has not substantiated its claim under Article 11 of the DSU.</w:t>
      </w:r>
    </w:p>
  </w:footnote>
  <w:footnote w:id="119">
    <w:p w:rsidR="006A4249" w:rsidRPr="007321E4" w:rsidRDefault="006A4249">
      <w:pPr>
        <w:pStyle w:val="FootnoteText"/>
      </w:pPr>
      <w:r w:rsidRPr="007321E4">
        <w:rPr>
          <w:rStyle w:val="FootnoteReference"/>
        </w:rPr>
        <w:footnoteRef/>
      </w:r>
      <w:r w:rsidRPr="007321E4">
        <w:t xml:space="preserve"> Indonesia's appellant's submission, para. 53. (emphasis original)</w:t>
      </w:r>
    </w:p>
  </w:footnote>
  <w:footnote w:id="120">
    <w:p w:rsidR="006A4249" w:rsidRPr="007321E4" w:rsidRDefault="006A4249">
      <w:pPr>
        <w:pStyle w:val="FootnoteText"/>
      </w:pPr>
      <w:r w:rsidRPr="007321E4">
        <w:rPr>
          <w:rStyle w:val="FootnoteReference"/>
        </w:rPr>
        <w:footnoteRef/>
      </w:r>
      <w:r w:rsidRPr="007321E4">
        <w:t xml:space="preserve"> See also section </w:t>
      </w:r>
      <w:r w:rsidRPr="007321E4">
        <w:fldChar w:fldCharType="begin"/>
      </w:r>
      <w:r w:rsidRPr="007321E4">
        <w:instrText xml:space="preserve"> REF _Ref495593504 \r \h </w:instrText>
      </w:r>
      <w:r w:rsidRPr="007321E4">
        <w:fldChar w:fldCharType="separate"/>
      </w:r>
      <w:r w:rsidRPr="007321E4">
        <w:t>5.2 </w:t>
      </w:r>
      <w:r w:rsidRPr="007321E4">
        <w:fldChar w:fldCharType="end"/>
      </w:r>
      <w:r w:rsidRPr="007321E4">
        <w:t>below.</w:t>
      </w:r>
    </w:p>
  </w:footnote>
  <w:footnote w:id="121">
    <w:p w:rsidR="006A4249" w:rsidRPr="007321E4" w:rsidRDefault="006A4249">
      <w:pPr>
        <w:pStyle w:val="FootnoteText"/>
      </w:pPr>
      <w:r w:rsidRPr="007321E4">
        <w:rPr>
          <w:rStyle w:val="FootnoteReference"/>
        </w:rPr>
        <w:footnoteRef/>
      </w:r>
      <w:r w:rsidRPr="007321E4">
        <w:t xml:space="preserve"> Indonesia's appellant's submission, para. 4.</w:t>
      </w:r>
    </w:p>
  </w:footnote>
  <w:footnote w:id="122">
    <w:p w:rsidR="006A4249" w:rsidRPr="007321E4" w:rsidRDefault="006A4249">
      <w:pPr>
        <w:pStyle w:val="FootnoteText"/>
      </w:pPr>
      <w:r w:rsidRPr="007321E4">
        <w:rPr>
          <w:rStyle w:val="FootnoteReference"/>
        </w:rPr>
        <w:footnoteRef/>
      </w:r>
      <w:r w:rsidRPr="007321E4">
        <w:t xml:space="preserve"> Indonesia's appellant's submission, para. 95.</w:t>
      </w:r>
    </w:p>
  </w:footnote>
  <w:footnote w:id="123">
    <w:p w:rsidR="006A4249" w:rsidRPr="007321E4" w:rsidRDefault="006A4249" w:rsidP="00190BF6">
      <w:pPr>
        <w:pStyle w:val="FootnoteText"/>
        <w:rPr>
          <w:rStyle w:val="FootnoteReference"/>
          <w:vertAlign w:val="baseline"/>
        </w:rPr>
      </w:pPr>
      <w:r w:rsidRPr="007321E4">
        <w:rPr>
          <w:rStyle w:val="FootnoteReference"/>
        </w:rPr>
        <w:footnoteRef/>
      </w:r>
      <w:r w:rsidRPr="007321E4">
        <w:t xml:space="preserve"> </w:t>
      </w:r>
      <w:proofErr w:type="gramStart"/>
      <w:r w:rsidRPr="007321E4">
        <w:t>Indonesia's second written submission to the Panel, para.</w:t>
      </w:r>
      <w:proofErr w:type="gramEnd"/>
      <w:r w:rsidRPr="007321E4">
        <w:t xml:space="preserve"> </w:t>
      </w:r>
      <w:proofErr w:type="gramStart"/>
      <w:r w:rsidRPr="007321E4">
        <w:t>38 (referring to New Zealand's response to Panel question No. 72, para. 127; United States' response to Panel question No. 72, para. 166).</w:t>
      </w:r>
      <w:proofErr w:type="gramEnd"/>
      <w:r w:rsidRPr="007321E4">
        <w:t xml:space="preserve"> </w:t>
      </w:r>
    </w:p>
  </w:footnote>
  <w:footnote w:id="124">
    <w:p w:rsidR="006A4249" w:rsidRPr="007321E4" w:rsidRDefault="006A4249" w:rsidP="00190BF6">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7.34 (referring to Appellate Body Report, </w:t>
      </w:r>
      <w:r w:rsidRPr="007321E4">
        <w:rPr>
          <w:i/>
        </w:rPr>
        <w:t>US – Wool Shirts and Blouses</w:t>
      </w:r>
      <w:r w:rsidRPr="007321E4">
        <w:rPr>
          <w:spacing w:val="-2"/>
        </w:rPr>
        <w:t>, p. 16, DSR 1997</w:t>
      </w:r>
      <w:proofErr w:type="gramStart"/>
      <w:r w:rsidRPr="007321E4">
        <w:rPr>
          <w:spacing w:val="-2"/>
        </w:rPr>
        <w:t>:I</w:t>
      </w:r>
      <w:proofErr w:type="gramEnd"/>
      <w:r w:rsidRPr="007321E4">
        <w:rPr>
          <w:spacing w:val="-2"/>
        </w:rPr>
        <w:t>, p. 337</w:t>
      </w:r>
      <w:r w:rsidRPr="007321E4">
        <w:t>). (</w:t>
      </w:r>
      <w:proofErr w:type="spellStart"/>
      <w:r w:rsidRPr="007321E4">
        <w:t>fns</w:t>
      </w:r>
      <w:proofErr w:type="spellEnd"/>
      <w:r w:rsidRPr="007321E4">
        <w:t xml:space="preserve"> omitted) </w:t>
      </w:r>
    </w:p>
  </w:footnote>
  <w:footnote w:id="125">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7.34.</w:t>
      </w:r>
    </w:p>
  </w:footnote>
  <w:footnote w:id="126">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w:t>
      </w:r>
      <w:proofErr w:type="gramEnd"/>
      <w:r w:rsidRPr="007321E4">
        <w:t xml:space="preserve"> 90 (referring to Appellate Body Report, </w:t>
      </w:r>
      <w:r w:rsidRPr="007321E4">
        <w:rPr>
          <w:i/>
        </w:rPr>
        <w:t>US – Wool Shirts and Blouses</w:t>
      </w:r>
      <w:r w:rsidRPr="007321E4">
        <w:t xml:space="preserve">, p. 19, DSR 1997:I, pp. 339-340); United States' </w:t>
      </w:r>
      <w:proofErr w:type="spellStart"/>
      <w:r w:rsidRPr="007321E4">
        <w:t>appellee's</w:t>
      </w:r>
      <w:proofErr w:type="spellEnd"/>
      <w:r w:rsidRPr="007321E4">
        <w:t xml:space="preserve"> submission, paras. 112 and 114-120.</w:t>
      </w:r>
    </w:p>
  </w:footnote>
  <w:footnote w:id="127">
    <w:p w:rsidR="006A4249" w:rsidRPr="007321E4" w:rsidRDefault="006A4249" w:rsidP="009C365D">
      <w:pPr>
        <w:pStyle w:val="FootnoteText"/>
      </w:pPr>
      <w:r w:rsidRPr="007321E4">
        <w:rPr>
          <w:rStyle w:val="FootnoteReference"/>
        </w:rPr>
        <w:footnoteRef/>
      </w:r>
      <w:r w:rsidRPr="007321E4">
        <w:t xml:space="preserve"> </w:t>
      </w:r>
      <w:proofErr w:type="gramStart"/>
      <w:r w:rsidRPr="007321E4">
        <w:t xml:space="preserve">United States' </w:t>
      </w:r>
      <w:proofErr w:type="spellStart"/>
      <w:r w:rsidRPr="007321E4">
        <w:t>appellee's</w:t>
      </w:r>
      <w:proofErr w:type="spellEnd"/>
      <w:r w:rsidRPr="007321E4">
        <w:t xml:space="preserve"> submission, paras.</w:t>
      </w:r>
      <w:proofErr w:type="gramEnd"/>
      <w:r w:rsidRPr="007321E4">
        <w:t xml:space="preserve"> 119.</w:t>
      </w:r>
    </w:p>
  </w:footnote>
  <w:footnote w:id="128">
    <w:p w:rsidR="006A4249" w:rsidRPr="007321E4" w:rsidRDefault="006A4249">
      <w:pPr>
        <w:pStyle w:val="FootnoteText"/>
      </w:pPr>
      <w:r w:rsidRPr="007321E4">
        <w:rPr>
          <w:rStyle w:val="FootnoteReference"/>
        </w:rPr>
        <w:footnoteRef/>
      </w:r>
      <w:r w:rsidRPr="007321E4">
        <w:t xml:space="preserve"> We have observed in section </w:t>
      </w:r>
      <w:r w:rsidRPr="007321E4">
        <w:fldChar w:fldCharType="begin"/>
      </w:r>
      <w:r w:rsidRPr="007321E4">
        <w:instrText xml:space="preserve"> REF _Ref495593518 \r \h </w:instrText>
      </w:r>
      <w:r w:rsidRPr="007321E4">
        <w:fldChar w:fldCharType="separate"/>
      </w:r>
      <w:r w:rsidRPr="007321E4">
        <w:t>5.1 </w:t>
      </w:r>
      <w:r w:rsidRPr="007321E4">
        <w:fldChar w:fldCharType="end"/>
      </w:r>
      <w:r w:rsidRPr="007321E4">
        <w:t xml:space="preserve">above that </w:t>
      </w:r>
      <w:r w:rsidRPr="007321E4">
        <w:rPr>
          <w:lang w:eastAsia="zh-CN"/>
        </w:rPr>
        <w:t xml:space="preserve">Article 21.1 of the Agreement on Agriculture excludes the application of the provisions of the other Multilateral Trade Agreements in Annex 1A to the WTO Agreement, including the GATT 1994, to the extent that those provisions are in </w:t>
      </w:r>
      <w:r w:rsidRPr="007321E4">
        <w:rPr>
          <w:i/>
          <w:lang w:eastAsia="zh-CN"/>
        </w:rPr>
        <w:t>conflict</w:t>
      </w:r>
      <w:r w:rsidRPr="007321E4">
        <w:rPr>
          <w:lang w:eastAsia="zh-CN"/>
        </w:rPr>
        <w:t xml:space="preserve"> with the provisions of the Agreement on Agriculture.</w:t>
      </w:r>
    </w:p>
  </w:footnote>
  <w:footnote w:id="129">
    <w:p w:rsidR="006A4249" w:rsidRPr="007321E4" w:rsidRDefault="006A4249" w:rsidP="009C365D">
      <w:pPr>
        <w:pStyle w:val="FootnoteText"/>
      </w:pPr>
      <w:r w:rsidRPr="007321E4">
        <w:rPr>
          <w:rStyle w:val="FootnoteReference"/>
        </w:rPr>
        <w:footnoteRef/>
      </w:r>
      <w:r w:rsidRPr="007321E4">
        <w:t xml:space="preserve"> Appellate Body Report, </w:t>
      </w:r>
      <w:r w:rsidRPr="007321E4">
        <w:rPr>
          <w:i/>
        </w:rPr>
        <w:t>Canada – Wheat Exports and Grain Imports</w:t>
      </w:r>
      <w:r w:rsidRPr="007321E4">
        <w:t>, para. 109.</w:t>
      </w:r>
    </w:p>
  </w:footnote>
  <w:footnote w:id="130">
    <w:p w:rsidR="006A4249" w:rsidRPr="007321E4" w:rsidRDefault="006A4249">
      <w:pPr>
        <w:pStyle w:val="FootnoteText"/>
      </w:pPr>
      <w:r w:rsidRPr="007321E4">
        <w:rPr>
          <w:rStyle w:val="FootnoteReference"/>
        </w:rPr>
        <w:footnoteRef/>
      </w:r>
      <w:r w:rsidRPr="007321E4">
        <w:t xml:space="preserve"> We note that Indonesia's claim regarding the burden of proof is consistent with Articles 17.6 and 17.12 of the DSU, which provide that the Appellate Body is to consider the "issues of law covered in the panel report and legal interpretations developed by the panel" that are raised on appeal.</w:t>
      </w:r>
    </w:p>
  </w:footnote>
  <w:footnote w:id="131">
    <w:p w:rsidR="006A4249" w:rsidRPr="007321E4" w:rsidRDefault="006A4249">
      <w:pPr>
        <w:pStyle w:val="FootnoteText"/>
      </w:pPr>
      <w:r w:rsidRPr="007321E4">
        <w:rPr>
          <w:rStyle w:val="FootnoteReference"/>
        </w:rPr>
        <w:footnoteRef/>
      </w:r>
      <w:r w:rsidRPr="007321E4">
        <w:t xml:space="preserve"> Indonesia's appellant's submission, para. 77. (emphasis original)</w:t>
      </w:r>
    </w:p>
  </w:footnote>
  <w:footnote w:id="132">
    <w:p w:rsidR="006A4249" w:rsidRPr="007321E4" w:rsidRDefault="006A4249">
      <w:pPr>
        <w:pStyle w:val="FootnoteText"/>
      </w:pPr>
      <w:r w:rsidRPr="007321E4">
        <w:rPr>
          <w:rStyle w:val="FootnoteReference"/>
        </w:rPr>
        <w:footnoteRef/>
      </w:r>
      <w:r w:rsidRPr="007321E4">
        <w:t xml:space="preserve"> Indonesia's appellant's submission, para. 78. (emphasis original)</w:t>
      </w:r>
    </w:p>
  </w:footnote>
  <w:footnote w:id="133">
    <w:p w:rsidR="006A4249" w:rsidRPr="007321E4" w:rsidRDefault="006A4249" w:rsidP="00190BF6">
      <w:pPr>
        <w:pStyle w:val="FootnoteText"/>
      </w:pPr>
      <w:r w:rsidRPr="007321E4">
        <w:rPr>
          <w:rStyle w:val="FootnoteReference"/>
        </w:rPr>
        <w:footnoteRef/>
      </w:r>
      <w:r w:rsidRPr="007321E4">
        <w:t xml:space="preserve"> Indonesia's appellant's submission, para. 84. (</w:t>
      </w:r>
      <w:proofErr w:type="gramStart"/>
      <w:r w:rsidRPr="007321E4">
        <w:t>emphasis</w:t>
      </w:r>
      <w:proofErr w:type="gramEnd"/>
      <w:r w:rsidRPr="007321E4">
        <w:t xml:space="preserve"> original) See also para. 82.</w:t>
      </w:r>
    </w:p>
  </w:footnote>
  <w:footnote w:id="134">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w:t>
      </w:r>
      <w:proofErr w:type="gramEnd"/>
      <w:r w:rsidRPr="007321E4">
        <w:t xml:space="preserve"> </w:t>
      </w:r>
      <w:proofErr w:type="gramStart"/>
      <w:r w:rsidRPr="007321E4">
        <w:t xml:space="preserve">65; United States' </w:t>
      </w:r>
      <w:proofErr w:type="spellStart"/>
      <w:r w:rsidRPr="007321E4">
        <w:t>appellee's</w:t>
      </w:r>
      <w:proofErr w:type="spellEnd"/>
      <w:r w:rsidRPr="007321E4">
        <w:t xml:space="preserve"> submission, para.</w:t>
      </w:r>
      <w:proofErr w:type="gramEnd"/>
      <w:r w:rsidRPr="007321E4">
        <w:t xml:space="preserve"> 113.</w:t>
      </w:r>
    </w:p>
  </w:footnote>
  <w:footnote w:id="135">
    <w:p w:rsidR="006A4249" w:rsidRPr="007321E4" w:rsidRDefault="006A4249">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w:t>
      </w:r>
      <w:proofErr w:type="gramEnd"/>
      <w:r w:rsidRPr="007321E4">
        <w:t xml:space="preserve"> 73 (referring to Appellate Body Report, </w:t>
      </w:r>
      <w:r w:rsidR="002C5BBA" w:rsidRPr="007321E4">
        <w:br/>
      </w:r>
      <w:r w:rsidRPr="007321E4">
        <w:rPr>
          <w:i/>
        </w:rPr>
        <w:t>US – Wool Shirts and Blouses</w:t>
      </w:r>
      <w:r w:rsidRPr="007321E4">
        <w:t xml:space="preserve">, p. 16, DSR 1997:I, p. 337); United States' </w:t>
      </w:r>
      <w:proofErr w:type="spellStart"/>
      <w:r w:rsidRPr="007321E4">
        <w:t>appellee's</w:t>
      </w:r>
      <w:proofErr w:type="spellEnd"/>
      <w:r w:rsidRPr="007321E4">
        <w:t xml:space="preserve"> submission, para. 124.</w:t>
      </w:r>
    </w:p>
  </w:footnote>
  <w:footnote w:id="136">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w:t>
      </w:r>
      <w:proofErr w:type="gramEnd"/>
      <w:r w:rsidRPr="007321E4">
        <w:t xml:space="preserve"> </w:t>
      </w:r>
      <w:proofErr w:type="gramStart"/>
      <w:r w:rsidRPr="007321E4">
        <w:t xml:space="preserve">78; United States' </w:t>
      </w:r>
      <w:proofErr w:type="spellStart"/>
      <w:r w:rsidRPr="007321E4">
        <w:t>appellee's</w:t>
      </w:r>
      <w:proofErr w:type="spellEnd"/>
      <w:r w:rsidRPr="007321E4">
        <w:t xml:space="preserve"> submission, para.</w:t>
      </w:r>
      <w:proofErr w:type="gramEnd"/>
      <w:r w:rsidRPr="007321E4">
        <w:t xml:space="preserve"> 126.</w:t>
      </w:r>
    </w:p>
  </w:footnote>
  <w:footnote w:id="137">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rPr>
        <w:t>Chile – Price Band System</w:t>
      </w:r>
      <w:r w:rsidRPr="007321E4">
        <w:t xml:space="preserve">, para. 187. See also paras. </w:t>
      </w:r>
      <w:proofErr w:type="gramStart"/>
      <w:r w:rsidRPr="007321E4">
        <w:t>209 and 219.</w:t>
      </w:r>
      <w:proofErr w:type="gramEnd"/>
    </w:p>
  </w:footnote>
  <w:footnote w:id="138">
    <w:p w:rsidR="006A4249" w:rsidRPr="007321E4" w:rsidRDefault="006A4249" w:rsidP="00190BF6">
      <w:pPr>
        <w:pStyle w:val="FootnoteText"/>
      </w:pPr>
      <w:r w:rsidRPr="007321E4">
        <w:rPr>
          <w:rStyle w:val="FootnoteReference"/>
        </w:rPr>
        <w:footnoteRef/>
      </w:r>
      <w:r w:rsidRPr="007321E4">
        <w:t xml:space="preserve"> See Appellate Body Report, </w:t>
      </w:r>
      <w:r w:rsidRPr="007321E4">
        <w:rPr>
          <w:i/>
        </w:rPr>
        <w:t>Chile – Price Band System</w:t>
      </w:r>
      <w:r w:rsidRPr="007321E4">
        <w:t xml:space="preserve">, para. 221 and </w:t>
      </w:r>
      <w:proofErr w:type="spellStart"/>
      <w:proofErr w:type="gramStart"/>
      <w:r w:rsidRPr="007321E4">
        <w:t>fn</w:t>
      </w:r>
      <w:proofErr w:type="spellEnd"/>
      <w:proofErr w:type="gramEnd"/>
      <w:r w:rsidRPr="007321E4">
        <w:t xml:space="preserve"> 196 thereto.</w:t>
      </w:r>
    </w:p>
  </w:footnote>
  <w:footnote w:id="139">
    <w:p w:rsidR="006A4249" w:rsidRPr="007321E4" w:rsidRDefault="006A4249" w:rsidP="00190BF6">
      <w:pPr>
        <w:pStyle w:val="FootnoteText"/>
        <w:keepLines/>
      </w:pPr>
      <w:r w:rsidRPr="007321E4">
        <w:rPr>
          <w:rStyle w:val="FootnoteReference"/>
        </w:rPr>
        <w:footnoteRef/>
      </w:r>
      <w:r w:rsidRPr="007321E4">
        <w:t xml:space="preserve"> Appellate Body Report, </w:t>
      </w:r>
      <w:r w:rsidRPr="007321E4">
        <w:rPr>
          <w:i/>
        </w:rPr>
        <w:t>US – Wool Shirts and Blouses</w:t>
      </w:r>
      <w:r w:rsidRPr="007321E4">
        <w:rPr>
          <w:spacing w:val="-2"/>
        </w:rPr>
        <w:t>, p. 14, DSR 1997</w:t>
      </w:r>
      <w:proofErr w:type="gramStart"/>
      <w:r w:rsidRPr="007321E4">
        <w:rPr>
          <w:spacing w:val="-2"/>
        </w:rPr>
        <w:t>:I</w:t>
      </w:r>
      <w:proofErr w:type="gramEnd"/>
      <w:r w:rsidRPr="007321E4">
        <w:rPr>
          <w:spacing w:val="-2"/>
        </w:rPr>
        <w:t>, p. 335.</w:t>
      </w:r>
    </w:p>
  </w:footnote>
  <w:footnote w:id="140">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rPr>
        <w:t>US – Wool Shirts and Blouses</w:t>
      </w:r>
      <w:r w:rsidRPr="007321E4">
        <w:rPr>
          <w:spacing w:val="-2"/>
        </w:rPr>
        <w:t>, p. 16, DSR 1997</w:t>
      </w:r>
      <w:proofErr w:type="gramStart"/>
      <w:r w:rsidRPr="007321E4">
        <w:rPr>
          <w:spacing w:val="-2"/>
        </w:rPr>
        <w:t>:I</w:t>
      </w:r>
      <w:proofErr w:type="gramEnd"/>
      <w:r w:rsidRPr="007321E4">
        <w:rPr>
          <w:spacing w:val="-2"/>
        </w:rPr>
        <w:t>, p. 337.</w:t>
      </w:r>
    </w:p>
  </w:footnote>
  <w:footnote w:id="141">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rPr>
        <w:t>US – Wool Shirts and Blouses</w:t>
      </w:r>
      <w:r w:rsidRPr="007321E4">
        <w:rPr>
          <w:spacing w:val="-2"/>
        </w:rPr>
        <w:t>, p. 16, DSR 1997</w:t>
      </w:r>
      <w:proofErr w:type="gramStart"/>
      <w:r w:rsidRPr="007321E4">
        <w:rPr>
          <w:spacing w:val="-2"/>
        </w:rPr>
        <w:t>:I</w:t>
      </w:r>
      <w:proofErr w:type="gramEnd"/>
      <w:r w:rsidRPr="007321E4">
        <w:rPr>
          <w:spacing w:val="-2"/>
        </w:rPr>
        <w:t>, p. 337.</w:t>
      </w:r>
    </w:p>
  </w:footnote>
  <w:footnote w:id="142">
    <w:p w:rsidR="006A4249" w:rsidRPr="007321E4" w:rsidRDefault="006A4249" w:rsidP="00190BF6">
      <w:pPr>
        <w:pStyle w:val="FootnoteText"/>
      </w:pPr>
      <w:r w:rsidRPr="007321E4">
        <w:rPr>
          <w:rStyle w:val="FootnoteReference"/>
        </w:rPr>
        <w:footnoteRef/>
      </w:r>
      <w:r w:rsidRPr="007321E4">
        <w:t xml:space="preserve"> Indonesia's appellant's submission, para. 84. (emphasis original)</w:t>
      </w:r>
    </w:p>
  </w:footnote>
  <w:footnote w:id="143">
    <w:p w:rsidR="006A4249" w:rsidRPr="007321E4" w:rsidRDefault="006A4249" w:rsidP="00190BF6">
      <w:pPr>
        <w:pStyle w:val="FootnoteText"/>
      </w:pPr>
      <w:r w:rsidRPr="007321E4">
        <w:rPr>
          <w:rStyle w:val="FootnoteReference"/>
        </w:rPr>
        <w:footnoteRef/>
      </w:r>
      <w:r w:rsidRPr="007321E4">
        <w:t xml:space="preserve"> Indonesia's appellant's submission, para. 82. (emphasis omitted)</w:t>
      </w:r>
    </w:p>
  </w:footnote>
  <w:footnote w:id="144">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iCs/>
        </w:rPr>
        <w:t>Canada – Renewable</w:t>
      </w:r>
      <w:r w:rsidRPr="007321E4">
        <w:rPr>
          <w:i/>
        </w:rPr>
        <w:t xml:space="preserve"> </w:t>
      </w:r>
      <w:r w:rsidRPr="007321E4">
        <w:rPr>
          <w:i/>
          <w:iCs/>
        </w:rPr>
        <w:t>Energy / Canada – Feed-in Tariff Program</w:t>
      </w:r>
      <w:r w:rsidRPr="007321E4">
        <w:rPr>
          <w:iCs/>
        </w:rPr>
        <w:t>, para.</w:t>
      </w:r>
      <w:proofErr w:type="gramEnd"/>
      <w:r w:rsidRPr="007321E4">
        <w:rPr>
          <w:iCs/>
        </w:rPr>
        <w:t xml:space="preserve"> 5.56. The Appellate Body further </w:t>
      </w:r>
      <w:r w:rsidRPr="007321E4">
        <w:rPr>
          <w:szCs w:val="16"/>
        </w:rPr>
        <w:t xml:space="preserve">recalled that, "in </w:t>
      </w:r>
      <w:r w:rsidRPr="007321E4">
        <w:rPr>
          <w:i/>
          <w:szCs w:val="16"/>
        </w:rPr>
        <w:t>China – Raw Materials</w:t>
      </w:r>
      <w:r w:rsidRPr="007321E4">
        <w:rPr>
          <w:szCs w:val="16"/>
        </w:rPr>
        <w:t xml:space="preserve">, the Appellate Body distinguished between 'exceptions' (such as the general exception of Article XX) and limitations of the scope of an obligation (such as Article XI:2(a))." (Ibid., </w:t>
      </w:r>
      <w:proofErr w:type="spellStart"/>
      <w:r w:rsidRPr="007321E4">
        <w:rPr>
          <w:szCs w:val="16"/>
        </w:rPr>
        <w:t>fn</w:t>
      </w:r>
      <w:proofErr w:type="spellEnd"/>
      <w:r w:rsidRPr="007321E4">
        <w:rPr>
          <w:iCs/>
        </w:rPr>
        <w:t xml:space="preserve"> 491 thereto (referring to </w:t>
      </w:r>
      <w:r w:rsidRPr="007321E4">
        <w:rPr>
          <w:szCs w:val="16"/>
        </w:rPr>
        <w:t xml:space="preserve">Appellate Body Reports, </w:t>
      </w:r>
      <w:r w:rsidRPr="007321E4">
        <w:rPr>
          <w:i/>
          <w:szCs w:val="16"/>
        </w:rPr>
        <w:t>China – Raw Materials</w:t>
      </w:r>
      <w:r w:rsidRPr="007321E4">
        <w:rPr>
          <w:szCs w:val="16"/>
        </w:rPr>
        <w:t>, para. 334))</w:t>
      </w:r>
    </w:p>
  </w:footnote>
  <w:footnote w:id="145">
    <w:p w:rsidR="006A4249" w:rsidRPr="007321E4" w:rsidRDefault="006A4249" w:rsidP="00190BF6">
      <w:pPr>
        <w:pStyle w:val="FootnoteText"/>
      </w:pPr>
      <w:r w:rsidRPr="007321E4">
        <w:rPr>
          <w:rStyle w:val="FootnoteReference"/>
        </w:rPr>
        <w:footnoteRef/>
      </w:r>
      <w:r w:rsidRPr="007321E4">
        <w:t xml:space="preserve"> Indonesia's appellant's submission, para. </w:t>
      </w:r>
      <w:proofErr w:type="gramStart"/>
      <w:r w:rsidRPr="007321E4">
        <w:t>86 (referring to Article 3 of the TRIMs Agreement and Article 24.7 of the Agreement on Trade Facilitation).</w:t>
      </w:r>
      <w:proofErr w:type="gramEnd"/>
    </w:p>
  </w:footnote>
  <w:footnote w:id="146">
    <w:p w:rsidR="006A4249" w:rsidRPr="007321E4" w:rsidRDefault="006A4249" w:rsidP="00190BF6">
      <w:pPr>
        <w:pStyle w:val="FootnoteText"/>
      </w:pPr>
      <w:r w:rsidRPr="007321E4">
        <w:rPr>
          <w:rStyle w:val="FootnoteReference"/>
        </w:rPr>
        <w:footnoteRef/>
      </w:r>
      <w:r w:rsidRPr="007321E4">
        <w:t xml:space="preserve"> Emphasis added.</w:t>
      </w:r>
    </w:p>
  </w:footnote>
  <w:footnote w:id="147">
    <w:p w:rsidR="006A4249" w:rsidRPr="007321E4" w:rsidRDefault="006A4249" w:rsidP="00190BF6">
      <w:pPr>
        <w:pStyle w:val="FootnoteText"/>
        <w:keepLines/>
      </w:pPr>
      <w:r w:rsidRPr="007321E4">
        <w:rPr>
          <w:rStyle w:val="FootnoteReference"/>
        </w:rPr>
        <w:footnoteRef/>
      </w:r>
      <w:r w:rsidRPr="007321E4">
        <w:t xml:space="preserve"> Appellate Body Report, </w:t>
      </w:r>
      <w:r w:rsidRPr="007321E4">
        <w:rPr>
          <w:i/>
        </w:rPr>
        <w:t>US – Wool Shirts and Blouses</w:t>
      </w:r>
      <w:r w:rsidRPr="007321E4">
        <w:rPr>
          <w:spacing w:val="-2"/>
        </w:rPr>
        <w:t>, p. 14, DSR 1997</w:t>
      </w:r>
      <w:proofErr w:type="gramStart"/>
      <w:r w:rsidRPr="007321E4">
        <w:rPr>
          <w:spacing w:val="-2"/>
        </w:rPr>
        <w:t>:I</w:t>
      </w:r>
      <w:proofErr w:type="gramEnd"/>
      <w:r w:rsidRPr="007321E4">
        <w:rPr>
          <w:spacing w:val="-2"/>
        </w:rPr>
        <w:t>, p. 335. (emphasis added)</w:t>
      </w:r>
    </w:p>
  </w:footnote>
  <w:footnote w:id="148">
    <w:p w:rsidR="006A4249" w:rsidRPr="007321E4" w:rsidRDefault="006A4249">
      <w:pPr>
        <w:pStyle w:val="FootnoteText"/>
      </w:pPr>
      <w:r w:rsidRPr="007321E4">
        <w:rPr>
          <w:rStyle w:val="FootnoteReference"/>
        </w:rPr>
        <w:footnoteRef/>
      </w:r>
      <w:r w:rsidRPr="007321E4">
        <w:t xml:space="preserve"> </w:t>
      </w:r>
      <w:proofErr w:type="gramStart"/>
      <w:r w:rsidRPr="007321E4">
        <w:t>In the context of examining the allocation of the burden of proof under Article 2.12 of the Agreement on Technical Barriers to Trade (TBT Agreement).</w:t>
      </w:r>
      <w:proofErr w:type="gramEnd"/>
    </w:p>
  </w:footnote>
  <w:footnote w:id="149">
    <w:p w:rsidR="006A4249" w:rsidRPr="007321E4" w:rsidRDefault="006A4249">
      <w:pPr>
        <w:pStyle w:val="FootnoteText"/>
      </w:pPr>
      <w:r w:rsidRPr="007321E4">
        <w:rPr>
          <w:rStyle w:val="FootnoteReference"/>
        </w:rPr>
        <w:footnoteRef/>
      </w:r>
      <w:r w:rsidRPr="007321E4">
        <w:t xml:space="preserve"> Appellate Body Report, </w:t>
      </w:r>
      <w:r w:rsidRPr="007321E4">
        <w:rPr>
          <w:i/>
        </w:rPr>
        <w:t>US – Clove Cigarettes</w:t>
      </w:r>
      <w:r w:rsidRPr="007321E4">
        <w:t>, para. 286. (emphasis original)</w:t>
      </w:r>
    </w:p>
  </w:footnote>
  <w:footnote w:id="150">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rPr>
        <w:t>US – Gasoline</w:t>
      </w:r>
      <w:r w:rsidRPr="007321E4">
        <w:t xml:space="preserve">, p. 30, </w:t>
      </w:r>
      <w:r w:rsidRPr="007321E4">
        <w:rPr>
          <w:spacing w:val="-2"/>
        </w:rPr>
        <w:t>DSR 1996</w:t>
      </w:r>
      <w:proofErr w:type="gramStart"/>
      <w:r w:rsidRPr="007321E4">
        <w:rPr>
          <w:spacing w:val="-2"/>
        </w:rPr>
        <w:t>:I</w:t>
      </w:r>
      <w:proofErr w:type="gramEnd"/>
      <w:r w:rsidRPr="007321E4">
        <w:rPr>
          <w:spacing w:val="-2"/>
        </w:rPr>
        <w:t>, p. 28</w:t>
      </w:r>
      <w:r w:rsidRPr="007321E4">
        <w:t>.</w:t>
      </w:r>
    </w:p>
  </w:footnote>
  <w:footnote w:id="151">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rPr>
        <w:t>US – Shrimp</w:t>
      </w:r>
      <w:r w:rsidRPr="007321E4">
        <w:t>, para. 121. (emphasis original)</w:t>
      </w:r>
    </w:p>
  </w:footnote>
  <w:footnote w:id="152">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rPr>
        <w:t>US – Shrimp</w:t>
      </w:r>
      <w:r w:rsidRPr="007321E4">
        <w:t>, para. 156.</w:t>
      </w:r>
    </w:p>
  </w:footnote>
  <w:footnote w:id="153">
    <w:p w:rsidR="006A4249" w:rsidRPr="007321E4" w:rsidRDefault="006A4249" w:rsidP="00190BF6">
      <w:pPr>
        <w:pStyle w:val="FootnoteText"/>
      </w:pPr>
      <w:r w:rsidRPr="007321E4">
        <w:rPr>
          <w:rStyle w:val="FootnoteReference"/>
        </w:rPr>
        <w:footnoteRef/>
      </w:r>
      <w:r w:rsidRPr="007321E4">
        <w:t xml:space="preserve"> In </w:t>
      </w:r>
      <w:r w:rsidRPr="007321E4">
        <w:rPr>
          <w:i/>
        </w:rPr>
        <w:t>Chile – Price Band System</w:t>
      </w:r>
      <w:r w:rsidRPr="007321E4">
        <w:t xml:space="preserve">, the Appellate Body noted that the overall objectives of the Agreement on Agriculture as stated in the preamble of that Agreement include "the establishment of strengthened and more operationally effective GATT rules and disciplines", and implementing "specific binding commitments" in the area of market access. (Appellate Body Report, </w:t>
      </w:r>
      <w:r w:rsidRPr="007321E4">
        <w:rPr>
          <w:i/>
        </w:rPr>
        <w:t xml:space="preserve">Chile – Price Band System, </w:t>
      </w:r>
      <w:r w:rsidRPr="007321E4">
        <w:t>para. 196 (quoting Preamble to the Agreement on Agriculture)) The Appellate Body further stated that "Article 4 of the Agreement on Agriculture is appropriately viewed as the legal vehicle for requiring the conversion into ordinary customs duties of certain market access barriers affecting imports of agricultural products." (Ibid.</w:t>
      </w:r>
      <w:r w:rsidRPr="007321E4">
        <w:rPr>
          <w:i/>
        </w:rPr>
        <w:t xml:space="preserve">, </w:t>
      </w:r>
      <w:r w:rsidRPr="007321E4">
        <w:t xml:space="preserve">para. 201 (italics omitted)) Allocating the burden of proof under the second part of footnote 1 to the complainant would be at odds with the above objectives because it would </w:t>
      </w:r>
      <w:r w:rsidRPr="007321E4">
        <w:rPr>
          <w:i/>
        </w:rPr>
        <w:t>weaken</w:t>
      </w:r>
      <w:r w:rsidRPr="007321E4">
        <w:t xml:space="preserve">, rather than </w:t>
      </w:r>
      <w:r w:rsidRPr="007321E4">
        <w:rPr>
          <w:i/>
        </w:rPr>
        <w:t>strengthen</w:t>
      </w:r>
      <w:r w:rsidRPr="007321E4">
        <w:t>, the prohibition of quantitative import restrictions under Article 4.2,</w:t>
      </w:r>
      <w:r w:rsidRPr="007321E4">
        <w:rPr>
          <w:color w:val="000000"/>
        </w:rPr>
        <w:t xml:space="preserve"> as compared to the prohibition of quantitative restrictions under Article XI</w:t>
      </w:r>
      <w:proofErr w:type="gramStart"/>
      <w:r w:rsidRPr="007321E4">
        <w:rPr>
          <w:color w:val="000000"/>
        </w:rPr>
        <w:t>:1</w:t>
      </w:r>
      <w:proofErr w:type="gramEnd"/>
      <w:r w:rsidRPr="007321E4">
        <w:rPr>
          <w:color w:val="000000"/>
        </w:rPr>
        <w:t xml:space="preserve"> of the GATT 1994.</w:t>
      </w:r>
    </w:p>
  </w:footnote>
  <w:footnote w:id="154">
    <w:p w:rsidR="006A4249" w:rsidRPr="007321E4" w:rsidRDefault="006A4249" w:rsidP="00190BF6">
      <w:pPr>
        <w:pStyle w:val="FootnoteText"/>
      </w:pPr>
      <w:r w:rsidRPr="007321E4">
        <w:rPr>
          <w:rStyle w:val="FootnoteReference"/>
        </w:rPr>
        <w:footnoteRef/>
      </w:r>
      <w:r w:rsidRPr="007321E4">
        <w:t xml:space="preserve"> Indonesia's appellant's submission, para. 88.</w:t>
      </w:r>
    </w:p>
  </w:footnote>
  <w:footnote w:id="155">
    <w:p w:rsidR="006A4249" w:rsidRPr="007321E4" w:rsidRDefault="006A4249" w:rsidP="00190BF6">
      <w:pPr>
        <w:pStyle w:val="FootnoteText"/>
      </w:pPr>
      <w:r w:rsidRPr="007321E4">
        <w:rPr>
          <w:rStyle w:val="FootnoteReference"/>
        </w:rPr>
        <w:footnoteRef/>
      </w:r>
      <w:r w:rsidRPr="007321E4">
        <w:t xml:space="preserve"> Indonesia's appellant's submission, paras. 88-89. Indonesia also refers to Article 5.6 of the Agreement on the Application of Sanitary and Phytosanitary Measures (SPS Agreement) and Article 11.6(b) of the Agreement on Trade Facilitation, both of which contain language similar to that of Article 2.2 of the TBT Agreement.</w:t>
      </w:r>
    </w:p>
  </w:footnote>
  <w:footnote w:id="156">
    <w:p w:rsidR="006A4249" w:rsidRPr="007321E4" w:rsidRDefault="006A4249" w:rsidP="00190BF6">
      <w:pPr>
        <w:pStyle w:val="FootnoteText"/>
      </w:pPr>
      <w:r w:rsidRPr="007321E4">
        <w:rPr>
          <w:rStyle w:val="FootnoteReference"/>
        </w:rPr>
        <w:footnoteRef/>
      </w:r>
      <w:r w:rsidRPr="007321E4">
        <w:t xml:space="preserve"> Article 2.2 of the TBT Agreement provides:</w:t>
      </w:r>
    </w:p>
    <w:p w:rsidR="006A4249" w:rsidRPr="007321E4" w:rsidRDefault="006A4249" w:rsidP="001A7D7D">
      <w:pPr>
        <w:pStyle w:val="FootnoteQuotation"/>
      </w:pPr>
      <w:r w:rsidRPr="007321E4">
        <w:t xml:space="preserve">Members shall ensure that technical regulations are not prepared, adopted or applied with a view to or with the effect of creating unnecessary obstacles to international trade. For this purpose, technical regulations shall not be more trade-restrictive than necessary to fulfil a legitimate objective, taking account of the risks non-fulfilment would create. Such legitimate objectives are, </w:t>
      </w:r>
      <w:r w:rsidRPr="007321E4">
        <w:rPr>
          <w:i/>
        </w:rPr>
        <w:t>inter alia</w:t>
      </w:r>
      <w:r w:rsidRPr="007321E4">
        <w:t xml:space="preserve">: national security requirements; the prevention of deceptive practices; protection of human health or safety, animal or plant life or health, or the environment. In assessing such risks, relevant elements of consideration are, </w:t>
      </w:r>
      <w:r w:rsidRPr="007321E4">
        <w:rPr>
          <w:i/>
        </w:rPr>
        <w:t>inter alia</w:t>
      </w:r>
      <w:r w:rsidRPr="007321E4">
        <w:t xml:space="preserve">: available scientific and technical </w:t>
      </w:r>
      <w:proofErr w:type="gramStart"/>
      <w:r w:rsidRPr="007321E4">
        <w:t>information,</w:t>
      </w:r>
      <w:proofErr w:type="gramEnd"/>
      <w:r w:rsidRPr="007321E4">
        <w:t xml:space="preserve"> related processing technology or intended end-uses of products.</w:t>
      </w:r>
    </w:p>
  </w:footnote>
  <w:footnote w:id="157">
    <w:p w:rsidR="006A4249" w:rsidRPr="007321E4" w:rsidRDefault="006A4249" w:rsidP="00190BF6">
      <w:pPr>
        <w:pStyle w:val="FootnoteText"/>
      </w:pPr>
      <w:r w:rsidRPr="007321E4">
        <w:rPr>
          <w:rStyle w:val="FootnoteReference"/>
        </w:rPr>
        <w:footnoteRef/>
      </w:r>
      <w:r w:rsidRPr="007321E4">
        <w:t xml:space="preserve"> Article 2.4 of the TBT Agreement provides:</w:t>
      </w:r>
    </w:p>
    <w:p w:rsidR="006A4249" w:rsidRPr="007321E4" w:rsidRDefault="006A4249" w:rsidP="001A7D7D">
      <w:pPr>
        <w:pStyle w:val="FootnoteQuotation"/>
      </w:pPr>
      <w:r w:rsidRPr="007321E4">
        <w:t>Where technical regulations are required and relevant international standards exist or their completion is imminent, Members shall use them, or the relevant parts of them, as a basis for their technical regulations except when such international standards or relevant parts would be an ineffective or inappropriate means for the fulfilment of the legitimate objectives pursued, for instance because of fundamental climatic or geographical factors or fundamental technological problems.</w:t>
      </w:r>
    </w:p>
  </w:footnote>
  <w:footnote w:id="158">
    <w:p w:rsidR="006A4249" w:rsidRPr="007321E4" w:rsidRDefault="006A4249" w:rsidP="009C365D">
      <w:pPr>
        <w:pStyle w:val="FootnoteText"/>
      </w:pPr>
      <w:r w:rsidRPr="007321E4">
        <w:rPr>
          <w:rStyle w:val="FootnoteReference"/>
        </w:rPr>
        <w:footnoteRef/>
      </w:r>
      <w:r w:rsidRPr="007321E4">
        <w:t xml:space="preserve"> Indonesia's appellant's submission, para. 88.</w:t>
      </w:r>
    </w:p>
  </w:footnote>
  <w:footnote w:id="159">
    <w:p w:rsidR="006A4249" w:rsidRPr="007321E4" w:rsidRDefault="006A4249">
      <w:pPr>
        <w:pStyle w:val="FootnoteText"/>
      </w:pPr>
      <w:r w:rsidRPr="007321E4">
        <w:rPr>
          <w:rStyle w:val="FootnoteReference"/>
        </w:rPr>
        <w:footnoteRef/>
      </w:r>
      <w:r w:rsidRPr="007321E4">
        <w:t xml:space="preserve"> The third sentence of Article 2.2 of the TBT Agreements makes clear that "legitimate objectives" include: "national security requirements; the prevention of deceptive practices; protection of human health or safety, animal or plant life or health, or the environment".</w:t>
      </w:r>
    </w:p>
  </w:footnote>
  <w:footnote w:id="160">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rPr>
        <w:t>US – Tuna II (Mexico)</w:t>
      </w:r>
      <w:r w:rsidRPr="007321E4">
        <w:t>, para. 319. (</w:t>
      </w:r>
      <w:proofErr w:type="gramStart"/>
      <w:r w:rsidRPr="007321E4">
        <w:t>emphasis</w:t>
      </w:r>
      <w:proofErr w:type="gramEnd"/>
      <w:r w:rsidRPr="007321E4">
        <w:t xml:space="preserve"> added) See also Appellate Body Report, </w:t>
      </w:r>
      <w:r w:rsidRPr="007321E4">
        <w:rPr>
          <w:i/>
        </w:rPr>
        <w:t>US – Clove Cigarettes</w:t>
      </w:r>
      <w:r w:rsidRPr="007321E4">
        <w:t>, para. 171.</w:t>
      </w:r>
    </w:p>
  </w:footnote>
  <w:footnote w:id="161">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 </w:t>
      </w:r>
      <w:r w:rsidRPr="007321E4">
        <w:rPr>
          <w:i/>
        </w:rPr>
        <w:t>EC – Sardines</w:t>
      </w:r>
      <w:r w:rsidRPr="007321E4">
        <w:t>, para.</w:t>
      </w:r>
      <w:proofErr w:type="gramEnd"/>
      <w:r w:rsidRPr="007321E4">
        <w:t xml:space="preserve"> 275.</w:t>
      </w:r>
    </w:p>
  </w:footnote>
  <w:footnote w:id="162">
    <w:p w:rsidR="006A4249" w:rsidRPr="007321E4" w:rsidRDefault="006A4249" w:rsidP="00190BF6">
      <w:pPr>
        <w:pStyle w:val="FootnoteText"/>
      </w:pPr>
      <w:r w:rsidRPr="007321E4">
        <w:rPr>
          <w:rStyle w:val="FootnoteReference"/>
        </w:rPr>
        <w:footnoteRef/>
      </w:r>
      <w:r w:rsidRPr="007321E4">
        <w:t xml:space="preserve"> </w:t>
      </w:r>
      <w:proofErr w:type="gramStart"/>
      <w:r w:rsidRPr="007321E4">
        <w:t>Appellate Body Report</w:t>
      </w:r>
      <w:r w:rsidRPr="007321E4">
        <w:rPr>
          <w:i/>
        </w:rPr>
        <w:t>, EC – Hormones</w:t>
      </w:r>
      <w:r w:rsidRPr="007321E4">
        <w:t>, paras.</w:t>
      </w:r>
      <w:proofErr w:type="gramEnd"/>
      <w:r w:rsidRPr="007321E4">
        <w:t xml:space="preserve"> </w:t>
      </w:r>
      <w:proofErr w:type="gramStart"/>
      <w:r w:rsidRPr="007321E4">
        <w:t>104 and 172.</w:t>
      </w:r>
      <w:proofErr w:type="gramEnd"/>
    </w:p>
  </w:footnote>
  <w:footnote w:id="163">
    <w:p w:rsidR="006A4249" w:rsidRPr="007321E4" w:rsidRDefault="006A4249" w:rsidP="00190BF6">
      <w:pPr>
        <w:pStyle w:val="FootnoteText"/>
      </w:pPr>
      <w:r w:rsidRPr="007321E4">
        <w:rPr>
          <w:rStyle w:val="FootnoteReference"/>
        </w:rPr>
        <w:footnoteRef/>
      </w:r>
      <w:r w:rsidRPr="007321E4">
        <w:t xml:space="preserve"> Indonesia's appellant's submission, paras. </w:t>
      </w:r>
      <w:proofErr w:type="gramStart"/>
      <w:r w:rsidRPr="007321E4">
        <w:t>5 and 105.</w:t>
      </w:r>
      <w:proofErr w:type="gramEnd"/>
      <w:r w:rsidRPr="007321E4">
        <w:t xml:space="preserve"> </w:t>
      </w:r>
    </w:p>
  </w:footnote>
  <w:footnote w:id="164">
    <w:p w:rsidR="006A4249" w:rsidRPr="007321E4" w:rsidRDefault="006A4249" w:rsidP="00190BF6">
      <w:pPr>
        <w:pStyle w:val="FootnoteText"/>
      </w:pPr>
      <w:r w:rsidRPr="007321E4">
        <w:rPr>
          <w:rStyle w:val="FootnoteReference"/>
        </w:rPr>
        <w:footnoteRef/>
      </w:r>
      <w:r w:rsidRPr="007321E4">
        <w:t xml:space="preserve"> </w:t>
      </w:r>
      <w:proofErr w:type="gramStart"/>
      <w:r w:rsidRPr="007321E4">
        <w:t>Indonesia's opening statement</w:t>
      </w:r>
      <w:r w:rsidRPr="007321E4">
        <w:rPr>
          <w:szCs w:val="16"/>
        </w:rPr>
        <w:t xml:space="preserve"> at the oral hearing</w:t>
      </w:r>
      <w:r w:rsidRPr="007321E4">
        <w:t>; response to questioning at the oral hearing.</w:t>
      </w:r>
      <w:proofErr w:type="gramEnd"/>
    </w:p>
  </w:footnote>
  <w:footnote w:id="165">
    <w:p w:rsidR="006A4249" w:rsidRPr="007321E4" w:rsidRDefault="006A4249">
      <w:pPr>
        <w:pStyle w:val="FootnoteText"/>
      </w:pPr>
      <w:r w:rsidRPr="007321E4">
        <w:rPr>
          <w:rStyle w:val="FootnoteReference"/>
        </w:rPr>
        <w:footnoteRef/>
      </w:r>
      <w:r w:rsidR="00E64B97" w:rsidRPr="007321E4">
        <w:t xml:space="preserve"> </w:t>
      </w:r>
      <w:proofErr w:type="gramStart"/>
      <w:r w:rsidRPr="007321E4">
        <w:t xml:space="preserve">New Zealand's </w:t>
      </w:r>
      <w:proofErr w:type="spellStart"/>
      <w:r w:rsidRPr="007321E4">
        <w:t>appellee's</w:t>
      </w:r>
      <w:proofErr w:type="spellEnd"/>
      <w:r w:rsidRPr="007321E4">
        <w:t xml:space="preserve"> submission, para.</w:t>
      </w:r>
      <w:proofErr w:type="gramEnd"/>
      <w:r w:rsidRPr="007321E4">
        <w:t xml:space="preserve"> 101.</w:t>
      </w:r>
    </w:p>
  </w:footnote>
  <w:footnote w:id="166">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paras.</w:t>
      </w:r>
      <w:proofErr w:type="gramEnd"/>
      <w:r w:rsidRPr="007321E4">
        <w:t xml:space="preserve"> </w:t>
      </w:r>
      <w:proofErr w:type="gramStart"/>
      <w:r w:rsidRPr="007321E4">
        <w:t>101 and 110.</w:t>
      </w:r>
      <w:proofErr w:type="gramEnd"/>
      <w:r w:rsidRPr="007321E4">
        <w:t xml:space="preserve"> </w:t>
      </w:r>
    </w:p>
  </w:footnote>
  <w:footnote w:id="167">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United States' response to questioning at the oral hearing; </w:t>
      </w:r>
      <w:proofErr w:type="spellStart"/>
      <w:r w:rsidRPr="007321E4">
        <w:t>appellee's</w:t>
      </w:r>
      <w:proofErr w:type="spellEnd"/>
      <w:r w:rsidRPr="007321E4">
        <w:t xml:space="preserve"> submission, para.</w:t>
      </w:r>
      <w:proofErr w:type="gramEnd"/>
      <w:r w:rsidRPr="007321E4">
        <w:t xml:space="preserve"> 83. </w:t>
      </w:r>
    </w:p>
  </w:footnote>
  <w:footnote w:id="168">
    <w:p w:rsidR="006A4249" w:rsidRPr="007321E4" w:rsidRDefault="006A4249" w:rsidP="00190BF6">
      <w:pPr>
        <w:pStyle w:val="FootnoteText"/>
        <w:rPr>
          <w:lang w:eastAsia="en-US"/>
        </w:rPr>
      </w:pPr>
      <w:r w:rsidRPr="007321E4">
        <w:rPr>
          <w:rStyle w:val="FootnoteReference"/>
        </w:rPr>
        <w:footnoteRef/>
      </w:r>
      <w:r w:rsidRPr="007321E4">
        <w:t xml:space="preserve"> </w:t>
      </w:r>
      <w:proofErr w:type="gramStart"/>
      <w:r w:rsidRPr="007321E4">
        <w:t xml:space="preserve">Appellate Body Reports, </w:t>
      </w:r>
      <w:r w:rsidRPr="007321E4">
        <w:rPr>
          <w:i/>
        </w:rPr>
        <w:t>Peru – Agricultural Products</w:t>
      </w:r>
      <w:r w:rsidRPr="007321E4">
        <w:t>, para.</w:t>
      </w:r>
      <w:proofErr w:type="gramEnd"/>
      <w:r w:rsidRPr="007321E4">
        <w:t> </w:t>
      </w:r>
      <w:proofErr w:type="gramStart"/>
      <w:r w:rsidRPr="007321E4">
        <w:t xml:space="preserve">5.66; </w:t>
      </w:r>
      <w:r w:rsidRPr="007321E4">
        <w:rPr>
          <w:i/>
        </w:rPr>
        <w:t>China – Rare Earths</w:t>
      </w:r>
      <w:r w:rsidRPr="007321E4">
        <w:t>, para.</w:t>
      </w:r>
      <w:proofErr w:type="gramEnd"/>
      <w:r w:rsidRPr="007321E4">
        <w:t xml:space="preserve"> </w:t>
      </w:r>
      <w:proofErr w:type="gramStart"/>
      <w:r w:rsidRPr="007321E4">
        <w:t xml:space="preserve">5.227; </w:t>
      </w:r>
      <w:r w:rsidRPr="007321E4">
        <w:rPr>
          <w:i/>
        </w:rPr>
        <w:t>EC – Poultry</w:t>
      </w:r>
      <w:r w:rsidRPr="007321E4">
        <w:t>, para.</w:t>
      </w:r>
      <w:proofErr w:type="gramEnd"/>
      <w:r w:rsidRPr="007321E4">
        <w:t xml:space="preserve"> 133. </w:t>
      </w:r>
    </w:p>
  </w:footnote>
  <w:footnote w:id="169">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China – Rare Earths</w:t>
      </w:r>
      <w:r w:rsidRPr="007321E4">
        <w:t>, para.</w:t>
      </w:r>
      <w:proofErr w:type="gramEnd"/>
      <w:r w:rsidRPr="007321E4">
        <w:t xml:space="preserve"> </w:t>
      </w:r>
      <w:proofErr w:type="gramStart"/>
      <w:r w:rsidRPr="007321E4">
        <w:t xml:space="preserve">5.178; </w:t>
      </w:r>
      <w:r w:rsidRPr="007321E4">
        <w:rPr>
          <w:i/>
          <w:szCs w:val="16"/>
        </w:rPr>
        <w:t>EC – Fasteners (China)</w:t>
      </w:r>
      <w:r w:rsidRPr="007321E4">
        <w:rPr>
          <w:szCs w:val="16"/>
        </w:rPr>
        <w:t>, para.</w:t>
      </w:r>
      <w:proofErr w:type="gramEnd"/>
      <w:r w:rsidRPr="007321E4">
        <w:rPr>
          <w:szCs w:val="16"/>
        </w:rPr>
        <w:t xml:space="preserve"> 442</w:t>
      </w:r>
      <w:r w:rsidRPr="007321E4">
        <w:t>.</w:t>
      </w:r>
      <w:r w:rsidRPr="007321E4">
        <w:rPr>
          <w:szCs w:val="16"/>
        </w:rPr>
        <w:t xml:space="preserve"> (emphasis original)</w:t>
      </w:r>
    </w:p>
  </w:footnote>
  <w:footnote w:id="170">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Peru – Agricultural Products</w:t>
      </w:r>
      <w:r w:rsidRPr="007321E4">
        <w:t>, para.</w:t>
      </w:r>
      <w:proofErr w:type="gramEnd"/>
      <w:r w:rsidRPr="007321E4">
        <w:t xml:space="preserve"> </w:t>
      </w:r>
      <w:proofErr w:type="gramStart"/>
      <w:r w:rsidRPr="007321E4">
        <w:t xml:space="preserve">5.66; </w:t>
      </w:r>
      <w:r w:rsidRPr="007321E4">
        <w:rPr>
          <w:i/>
        </w:rPr>
        <w:t>US – Anti-Dumping and Countervailing Duties (China)</w:t>
      </w:r>
      <w:r w:rsidRPr="007321E4">
        <w:t>, para.</w:t>
      </w:r>
      <w:proofErr w:type="gramEnd"/>
      <w:r w:rsidRPr="007321E4">
        <w:t xml:space="preserve"> 337. See also Appellate Body Reports, </w:t>
      </w:r>
      <w:r w:rsidRPr="007321E4">
        <w:rPr>
          <w:i/>
        </w:rPr>
        <w:t>US – Steel Safeguards</w:t>
      </w:r>
      <w:r w:rsidRPr="007321E4">
        <w:t xml:space="preserve">, para. </w:t>
      </w:r>
      <w:proofErr w:type="gramStart"/>
      <w:r w:rsidRPr="007321E4">
        <w:t xml:space="preserve">498; </w:t>
      </w:r>
      <w:r w:rsidRPr="007321E4">
        <w:rPr>
          <w:i/>
        </w:rPr>
        <w:t>Chile</w:t>
      </w:r>
      <w:r w:rsidRPr="007321E4">
        <w:t> </w:t>
      </w:r>
      <w:r w:rsidRPr="007321E4">
        <w:rPr>
          <w:i/>
        </w:rPr>
        <w:t>– Price Band System (Article 21.5 – Argentina)</w:t>
      </w:r>
      <w:r w:rsidRPr="007321E4">
        <w:t>, para.</w:t>
      </w:r>
      <w:proofErr w:type="gramEnd"/>
      <w:r w:rsidRPr="007321E4">
        <w:t> </w:t>
      </w:r>
      <w:proofErr w:type="gramStart"/>
      <w:r w:rsidRPr="007321E4">
        <w:t xml:space="preserve">238; </w:t>
      </w:r>
      <w:r w:rsidRPr="007321E4">
        <w:rPr>
          <w:i/>
        </w:rPr>
        <w:t>Australia – Apples</w:t>
      </w:r>
      <w:r w:rsidRPr="007321E4">
        <w:t>, para.</w:t>
      </w:r>
      <w:proofErr w:type="gramEnd"/>
      <w:r w:rsidRPr="007321E4">
        <w:t xml:space="preserve"> </w:t>
      </w:r>
      <w:proofErr w:type="gramStart"/>
      <w:r w:rsidRPr="007321E4">
        <w:t xml:space="preserve">406; </w:t>
      </w:r>
      <w:r w:rsidR="002C5BBA" w:rsidRPr="007321E4">
        <w:br/>
      </w:r>
      <w:r w:rsidRPr="007321E4">
        <w:rPr>
          <w:i/>
        </w:rPr>
        <w:t>China – Rare Earths</w:t>
      </w:r>
      <w:r w:rsidRPr="007321E4">
        <w:t>, para.</w:t>
      </w:r>
      <w:proofErr w:type="gramEnd"/>
      <w:r w:rsidRPr="007321E4">
        <w:t xml:space="preserve"> 5.173. </w:t>
      </w:r>
    </w:p>
  </w:footnote>
  <w:footnote w:id="171">
    <w:p w:rsidR="006A4249" w:rsidRPr="007321E4" w:rsidRDefault="006A4249" w:rsidP="00190BF6">
      <w:pPr>
        <w:pStyle w:val="FootnoteText"/>
      </w:pPr>
      <w:r w:rsidRPr="007321E4">
        <w:rPr>
          <w:rStyle w:val="FootnoteReference"/>
        </w:rPr>
        <w:footnoteRef/>
      </w:r>
      <w:r w:rsidRPr="007321E4">
        <w:t xml:space="preserve"> Indonesia's appellant's submission, paras. 5 and 105-106. </w:t>
      </w:r>
    </w:p>
  </w:footnote>
  <w:footnote w:id="172">
    <w:p w:rsidR="006A4249" w:rsidRPr="007321E4" w:rsidRDefault="006A4249" w:rsidP="00190BF6">
      <w:pPr>
        <w:pStyle w:val="FootnoteText"/>
      </w:pPr>
      <w:r w:rsidRPr="007321E4">
        <w:rPr>
          <w:rStyle w:val="FootnoteReference"/>
        </w:rPr>
        <w:footnoteRef/>
      </w:r>
      <w:r w:rsidRPr="007321E4">
        <w:t xml:space="preserve"> As briefly set out above, Indonesia argued at the oral hearing that, in allocating to Indonesia the burden of proof under Article XX of the GATT 1994 referred to in the second part of footnote 1 to Article 4.2 of the Agreement on Agriculture, the Panel impaired Indonesia's due process rights. According to Indonesia, this distinguishes its claim under Article 11 of the DSU from its substantive claims on appeal. (Indonesia's opening statement </w:t>
      </w:r>
      <w:r w:rsidRPr="007321E4">
        <w:rPr>
          <w:szCs w:val="16"/>
        </w:rPr>
        <w:t>at the oral hearing; response to questioning at the oral hearing</w:t>
      </w:r>
      <w:r w:rsidRPr="007321E4">
        <w:t xml:space="preserve">) We note, however, that this due process argument was raised in support of Indonesia's challenge under Article 11 of the DSU for the first time during the oral hearing, whereas Indonesia raised the same due process concerns in support of its substantive claim under Article 4.2 in its appellant's submission. (Indonesia's appellant's submission, para. 93) Moreover, this argument rests on the assumption that the Panel erred in determining that Indonesia bears the burden of proof under the second part of footnote 1 to Article 4.2. Above, we have rejected Indonesia's substantive claim that the Panel erred in allocating to Indonesia the burden of proof under Article XX of the GATT 1994 referred to in the second part of footnote 1 to Article 4.2 of the Agreement on Agriculture. Therefore, Indonesia's allegation at the oral hearing that the Panel impaired its due process rights by incorrectly allocating the burden of proof to Indonesia under the second part of footnote 1 to Article 4.2 does not alter our conclusion that Indonesia has not substantiated its claim under Article 11 of the DSU. </w:t>
      </w:r>
    </w:p>
  </w:footnote>
  <w:footnote w:id="173">
    <w:p w:rsidR="006A4249" w:rsidRPr="007321E4" w:rsidRDefault="006A4249">
      <w:pPr>
        <w:pStyle w:val="FootnoteText"/>
      </w:pPr>
      <w:r w:rsidRPr="007321E4">
        <w:rPr>
          <w:rStyle w:val="FootnoteReference"/>
        </w:rPr>
        <w:footnoteRef/>
      </w:r>
      <w:r w:rsidRPr="007321E4">
        <w:t xml:space="preserve"> Indonesia's appellant's submission, paras. </w:t>
      </w:r>
      <w:proofErr w:type="gramStart"/>
      <w:r w:rsidRPr="007321E4">
        <w:t>95 and 107.</w:t>
      </w:r>
      <w:proofErr w:type="gramEnd"/>
    </w:p>
  </w:footnote>
  <w:footnote w:id="174">
    <w:p w:rsidR="006A4249" w:rsidRPr="007321E4" w:rsidRDefault="006A4249">
      <w:pPr>
        <w:pStyle w:val="FootnoteText"/>
      </w:pPr>
      <w:r w:rsidRPr="007321E4">
        <w:rPr>
          <w:rStyle w:val="FootnoteReference"/>
        </w:rPr>
        <w:footnoteRef/>
      </w:r>
      <w:r w:rsidRPr="007321E4">
        <w:t xml:space="preserve"> Indonesia's appellant's submission, para. 109. </w:t>
      </w:r>
    </w:p>
  </w:footnote>
  <w:footnote w:id="175">
    <w:p w:rsidR="006A4249" w:rsidRPr="007321E4" w:rsidRDefault="006A4249" w:rsidP="00190BF6">
      <w:pPr>
        <w:pStyle w:val="FootnoteText"/>
      </w:pPr>
      <w:r w:rsidRPr="007321E4">
        <w:rPr>
          <w:rStyle w:val="FootnoteReference"/>
        </w:rPr>
        <w:footnoteRef/>
      </w:r>
      <w:r w:rsidRPr="007321E4">
        <w:t xml:space="preserve"> </w:t>
      </w:r>
      <w:proofErr w:type="gramStart"/>
      <w:r w:rsidRPr="007321E4">
        <w:t>Indonesia's second written submission to the Panel, para.</w:t>
      </w:r>
      <w:proofErr w:type="gramEnd"/>
      <w:r w:rsidRPr="007321E4">
        <w:t> 252. See also Panel Report, para. </w:t>
      </w:r>
      <w:proofErr w:type="gramStart"/>
      <w:r w:rsidRPr="007321E4">
        <w:t>7.58 (referring to Indonesia's second written submission to the Panel, paras. 197, 199, 203, and 252-257).</w:t>
      </w:r>
      <w:proofErr w:type="gramEnd"/>
    </w:p>
  </w:footnote>
  <w:footnote w:id="176">
    <w:p w:rsidR="006A4249" w:rsidRPr="007321E4" w:rsidRDefault="006A4249" w:rsidP="00190BF6">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w:t>
      </w:r>
      <w:proofErr w:type="gramStart"/>
      <w:r w:rsidRPr="007321E4">
        <w:t>7.59 (referring to New Zealand's response to Panel question No. 114; United States' response to Panel question No. 114).</w:t>
      </w:r>
      <w:proofErr w:type="gramEnd"/>
    </w:p>
  </w:footnote>
  <w:footnote w:id="177">
    <w:p w:rsidR="006A4249" w:rsidRPr="007321E4" w:rsidRDefault="006A4249" w:rsidP="00190BF6">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7.60.</w:t>
      </w:r>
    </w:p>
  </w:footnote>
  <w:footnote w:id="178">
    <w:p w:rsidR="006A4249" w:rsidRPr="007321E4" w:rsidRDefault="006A4249" w:rsidP="00190BF6">
      <w:pPr>
        <w:pStyle w:val="FootnoteText"/>
      </w:pPr>
      <w:r w:rsidRPr="007321E4">
        <w:rPr>
          <w:rStyle w:val="FootnoteReference"/>
        </w:rPr>
        <w:footnoteRef/>
      </w:r>
      <w:r w:rsidRPr="007321E4">
        <w:t xml:space="preserve"> Indonesia's appellant's submission, para. 109.</w:t>
      </w:r>
    </w:p>
  </w:footnote>
  <w:footnote w:id="179">
    <w:p w:rsidR="006A4249" w:rsidRPr="007321E4" w:rsidRDefault="006A4249" w:rsidP="00190BF6">
      <w:pPr>
        <w:pStyle w:val="FootnoteText"/>
      </w:pPr>
      <w:r w:rsidRPr="007321E4">
        <w:rPr>
          <w:rStyle w:val="FootnoteReference"/>
        </w:rPr>
        <w:footnoteRef/>
      </w:r>
      <w:r w:rsidRPr="007321E4">
        <w:t xml:space="preserve"> Indonesia's appellant's submission, para. 127.</w:t>
      </w:r>
    </w:p>
  </w:footnote>
  <w:footnote w:id="180">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United States' </w:t>
      </w:r>
      <w:proofErr w:type="spellStart"/>
      <w:r w:rsidRPr="007321E4">
        <w:t>appellee's</w:t>
      </w:r>
      <w:proofErr w:type="spellEnd"/>
      <w:r w:rsidRPr="007321E4">
        <w:t xml:space="preserve"> submission, para.</w:t>
      </w:r>
      <w:proofErr w:type="gramEnd"/>
      <w:r w:rsidRPr="007321E4">
        <w:t xml:space="preserve"> 155.</w:t>
      </w:r>
    </w:p>
  </w:footnote>
  <w:footnote w:id="181">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United States' </w:t>
      </w:r>
      <w:proofErr w:type="spellStart"/>
      <w:r w:rsidRPr="007321E4">
        <w:t>appellee's</w:t>
      </w:r>
      <w:proofErr w:type="spellEnd"/>
      <w:r w:rsidRPr="007321E4">
        <w:t xml:space="preserve"> submission, paras.</w:t>
      </w:r>
      <w:proofErr w:type="gramEnd"/>
      <w:r w:rsidRPr="007321E4">
        <w:t xml:space="preserve"> 156-158.</w:t>
      </w:r>
    </w:p>
  </w:footnote>
  <w:footnote w:id="182">
    <w:p w:rsidR="006A4249" w:rsidRPr="007321E4" w:rsidRDefault="006A4249">
      <w:pPr>
        <w:pStyle w:val="FootnoteText"/>
      </w:pPr>
      <w:r w:rsidRPr="007321E4">
        <w:rPr>
          <w:rStyle w:val="FootnoteReference"/>
        </w:rPr>
        <w:footnoteRef/>
      </w:r>
      <w:r w:rsidRPr="007321E4">
        <w:t xml:space="preserve"> Indonesia's appellant's submission, para. 108.</w:t>
      </w:r>
    </w:p>
  </w:footnote>
  <w:footnote w:id="183">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w:t>
      </w:r>
      <w:proofErr w:type="gramEnd"/>
      <w:r w:rsidRPr="007321E4">
        <w:t xml:space="preserve"> 129.</w:t>
      </w:r>
    </w:p>
  </w:footnote>
  <w:footnote w:id="184">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w:t>
      </w:r>
      <w:proofErr w:type="gramEnd"/>
      <w:r w:rsidRPr="007321E4">
        <w:t xml:space="preserve"> 128.</w:t>
      </w:r>
    </w:p>
  </w:footnote>
  <w:footnote w:id="185">
    <w:p w:rsidR="006A4249" w:rsidRPr="007321E4" w:rsidRDefault="006A4249">
      <w:pPr>
        <w:pStyle w:val="FootnoteText"/>
      </w:pPr>
      <w:r w:rsidRPr="007321E4">
        <w:rPr>
          <w:rStyle w:val="FootnoteReference"/>
        </w:rPr>
        <w:footnoteRef/>
      </w:r>
      <w:r w:rsidRPr="007321E4">
        <w:t xml:space="preserve"> We recall that, in </w:t>
      </w:r>
      <w:r w:rsidRPr="007321E4">
        <w:rPr>
          <w:i/>
        </w:rPr>
        <w:t>US – Upland Cotton</w:t>
      </w:r>
      <w:r w:rsidRPr="007321E4">
        <w:t xml:space="preserve">, the Appellate Body noted that </w:t>
      </w:r>
      <w:r w:rsidRPr="007321E4">
        <w:rPr>
          <w:szCs w:val="22"/>
        </w:rPr>
        <w:t>"</w:t>
      </w:r>
      <w:r w:rsidRPr="007321E4">
        <w:t xml:space="preserve">there may be cases in which it would be useful for us to review an issue, despite the fact that our ruling would not result in rulings and recommendations by the DSB". (Appellate Body Report, </w:t>
      </w:r>
      <w:r w:rsidRPr="007321E4">
        <w:rPr>
          <w:i/>
        </w:rPr>
        <w:t>US – Upland Cotton</w:t>
      </w:r>
      <w:r w:rsidRPr="007321E4">
        <w:t>, para. 510)</w:t>
      </w:r>
    </w:p>
  </w:footnote>
  <w:footnote w:id="186">
    <w:p w:rsidR="006A4249" w:rsidRPr="007321E4" w:rsidRDefault="006A4249" w:rsidP="00190BF6">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7.60.</w:t>
      </w:r>
    </w:p>
  </w:footnote>
  <w:footnote w:id="187">
    <w:p w:rsidR="006A4249" w:rsidRPr="007321E4" w:rsidRDefault="006A4249" w:rsidP="00190BF6">
      <w:pPr>
        <w:pStyle w:val="FootnoteText"/>
      </w:pPr>
      <w:r w:rsidRPr="007321E4">
        <w:rPr>
          <w:rStyle w:val="FootnoteReference"/>
        </w:rPr>
        <w:footnoteRef/>
      </w:r>
      <w:r w:rsidRPr="007321E4">
        <w:t xml:space="preserve"> Indonesia's appellant's submission, para. 120.</w:t>
      </w:r>
    </w:p>
  </w:footnote>
  <w:footnote w:id="188">
    <w:p w:rsidR="006A4249" w:rsidRPr="007321E4" w:rsidRDefault="006A4249" w:rsidP="00190BF6">
      <w:pPr>
        <w:pStyle w:val="FootnoteText"/>
      </w:pPr>
      <w:r w:rsidRPr="007321E4">
        <w:rPr>
          <w:rStyle w:val="FootnoteReference"/>
        </w:rPr>
        <w:footnoteRef/>
      </w:r>
      <w:r w:rsidRPr="007321E4">
        <w:t xml:space="preserve"> Indonesia's appellant's submission, para. 120.</w:t>
      </w:r>
    </w:p>
  </w:footnote>
  <w:footnote w:id="189">
    <w:p w:rsidR="006A4249" w:rsidRPr="007321E4" w:rsidRDefault="006A4249" w:rsidP="00190BF6">
      <w:pPr>
        <w:pStyle w:val="FootnoteText"/>
      </w:pPr>
      <w:r w:rsidRPr="007321E4">
        <w:rPr>
          <w:rStyle w:val="FootnoteReference"/>
        </w:rPr>
        <w:footnoteRef/>
      </w:r>
      <w:r w:rsidRPr="007321E4">
        <w:t xml:space="preserve"> Indonesia's appellant's submission, para. 120.</w:t>
      </w:r>
    </w:p>
  </w:footnote>
  <w:footnote w:id="190">
    <w:p w:rsidR="006A4249" w:rsidRPr="007321E4" w:rsidRDefault="006A4249" w:rsidP="00190BF6">
      <w:pPr>
        <w:pStyle w:val="FootnoteText"/>
      </w:pPr>
      <w:r w:rsidRPr="007321E4">
        <w:rPr>
          <w:rStyle w:val="FootnoteReference"/>
        </w:rPr>
        <w:footnoteRef/>
      </w:r>
      <w:r w:rsidRPr="007321E4">
        <w:t xml:space="preserve"> Indonesia's appellant's submission, para. 123.</w:t>
      </w:r>
    </w:p>
  </w:footnote>
  <w:footnote w:id="191">
    <w:p w:rsidR="006A4249" w:rsidRPr="007321E4" w:rsidRDefault="006A4249" w:rsidP="009C365D">
      <w:pPr>
        <w:pStyle w:val="FootnoteText"/>
      </w:pPr>
      <w:r w:rsidRPr="007321E4">
        <w:rPr>
          <w:rStyle w:val="FootnoteReference"/>
        </w:rPr>
        <w:footnoteRef/>
      </w:r>
      <w:r w:rsidRPr="007321E4">
        <w:t xml:space="preserve"> Indonesia's appellant's submission, para. 123.</w:t>
      </w:r>
    </w:p>
  </w:footnote>
  <w:footnote w:id="192">
    <w:p w:rsidR="006A4249" w:rsidRPr="007321E4" w:rsidRDefault="006A4249">
      <w:pPr>
        <w:pStyle w:val="FootnoteText"/>
      </w:pPr>
      <w:r w:rsidRPr="007321E4">
        <w:rPr>
          <w:rStyle w:val="FootnoteReference"/>
        </w:rPr>
        <w:footnoteRef/>
      </w:r>
      <w:r w:rsidRPr="007321E4">
        <w:t xml:space="preserve"> Indonesia's appellant's submission, para. 122.</w:t>
      </w:r>
    </w:p>
  </w:footnote>
  <w:footnote w:id="193">
    <w:p w:rsidR="006A4249" w:rsidRPr="007321E4" w:rsidRDefault="006A4249" w:rsidP="00190BF6">
      <w:pPr>
        <w:pStyle w:val="FootnoteText"/>
      </w:pPr>
      <w:r w:rsidRPr="007321E4">
        <w:rPr>
          <w:rStyle w:val="FootnoteReference"/>
        </w:rPr>
        <w:footnoteRef/>
      </w:r>
      <w:r w:rsidRPr="007321E4">
        <w:t xml:space="preserve"> Indonesia's appellant's submission, para. 122.</w:t>
      </w:r>
    </w:p>
  </w:footnote>
  <w:footnote w:id="194">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w:t>
      </w:r>
      <w:proofErr w:type="gramEnd"/>
      <w:r w:rsidRPr="007321E4">
        <w:t xml:space="preserve"> </w:t>
      </w:r>
      <w:proofErr w:type="gramStart"/>
      <w:r w:rsidRPr="007321E4">
        <w:t xml:space="preserve">114; United States' </w:t>
      </w:r>
      <w:proofErr w:type="spellStart"/>
      <w:r w:rsidRPr="007321E4">
        <w:t>appellee's</w:t>
      </w:r>
      <w:proofErr w:type="spellEnd"/>
      <w:r w:rsidRPr="007321E4">
        <w:t xml:space="preserve"> submission, paras.</w:t>
      </w:r>
      <w:proofErr w:type="gramEnd"/>
      <w:r w:rsidRPr="007321E4">
        <w:t xml:space="preserve"> </w:t>
      </w:r>
      <w:proofErr w:type="gramStart"/>
      <w:r w:rsidRPr="007321E4">
        <w:t>159 and 163.</w:t>
      </w:r>
      <w:proofErr w:type="gramEnd"/>
    </w:p>
  </w:footnote>
  <w:footnote w:id="195">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w:t>
      </w:r>
      <w:proofErr w:type="gramEnd"/>
      <w:r w:rsidRPr="007321E4">
        <w:t xml:space="preserve"> </w:t>
      </w:r>
      <w:proofErr w:type="gramStart"/>
      <w:r w:rsidRPr="007321E4">
        <w:t xml:space="preserve">123; United States' </w:t>
      </w:r>
      <w:proofErr w:type="spellStart"/>
      <w:r w:rsidRPr="007321E4">
        <w:t>appellee's</w:t>
      </w:r>
      <w:proofErr w:type="spellEnd"/>
      <w:r w:rsidRPr="007321E4">
        <w:t xml:space="preserve"> submission, para.</w:t>
      </w:r>
      <w:proofErr w:type="gramEnd"/>
      <w:r w:rsidRPr="007321E4">
        <w:t xml:space="preserve"> 161.</w:t>
      </w:r>
    </w:p>
  </w:footnote>
  <w:footnote w:id="196">
    <w:p w:rsidR="006A4249" w:rsidRPr="007321E4" w:rsidRDefault="006A4249" w:rsidP="00190BF6">
      <w:pPr>
        <w:pStyle w:val="FootnoteText"/>
      </w:pPr>
      <w:r w:rsidRPr="007321E4">
        <w:rPr>
          <w:rStyle w:val="FootnoteReference"/>
        </w:rPr>
        <w:footnoteRef/>
      </w:r>
      <w:r w:rsidRPr="007321E4">
        <w:t xml:space="preserve"> Article 2 of the Agreement on Agriculture provides: "This Agreement applies to the products listed in Annex 1 to this Agreement, hereinafter referred to as agricultural products."</w:t>
      </w:r>
    </w:p>
  </w:footnote>
  <w:footnote w:id="197">
    <w:p w:rsidR="006A4249" w:rsidRPr="007321E4" w:rsidRDefault="006A4249">
      <w:pPr>
        <w:pStyle w:val="FootnoteText"/>
      </w:pPr>
      <w:r w:rsidRPr="007321E4">
        <w:rPr>
          <w:rStyle w:val="FootnoteReference"/>
        </w:rPr>
        <w:footnoteRef/>
      </w:r>
      <w:r w:rsidRPr="007321E4">
        <w:t xml:space="preserve"> Emphasis added.</w:t>
      </w:r>
    </w:p>
  </w:footnote>
  <w:footnote w:id="198">
    <w:p w:rsidR="006A4249" w:rsidRPr="007321E4" w:rsidRDefault="006A4249" w:rsidP="00190BF6">
      <w:pPr>
        <w:pStyle w:val="FootnoteText"/>
      </w:pPr>
      <w:r w:rsidRPr="007321E4">
        <w:rPr>
          <w:rStyle w:val="FootnoteReference"/>
        </w:rPr>
        <w:footnoteRef/>
      </w:r>
      <w:r w:rsidRPr="007321E4">
        <w:t xml:space="preserve"> See Appellate Body Reports, </w:t>
      </w:r>
      <w:r w:rsidRPr="007321E4">
        <w:rPr>
          <w:i/>
        </w:rPr>
        <w:t>China – Raw Materials</w:t>
      </w:r>
      <w:r w:rsidRPr="007321E4">
        <w:t xml:space="preserve">, para. </w:t>
      </w:r>
      <w:proofErr w:type="gramStart"/>
      <w:r w:rsidRPr="007321E4">
        <w:t xml:space="preserve">320; Panel Reports, </w:t>
      </w:r>
      <w:r w:rsidR="002C5BBA" w:rsidRPr="007321E4">
        <w:br/>
      </w:r>
      <w:r w:rsidRPr="007321E4">
        <w:rPr>
          <w:i/>
        </w:rPr>
        <w:t>China – Raw Materials</w:t>
      </w:r>
      <w:r w:rsidRPr="007321E4">
        <w:t>, para.</w:t>
      </w:r>
      <w:proofErr w:type="gramEnd"/>
      <w:r w:rsidRPr="007321E4">
        <w:t xml:space="preserve"> 7.912.</w:t>
      </w:r>
    </w:p>
  </w:footnote>
  <w:footnote w:id="199">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Argentina – Import Measures</w:t>
      </w:r>
      <w:r w:rsidRPr="007321E4">
        <w:t>, para.</w:t>
      </w:r>
      <w:proofErr w:type="gramEnd"/>
      <w:r w:rsidRPr="007321E4">
        <w:t xml:space="preserve"> 5.216.</w:t>
      </w:r>
    </w:p>
  </w:footnote>
  <w:footnote w:id="200">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China – Raw Materials</w:t>
      </w:r>
      <w:r w:rsidRPr="007321E4">
        <w:t>, para.</w:t>
      </w:r>
      <w:proofErr w:type="gramEnd"/>
      <w:r w:rsidRPr="007321E4">
        <w:t xml:space="preserve"> 320.</w:t>
      </w:r>
    </w:p>
  </w:footnote>
  <w:footnote w:id="201">
    <w:p w:rsidR="006A4249" w:rsidRPr="007321E4" w:rsidRDefault="006A4249" w:rsidP="009C365D">
      <w:pPr>
        <w:pStyle w:val="FootnoteText"/>
      </w:pPr>
      <w:r w:rsidRPr="007321E4">
        <w:rPr>
          <w:rStyle w:val="FootnoteReference"/>
        </w:rPr>
        <w:footnoteRef/>
      </w:r>
      <w:r w:rsidRPr="007321E4">
        <w:t xml:space="preserve"> Indonesia's appellant's submission, para. 123.</w:t>
      </w:r>
    </w:p>
  </w:footnote>
  <w:footnote w:id="202">
    <w:p w:rsidR="006A4249" w:rsidRPr="007321E4" w:rsidRDefault="006A4249" w:rsidP="00190BF6">
      <w:pPr>
        <w:pStyle w:val="FootnoteText"/>
      </w:pPr>
      <w:r w:rsidRPr="007321E4">
        <w:rPr>
          <w:rStyle w:val="FootnoteReference"/>
        </w:rPr>
        <w:footnoteRef/>
      </w:r>
      <w:r w:rsidRPr="007321E4">
        <w:t xml:space="preserve"> Indonesia's appellant's submission, para. 122.</w:t>
      </w:r>
    </w:p>
  </w:footnote>
  <w:footnote w:id="203">
    <w:p w:rsidR="006A4249" w:rsidRPr="007321E4" w:rsidRDefault="006A4249" w:rsidP="00190BF6">
      <w:pPr>
        <w:pStyle w:val="FootnoteText"/>
      </w:pPr>
      <w:r w:rsidRPr="007321E4">
        <w:rPr>
          <w:rStyle w:val="FootnoteReference"/>
        </w:rPr>
        <w:footnoteRef/>
      </w:r>
      <w:r w:rsidRPr="007321E4">
        <w:t xml:space="preserve"> The term "balance-of-payments provisions" has been recognized as referring to, </w:t>
      </w:r>
      <w:r w:rsidRPr="007321E4">
        <w:rPr>
          <w:i/>
        </w:rPr>
        <w:t>inter alia</w:t>
      </w:r>
      <w:r w:rsidRPr="007321E4">
        <w:t>, Articles XII and XVIII</w:t>
      </w:r>
      <w:proofErr w:type="gramStart"/>
      <w:r w:rsidRPr="007321E4">
        <w:t>:B</w:t>
      </w:r>
      <w:proofErr w:type="gramEnd"/>
      <w:r w:rsidRPr="007321E4">
        <w:t xml:space="preserve"> of the GATT 1994. (See e.g. preamble to the Understanding on the Balance-of-Payments Provisions of the General Agreement on Tariffs and Trade 1994 (in Annex 1A to the WTO</w:t>
      </w:r>
      <w:r w:rsidR="005979E5" w:rsidRPr="007321E4">
        <w:t> </w:t>
      </w:r>
      <w:r w:rsidRPr="007321E4">
        <w:t>Agreement); preamble to the Declaration on Trade Measures Taken for Balance-of-Payments Purposes (GATT document L/4904 adopted on 28 November 1979, BISD 26S, pp. 205-209))</w:t>
      </w:r>
    </w:p>
  </w:footnote>
  <w:footnote w:id="204">
    <w:p w:rsidR="006A4249" w:rsidRPr="007321E4" w:rsidRDefault="006A4249" w:rsidP="00190BF6">
      <w:pPr>
        <w:pStyle w:val="FootnoteText"/>
      </w:pPr>
      <w:r w:rsidRPr="007321E4">
        <w:rPr>
          <w:rStyle w:val="FootnoteReference"/>
        </w:rPr>
        <w:footnoteRef/>
      </w:r>
      <w:r w:rsidRPr="007321E4">
        <w:t xml:space="preserve"> Emphasis added. Indonesia does not dispute that Article XI</w:t>
      </w:r>
      <w:proofErr w:type="gramStart"/>
      <w:r w:rsidRPr="007321E4">
        <w:t>:2</w:t>
      </w:r>
      <w:proofErr w:type="gramEnd"/>
      <w:r w:rsidRPr="007321E4">
        <w:t>(c) of the GATT 1994 does not qualify as a "provision[]" mentioned in the second part of footnote 1 to Article 4.2 of the Agreement on Agriculture. (See Indonesia's appellant's submission, para. 120)</w:t>
      </w:r>
    </w:p>
  </w:footnote>
  <w:footnote w:id="205">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China – Raw Materials</w:t>
      </w:r>
      <w:r w:rsidRPr="007321E4">
        <w:t>, para.</w:t>
      </w:r>
      <w:proofErr w:type="gramEnd"/>
      <w:r w:rsidRPr="007321E4">
        <w:t xml:space="preserve"> 320. </w:t>
      </w:r>
    </w:p>
  </w:footnote>
  <w:footnote w:id="206">
    <w:p w:rsidR="006A4249" w:rsidRPr="007321E4" w:rsidRDefault="006A4249" w:rsidP="00190BF6">
      <w:pPr>
        <w:pStyle w:val="FootnoteText"/>
      </w:pPr>
      <w:r w:rsidRPr="007321E4">
        <w:rPr>
          <w:rStyle w:val="FootnoteReference"/>
        </w:rPr>
        <w:footnoteRef/>
      </w:r>
      <w:r w:rsidRPr="007321E4">
        <w:t xml:space="preserve"> Indonesia's appellant's submission, para. 121.</w:t>
      </w:r>
    </w:p>
  </w:footnote>
  <w:footnote w:id="207">
    <w:p w:rsidR="006A4249" w:rsidRPr="007321E4" w:rsidRDefault="006A4249" w:rsidP="00190BF6">
      <w:pPr>
        <w:pStyle w:val="FootnoteText"/>
      </w:pPr>
      <w:r w:rsidRPr="007321E4">
        <w:rPr>
          <w:rStyle w:val="FootnoteReference"/>
        </w:rPr>
        <w:footnoteRef/>
      </w:r>
      <w:r w:rsidRPr="007321E4">
        <w:t xml:space="preserve"> See Indonesia's appellant's submission, paras. </w:t>
      </w:r>
      <w:proofErr w:type="gramStart"/>
      <w:r w:rsidRPr="007321E4">
        <w:t>116 and 120.</w:t>
      </w:r>
      <w:proofErr w:type="gramEnd"/>
    </w:p>
  </w:footnote>
  <w:footnote w:id="208">
    <w:p w:rsidR="006A4249" w:rsidRPr="007321E4" w:rsidRDefault="006A4249" w:rsidP="00190BF6">
      <w:pPr>
        <w:pStyle w:val="FootnoteText"/>
      </w:pPr>
      <w:r w:rsidRPr="007321E4">
        <w:rPr>
          <w:rStyle w:val="FootnoteReference"/>
        </w:rPr>
        <w:footnoteRef/>
      </w:r>
      <w:r w:rsidRPr="007321E4">
        <w:t xml:space="preserve"> Indonesia's appellant's submission, para. 123.</w:t>
      </w:r>
    </w:p>
  </w:footnote>
  <w:footnote w:id="209">
    <w:p w:rsidR="006A4249" w:rsidRPr="007321E4" w:rsidRDefault="006A4249" w:rsidP="00190BF6">
      <w:pPr>
        <w:pStyle w:val="FootnoteText"/>
      </w:pPr>
      <w:r w:rsidRPr="007321E4">
        <w:rPr>
          <w:rStyle w:val="FootnoteReference"/>
        </w:rPr>
        <w:footnoteRef/>
      </w:r>
      <w:r w:rsidRPr="007321E4">
        <w:t xml:space="preserve"> Emphasis added.</w:t>
      </w:r>
    </w:p>
  </w:footnote>
  <w:footnote w:id="210">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rPr>
        <w:t>EC – Export Subsidies on Sugar</w:t>
      </w:r>
      <w:r w:rsidRPr="007321E4">
        <w:t>, para. 221. (italics omitted)</w:t>
      </w:r>
    </w:p>
  </w:footnote>
  <w:footnote w:id="211">
    <w:p w:rsidR="006A4249" w:rsidRPr="007321E4" w:rsidRDefault="006A4249" w:rsidP="009C365D">
      <w:pPr>
        <w:pStyle w:val="FootnoteText"/>
      </w:pPr>
      <w:r w:rsidRPr="007321E4">
        <w:rPr>
          <w:rStyle w:val="FootnoteReference"/>
        </w:rPr>
        <w:footnoteRef/>
      </w:r>
      <w:r w:rsidRPr="007321E4">
        <w:t xml:space="preserve"> In the context of interpreting Article 1.2 of the DSU, the Appellate Body has defined "conflict" as "a situation where adherence to the one provision will lead to a violation of the other provision". (Appellate Body Report, </w:t>
      </w:r>
      <w:r w:rsidRPr="007321E4">
        <w:rPr>
          <w:i/>
        </w:rPr>
        <w:t>Guatemala – Cement I</w:t>
      </w:r>
      <w:r w:rsidRPr="007321E4">
        <w:t xml:space="preserve">, para. 65) See also Panel Reports, </w:t>
      </w:r>
      <w:r w:rsidRPr="007321E4">
        <w:rPr>
          <w:i/>
        </w:rPr>
        <w:t>EC – Bananas III</w:t>
      </w:r>
      <w:r w:rsidRPr="007321E4">
        <w:t xml:space="preserve">, para. 7.159. </w:t>
      </w:r>
    </w:p>
  </w:footnote>
  <w:footnote w:id="212">
    <w:p w:rsidR="006A4249" w:rsidRPr="007321E4" w:rsidRDefault="006A4249" w:rsidP="00190BF6">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7.60. (emphasis added)</w:t>
      </w:r>
    </w:p>
  </w:footnote>
  <w:footnote w:id="213">
    <w:p w:rsidR="006A4249" w:rsidRPr="007321E4" w:rsidRDefault="006A4249">
      <w:pPr>
        <w:pStyle w:val="FootnoteText"/>
      </w:pPr>
      <w:r w:rsidRPr="007321E4">
        <w:rPr>
          <w:rStyle w:val="FootnoteReference"/>
        </w:rPr>
        <w:footnoteRef/>
      </w:r>
      <w:r w:rsidRPr="007321E4">
        <w:t xml:space="preserve"> In its appellant's submission, Indonesia explains that "[t]o fall within the scope of Article XI:2(c)(ii), a measure must fulfil the following relevant conditions: (i) it must be an import restriction; (ii) on any agricultural or fisheries product, (iii) imported in any form, (iv) necessary to the enforcement of governmental measures; (v) operating to remove a temporary surplus of the like domestic product; (vi) by making the surplus available to certain groups of domestic consumers free of charge or at prices below the current market level." (Indonesia's appellant's submission, para. 118 (</w:t>
      </w:r>
      <w:proofErr w:type="spellStart"/>
      <w:r w:rsidRPr="007321E4">
        <w:t>fns</w:t>
      </w:r>
      <w:proofErr w:type="spellEnd"/>
      <w:r w:rsidRPr="007321E4">
        <w:t xml:space="preserve"> omitted)) However, before the Panel, Indonesia did not, among others, identify the specific governmental measures which operate to remove the temporary surplus of a domestic product, or demonstrate that the surplus has been made available to domestic consumers free of charge or at discounted prices. (See Indonesia's second written submission to the Panel, paras. 197, 199, 203, and 252-257)</w:t>
      </w:r>
    </w:p>
  </w:footnote>
  <w:footnote w:id="214">
    <w:p w:rsidR="006A4249" w:rsidRPr="007321E4" w:rsidRDefault="006A4249">
      <w:pPr>
        <w:pStyle w:val="FootnoteText"/>
      </w:pPr>
      <w:r w:rsidRPr="007321E4">
        <w:rPr>
          <w:rStyle w:val="FootnoteReference"/>
        </w:rPr>
        <w:footnoteRef/>
      </w:r>
      <w:r w:rsidRPr="007321E4">
        <w:t xml:space="preserve"> We note our earlier conclusion that Article XX of the GATT 1994 can be invoked in relation to both the prohibition of quantitative restrictions under Article XI</w:t>
      </w:r>
      <w:proofErr w:type="gramStart"/>
      <w:r w:rsidRPr="007321E4">
        <w:t>:1</w:t>
      </w:r>
      <w:proofErr w:type="gramEnd"/>
      <w:r w:rsidRPr="007321E4">
        <w:t xml:space="preserve"> of the GATT 1994 and the prohibition of quantitative import restrictions under Article 4.2 and the first part of footnote 1 of the Agreement on Agriculture, and that the same allocation of the burden of proof under Article XX applies.</w:t>
      </w:r>
    </w:p>
  </w:footnote>
  <w:footnote w:id="215">
    <w:p w:rsidR="006A4249" w:rsidRPr="007321E4" w:rsidRDefault="006A4249" w:rsidP="00190BF6">
      <w:pPr>
        <w:pStyle w:val="FootnoteText"/>
      </w:pPr>
      <w:r w:rsidRPr="007321E4">
        <w:rPr>
          <w:rStyle w:val="FootnoteReference"/>
        </w:rPr>
        <w:footnoteRef/>
      </w:r>
      <w:r w:rsidRPr="007321E4">
        <w:t xml:space="preserve"> Indonesia's appellant's submission, para. 129. </w:t>
      </w:r>
    </w:p>
  </w:footnote>
  <w:footnote w:id="216">
    <w:p w:rsidR="006A4249" w:rsidRPr="007321E4" w:rsidRDefault="006A4249" w:rsidP="00190BF6">
      <w:pPr>
        <w:pStyle w:val="FootnoteText"/>
      </w:pPr>
      <w:r w:rsidRPr="007321E4">
        <w:rPr>
          <w:rStyle w:val="FootnoteReference"/>
        </w:rPr>
        <w:footnoteRef/>
      </w:r>
      <w:r w:rsidRPr="007321E4">
        <w:t xml:space="preserve"> Indonesia's appellant's submission, para. 160. </w:t>
      </w:r>
    </w:p>
  </w:footnote>
  <w:footnote w:id="217">
    <w:p w:rsidR="006A4249" w:rsidRPr="007321E4" w:rsidRDefault="006A4249">
      <w:pPr>
        <w:pStyle w:val="FootnoteText"/>
      </w:pPr>
      <w:r w:rsidRPr="007321E4">
        <w:rPr>
          <w:rStyle w:val="FootnoteReference"/>
        </w:rPr>
        <w:footnoteRef/>
      </w:r>
      <w:r w:rsidRPr="007321E4">
        <w:t xml:space="preserve"> </w:t>
      </w:r>
      <w:proofErr w:type="gramStart"/>
      <w:r w:rsidRPr="007321E4">
        <w:t xml:space="preserve">Indonesia's </w:t>
      </w:r>
      <w:r w:rsidRPr="007321E4">
        <w:rPr>
          <w:rFonts w:cs="Verdana"/>
          <w:szCs w:val="16"/>
        </w:rPr>
        <w:t>response to questioning at the oral hearing.</w:t>
      </w:r>
      <w:proofErr w:type="gramEnd"/>
    </w:p>
  </w:footnote>
  <w:footnote w:id="218">
    <w:p w:rsidR="006A4249" w:rsidRPr="007321E4" w:rsidRDefault="006A4249" w:rsidP="00190BF6">
      <w:pPr>
        <w:pStyle w:val="FootnoteText"/>
      </w:pPr>
      <w:r w:rsidRPr="007321E4">
        <w:rPr>
          <w:rStyle w:val="FootnoteReference"/>
        </w:rPr>
        <w:footnoteRef/>
      </w:r>
      <w:r w:rsidRPr="007321E4">
        <w:t xml:space="preserve"> Indonesia's appellant's submission, para. 161.</w:t>
      </w:r>
    </w:p>
  </w:footnote>
  <w:footnote w:id="219">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7.520. The Panel provided an overview of Indonesia's defences under Article XX(a), (b), and (d) </w:t>
      </w:r>
      <w:r w:rsidRPr="007321E4">
        <w:rPr>
          <w:lang w:eastAsia="zh-CN"/>
        </w:rPr>
        <w:t xml:space="preserve">of the GATT 1994 </w:t>
      </w:r>
      <w:r w:rsidRPr="007321E4">
        <w:t xml:space="preserve">in respect of Measures 1 through 17 in a table at paragraph 7.519 of its Report. We note that, while Indonesia had also raised a defence under Article </w:t>
      </w:r>
      <w:proofErr w:type="gramStart"/>
      <w:r w:rsidRPr="007321E4">
        <w:t>XX(</w:t>
      </w:r>
      <w:proofErr w:type="gramEnd"/>
      <w:r w:rsidRPr="007321E4">
        <w:t xml:space="preserve">b) in respect of Measure 18, the Panel dismissed this defence on a preliminary basis because Indonesia had failed to make a </w:t>
      </w:r>
      <w:r w:rsidRPr="007321E4">
        <w:rPr>
          <w:i/>
        </w:rPr>
        <w:t xml:space="preserve">prima facie </w:t>
      </w:r>
      <w:r w:rsidRPr="007321E4">
        <w:t>defence. (Ibid., para. 7.517)</w:t>
      </w:r>
    </w:p>
  </w:footnote>
  <w:footnote w:id="220">
    <w:p w:rsidR="006A4249" w:rsidRPr="007321E4" w:rsidRDefault="006A4249" w:rsidP="009C365D">
      <w:pPr>
        <w:pStyle w:val="FootnoteText"/>
        <w:widowControl w:val="0"/>
      </w:pPr>
      <w:r w:rsidRPr="007321E4">
        <w:rPr>
          <w:rStyle w:val="FootnoteReference"/>
        </w:rPr>
        <w:footnoteRef/>
      </w:r>
      <w:r w:rsidRPr="007321E4">
        <w:t xml:space="preserve"> </w:t>
      </w:r>
      <w:proofErr w:type="gramStart"/>
      <w:r w:rsidRPr="007321E4">
        <w:t>Panel Report, para.</w:t>
      </w:r>
      <w:proofErr w:type="gramEnd"/>
      <w:r w:rsidRPr="007321E4">
        <w:t xml:space="preserve"> 7.561 (referring to Appellate Body Reports, </w:t>
      </w:r>
      <w:r w:rsidRPr="007321E4">
        <w:rPr>
          <w:i/>
          <w:color w:val="000000"/>
        </w:rPr>
        <w:t>EC – Seal Products</w:t>
      </w:r>
      <w:r w:rsidRPr="007321E4">
        <w:t xml:space="preserve">, para. 5.169, in turn referring to Appellate Body Reports, </w:t>
      </w:r>
      <w:r w:rsidRPr="007321E4">
        <w:rPr>
          <w:i/>
        </w:rPr>
        <w:t>US – Gasoline</w:t>
      </w:r>
      <w:r w:rsidRPr="007321E4">
        <w:t xml:space="preserve">, p. 22, DSR 1996:I, p. 20; </w:t>
      </w:r>
      <w:r w:rsidRPr="007321E4">
        <w:rPr>
          <w:i/>
        </w:rPr>
        <w:t>US – Shrimp</w:t>
      </w:r>
      <w:r w:rsidRPr="007321E4">
        <w:t>, paras. 119</w:t>
      </w:r>
      <w:r w:rsidRPr="007321E4">
        <w:noBreakHyphen/>
        <w:t xml:space="preserve">120; </w:t>
      </w:r>
      <w:r w:rsidRPr="007321E4">
        <w:rPr>
          <w:i/>
        </w:rPr>
        <w:t>US – Gambling</w:t>
      </w:r>
      <w:r w:rsidRPr="007321E4">
        <w:t xml:space="preserve">, para. 292). See also paras. 7.618 </w:t>
      </w:r>
      <w:proofErr w:type="gramStart"/>
      <w:r w:rsidRPr="007321E4">
        <w:t>and</w:t>
      </w:r>
      <w:proofErr w:type="gramEnd"/>
      <w:r w:rsidRPr="007321E4">
        <w:t xml:space="preserve"> 7.648.</w:t>
      </w:r>
    </w:p>
  </w:footnote>
  <w:footnote w:id="221">
    <w:p w:rsidR="006A4249" w:rsidRPr="007321E4" w:rsidRDefault="006A4249" w:rsidP="009C365D">
      <w:pPr>
        <w:pStyle w:val="FootnoteText"/>
      </w:pPr>
      <w:r w:rsidRPr="007321E4">
        <w:rPr>
          <w:rStyle w:val="FootnoteReference"/>
        </w:rPr>
        <w:footnoteRef/>
      </w:r>
      <w:r w:rsidRPr="007321E4">
        <w:t xml:space="preserve"> </w:t>
      </w:r>
      <w:proofErr w:type="gramStart"/>
      <w:r w:rsidRPr="007321E4">
        <w:t>Panel Report, paras.</w:t>
      </w:r>
      <w:proofErr w:type="gramEnd"/>
      <w:r w:rsidRPr="007321E4">
        <w:t> </w:t>
      </w:r>
      <w:proofErr w:type="gramStart"/>
      <w:r w:rsidRPr="007321E4">
        <w:t>7.585-7.586, 7.594</w:t>
      </w:r>
      <w:r w:rsidRPr="007321E4">
        <w:noBreakHyphen/>
        <w:t>7.595, 7.605</w:t>
      </w:r>
      <w:r w:rsidRPr="007321E4">
        <w:noBreakHyphen/>
        <w:t>7.606, 7.635</w:t>
      </w:r>
      <w:r w:rsidRPr="007321E4">
        <w:noBreakHyphen/>
        <w:t>7.636, 7.660</w:t>
      </w:r>
      <w:r w:rsidRPr="007321E4">
        <w:noBreakHyphen/>
        <w:t>7.661, 7.682-7.683, 7.692</w:t>
      </w:r>
      <w:r w:rsidRPr="007321E4">
        <w:noBreakHyphen/>
        <w:t>7.693, 7.720</w:t>
      </w:r>
      <w:r w:rsidRPr="007321E4">
        <w:noBreakHyphen/>
        <w:t>7.721, 7.742</w:t>
      </w:r>
      <w:r w:rsidRPr="007321E4">
        <w:noBreakHyphen/>
        <w:t>7.743, 7.750</w:t>
      </w:r>
      <w:r w:rsidRPr="007321E4">
        <w:noBreakHyphen/>
        <w:t>7.751, and 7.776</w:t>
      </w:r>
      <w:r w:rsidRPr="007321E4">
        <w:noBreakHyphen/>
        <w:t>7.777.</w:t>
      </w:r>
      <w:proofErr w:type="gramEnd"/>
    </w:p>
  </w:footnote>
  <w:footnote w:id="222">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7.804.</w:t>
      </w:r>
    </w:p>
  </w:footnote>
  <w:footnote w:id="223">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7.804. </w:t>
      </w:r>
    </w:p>
  </w:footnote>
  <w:footnote w:id="224">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7.804.</w:t>
      </w:r>
    </w:p>
  </w:footnote>
  <w:footnote w:id="225">
    <w:p w:rsidR="006A4249" w:rsidRPr="007321E4" w:rsidRDefault="006A4249" w:rsidP="009C365D">
      <w:pPr>
        <w:pStyle w:val="FootnoteText"/>
      </w:pPr>
      <w:r w:rsidRPr="007321E4">
        <w:rPr>
          <w:rStyle w:val="FootnoteReference"/>
        </w:rPr>
        <w:footnoteRef/>
      </w:r>
      <w:r w:rsidRPr="007321E4">
        <w:t xml:space="preserve"> Indonesia argued that its import licensing regimes for horticultural products and animals and animal products "as a whole" are applied in a manner consistent with the </w:t>
      </w:r>
      <w:r w:rsidRPr="007321E4">
        <w:rPr>
          <w:i/>
        </w:rPr>
        <w:t xml:space="preserve">chapeau </w:t>
      </w:r>
      <w:r w:rsidRPr="007321E4">
        <w:t xml:space="preserve">of Article XX </w:t>
      </w:r>
      <w:r w:rsidRPr="007321E4">
        <w:rPr>
          <w:lang w:eastAsia="zh-CN"/>
        </w:rPr>
        <w:t>of the GATT 1994</w:t>
      </w:r>
      <w:r w:rsidRPr="007321E4">
        <w:t>, "</w:t>
      </w:r>
      <w:r w:rsidRPr="007321E4">
        <w:rPr>
          <w:rFonts w:eastAsia="MS Mincho"/>
          <w:lang w:eastAsia="ja-JP"/>
        </w:rPr>
        <w:t>without making any relevant distinctions between the individual measures at issue</w:t>
      </w:r>
      <w:r w:rsidRPr="007321E4">
        <w:t xml:space="preserve">" and by </w:t>
      </w:r>
      <w:r w:rsidRPr="007321E4">
        <w:rPr>
          <w:rFonts w:eastAsia="MS Mincho"/>
          <w:lang w:eastAsia="ja-JP"/>
        </w:rPr>
        <w:t>"</w:t>
      </w:r>
      <w:proofErr w:type="spellStart"/>
      <w:r w:rsidRPr="007321E4">
        <w:rPr>
          <w:rFonts w:eastAsia="MS Mincho"/>
          <w:lang w:eastAsia="ja-JP"/>
        </w:rPr>
        <w:t>conflat</w:t>
      </w:r>
      <w:proofErr w:type="spellEnd"/>
      <w:r w:rsidRPr="007321E4">
        <w:rPr>
          <w:rFonts w:eastAsia="MS Mincho"/>
          <w:lang w:eastAsia="ja-JP"/>
        </w:rPr>
        <w:t>[</w:t>
      </w:r>
      <w:proofErr w:type="spellStart"/>
      <w:r w:rsidRPr="007321E4">
        <w:rPr>
          <w:rFonts w:eastAsia="MS Mincho"/>
          <w:lang w:eastAsia="ja-JP"/>
        </w:rPr>
        <w:t>ing</w:t>
      </w:r>
      <w:proofErr w:type="spellEnd"/>
      <w:r w:rsidRPr="007321E4">
        <w:rPr>
          <w:rFonts w:eastAsia="MS Mincho"/>
          <w:lang w:eastAsia="ja-JP"/>
        </w:rPr>
        <w:t>] all three defences under subparagraphs (a), (b) and (d) of Article XX of the GATT 1994</w:t>
      </w:r>
      <w:r w:rsidRPr="007321E4">
        <w:t>". (Panel Report, para. 7.805 (</w:t>
      </w:r>
      <w:proofErr w:type="spellStart"/>
      <w:r w:rsidRPr="007321E4">
        <w:t>fn</w:t>
      </w:r>
      <w:proofErr w:type="spellEnd"/>
      <w:r w:rsidRPr="007321E4">
        <w:t xml:space="preserve"> omitted))</w:t>
      </w:r>
    </w:p>
  </w:footnote>
  <w:footnote w:id="226">
    <w:p w:rsidR="006A4249" w:rsidRPr="007321E4" w:rsidRDefault="006A4249" w:rsidP="00190BF6">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7.805.</w:t>
      </w:r>
    </w:p>
  </w:footnote>
  <w:footnote w:id="227">
    <w:p w:rsidR="006A4249" w:rsidRPr="007321E4" w:rsidRDefault="006A4249" w:rsidP="00190BF6">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7.827. </w:t>
      </w:r>
    </w:p>
  </w:footnote>
  <w:footnote w:id="228">
    <w:p w:rsidR="006A4249" w:rsidRPr="007321E4" w:rsidRDefault="006A4249" w:rsidP="009C365D">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7.828. </w:t>
      </w:r>
    </w:p>
  </w:footnote>
  <w:footnote w:id="229">
    <w:p w:rsidR="006A4249" w:rsidRPr="007321E4" w:rsidRDefault="006A4249">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7.829.</w:t>
      </w:r>
    </w:p>
  </w:footnote>
  <w:footnote w:id="230">
    <w:p w:rsidR="006A4249" w:rsidRPr="007321E4" w:rsidRDefault="006A4249" w:rsidP="00190BF6">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7.829. </w:t>
      </w:r>
    </w:p>
  </w:footnote>
  <w:footnote w:id="231">
    <w:p w:rsidR="006A4249" w:rsidRPr="007321E4" w:rsidRDefault="006A4249" w:rsidP="00190BF6">
      <w:pPr>
        <w:pStyle w:val="FootnoteText"/>
      </w:pPr>
      <w:r w:rsidRPr="007321E4">
        <w:rPr>
          <w:rStyle w:val="FootnoteReference"/>
        </w:rPr>
        <w:footnoteRef/>
      </w:r>
      <w:r w:rsidRPr="007321E4">
        <w:t xml:space="preserve"> </w:t>
      </w:r>
      <w:proofErr w:type="gramStart"/>
      <w:r w:rsidRPr="007321E4">
        <w:t>Panel Report, para.</w:t>
      </w:r>
      <w:proofErr w:type="gramEnd"/>
      <w:r w:rsidRPr="007321E4">
        <w:t xml:space="preserve"> 7.830. </w:t>
      </w:r>
    </w:p>
  </w:footnote>
  <w:footnote w:id="232">
    <w:p w:rsidR="006A4249" w:rsidRPr="007321E4" w:rsidRDefault="006A4249" w:rsidP="00190BF6">
      <w:pPr>
        <w:pStyle w:val="FootnoteText"/>
      </w:pPr>
      <w:r w:rsidRPr="007321E4">
        <w:rPr>
          <w:rStyle w:val="FootnoteReference"/>
        </w:rPr>
        <w:footnoteRef/>
      </w:r>
      <w:r w:rsidRPr="007321E4">
        <w:t xml:space="preserve"> Indonesia's appellant's submission, paras. </w:t>
      </w:r>
      <w:proofErr w:type="gramStart"/>
      <w:r w:rsidRPr="007321E4">
        <w:t>129 and 150 (referring to Panel Report, paras. 7.829</w:t>
      </w:r>
      <w:r w:rsidRPr="007321E4">
        <w:noBreakHyphen/>
        <w:t>7.830).</w:t>
      </w:r>
      <w:proofErr w:type="gramEnd"/>
      <w:r w:rsidRPr="007321E4">
        <w:t xml:space="preserve"> </w:t>
      </w:r>
    </w:p>
  </w:footnote>
  <w:footnote w:id="233">
    <w:p w:rsidR="006A4249" w:rsidRPr="007321E4" w:rsidRDefault="006A4249" w:rsidP="00190BF6">
      <w:pPr>
        <w:pStyle w:val="FootnoteText"/>
      </w:pPr>
      <w:r w:rsidRPr="007321E4">
        <w:rPr>
          <w:rStyle w:val="FootnoteReference"/>
        </w:rPr>
        <w:footnoteRef/>
      </w:r>
      <w:r w:rsidRPr="007321E4">
        <w:t xml:space="preserve"> Indonesia's appellant's submission, para. 140 (referring to Appellate Body Report, </w:t>
      </w:r>
      <w:r w:rsidR="002C5BBA" w:rsidRPr="007321E4">
        <w:br/>
      </w:r>
      <w:r w:rsidRPr="007321E4">
        <w:rPr>
          <w:i/>
        </w:rPr>
        <w:t>US – Gasoline</w:t>
      </w:r>
      <w:r w:rsidRPr="007321E4">
        <w:t>, p. 22, DSR 1996</w:t>
      </w:r>
      <w:proofErr w:type="gramStart"/>
      <w:r w:rsidRPr="007321E4">
        <w:t>:I</w:t>
      </w:r>
      <w:proofErr w:type="gramEnd"/>
      <w:r w:rsidRPr="007321E4">
        <w:t>, p. 20).</w:t>
      </w:r>
    </w:p>
  </w:footnote>
  <w:footnote w:id="234">
    <w:p w:rsidR="006A4249" w:rsidRPr="007321E4" w:rsidRDefault="006A4249">
      <w:pPr>
        <w:pStyle w:val="FootnoteText"/>
      </w:pPr>
      <w:r w:rsidRPr="007321E4">
        <w:rPr>
          <w:rStyle w:val="FootnoteReference"/>
        </w:rPr>
        <w:footnoteRef/>
      </w:r>
      <w:r w:rsidRPr="007321E4">
        <w:t xml:space="preserve"> Indonesia's appellant's submission, para. </w:t>
      </w:r>
      <w:proofErr w:type="gramStart"/>
      <w:r w:rsidRPr="007321E4">
        <w:t xml:space="preserve">151 (referring to Appellate Body Report, </w:t>
      </w:r>
      <w:r w:rsidR="002C5BBA" w:rsidRPr="007321E4">
        <w:br/>
      </w:r>
      <w:r w:rsidRPr="007321E4">
        <w:rPr>
          <w:i/>
        </w:rPr>
        <w:t>US – Shrimp</w:t>
      </w:r>
      <w:r w:rsidRPr="007321E4">
        <w:t>, paras. 119-120 and 122) and para.</w:t>
      </w:r>
      <w:proofErr w:type="gramEnd"/>
      <w:r w:rsidRPr="007321E4">
        <w:t xml:space="preserve"> 152. </w:t>
      </w:r>
    </w:p>
  </w:footnote>
  <w:footnote w:id="235">
    <w:p w:rsidR="006A4249" w:rsidRPr="007321E4" w:rsidRDefault="006A4249" w:rsidP="00190BF6">
      <w:pPr>
        <w:pStyle w:val="FootnoteText"/>
      </w:pPr>
      <w:r w:rsidRPr="007321E4">
        <w:rPr>
          <w:rStyle w:val="FootnoteReference"/>
        </w:rPr>
        <w:footnoteRef/>
      </w:r>
      <w:r w:rsidRPr="007321E4">
        <w:t xml:space="preserve"> Indonesia's appellant's submission, para. </w:t>
      </w:r>
      <w:proofErr w:type="gramStart"/>
      <w:r w:rsidRPr="007321E4">
        <w:t xml:space="preserve">153 (referring to Appellate Body Report, </w:t>
      </w:r>
      <w:r w:rsidR="002C5BBA" w:rsidRPr="007321E4">
        <w:br/>
      </w:r>
      <w:r w:rsidRPr="007321E4">
        <w:rPr>
          <w:i/>
        </w:rPr>
        <w:t>Canada – Wheat Exports and Grain Imports</w:t>
      </w:r>
      <w:r w:rsidRPr="007321E4">
        <w:t>, para. 109).</w:t>
      </w:r>
      <w:proofErr w:type="gramEnd"/>
      <w:r w:rsidRPr="007321E4">
        <w:t xml:space="preserve"> Moreover, Indonesia argues that the legal error committed by the Panel was "linked to its examination of 'Indonesia's import licensing regimes for horticultural products and animals and animal products' as a whole". (Ibid., para. 156 (quoting Panel Report, para. 7.806)) According to Indonesia, in light of the principle of </w:t>
      </w:r>
      <w:proofErr w:type="spellStart"/>
      <w:r w:rsidRPr="007321E4">
        <w:rPr>
          <w:i/>
        </w:rPr>
        <w:t>jura</w:t>
      </w:r>
      <w:proofErr w:type="spellEnd"/>
      <w:r w:rsidRPr="007321E4">
        <w:rPr>
          <w:i/>
        </w:rPr>
        <w:t xml:space="preserve"> </w:t>
      </w:r>
      <w:proofErr w:type="spellStart"/>
      <w:r w:rsidRPr="007321E4">
        <w:rPr>
          <w:i/>
        </w:rPr>
        <w:t>novit</w:t>
      </w:r>
      <w:proofErr w:type="spellEnd"/>
      <w:r w:rsidRPr="007321E4">
        <w:rPr>
          <w:i/>
        </w:rPr>
        <w:t xml:space="preserve"> curia</w:t>
      </w:r>
      <w:r w:rsidRPr="007321E4">
        <w:t xml:space="preserve">, the Panel was not "driven" to follow Indonesia's approach of assessing the regimes "as a whole" under the </w:t>
      </w:r>
      <w:r w:rsidRPr="007321E4">
        <w:rPr>
          <w:i/>
        </w:rPr>
        <w:t>chapeau</w:t>
      </w:r>
      <w:r w:rsidRPr="007321E4">
        <w:t xml:space="preserve"> of Article XX of the GATT 1994. (Ibid., para. 158) In this context, Indonesia reiterates that the Panel should have examined whether Measures 9 through 17 were provisionally justified under the relevant paragraphs of Article XX. (Ibid., para.</w:t>
      </w:r>
      <w:r w:rsidR="002C5BBA" w:rsidRPr="007321E4">
        <w:t> </w:t>
      </w:r>
      <w:r w:rsidRPr="007321E4">
        <w:t>159)</w:t>
      </w:r>
    </w:p>
  </w:footnote>
  <w:footnote w:id="236">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paras.</w:t>
      </w:r>
      <w:proofErr w:type="gramEnd"/>
      <w:r w:rsidRPr="007321E4">
        <w:t> </w:t>
      </w:r>
      <w:proofErr w:type="gramStart"/>
      <w:r w:rsidRPr="007321E4">
        <w:t xml:space="preserve">139 and 145; United States' </w:t>
      </w:r>
      <w:proofErr w:type="spellStart"/>
      <w:r w:rsidRPr="007321E4">
        <w:t>appellee's</w:t>
      </w:r>
      <w:proofErr w:type="spellEnd"/>
      <w:r w:rsidRPr="007321E4">
        <w:t xml:space="preserve"> submission, para.</w:t>
      </w:r>
      <w:proofErr w:type="gramEnd"/>
      <w:r w:rsidRPr="007321E4">
        <w:t> 178.</w:t>
      </w:r>
    </w:p>
  </w:footnote>
  <w:footnote w:id="237">
    <w:p w:rsidR="006A4249" w:rsidRPr="007321E4" w:rsidRDefault="006A4249" w:rsidP="00190BF6">
      <w:pPr>
        <w:pStyle w:val="FootnoteText"/>
        <w:rPr>
          <w:i/>
        </w:rPr>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w:t>
      </w:r>
      <w:proofErr w:type="gramEnd"/>
      <w:r w:rsidRPr="007321E4">
        <w:t> </w:t>
      </w:r>
      <w:proofErr w:type="gramStart"/>
      <w:r w:rsidRPr="007321E4">
        <w:t xml:space="preserve">138; United States' </w:t>
      </w:r>
      <w:proofErr w:type="spellStart"/>
      <w:r w:rsidRPr="007321E4">
        <w:t>appellee's</w:t>
      </w:r>
      <w:proofErr w:type="spellEnd"/>
      <w:r w:rsidRPr="007321E4">
        <w:t xml:space="preserve"> submission, para.</w:t>
      </w:r>
      <w:proofErr w:type="gramEnd"/>
      <w:r w:rsidRPr="007321E4">
        <w:t> 179.</w:t>
      </w:r>
    </w:p>
  </w:footnote>
  <w:footnote w:id="238">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New Zealand's </w:t>
      </w:r>
      <w:proofErr w:type="spellStart"/>
      <w:r w:rsidRPr="007321E4">
        <w:t>appellee's</w:t>
      </w:r>
      <w:proofErr w:type="spellEnd"/>
      <w:r w:rsidRPr="007321E4">
        <w:t xml:space="preserve"> submission, paras.</w:t>
      </w:r>
      <w:proofErr w:type="gramEnd"/>
      <w:r w:rsidRPr="007321E4">
        <w:t> </w:t>
      </w:r>
      <w:proofErr w:type="gramStart"/>
      <w:r w:rsidRPr="007321E4">
        <w:t xml:space="preserve">153 and 186; United States' </w:t>
      </w:r>
      <w:proofErr w:type="spellStart"/>
      <w:r w:rsidRPr="007321E4">
        <w:t>appellee's</w:t>
      </w:r>
      <w:proofErr w:type="spellEnd"/>
      <w:r w:rsidRPr="007321E4">
        <w:t xml:space="preserve"> submission, para.</w:t>
      </w:r>
      <w:proofErr w:type="gramEnd"/>
      <w:r w:rsidRPr="007321E4">
        <w:t> 204.</w:t>
      </w:r>
    </w:p>
  </w:footnote>
  <w:footnote w:id="239">
    <w:p w:rsidR="006A4249" w:rsidRPr="007321E4" w:rsidRDefault="006A4249">
      <w:pPr>
        <w:pStyle w:val="FootnoteText"/>
      </w:pPr>
      <w:r w:rsidRPr="007321E4">
        <w:rPr>
          <w:rStyle w:val="FootnoteReference"/>
        </w:rPr>
        <w:footnoteRef/>
      </w:r>
      <w:r w:rsidRPr="007321E4">
        <w:t xml:space="preserve"> </w:t>
      </w:r>
      <w:proofErr w:type="gramStart"/>
      <w:r w:rsidRPr="007321E4">
        <w:t>As set out above, Indonesia invoked paragraphs (a), (b), and (d) of Article XX of the GATT 1994 to justify its measures at issue in this dispute.</w:t>
      </w:r>
      <w:proofErr w:type="gramEnd"/>
    </w:p>
  </w:footnote>
  <w:footnote w:id="240">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rPr>
        <w:t>US – Gasoline</w:t>
      </w:r>
      <w:r w:rsidRPr="007321E4">
        <w:t>, p. 17, DSR 1996</w:t>
      </w:r>
      <w:proofErr w:type="gramStart"/>
      <w:r w:rsidRPr="007321E4">
        <w:t>:I</w:t>
      </w:r>
      <w:proofErr w:type="gramEnd"/>
      <w:r w:rsidRPr="007321E4">
        <w:t>, p. 16.</w:t>
      </w:r>
    </w:p>
  </w:footnote>
  <w:footnote w:id="241">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EC – Seal Products</w:t>
      </w:r>
      <w:r w:rsidRPr="007321E4">
        <w:t>, para.</w:t>
      </w:r>
      <w:proofErr w:type="gramEnd"/>
      <w:r w:rsidRPr="007321E4">
        <w:t xml:space="preserve"> 5.296.</w:t>
      </w:r>
    </w:p>
  </w:footnote>
  <w:footnote w:id="242">
    <w:p w:rsidR="006A4249" w:rsidRPr="007321E4" w:rsidRDefault="006A4249" w:rsidP="00190BF6">
      <w:pPr>
        <w:pStyle w:val="FootnoteText"/>
      </w:pPr>
      <w:r w:rsidRPr="007321E4">
        <w:rPr>
          <w:rStyle w:val="FootnoteReference"/>
        </w:rPr>
        <w:footnoteRef/>
      </w:r>
      <w:r w:rsidRPr="007321E4">
        <w:t xml:space="preserve"> See e.g. Appellate Body Reports, </w:t>
      </w:r>
      <w:r w:rsidRPr="007321E4">
        <w:rPr>
          <w:i/>
        </w:rPr>
        <w:t>US – Gasoline</w:t>
      </w:r>
      <w:r w:rsidRPr="007321E4">
        <w:t>, p. 22, DSR 1996</w:t>
      </w:r>
      <w:proofErr w:type="gramStart"/>
      <w:r w:rsidRPr="007321E4">
        <w:t>:I</w:t>
      </w:r>
      <w:proofErr w:type="gramEnd"/>
      <w:r w:rsidRPr="007321E4">
        <w:t xml:space="preserve">, p. 21; </w:t>
      </w:r>
      <w:r w:rsidRPr="007321E4">
        <w:rPr>
          <w:i/>
        </w:rPr>
        <w:t>US – Shrimp</w:t>
      </w:r>
      <w:r w:rsidRPr="007321E4">
        <w:t>, para. </w:t>
      </w:r>
      <w:proofErr w:type="gramStart"/>
      <w:r w:rsidRPr="007321E4">
        <w:t xml:space="preserve">156; </w:t>
      </w:r>
      <w:r w:rsidRPr="007321E4">
        <w:rPr>
          <w:i/>
        </w:rPr>
        <w:t>EC – Seal Products</w:t>
      </w:r>
      <w:r w:rsidRPr="007321E4">
        <w:t>, para.</w:t>
      </w:r>
      <w:proofErr w:type="gramEnd"/>
      <w:r w:rsidRPr="007321E4">
        <w:t xml:space="preserve"> 5.297. </w:t>
      </w:r>
    </w:p>
  </w:footnote>
  <w:footnote w:id="243">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iCs/>
        </w:rPr>
        <w:t xml:space="preserve">Brazil – </w:t>
      </w:r>
      <w:proofErr w:type="spellStart"/>
      <w:r w:rsidRPr="007321E4">
        <w:rPr>
          <w:i/>
          <w:iCs/>
        </w:rPr>
        <w:t>Retreaded</w:t>
      </w:r>
      <w:proofErr w:type="spellEnd"/>
      <w:r w:rsidRPr="007321E4">
        <w:rPr>
          <w:i/>
          <w:iCs/>
        </w:rPr>
        <w:t xml:space="preserve"> Tyres</w:t>
      </w:r>
      <w:r w:rsidRPr="007321E4">
        <w:t xml:space="preserve">, para. 227 (referring to Appellate Body Report, </w:t>
      </w:r>
      <w:r w:rsidR="00080D6D" w:rsidRPr="007321E4">
        <w:br/>
      </w:r>
      <w:r w:rsidRPr="007321E4">
        <w:rPr>
          <w:i/>
        </w:rPr>
        <w:t>US – Gasoline</w:t>
      </w:r>
      <w:r w:rsidRPr="007321E4">
        <w:t>, p. 22, DSR 1996</w:t>
      </w:r>
      <w:proofErr w:type="gramStart"/>
      <w:r w:rsidRPr="007321E4">
        <w:t>:I</w:t>
      </w:r>
      <w:proofErr w:type="gramEnd"/>
      <w:r w:rsidRPr="007321E4">
        <w:t xml:space="preserve">, p. 21). </w:t>
      </w:r>
    </w:p>
  </w:footnote>
  <w:footnote w:id="244">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 xml:space="preserve">EC – Seal Products, </w:t>
      </w:r>
      <w:r w:rsidRPr="007321E4">
        <w:t>para.</w:t>
      </w:r>
      <w:proofErr w:type="gramEnd"/>
      <w:r w:rsidRPr="007321E4">
        <w:t> </w:t>
      </w:r>
      <w:proofErr w:type="gramStart"/>
      <w:r w:rsidRPr="007321E4">
        <w:t xml:space="preserve">5.297 (referring to Appellate Body Report, </w:t>
      </w:r>
      <w:r w:rsidR="00080D6D" w:rsidRPr="007321E4">
        <w:br/>
      </w:r>
      <w:r w:rsidRPr="007321E4">
        <w:rPr>
          <w:i/>
        </w:rPr>
        <w:t>US – Shrimp</w:t>
      </w:r>
      <w:r w:rsidRPr="007321E4">
        <w:t>, para. 156).</w:t>
      </w:r>
      <w:proofErr w:type="gramEnd"/>
      <w:r w:rsidRPr="007321E4">
        <w:t xml:space="preserve"> See also para. 5.301.</w:t>
      </w:r>
    </w:p>
  </w:footnote>
  <w:footnote w:id="245">
    <w:p w:rsidR="006A4249" w:rsidRPr="007321E4" w:rsidRDefault="006A4249" w:rsidP="009C365D">
      <w:pPr>
        <w:pStyle w:val="FootnoteText"/>
      </w:pPr>
      <w:r w:rsidRPr="007321E4">
        <w:rPr>
          <w:rStyle w:val="FootnoteReference"/>
        </w:rPr>
        <w:footnoteRef/>
      </w:r>
      <w:r w:rsidRPr="007321E4">
        <w:t xml:space="preserve"> In </w:t>
      </w:r>
      <w:r w:rsidRPr="007321E4">
        <w:rPr>
          <w:i/>
        </w:rPr>
        <w:t>US – Gasoline</w:t>
      </w:r>
      <w:r w:rsidRPr="007321E4">
        <w:t xml:space="preserve">, the Appellate Body stated: </w:t>
      </w:r>
    </w:p>
    <w:p w:rsidR="006A4249" w:rsidRPr="007321E4" w:rsidRDefault="006A4249" w:rsidP="009C365D">
      <w:pPr>
        <w:pStyle w:val="FootnoteQuotation"/>
      </w:pPr>
      <w:r w:rsidRPr="007321E4">
        <w:t xml:space="preserve">In order that the justifying protection of Article XX may be extended to it, the measure at issue must not only come under one or another of the particular exceptions – paragraphs (a) to (j) – listed under Article XX; it must also satisfy the requirements imposed by the opening clauses of Article XX. The analysis is, in other words, two-tiered: first, provisional justification by reason of characterization of the measure under </w:t>
      </w:r>
      <w:proofErr w:type="gramStart"/>
      <w:r w:rsidRPr="007321E4">
        <w:t>XX(</w:t>
      </w:r>
      <w:proofErr w:type="gramEnd"/>
      <w:r w:rsidRPr="007321E4">
        <w:t xml:space="preserve">g); second, further appraisal of the same measure under the introductory clauses of Article XX. </w:t>
      </w:r>
    </w:p>
    <w:p w:rsidR="006A4249" w:rsidRPr="007321E4" w:rsidRDefault="006A4249" w:rsidP="002076F0">
      <w:pPr>
        <w:pStyle w:val="FootnoteQuotation"/>
        <w:ind w:left="0"/>
      </w:pPr>
      <w:r w:rsidRPr="007321E4">
        <w:t xml:space="preserve">(Appellate Body Report, </w:t>
      </w:r>
      <w:r w:rsidRPr="007321E4">
        <w:rPr>
          <w:i/>
        </w:rPr>
        <w:t>US – Gasoline</w:t>
      </w:r>
      <w:r w:rsidRPr="007321E4">
        <w:t>, p. 22, DSR 1996:I, p. 20)</w:t>
      </w:r>
    </w:p>
  </w:footnote>
  <w:footnote w:id="246">
    <w:p w:rsidR="006A4249" w:rsidRPr="007321E4" w:rsidRDefault="006A4249" w:rsidP="009C365D">
      <w:pPr>
        <w:pStyle w:val="FootnoteText"/>
      </w:pPr>
      <w:r w:rsidRPr="007321E4">
        <w:rPr>
          <w:rStyle w:val="FootnoteReference"/>
        </w:rPr>
        <w:footnoteRef/>
      </w:r>
      <w:r w:rsidRPr="007321E4">
        <w:t xml:space="preserve"> In </w:t>
      </w:r>
      <w:r w:rsidRPr="007321E4">
        <w:rPr>
          <w:i/>
        </w:rPr>
        <w:t>US – Shrimp</w:t>
      </w:r>
      <w:r w:rsidRPr="007321E4">
        <w:t xml:space="preserve"> and </w:t>
      </w:r>
      <w:r w:rsidRPr="007321E4">
        <w:rPr>
          <w:i/>
        </w:rPr>
        <w:t>Dominican Republic – Import and Sale of Cigarettes</w:t>
      </w:r>
      <w:r w:rsidRPr="007321E4">
        <w:t xml:space="preserve">, the Appellate Body quoted the paragraph of the report in </w:t>
      </w:r>
      <w:r w:rsidRPr="007321E4">
        <w:rPr>
          <w:i/>
        </w:rPr>
        <w:t xml:space="preserve">US – Gasoline </w:t>
      </w:r>
      <w:r w:rsidRPr="007321E4">
        <w:t>setting out the sequence of analysis under Article XX.</w:t>
      </w:r>
      <w:r w:rsidRPr="007321E4">
        <w:rPr>
          <w:i/>
        </w:rPr>
        <w:t xml:space="preserve"> </w:t>
      </w:r>
      <w:r w:rsidRPr="007321E4">
        <w:t xml:space="preserve">(Appellate Body Reports, </w:t>
      </w:r>
      <w:r w:rsidRPr="007321E4">
        <w:rPr>
          <w:i/>
        </w:rPr>
        <w:t>US – Shrimp</w:t>
      </w:r>
      <w:r w:rsidRPr="007321E4">
        <w:t xml:space="preserve">, para. 118; </w:t>
      </w:r>
      <w:r w:rsidRPr="007321E4">
        <w:rPr>
          <w:i/>
        </w:rPr>
        <w:t>Dominican Republic – Import and Sale of Cigarettes</w:t>
      </w:r>
      <w:r w:rsidRPr="007321E4">
        <w:t xml:space="preserve">, para. 64 (both quoting Appellate Body Report, </w:t>
      </w:r>
      <w:r w:rsidRPr="007321E4">
        <w:rPr>
          <w:i/>
        </w:rPr>
        <w:t>US – Gasoline</w:t>
      </w:r>
      <w:r w:rsidRPr="007321E4">
        <w:t xml:space="preserve">, p. 22, DSR 1996:I, p. 20)) In </w:t>
      </w:r>
      <w:r w:rsidRPr="007321E4">
        <w:rPr>
          <w:i/>
        </w:rPr>
        <w:t>Brazil – Retreated Tyres</w:t>
      </w:r>
      <w:r w:rsidRPr="007321E4">
        <w:t xml:space="preserve">, the Appellate Body recalled: </w:t>
      </w:r>
    </w:p>
    <w:p w:rsidR="006A4249" w:rsidRPr="007321E4" w:rsidRDefault="006A4249" w:rsidP="009C365D">
      <w:pPr>
        <w:pStyle w:val="FootnoteQuotation"/>
      </w:pPr>
      <w:proofErr w:type="gramStart"/>
      <w:r w:rsidRPr="007321E4">
        <w:t>the</w:t>
      </w:r>
      <w:proofErr w:type="gramEnd"/>
      <w:r w:rsidRPr="007321E4">
        <w:t xml:space="preserve"> analysis of a measure under Article XX of the GATT 1994 is two-tiered. First, a panel must examine whether the measure falls under at least one of the ten exceptions listed under Article XX. Secondly, the question of whether the measure at issue satisfies the requirements of the chapeau of Article XX must be considered. </w:t>
      </w:r>
    </w:p>
    <w:p w:rsidR="006A4249" w:rsidRPr="007321E4" w:rsidRDefault="006A4249" w:rsidP="002076F0">
      <w:pPr>
        <w:pStyle w:val="FootnoteText"/>
        <w:ind w:firstLine="0"/>
      </w:pPr>
      <w:r w:rsidRPr="007321E4">
        <w:t xml:space="preserve">(Appellate Body Report, </w:t>
      </w:r>
      <w:r w:rsidRPr="007321E4">
        <w:rPr>
          <w:i/>
        </w:rPr>
        <w:t>Brazil – Retreated Tyres</w:t>
      </w:r>
      <w:r w:rsidRPr="007321E4">
        <w:t xml:space="preserve">, para. 139 (referring to Appellate Body Reports, </w:t>
      </w:r>
      <w:r w:rsidR="002C5BBA" w:rsidRPr="007321E4">
        <w:br/>
      </w:r>
      <w:r w:rsidRPr="007321E4">
        <w:rPr>
          <w:i/>
        </w:rPr>
        <w:t>US – Gasoline</w:t>
      </w:r>
      <w:r w:rsidRPr="007321E4">
        <w:t xml:space="preserve">, p. 22, DSR 1996:I, p. 20; </w:t>
      </w:r>
      <w:r w:rsidRPr="007321E4">
        <w:rPr>
          <w:i/>
        </w:rPr>
        <w:t>Dominican Republic – Import and Sales of Cigarettes</w:t>
      </w:r>
      <w:r w:rsidRPr="007321E4">
        <w:t xml:space="preserve">, para. 64; </w:t>
      </w:r>
      <w:r w:rsidR="002C5BBA" w:rsidRPr="007321E4">
        <w:br/>
      </w:r>
      <w:r w:rsidRPr="007321E4">
        <w:rPr>
          <w:i/>
        </w:rPr>
        <w:t>US –Shrimp</w:t>
      </w:r>
      <w:r w:rsidRPr="007321E4">
        <w:t xml:space="preserve">, para. 149)) In the same vein, in </w:t>
      </w:r>
      <w:r w:rsidRPr="007321E4">
        <w:rPr>
          <w:i/>
        </w:rPr>
        <w:t>EC – Seal Products</w:t>
      </w:r>
      <w:r w:rsidRPr="007321E4">
        <w:t xml:space="preserve">, the Appellate Body found: </w:t>
      </w:r>
    </w:p>
    <w:p w:rsidR="006A4249" w:rsidRPr="007321E4" w:rsidRDefault="006A4249" w:rsidP="009C365D">
      <w:pPr>
        <w:pStyle w:val="FootnoteQuotation"/>
      </w:pPr>
      <w:r w:rsidRPr="007321E4">
        <w:t xml:space="preserve">As established in WTO jurisprudence, the assessment of a claim of justification under Article XX involves a two-tiered analysis in which a measure must first be provisionally justified </w:t>
      </w:r>
      <w:proofErr w:type="gramStart"/>
      <w:r w:rsidRPr="007321E4">
        <w:t>under</w:t>
      </w:r>
      <w:proofErr w:type="gramEnd"/>
      <w:r w:rsidRPr="007321E4">
        <w:t xml:space="preserve"> one</w:t>
      </w:r>
      <w:r w:rsidR="007B6136" w:rsidRPr="007321E4">
        <w:t> </w:t>
      </w:r>
      <w:r w:rsidRPr="007321E4">
        <w:t>of the subparagraphs of Article XX, before it is subsequently appraised under the chapeau of Article XX.</w:t>
      </w:r>
    </w:p>
    <w:p w:rsidR="006A4249" w:rsidRPr="007321E4" w:rsidRDefault="006A4249" w:rsidP="002076F0">
      <w:pPr>
        <w:pStyle w:val="FootnoteText"/>
        <w:ind w:firstLine="0"/>
      </w:pPr>
      <w:r w:rsidRPr="007321E4">
        <w:t xml:space="preserve">(Appellate Body Reports, </w:t>
      </w:r>
      <w:r w:rsidRPr="007321E4">
        <w:rPr>
          <w:i/>
        </w:rPr>
        <w:t>EC – Seal Products</w:t>
      </w:r>
      <w:r w:rsidRPr="007321E4">
        <w:t xml:space="preserve">, para. 5.169 (referring to Appellate Body Reports, </w:t>
      </w:r>
      <w:r w:rsidRPr="007321E4">
        <w:rPr>
          <w:i/>
        </w:rPr>
        <w:t>US – Gasoline</w:t>
      </w:r>
      <w:r w:rsidRPr="007321E4">
        <w:t xml:space="preserve">, p. 22, DSR 1996:I, p. 20; </w:t>
      </w:r>
      <w:r w:rsidRPr="007321E4">
        <w:rPr>
          <w:i/>
        </w:rPr>
        <w:t>US – Shrimp</w:t>
      </w:r>
      <w:r w:rsidRPr="007321E4">
        <w:t xml:space="preserve">, paras. 119 and 120; </w:t>
      </w:r>
      <w:r w:rsidRPr="007321E4">
        <w:rPr>
          <w:i/>
        </w:rPr>
        <w:t>US – Gambling</w:t>
      </w:r>
      <w:r w:rsidRPr="007321E4">
        <w:t xml:space="preserve">, para. 292)) More recently, in </w:t>
      </w:r>
      <w:r w:rsidRPr="007321E4">
        <w:rPr>
          <w:i/>
        </w:rPr>
        <w:t>Colombia – Textiles</w:t>
      </w:r>
      <w:r w:rsidRPr="007321E4">
        <w:t xml:space="preserve">, the Appellate Body stated: </w:t>
      </w:r>
    </w:p>
    <w:p w:rsidR="006A4249" w:rsidRPr="007321E4" w:rsidRDefault="006A4249" w:rsidP="009C365D">
      <w:pPr>
        <w:pStyle w:val="FootnoteQuotation"/>
      </w:pPr>
      <w:r w:rsidRPr="007321E4">
        <w:t xml:space="preserve">The analysis of a measure under Article XX of the GATT 1994 is two-tiered, such that a panel must first examine whether the measure falls under one of the exceptions listed in the paragraphs of Article XX, before considering the question of whether the measure satisfies the requirements of the </w:t>
      </w:r>
      <w:r w:rsidRPr="007321E4">
        <w:rPr>
          <w:i/>
        </w:rPr>
        <w:t>chapeau</w:t>
      </w:r>
      <w:r w:rsidRPr="007321E4">
        <w:t xml:space="preserve"> of Article XX.</w:t>
      </w:r>
    </w:p>
    <w:p w:rsidR="006A4249" w:rsidRPr="007321E4" w:rsidRDefault="006A4249" w:rsidP="002076F0">
      <w:pPr>
        <w:pStyle w:val="FootnoteText"/>
        <w:ind w:firstLine="0"/>
      </w:pPr>
      <w:r w:rsidRPr="007321E4">
        <w:t xml:space="preserve">(Appellate Body Report, </w:t>
      </w:r>
      <w:r w:rsidRPr="007321E4">
        <w:rPr>
          <w:i/>
        </w:rPr>
        <w:t>Colombia – Textiles</w:t>
      </w:r>
      <w:r w:rsidRPr="007321E4">
        <w:t xml:space="preserve">, para. 5.67 (referring to Appellate Body Reports, </w:t>
      </w:r>
      <w:r w:rsidRPr="007321E4">
        <w:rPr>
          <w:i/>
        </w:rPr>
        <w:t>US – Gasoline</w:t>
      </w:r>
      <w:r w:rsidRPr="007321E4">
        <w:t xml:space="preserve">, p. 22, DSR 1996:I, p. 20; </w:t>
      </w:r>
      <w:r w:rsidRPr="007321E4">
        <w:rPr>
          <w:i/>
        </w:rPr>
        <w:t>Dominican Republic – Import and Sale of Cigarettes</w:t>
      </w:r>
      <w:r w:rsidRPr="007321E4">
        <w:t xml:space="preserve">, para. 64; </w:t>
      </w:r>
      <w:r w:rsidRPr="007321E4">
        <w:rPr>
          <w:i/>
          <w:iCs/>
        </w:rPr>
        <w:t>US </w:t>
      </w:r>
      <w:r w:rsidRPr="007321E4">
        <w:rPr>
          <w:i/>
        </w:rPr>
        <w:t>–</w:t>
      </w:r>
      <w:r w:rsidRPr="007321E4">
        <w:rPr>
          <w:i/>
          <w:iCs/>
        </w:rPr>
        <w:t> Shrimp</w:t>
      </w:r>
      <w:r w:rsidRPr="007321E4">
        <w:t>, paras. 118</w:t>
      </w:r>
      <w:r w:rsidRPr="007321E4">
        <w:noBreakHyphen/>
        <w:t xml:space="preserve">120; </w:t>
      </w:r>
      <w:r w:rsidRPr="007321E4">
        <w:rPr>
          <w:i/>
          <w:iCs/>
        </w:rPr>
        <w:t xml:space="preserve">Brazil – </w:t>
      </w:r>
      <w:proofErr w:type="spellStart"/>
      <w:r w:rsidRPr="007321E4">
        <w:rPr>
          <w:i/>
          <w:iCs/>
        </w:rPr>
        <w:t>Retreaded</w:t>
      </w:r>
      <w:proofErr w:type="spellEnd"/>
      <w:r w:rsidRPr="007321E4">
        <w:rPr>
          <w:i/>
          <w:iCs/>
        </w:rPr>
        <w:t xml:space="preserve"> Tyres</w:t>
      </w:r>
      <w:r w:rsidRPr="007321E4">
        <w:t xml:space="preserve">, para. 139)) </w:t>
      </w:r>
    </w:p>
  </w:footnote>
  <w:footnote w:id="247">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rPr>
        <w:t>US – Shrimp</w:t>
      </w:r>
      <w:r w:rsidRPr="007321E4">
        <w:t>, para. 119.</w:t>
      </w:r>
    </w:p>
  </w:footnote>
  <w:footnote w:id="248">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rPr>
        <w:t>US – Shrimp</w:t>
      </w:r>
      <w:r w:rsidRPr="007321E4">
        <w:t xml:space="preserve">, para. 120. </w:t>
      </w:r>
    </w:p>
  </w:footnote>
  <w:footnote w:id="249">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iCs/>
        </w:rPr>
        <w:t xml:space="preserve">Brazil – </w:t>
      </w:r>
      <w:proofErr w:type="spellStart"/>
      <w:r w:rsidRPr="007321E4">
        <w:rPr>
          <w:i/>
          <w:iCs/>
        </w:rPr>
        <w:t>Retreaded</w:t>
      </w:r>
      <w:proofErr w:type="spellEnd"/>
      <w:r w:rsidRPr="007321E4">
        <w:rPr>
          <w:i/>
          <w:iCs/>
        </w:rPr>
        <w:t xml:space="preserve"> Tyres</w:t>
      </w:r>
      <w:r w:rsidRPr="007321E4">
        <w:t xml:space="preserve">, para. 227. </w:t>
      </w:r>
    </w:p>
  </w:footnote>
  <w:footnote w:id="250">
    <w:p w:rsidR="006A4249" w:rsidRPr="007321E4" w:rsidRDefault="006A4249" w:rsidP="009C365D">
      <w:pPr>
        <w:pStyle w:val="FootnoteText"/>
      </w:pPr>
      <w:r w:rsidRPr="007321E4">
        <w:rPr>
          <w:rStyle w:val="FootnoteReference"/>
        </w:rPr>
        <w:footnoteRef/>
      </w:r>
      <w:r w:rsidRPr="007321E4">
        <w:t xml:space="preserve"> Appellate Body Report, </w:t>
      </w:r>
      <w:r w:rsidRPr="007321E4">
        <w:rPr>
          <w:i/>
          <w:iCs/>
        </w:rPr>
        <w:t xml:space="preserve">Brazil – </w:t>
      </w:r>
      <w:proofErr w:type="spellStart"/>
      <w:r w:rsidRPr="007321E4">
        <w:rPr>
          <w:i/>
          <w:iCs/>
        </w:rPr>
        <w:t>Retreaded</w:t>
      </w:r>
      <w:proofErr w:type="spellEnd"/>
      <w:r w:rsidRPr="007321E4">
        <w:rPr>
          <w:i/>
          <w:iCs/>
        </w:rPr>
        <w:t xml:space="preserve"> Tyres</w:t>
      </w:r>
      <w:r w:rsidRPr="007321E4">
        <w:t xml:space="preserve">, para. 227. </w:t>
      </w:r>
    </w:p>
  </w:footnote>
  <w:footnote w:id="251">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EC – Seal Products</w:t>
      </w:r>
      <w:r w:rsidRPr="007321E4">
        <w:t>, para.</w:t>
      </w:r>
      <w:proofErr w:type="gramEnd"/>
      <w:r w:rsidRPr="007321E4">
        <w:t xml:space="preserve"> 5.303 (quoting Appellate Body Report, </w:t>
      </w:r>
      <w:r w:rsidR="002C5BBA" w:rsidRPr="007321E4">
        <w:br/>
      </w:r>
      <w:r w:rsidRPr="007321E4">
        <w:rPr>
          <w:i/>
        </w:rPr>
        <w:t>Brazil – </w:t>
      </w:r>
      <w:proofErr w:type="spellStart"/>
      <w:r w:rsidRPr="007321E4">
        <w:rPr>
          <w:i/>
        </w:rPr>
        <w:t>Retreaded</w:t>
      </w:r>
      <w:proofErr w:type="spellEnd"/>
      <w:r w:rsidRPr="007321E4">
        <w:rPr>
          <w:i/>
        </w:rPr>
        <w:t xml:space="preserve"> Tyres</w:t>
      </w:r>
      <w:r w:rsidRPr="007321E4">
        <w:t xml:space="preserve">, para. 226, in turn referring to Appellate Body Reports, </w:t>
      </w:r>
      <w:r w:rsidRPr="007321E4">
        <w:rPr>
          <w:i/>
        </w:rPr>
        <w:t>US – Gasoline</w:t>
      </w:r>
      <w:r w:rsidRPr="007321E4">
        <w:t xml:space="preserve">; </w:t>
      </w:r>
      <w:r w:rsidRPr="007321E4">
        <w:rPr>
          <w:i/>
        </w:rPr>
        <w:t>US – Shrimp</w:t>
      </w:r>
      <w:r w:rsidRPr="007321E4">
        <w:t xml:space="preserve">; </w:t>
      </w:r>
      <w:r w:rsidR="002C5BBA" w:rsidRPr="007321E4">
        <w:br/>
      </w:r>
      <w:r w:rsidRPr="007321E4">
        <w:rPr>
          <w:i/>
        </w:rPr>
        <w:t>US – Shrimp (Article 21.5 – Malaysia)</w:t>
      </w:r>
      <w:r w:rsidRPr="007321E4">
        <w:t>).</w:t>
      </w:r>
    </w:p>
  </w:footnote>
  <w:footnote w:id="252">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EC – Seal Products</w:t>
      </w:r>
      <w:r w:rsidRPr="007321E4">
        <w:t>, para.</w:t>
      </w:r>
      <w:proofErr w:type="gramEnd"/>
      <w:r w:rsidRPr="007321E4">
        <w:t xml:space="preserve"> 5.306 (referring to Appellate Body Reports, </w:t>
      </w:r>
      <w:r w:rsidR="002C5BBA" w:rsidRPr="007321E4">
        <w:br/>
      </w:r>
      <w:r w:rsidRPr="007321E4">
        <w:rPr>
          <w:i/>
        </w:rPr>
        <w:t>US – Shrimp</w:t>
      </w:r>
      <w:r w:rsidRPr="007321E4">
        <w:t xml:space="preserve">, para. 165; </w:t>
      </w:r>
      <w:r w:rsidRPr="007321E4">
        <w:rPr>
          <w:i/>
        </w:rPr>
        <w:t>Brazil – </w:t>
      </w:r>
      <w:proofErr w:type="spellStart"/>
      <w:r w:rsidRPr="007321E4">
        <w:rPr>
          <w:i/>
        </w:rPr>
        <w:t>Retreaded</w:t>
      </w:r>
      <w:proofErr w:type="spellEnd"/>
      <w:r w:rsidRPr="007321E4">
        <w:rPr>
          <w:i/>
        </w:rPr>
        <w:t xml:space="preserve"> Tyres</w:t>
      </w:r>
      <w:r w:rsidRPr="007321E4">
        <w:t xml:space="preserve">, paras. 227-228 and 232). </w:t>
      </w:r>
    </w:p>
  </w:footnote>
  <w:footnote w:id="253">
    <w:p w:rsidR="006A4249" w:rsidRPr="007321E4" w:rsidRDefault="006A4249" w:rsidP="00190BF6">
      <w:pPr>
        <w:pStyle w:val="FootnoteText"/>
        <w:rPr>
          <w:b/>
        </w:rPr>
      </w:pPr>
      <w:r w:rsidRPr="007321E4">
        <w:rPr>
          <w:rStyle w:val="FootnoteReference"/>
        </w:rPr>
        <w:footnoteRef/>
      </w:r>
      <w:r w:rsidRPr="007321E4">
        <w:t xml:space="preserve"> </w:t>
      </w:r>
      <w:proofErr w:type="gramStart"/>
      <w:r w:rsidRPr="007321E4">
        <w:t xml:space="preserve">Appellate Body Reports, </w:t>
      </w:r>
      <w:r w:rsidRPr="007321E4">
        <w:rPr>
          <w:i/>
        </w:rPr>
        <w:t>EC – Seal Products</w:t>
      </w:r>
      <w:r w:rsidRPr="007321E4">
        <w:t>, para.</w:t>
      </w:r>
      <w:proofErr w:type="gramEnd"/>
      <w:r w:rsidRPr="007321E4">
        <w:t xml:space="preserve"> 5.300.</w:t>
      </w:r>
    </w:p>
  </w:footnote>
  <w:footnote w:id="254">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EC – Seal Products</w:t>
      </w:r>
      <w:r w:rsidRPr="007321E4">
        <w:t>, para.</w:t>
      </w:r>
      <w:proofErr w:type="gramEnd"/>
      <w:r w:rsidRPr="007321E4">
        <w:t xml:space="preserve"> 5.300. </w:t>
      </w:r>
    </w:p>
  </w:footnote>
  <w:footnote w:id="255">
    <w:p w:rsidR="006A4249" w:rsidRPr="007321E4" w:rsidRDefault="006A4249">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EC – Seal Products</w:t>
      </w:r>
      <w:r w:rsidRPr="007321E4">
        <w:t>, para.</w:t>
      </w:r>
      <w:proofErr w:type="gramEnd"/>
      <w:r w:rsidRPr="007321E4">
        <w:t xml:space="preserve"> 5.301. </w:t>
      </w:r>
    </w:p>
  </w:footnote>
  <w:footnote w:id="256">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rPr>
        <w:t>US – Shrimp</w:t>
      </w:r>
      <w:r w:rsidRPr="007321E4">
        <w:t>, para. 119.</w:t>
      </w:r>
    </w:p>
  </w:footnote>
  <w:footnote w:id="257">
    <w:p w:rsidR="006A4249" w:rsidRPr="007321E4" w:rsidRDefault="006A4249" w:rsidP="00190BF6">
      <w:pPr>
        <w:pStyle w:val="FootnoteText"/>
      </w:pPr>
      <w:r w:rsidRPr="007321E4">
        <w:rPr>
          <w:rStyle w:val="FootnoteReference"/>
        </w:rPr>
        <w:footnoteRef/>
      </w:r>
      <w:r w:rsidRPr="007321E4">
        <w:t xml:space="preserve"> Appellate Body Report, </w:t>
      </w:r>
      <w:r w:rsidRPr="007321E4">
        <w:rPr>
          <w:i/>
          <w:iCs/>
        </w:rPr>
        <w:t xml:space="preserve">Brazil – </w:t>
      </w:r>
      <w:proofErr w:type="spellStart"/>
      <w:r w:rsidRPr="007321E4">
        <w:rPr>
          <w:i/>
          <w:iCs/>
        </w:rPr>
        <w:t>Retreaded</w:t>
      </w:r>
      <w:proofErr w:type="spellEnd"/>
      <w:r w:rsidRPr="007321E4">
        <w:rPr>
          <w:i/>
          <w:iCs/>
        </w:rPr>
        <w:t xml:space="preserve"> Tyres</w:t>
      </w:r>
      <w:r w:rsidRPr="007321E4">
        <w:t xml:space="preserve">, para. 227 (referring to Appellate Body Report, </w:t>
      </w:r>
      <w:r w:rsidR="002C5BBA" w:rsidRPr="007321E4">
        <w:br/>
      </w:r>
      <w:r w:rsidRPr="007321E4">
        <w:rPr>
          <w:i/>
        </w:rPr>
        <w:t>US –Gasoline</w:t>
      </w:r>
      <w:r w:rsidRPr="007321E4">
        <w:t>, p. 22, DSR 1996</w:t>
      </w:r>
      <w:proofErr w:type="gramStart"/>
      <w:r w:rsidRPr="007321E4">
        <w:t>:I</w:t>
      </w:r>
      <w:proofErr w:type="gramEnd"/>
      <w:r w:rsidRPr="007321E4">
        <w:t xml:space="preserve">, p. 21). </w:t>
      </w:r>
    </w:p>
  </w:footnote>
  <w:footnote w:id="258">
    <w:p w:rsidR="006A4249" w:rsidRPr="007321E4" w:rsidRDefault="006A4249" w:rsidP="00190BF6">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 xml:space="preserve">EC – Seal Products, </w:t>
      </w:r>
      <w:r w:rsidRPr="007321E4">
        <w:t>para.</w:t>
      </w:r>
      <w:proofErr w:type="gramEnd"/>
      <w:r w:rsidRPr="007321E4">
        <w:t> </w:t>
      </w:r>
      <w:proofErr w:type="gramStart"/>
      <w:r w:rsidRPr="007321E4">
        <w:t xml:space="preserve">5.297 (referring to Appellate Body Report, </w:t>
      </w:r>
      <w:r w:rsidR="002C5BBA" w:rsidRPr="007321E4">
        <w:br/>
      </w:r>
      <w:r w:rsidRPr="007321E4">
        <w:rPr>
          <w:i/>
        </w:rPr>
        <w:t>US –Shrimp</w:t>
      </w:r>
      <w:r w:rsidRPr="007321E4">
        <w:t>, para. 156).</w:t>
      </w:r>
      <w:proofErr w:type="gramEnd"/>
      <w:r w:rsidRPr="007321E4">
        <w:t xml:space="preserve"> See also para. 5.301.</w:t>
      </w:r>
    </w:p>
  </w:footnote>
  <w:footnote w:id="259">
    <w:p w:rsidR="006A4249" w:rsidRPr="007321E4" w:rsidRDefault="006A4249" w:rsidP="00190BF6">
      <w:pPr>
        <w:pStyle w:val="FootnoteText"/>
      </w:pPr>
      <w:r w:rsidRPr="007321E4">
        <w:rPr>
          <w:rStyle w:val="FootnoteReference"/>
        </w:rPr>
        <w:footnoteRef/>
      </w:r>
      <w:r w:rsidRPr="007321E4">
        <w:t xml:space="preserve"> Indonesia's appellant's submission, para. 161. At the oral hearing, New Zealand suggested that completing the legal analysis would contribute to providing sufficiently precise recommendations and rulings for the purposes of implementation. </w:t>
      </w:r>
      <w:proofErr w:type="gramStart"/>
      <w:r w:rsidRPr="007321E4">
        <w:t>(New Zealand's response to questioning at the oral hearing).</w:t>
      </w:r>
      <w:proofErr w:type="gramEnd"/>
      <w:r w:rsidRPr="007321E4">
        <w:t xml:space="preserve"> For its part, the United States clarified that, should we reverse the Panel's findings under Article XX of the GATT 1994 in respect of Measures 9 through 17, it is not requesting that we complete the legal analysis. Moreover, given the absence of a request for completion by Indonesia, the United States considers that completing the legal analysis would not be necessary in this case. (United States' response to questioning at the oral hearing)</w:t>
      </w:r>
    </w:p>
  </w:footnote>
  <w:footnote w:id="260">
    <w:p w:rsidR="006A4249" w:rsidRPr="007321E4" w:rsidRDefault="006A4249" w:rsidP="00190BF6">
      <w:pPr>
        <w:pStyle w:val="FootnoteText"/>
        <w:keepLines/>
      </w:pPr>
      <w:r w:rsidRPr="007321E4">
        <w:rPr>
          <w:rStyle w:val="FootnoteReference"/>
        </w:rPr>
        <w:footnoteRef/>
      </w:r>
      <w:r w:rsidRPr="007321E4">
        <w:t xml:space="preserve"> On appeal, the United States notes that Indonesia does not request that we complete the legal analysis and find that any of Indonesia's measures are justified under Article XX of the GATT 1994. According to the United States, "Indonesia's appeal could result in no change to the DSB recommendations and rulings, or Indonesia's obligations regarding implementation, because the findings under Article XI</w:t>
      </w:r>
      <w:proofErr w:type="gramStart"/>
      <w:r w:rsidRPr="007321E4">
        <w:t>:1</w:t>
      </w:r>
      <w:proofErr w:type="gramEnd"/>
      <w:r w:rsidRPr="007321E4">
        <w:t xml:space="preserve"> will remain undisturbed.</w:t>
      </w:r>
      <w:r w:rsidRPr="007321E4">
        <w:rPr>
          <w:szCs w:val="20"/>
        </w:rPr>
        <w:t xml:space="preserve">" Consequently, the United States submits that </w:t>
      </w:r>
      <w:r w:rsidRPr="007321E4">
        <w:t xml:space="preserve">it is not necessary for us to consider Indonesia's appeal under Article XX of the GATT 1994. </w:t>
      </w:r>
      <w:r w:rsidRPr="007321E4">
        <w:rPr>
          <w:szCs w:val="20"/>
        </w:rPr>
        <w:t xml:space="preserve">(United States' </w:t>
      </w:r>
      <w:proofErr w:type="spellStart"/>
      <w:r w:rsidRPr="007321E4">
        <w:rPr>
          <w:szCs w:val="20"/>
        </w:rPr>
        <w:t>appellee's</w:t>
      </w:r>
      <w:proofErr w:type="spellEnd"/>
      <w:r w:rsidRPr="007321E4">
        <w:rPr>
          <w:szCs w:val="20"/>
        </w:rPr>
        <w:t xml:space="preserve"> submission, paras. 168-169)</w:t>
      </w:r>
    </w:p>
  </w:footnote>
  <w:footnote w:id="261">
    <w:p w:rsidR="006A4249" w:rsidRPr="007321E4" w:rsidRDefault="006A4249">
      <w:pPr>
        <w:pStyle w:val="FootnoteText"/>
      </w:pPr>
      <w:r w:rsidRPr="007321E4">
        <w:rPr>
          <w:rStyle w:val="FootnoteReference"/>
        </w:rPr>
        <w:footnoteRef/>
      </w:r>
      <w:r w:rsidRPr="007321E4">
        <w:t xml:space="preserve"> See also Panel Report, para. 8.1</w:t>
      </w:r>
      <w:proofErr w:type="gramStart"/>
      <w:r w:rsidRPr="007321E4">
        <w:t>.c.vi</w:t>
      </w:r>
      <w:proofErr w:type="gramEnd"/>
      <w:r w:rsidRPr="007321E4">
        <w:t xml:space="preserve">. </w:t>
      </w:r>
    </w:p>
  </w:footnote>
  <w:footnote w:id="262">
    <w:p w:rsidR="006A4249" w:rsidRPr="007321E4" w:rsidRDefault="006A4249">
      <w:pPr>
        <w:pStyle w:val="FootnoteText"/>
      </w:pPr>
      <w:r w:rsidRPr="007321E4">
        <w:rPr>
          <w:rStyle w:val="FootnoteReference"/>
        </w:rPr>
        <w:footnoteRef/>
      </w:r>
      <w:r w:rsidRPr="007321E4">
        <w:t xml:space="preserve"> Indonesia's appellant's submission, para. 53. (emphasis original)</w:t>
      </w:r>
    </w:p>
  </w:footnote>
  <w:footnote w:id="263">
    <w:p w:rsidR="006A4249" w:rsidRPr="007321E4" w:rsidRDefault="006A4249">
      <w:pPr>
        <w:pStyle w:val="FootnoteText"/>
      </w:pPr>
      <w:r w:rsidRPr="007321E4">
        <w:rPr>
          <w:rStyle w:val="FootnoteReference"/>
        </w:rPr>
        <w:footnoteRef/>
      </w:r>
      <w:r w:rsidRPr="007321E4">
        <w:t xml:space="preserve"> See also section </w:t>
      </w:r>
      <w:r w:rsidRPr="007321E4">
        <w:fldChar w:fldCharType="begin"/>
      </w:r>
      <w:r w:rsidRPr="007321E4">
        <w:instrText xml:space="preserve"> REF _Ref495593535 \r \h </w:instrText>
      </w:r>
      <w:r w:rsidRPr="007321E4">
        <w:fldChar w:fldCharType="separate"/>
      </w:r>
      <w:r w:rsidRPr="007321E4">
        <w:t>6.2 </w:t>
      </w:r>
      <w:r w:rsidRPr="007321E4">
        <w:fldChar w:fldCharType="end"/>
      </w:r>
      <w:r w:rsidRPr="007321E4">
        <w:t>below.</w:t>
      </w:r>
    </w:p>
  </w:footnote>
  <w:footnote w:id="264">
    <w:p w:rsidR="006A4249" w:rsidRPr="007321E4" w:rsidRDefault="006A4249" w:rsidP="009C365D">
      <w:pPr>
        <w:pStyle w:val="FootnoteText"/>
      </w:pPr>
      <w:r w:rsidRPr="007321E4">
        <w:rPr>
          <w:rStyle w:val="FootnoteReference"/>
        </w:rPr>
        <w:footnoteRef/>
      </w:r>
      <w:r w:rsidRPr="007321E4">
        <w:t xml:space="preserve"> Indonesia's appellant's submission, paras. </w:t>
      </w:r>
      <w:proofErr w:type="gramStart"/>
      <w:r w:rsidRPr="007321E4">
        <w:t>95 and 107.</w:t>
      </w:r>
      <w:proofErr w:type="gramEnd"/>
    </w:p>
  </w:footnote>
  <w:footnote w:id="265">
    <w:p w:rsidR="006A4249" w:rsidRPr="007321E4" w:rsidRDefault="006A4249" w:rsidP="009C365D">
      <w:pPr>
        <w:pStyle w:val="FootnoteText"/>
      </w:pPr>
      <w:r w:rsidRPr="007321E4">
        <w:rPr>
          <w:rStyle w:val="FootnoteReference"/>
        </w:rPr>
        <w:footnoteRef/>
      </w:r>
      <w:r w:rsidRPr="007321E4">
        <w:t xml:space="preserve"> Appellate Body Report, </w:t>
      </w:r>
      <w:r w:rsidRPr="007321E4">
        <w:rPr>
          <w:i/>
        </w:rPr>
        <w:t>US – Shrimp</w:t>
      </w:r>
      <w:r w:rsidRPr="007321E4">
        <w:t>, para. 119.</w:t>
      </w:r>
    </w:p>
  </w:footnote>
  <w:footnote w:id="266">
    <w:p w:rsidR="006A4249" w:rsidRPr="007321E4" w:rsidRDefault="006A4249" w:rsidP="009C365D">
      <w:pPr>
        <w:pStyle w:val="FootnoteText"/>
      </w:pPr>
      <w:r w:rsidRPr="007321E4">
        <w:rPr>
          <w:rStyle w:val="FootnoteReference"/>
        </w:rPr>
        <w:footnoteRef/>
      </w:r>
      <w:r w:rsidRPr="007321E4">
        <w:t xml:space="preserve"> Appellate Body Report, </w:t>
      </w:r>
      <w:r w:rsidRPr="007321E4">
        <w:rPr>
          <w:i/>
          <w:iCs/>
        </w:rPr>
        <w:t xml:space="preserve">Brazil </w:t>
      </w:r>
      <w:r w:rsidRPr="007321E4">
        <w:rPr>
          <w:i/>
        </w:rPr>
        <w:t>–</w:t>
      </w:r>
      <w:r w:rsidRPr="007321E4">
        <w:rPr>
          <w:i/>
          <w:iCs/>
        </w:rPr>
        <w:t xml:space="preserve"> </w:t>
      </w:r>
      <w:proofErr w:type="spellStart"/>
      <w:r w:rsidRPr="007321E4">
        <w:rPr>
          <w:i/>
          <w:iCs/>
        </w:rPr>
        <w:t>Retreaded</w:t>
      </w:r>
      <w:proofErr w:type="spellEnd"/>
      <w:r w:rsidRPr="007321E4">
        <w:rPr>
          <w:i/>
          <w:iCs/>
        </w:rPr>
        <w:t xml:space="preserve"> Tyres</w:t>
      </w:r>
      <w:r w:rsidRPr="007321E4">
        <w:t xml:space="preserve">, para. 227 (referring to Appellate Body Report, </w:t>
      </w:r>
      <w:r w:rsidR="00E86DA3" w:rsidRPr="007321E4">
        <w:br/>
      </w:r>
      <w:r w:rsidRPr="007321E4">
        <w:rPr>
          <w:i/>
        </w:rPr>
        <w:t>US – Gasoline</w:t>
      </w:r>
      <w:r w:rsidRPr="007321E4">
        <w:t>, p. 22, DSR 1996</w:t>
      </w:r>
      <w:proofErr w:type="gramStart"/>
      <w:r w:rsidRPr="007321E4">
        <w:t>:I</w:t>
      </w:r>
      <w:proofErr w:type="gramEnd"/>
      <w:r w:rsidRPr="007321E4">
        <w:t xml:space="preserve">, p. 21). </w:t>
      </w:r>
    </w:p>
  </w:footnote>
  <w:footnote w:id="267">
    <w:p w:rsidR="006A4249" w:rsidRPr="007321E4" w:rsidRDefault="006A4249" w:rsidP="009C365D">
      <w:pPr>
        <w:pStyle w:val="FootnoteText"/>
      </w:pPr>
      <w:r w:rsidRPr="007321E4">
        <w:rPr>
          <w:rStyle w:val="FootnoteReference"/>
        </w:rPr>
        <w:footnoteRef/>
      </w:r>
      <w:r w:rsidRPr="007321E4">
        <w:t xml:space="preserve"> </w:t>
      </w:r>
      <w:proofErr w:type="gramStart"/>
      <w:r w:rsidRPr="007321E4">
        <w:t xml:space="preserve">Appellate Body Reports, </w:t>
      </w:r>
      <w:r w:rsidRPr="007321E4">
        <w:rPr>
          <w:i/>
        </w:rPr>
        <w:t xml:space="preserve">EC – Seal Products, </w:t>
      </w:r>
      <w:r w:rsidRPr="007321E4">
        <w:t>para.</w:t>
      </w:r>
      <w:proofErr w:type="gramEnd"/>
      <w:r w:rsidRPr="007321E4">
        <w:t> </w:t>
      </w:r>
      <w:proofErr w:type="gramStart"/>
      <w:r w:rsidRPr="007321E4">
        <w:t xml:space="preserve">5.297 (referring to Appellate Body Report, </w:t>
      </w:r>
      <w:r w:rsidR="00E86DA3" w:rsidRPr="007321E4">
        <w:br/>
      </w:r>
      <w:r w:rsidRPr="007321E4">
        <w:rPr>
          <w:i/>
        </w:rPr>
        <w:t>US – Shrimp</w:t>
      </w:r>
      <w:r w:rsidRPr="007321E4">
        <w:t>, para. 156).</w:t>
      </w:r>
      <w:proofErr w:type="gramEnd"/>
      <w:r w:rsidRPr="007321E4">
        <w:t xml:space="preserve"> See also para. 5.301.</w:t>
      </w:r>
    </w:p>
  </w:footnote>
  <w:footnote w:id="268">
    <w:p w:rsidR="006A4249" w:rsidRPr="007321E4" w:rsidRDefault="006A4249" w:rsidP="009C365D">
      <w:pPr>
        <w:pStyle w:val="FootnoteText"/>
      </w:pPr>
      <w:r w:rsidRPr="007321E4">
        <w:rPr>
          <w:rStyle w:val="FootnoteReference"/>
        </w:rPr>
        <w:footnoteRef/>
      </w:r>
      <w:r w:rsidRPr="007321E4">
        <w:t xml:space="preserve"> Indonesia's appellant's submission, para. 161. </w:t>
      </w:r>
    </w:p>
  </w:footnote>
  <w:footnote w:id="269">
    <w:p w:rsidR="006A4249" w:rsidRPr="007321E4" w:rsidRDefault="006A4249" w:rsidP="009C365D">
      <w:pPr>
        <w:pStyle w:val="FootnoteText"/>
      </w:pPr>
      <w:r w:rsidRPr="007321E4">
        <w:rPr>
          <w:rStyle w:val="FootnoteReference"/>
        </w:rPr>
        <w:footnoteRef/>
      </w:r>
      <w:r w:rsidRPr="007321E4">
        <w:t xml:space="preserve"> See also Panel Report, para. 8.1</w:t>
      </w:r>
      <w:proofErr w:type="gramStart"/>
      <w:r w:rsidRPr="007321E4">
        <w:t>.c.vi</w:t>
      </w:r>
      <w:proofErr w:type="gramEnd"/>
      <w:r w:rsidRPr="007321E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49" w:rsidRPr="003D2A3D" w:rsidRDefault="006A4249" w:rsidP="00F75818">
    <w:pPr>
      <w:pStyle w:val="Header"/>
      <w:pBdr>
        <w:bottom w:val="single" w:sz="4" w:space="1" w:color="auto"/>
      </w:pBdr>
      <w:tabs>
        <w:tab w:val="clear" w:pos="4513"/>
        <w:tab w:val="clear" w:pos="9027"/>
      </w:tabs>
      <w:jc w:val="center"/>
      <w:rPr>
        <w:lang w:val="de-DE"/>
      </w:rPr>
    </w:pPr>
    <w:r w:rsidRPr="003D2A3D">
      <w:rPr>
        <w:lang w:val="de-DE"/>
      </w:rPr>
      <w:t>WT/DS477/AB/R • WT/DS478/AB/R</w:t>
    </w:r>
  </w:p>
  <w:p w:rsidR="006A4249" w:rsidRPr="003D2A3D" w:rsidRDefault="006A4249" w:rsidP="00F75818">
    <w:pPr>
      <w:pStyle w:val="Header"/>
      <w:pBdr>
        <w:bottom w:val="single" w:sz="4" w:space="1" w:color="auto"/>
      </w:pBdr>
      <w:tabs>
        <w:tab w:val="clear" w:pos="4513"/>
        <w:tab w:val="clear" w:pos="9027"/>
      </w:tabs>
      <w:jc w:val="center"/>
      <w:rPr>
        <w:lang w:val="de-DE"/>
      </w:rPr>
    </w:pPr>
  </w:p>
  <w:p w:rsidR="006A4249" w:rsidRPr="00F75818" w:rsidRDefault="006A4249" w:rsidP="00F75818">
    <w:pPr>
      <w:pStyle w:val="Header"/>
      <w:pBdr>
        <w:bottom w:val="single" w:sz="4" w:space="1" w:color="auto"/>
      </w:pBdr>
      <w:tabs>
        <w:tab w:val="clear" w:pos="4513"/>
        <w:tab w:val="clear" w:pos="9027"/>
      </w:tabs>
      <w:jc w:val="center"/>
    </w:pPr>
    <w:r w:rsidRPr="00F75818">
      <w:t xml:space="preserve">- </w:t>
    </w:r>
    <w:r w:rsidRPr="00F75818">
      <w:fldChar w:fldCharType="begin"/>
    </w:r>
    <w:r w:rsidRPr="00F75818">
      <w:instrText xml:space="preserve"> PAGE </w:instrText>
    </w:r>
    <w:r w:rsidRPr="00F75818">
      <w:fldChar w:fldCharType="separate"/>
    </w:r>
    <w:r w:rsidR="00B45989">
      <w:rPr>
        <w:noProof/>
      </w:rPr>
      <w:t>2</w:t>
    </w:r>
    <w:r w:rsidRPr="00F75818">
      <w:fldChar w:fldCharType="end"/>
    </w:r>
    <w:r w:rsidRPr="00F75818">
      <w:t xml:space="preserve"> -</w:t>
    </w:r>
  </w:p>
  <w:p w:rsidR="006A4249" w:rsidRPr="00F75818" w:rsidRDefault="006A4249" w:rsidP="00F7581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49" w:rsidRPr="003D2A3D" w:rsidRDefault="006A4249" w:rsidP="00F75818">
    <w:pPr>
      <w:pStyle w:val="Header"/>
      <w:pBdr>
        <w:bottom w:val="single" w:sz="4" w:space="1" w:color="auto"/>
      </w:pBdr>
      <w:tabs>
        <w:tab w:val="clear" w:pos="4513"/>
        <w:tab w:val="clear" w:pos="9027"/>
      </w:tabs>
      <w:jc w:val="center"/>
      <w:rPr>
        <w:lang w:val="de-DE"/>
      </w:rPr>
    </w:pPr>
    <w:r w:rsidRPr="003D2A3D">
      <w:rPr>
        <w:lang w:val="de-DE"/>
      </w:rPr>
      <w:t>WT/DS477/AB/R • WT/DS478/AB/R</w:t>
    </w:r>
  </w:p>
  <w:p w:rsidR="006A4249" w:rsidRPr="003D2A3D" w:rsidRDefault="006A4249" w:rsidP="00F75818">
    <w:pPr>
      <w:pStyle w:val="Header"/>
      <w:pBdr>
        <w:bottom w:val="single" w:sz="4" w:space="1" w:color="auto"/>
      </w:pBdr>
      <w:tabs>
        <w:tab w:val="clear" w:pos="4513"/>
        <w:tab w:val="clear" w:pos="9027"/>
      </w:tabs>
      <w:jc w:val="center"/>
      <w:rPr>
        <w:lang w:val="de-DE"/>
      </w:rPr>
    </w:pPr>
  </w:p>
  <w:p w:rsidR="006A4249" w:rsidRPr="00F75818" w:rsidRDefault="006A4249" w:rsidP="00F75818">
    <w:pPr>
      <w:pStyle w:val="Header"/>
      <w:pBdr>
        <w:bottom w:val="single" w:sz="4" w:space="1" w:color="auto"/>
      </w:pBdr>
      <w:tabs>
        <w:tab w:val="clear" w:pos="4513"/>
        <w:tab w:val="clear" w:pos="9027"/>
      </w:tabs>
      <w:jc w:val="center"/>
    </w:pPr>
    <w:r w:rsidRPr="00F75818">
      <w:t xml:space="preserve">- </w:t>
    </w:r>
    <w:r w:rsidRPr="00F75818">
      <w:fldChar w:fldCharType="begin"/>
    </w:r>
    <w:r w:rsidRPr="00F75818">
      <w:instrText xml:space="preserve"> PAGE </w:instrText>
    </w:r>
    <w:r w:rsidRPr="00F75818">
      <w:fldChar w:fldCharType="separate"/>
    </w:r>
    <w:r w:rsidR="00B45989">
      <w:rPr>
        <w:noProof/>
      </w:rPr>
      <w:t>43</w:t>
    </w:r>
    <w:r w:rsidRPr="00F75818">
      <w:fldChar w:fldCharType="end"/>
    </w:r>
    <w:r w:rsidRPr="00F75818">
      <w:t xml:space="preserve"> -</w:t>
    </w:r>
  </w:p>
  <w:p w:rsidR="006A4249" w:rsidRPr="00F75818" w:rsidRDefault="006A4249" w:rsidP="00F7581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A4249" w:rsidRPr="00EF273A" w:rsidTr="00590D3F">
      <w:trPr>
        <w:gridAfter w:val="2"/>
        <w:wAfter w:w="5448" w:type="dxa"/>
        <w:trHeight w:val="240"/>
        <w:jc w:val="center"/>
      </w:trPr>
      <w:tc>
        <w:tcPr>
          <w:tcW w:w="3794" w:type="dxa"/>
          <w:shd w:val="clear" w:color="auto" w:fill="FFFFFF"/>
          <w:tcMar>
            <w:left w:w="108" w:type="dxa"/>
            <w:right w:w="108" w:type="dxa"/>
          </w:tcMar>
          <w:vAlign w:val="center"/>
        </w:tcPr>
        <w:p w:rsidR="006A4249" w:rsidRPr="00EF273A" w:rsidRDefault="006A4249" w:rsidP="00F75818">
          <w:pPr>
            <w:rPr>
              <w:noProof/>
              <w:lang w:eastAsia="en-GB"/>
            </w:rPr>
          </w:pPr>
          <w:bookmarkStart w:id="182" w:name="bmkRestricted" w:colFirst="1" w:colLast="1"/>
        </w:p>
      </w:tc>
    </w:tr>
    <w:bookmarkEnd w:id="182"/>
    <w:tr w:rsidR="006A4249" w:rsidRPr="00EF273A" w:rsidTr="00590D3F">
      <w:trPr>
        <w:trHeight w:val="213"/>
        <w:jc w:val="center"/>
      </w:trPr>
      <w:tc>
        <w:tcPr>
          <w:tcW w:w="3794" w:type="dxa"/>
          <w:vMerge w:val="restart"/>
          <w:shd w:val="clear" w:color="auto" w:fill="FFFFFF"/>
          <w:tcMar>
            <w:left w:w="0" w:type="dxa"/>
            <w:right w:w="0" w:type="dxa"/>
          </w:tcMar>
        </w:tcPr>
        <w:p w:rsidR="006A4249" w:rsidRPr="00EF273A" w:rsidRDefault="006A4249" w:rsidP="00F75818">
          <w:pPr>
            <w:jc w:val="left"/>
          </w:pPr>
          <w:r>
            <w:rPr>
              <w:noProof/>
              <w:lang w:val="en-US"/>
            </w:rPr>
            <w:drawing>
              <wp:inline distT="0" distB="0" distL="0" distR="0" wp14:anchorId="5248A788" wp14:editId="484FE353">
                <wp:extent cx="24003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6A4249" w:rsidRPr="00EF273A" w:rsidRDefault="006A4249" w:rsidP="00F75818">
          <w:pPr>
            <w:jc w:val="right"/>
            <w:rPr>
              <w:b/>
              <w:szCs w:val="16"/>
            </w:rPr>
          </w:pPr>
        </w:p>
      </w:tc>
    </w:tr>
    <w:tr w:rsidR="006A4249" w:rsidRPr="00F60353" w:rsidTr="00590D3F">
      <w:trPr>
        <w:trHeight w:val="868"/>
        <w:jc w:val="center"/>
      </w:trPr>
      <w:tc>
        <w:tcPr>
          <w:tcW w:w="3794" w:type="dxa"/>
          <w:vMerge/>
          <w:shd w:val="clear" w:color="auto" w:fill="FFFFFF"/>
          <w:tcMar>
            <w:left w:w="108" w:type="dxa"/>
            <w:right w:w="108" w:type="dxa"/>
          </w:tcMar>
        </w:tcPr>
        <w:p w:rsidR="006A4249" w:rsidRPr="00EF273A" w:rsidRDefault="006A4249" w:rsidP="00F75818">
          <w:pPr>
            <w:jc w:val="left"/>
            <w:rPr>
              <w:noProof/>
              <w:lang w:eastAsia="en-GB"/>
            </w:rPr>
          </w:pPr>
        </w:p>
      </w:tc>
      <w:tc>
        <w:tcPr>
          <w:tcW w:w="5448" w:type="dxa"/>
          <w:gridSpan w:val="2"/>
          <w:shd w:val="clear" w:color="auto" w:fill="FFFFFF"/>
          <w:tcMar>
            <w:left w:w="108" w:type="dxa"/>
            <w:right w:w="108" w:type="dxa"/>
          </w:tcMar>
        </w:tcPr>
        <w:p w:rsidR="006A4249" w:rsidRPr="003D2A3D" w:rsidRDefault="006A4249" w:rsidP="00F75818">
          <w:pPr>
            <w:jc w:val="right"/>
            <w:rPr>
              <w:b/>
              <w:szCs w:val="16"/>
              <w:lang w:val="de-DE"/>
            </w:rPr>
          </w:pPr>
          <w:bookmarkStart w:id="183" w:name="bmkSymbols"/>
          <w:r w:rsidRPr="003D2A3D">
            <w:rPr>
              <w:b/>
              <w:szCs w:val="16"/>
              <w:lang w:val="de-DE"/>
            </w:rPr>
            <w:t>WT/DS477/AB/R</w:t>
          </w:r>
        </w:p>
        <w:p w:rsidR="006A4249" w:rsidRPr="003D2A3D" w:rsidRDefault="006A4249" w:rsidP="00F75818">
          <w:pPr>
            <w:jc w:val="right"/>
            <w:rPr>
              <w:b/>
              <w:szCs w:val="16"/>
              <w:lang w:val="de-DE"/>
            </w:rPr>
          </w:pPr>
          <w:r w:rsidRPr="003D2A3D">
            <w:rPr>
              <w:b/>
              <w:szCs w:val="16"/>
              <w:lang w:val="de-DE"/>
            </w:rPr>
            <w:t>WT/DS478/AB/R</w:t>
          </w:r>
        </w:p>
        <w:bookmarkEnd w:id="183"/>
        <w:p w:rsidR="006A4249" w:rsidRPr="003D2A3D" w:rsidRDefault="006A4249" w:rsidP="00F75818">
          <w:pPr>
            <w:jc w:val="right"/>
            <w:rPr>
              <w:b/>
              <w:szCs w:val="16"/>
              <w:lang w:val="de-DE"/>
            </w:rPr>
          </w:pPr>
        </w:p>
      </w:tc>
    </w:tr>
    <w:tr w:rsidR="006A4249" w:rsidRPr="00EF273A" w:rsidTr="00590D3F">
      <w:trPr>
        <w:trHeight w:val="240"/>
        <w:jc w:val="center"/>
      </w:trPr>
      <w:tc>
        <w:tcPr>
          <w:tcW w:w="3794" w:type="dxa"/>
          <w:vMerge/>
          <w:shd w:val="clear" w:color="auto" w:fill="FFFFFF"/>
          <w:tcMar>
            <w:left w:w="108" w:type="dxa"/>
            <w:right w:w="108" w:type="dxa"/>
          </w:tcMar>
          <w:vAlign w:val="center"/>
        </w:tcPr>
        <w:p w:rsidR="006A4249" w:rsidRPr="003D2A3D" w:rsidRDefault="006A4249" w:rsidP="00F75818">
          <w:pPr>
            <w:rPr>
              <w:lang w:val="de-DE"/>
            </w:rPr>
          </w:pPr>
        </w:p>
      </w:tc>
      <w:tc>
        <w:tcPr>
          <w:tcW w:w="5448" w:type="dxa"/>
          <w:gridSpan w:val="2"/>
          <w:shd w:val="clear" w:color="auto" w:fill="FFFFFF"/>
          <w:tcMar>
            <w:left w:w="108" w:type="dxa"/>
            <w:right w:w="108" w:type="dxa"/>
          </w:tcMar>
          <w:vAlign w:val="center"/>
        </w:tcPr>
        <w:p w:rsidR="006A4249" w:rsidRPr="00EF273A" w:rsidRDefault="006A4249" w:rsidP="00A02D5E">
          <w:pPr>
            <w:jc w:val="right"/>
            <w:rPr>
              <w:szCs w:val="16"/>
            </w:rPr>
          </w:pPr>
          <w:r>
            <w:rPr>
              <w:szCs w:val="16"/>
            </w:rPr>
            <w:t>9 November 2017</w:t>
          </w:r>
        </w:p>
      </w:tc>
    </w:tr>
    <w:tr w:rsidR="006A4249" w:rsidRPr="00EF273A" w:rsidTr="00590D3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6A4249" w:rsidRPr="00EF273A" w:rsidRDefault="008001B8" w:rsidP="008001B8">
          <w:pPr>
            <w:jc w:val="left"/>
            <w:rPr>
              <w:b/>
            </w:rPr>
          </w:pPr>
          <w:bookmarkStart w:id="184" w:name="bmkSerial" w:colFirst="0" w:colLast="0"/>
          <w:r>
            <w:rPr>
              <w:color w:val="FF0000"/>
              <w:szCs w:val="16"/>
            </w:rPr>
            <w:t>(17</w:t>
          </w:r>
          <w:r w:rsidR="006A4249" w:rsidRPr="00EF273A">
            <w:rPr>
              <w:color w:val="FF0000"/>
              <w:szCs w:val="16"/>
            </w:rPr>
            <w:t>-</w:t>
          </w:r>
          <w:r>
            <w:rPr>
              <w:color w:val="FF0000"/>
              <w:szCs w:val="16"/>
            </w:rPr>
            <w:t>6051</w:t>
          </w:r>
          <w:r w:rsidR="006A4249"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6A4249" w:rsidRPr="00EF273A" w:rsidRDefault="006A4249" w:rsidP="00F75818">
          <w:pPr>
            <w:jc w:val="right"/>
            <w:rPr>
              <w:szCs w:val="16"/>
            </w:rPr>
          </w:pPr>
          <w:bookmarkStart w:id="185"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sidR="00B45989">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sidR="00B45989">
            <w:rPr>
              <w:bCs/>
              <w:noProof/>
              <w:szCs w:val="16"/>
            </w:rPr>
            <w:t>44</w:t>
          </w:r>
          <w:r w:rsidRPr="00EF273A">
            <w:rPr>
              <w:bCs/>
              <w:szCs w:val="16"/>
            </w:rPr>
            <w:fldChar w:fldCharType="end"/>
          </w:r>
          <w:bookmarkEnd w:id="185"/>
        </w:p>
      </w:tc>
    </w:tr>
    <w:tr w:rsidR="006A4249" w:rsidRPr="00EF273A" w:rsidTr="00590D3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6A4249" w:rsidRPr="00EF273A" w:rsidRDefault="006A4249" w:rsidP="00F75818">
          <w:pPr>
            <w:jc w:val="left"/>
            <w:rPr>
              <w:sz w:val="14"/>
              <w:szCs w:val="16"/>
            </w:rPr>
          </w:pPr>
          <w:bookmarkStart w:id="186" w:name="bmkCommittee"/>
          <w:bookmarkStart w:id="187" w:name="bmkLanguage" w:colFirst="1" w:colLast="1"/>
          <w:bookmarkEnd w:id="184"/>
          <w:r w:rsidRPr="00EF273A">
            <w:rPr>
              <w:b/>
            </w:rPr>
            <w:t xml:space="preserve"> </w:t>
          </w:r>
          <w:bookmarkEnd w:id="186"/>
        </w:p>
      </w:tc>
      <w:tc>
        <w:tcPr>
          <w:tcW w:w="3325" w:type="dxa"/>
          <w:tcBorders>
            <w:top w:val="single" w:sz="4" w:space="0" w:color="auto"/>
          </w:tcBorders>
          <w:tcMar>
            <w:top w:w="113" w:type="dxa"/>
            <w:left w:w="108" w:type="dxa"/>
            <w:bottom w:w="57" w:type="dxa"/>
            <w:right w:w="108" w:type="dxa"/>
          </w:tcMar>
          <w:vAlign w:val="center"/>
        </w:tcPr>
        <w:p w:rsidR="006A4249" w:rsidRPr="00EF273A" w:rsidRDefault="006A4249" w:rsidP="00F75818">
          <w:pPr>
            <w:jc w:val="right"/>
            <w:rPr>
              <w:bCs/>
              <w:szCs w:val="18"/>
            </w:rPr>
          </w:pPr>
          <w:r>
            <w:rPr>
              <w:szCs w:val="18"/>
            </w:rPr>
            <w:t xml:space="preserve"> </w:t>
          </w:r>
        </w:p>
      </w:tc>
    </w:tr>
    <w:bookmarkEnd w:id="187"/>
  </w:tbl>
  <w:p w:rsidR="006A4249" w:rsidRDefault="006A4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5">
    <w:nsid w:val="2E7A314A"/>
    <w:multiLevelType w:val="hybridMultilevel"/>
    <w:tmpl w:val="4F1A2616"/>
    <w:lvl w:ilvl="0" w:tplc="D7100DD0">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7">
    <w:nsid w:val="57454AB1"/>
    <w:multiLevelType w:val="multilevel"/>
    <w:tmpl w:val="075A666C"/>
    <w:numStyleLink w:val="LegalHeadings"/>
  </w:abstractNum>
  <w:abstractNum w:abstractNumId="8">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9">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1">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426"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284"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2">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851"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3">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4">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6">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7">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8">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9">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0">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1">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2">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3">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4">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5">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6">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7">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8">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9">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0">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1">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2">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3">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4">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5">
    <w:abstractNumId w:val="7"/>
    <w:lvlOverride w:ilvl="0">
      <w:lvl w:ilvl="0">
        <w:start w:val="1"/>
        <w:numFmt w:val="decimal"/>
        <w:pStyle w:val="Heading1"/>
        <w:isLgl/>
        <w:suff w:val="nothing"/>
        <w:lvlText w:val="%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6">
    <w:abstractNumId w:val="8"/>
  </w:num>
  <w:num w:numId="37">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8">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9">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40">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41">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4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defaultTabStop w:val="567"/>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18"/>
    <w:rsid w:val="0000216D"/>
    <w:rsid w:val="000109EF"/>
    <w:rsid w:val="000218FB"/>
    <w:rsid w:val="000272F6"/>
    <w:rsid w:val="00031F1C"/>
    <w:rsid w:val="00037AC4"/>
    <w:rsid w:val="00041362"/>
    <w:rsid w:val="00043638"/>
    <w:rsid w:val="0004509E"/>
    <w:rsid w:val="000460BC"/>
    <w:rsid w:val="00046F6E"/>
    <w:rsid w:val="000513FF"/>
    <w:rsid w:val="00055F0A"/>
    <w:rsid w:val="00056C06"/>
    <w:rsid w:val="0006042C"/>
    <w:rsid w:val="0007018B"/>
    <w:rsid w:val="00075B5A"/>
    <w:rsid w:val="00080D6D"/>
    <w:rsid w:val="000849F2"/>
    <w:rsid w:val="000853C4"/>
    <w:rsid w:val="0009034E"/>
    <w:rsid w:val="000919E4"/>
    <w:rsid w:val="000A48A1"/>
    <w:rsid w:val="000A4945"/>
    <w:rsid w:val="000A5E09"/>
    <w:rsid w:val="000B31E1"/>
    <w:rsid w:val="000B747F"/>
    <w:rsid w:val="000C09BE"/>
    <w:rsid w:val="000C423E"/>
    <w:rsid w:val="000C446F"/>
    <w:rsid w:val="000C73C1"/>
    <w:rsid w:val="000D5138"/>
    <w:rsid w:val="000D5DDF"/>
    <w:rsid w:val="000E1722"/>
    <w:rsid w:val="000E6D82"/>
    <w:rsid w:val="000F032D"/>
    <w:rsid w:val="000F15B3"/>
    <w:rsid w:val="00107E09"/>
    <w:rsid w:val="0011299A"/>
    <w:rsid w:val="0011356B"/>
    <w:rsid w:val="00120F56"/>
    <w:rsid w:val="001222F5"/>
    <w:rsid w:val="00124974"/>
    <w:rsid w:val="00126CA1"/>
    <w:rsid w:val="0013222B"/>
    <w:rsid w:val="0013337F"/>
    <w:rsid w:val="00134557"/>
    <w:rsid w:val="00134F2F"/>
    <w:rsid w:val="001425B8"/>
    <w:rsid w:val="001437DD"/>
    <w:rsid w:val="00147204"/>
    <w:rsid w:val="0015124A"/>
    <w:rsid w:val="0017001C"/>
    <w:rsid w:val="001722EB"/>
    <w:rsid w:val="001778B8"/>
    <w:rsid w:val="00177A25"/>
    <w:rsid w:val="00182B84"/>
    <w:rsid w:val="00190BF6"/>
    <w:rsid w:val="0019175A"/>
    <w:rsid w:val="001A4DD9"/>
    <w:rsid w:val="001A7D7D"/>
    <w:rsid w:val="001B7C09"/>
    <w:rsid w:val="001C0D17"/>
    <w:rsid w:val="001C1C5A"/>
    <w:rsid w:val="001D11E3"/>
    <w:rsid w:val="001D2A2D"/>
    <w:rsid w:val="001D3EBA"/>
    <w:rsid w:val="001E291F"/>
    <w:rsid w:val="001E2D38"/>
    <w:rsid w:val="001F2C03"/>
    <w:rsid w:val="001F3539"/>
    <w:rsid w:val="00200A10"/>
    <w:rsid w:val="00205001"/>
    <w:rsid w:val="002057DA"/>
    <w:rsid w:val="002076F0"/>
    <w:rsid w:val="002108BA"/>
    <w:rsid w:val="00233408"/>
    <w:rsid w:val="002351B5"/>
    <w:rsid w:val="00244E48"/>
    <w:rsid w:val="00252DC7"/>
    <w:rsid w:val="002533C2"/>
    <w:rsid w:val="002544FD"/>
    <w:rsid w:val="00254DD9"/>
    <w:rsid w:val="00262412"/>
    <w:rsid w:val="002636CE"/>
    <w:rsid w:val="0027067B"/>
    <w:rsid w:val="00272144"/>
    <w:rsid w:val="00275234"/>
    <w:rsid w:val="00284B80"/>
    <w:rsid w:val="00293100"/>
    <w:rsid w:val="00294E2D"/>
    <w:rsid w:val="00297062"/>
    <w:rsid w:val="002C5BBA"/>
    <w:rsid w:val="002C6242"/>
    <w:rsid w:val="002C7641"/>
    <w:rsid w:val="002D1D5A"/>
    <w:rsid w:val="002D2846"/>
    <w:rsid w:val="002D3569"/>
    <w:rsid w:val="002E39BA"/>
    <w:rsid w:val="002E3DD8"/>
    <w:rsid w:val="002E73D5"/>
    <w:rsid w:val="002F3FED"/>
    <w:rsid w:val="00303A38"/>
    <w:rsid w:val="003046B9"/>
    <w:rsid w:val="00306521"/>
    <w:rsid w:val="003102FD"/>
    <w:rsid w:val="00311B42"/>
    <w:rsid w:val="00313986"/>
    <w:rsid w:val="00313FBC"/>
    <w:rsid w:val="00317399"/>
    <w:rsid w:val="0032243F"/>
    <w:rsid w:val="00327882"/>
    <w:rsid w:val="00330044"/>
    <w:rsid w:val="003310FF"/>
    <w:rsid w:val="003372EB"/>
    <w:rsid w:val="00342E3F"/>
    <w:rsid w:val="00344B66"/>
    <w:rsid w:val="003572B4"/>
    <w:rsid w:val="00360A03"/>
    <w:rsid w:val="00366292"/>
    <w:rsid w:val="00386D5A"/>
    <w:rsid w:val="003912A8"/>
    <w:rsid w:val="003924D9"/>
    <w:rsid w:val="003B6630"/>
    <w:rsid w:val="003D2A3D"/>
    <w:rsid w:val="003D2B81"/>
    <w:rsid w:val="003E3C32"/>
    <w:rsid w:val="003E4F7F"/>
    <w:rsid w:val="0041000B"/>
    <w:rsid w:val="00415A2A"/>
    <w:rsid w:val="004212F8"/>
    <w:rsid w:val="004276B6"/>
    <w:rsid w:val="00433227"/>
    <w:rsid w:val="00435927"/>
    <w:rsid w:val="004410D1"/>
    <w:rsid w:val="00460BE9"/>
    <w:rsid w:val="004621BE"/>
    <w:rsid w:val="00462D6B"/>
    <w:rsid w:val="00467032"/>
    <w:rsid w:val="0046754A"/>
    <w:rsid w:val="004773D7"/>
    <w:rsid w:val="00480923"/>
    <w:rsid w:val="00484E2A"/>
    <w:rsid w:val="0048565D"/>
    <w:rsid w:val="00493EC6"/>
    <w:rsid w:val="004B4AB9"/>
    <w:rsid w:val="004B4DD3"/>
    <w:rsid w:val="004C43DE"/>
    <w:rsid w:val="004D1640"/>
    <w:rsid w:val="004E2D50"/>
    <w:rsid w:val="004E61BF"/>
    <w:rsid w:val="004F1D28"/>
    <w:rsid w:val="004F203A"/>
    <w:rsid w:val="005017F2"/>
    <w:rsid w:val="00501C04"/>
    <w:rsid w:val="00501D15"/>
    <w:rsid w:val="00504AA7"/>
    <w:rsid w:val="00504B43"/>
    <w:rsid w:val="0050585A"/>
    <w:rsid w:val="00507B35"/>
    <w:rsid w:val="00515E17"/>
    <w:rsid w:val="005160F2"/>
    <w:rsid w:val="00527D93"/>
    <w:rsid w:val="005336B8"/>
    <w:rsid w:val="005365C5"/>
    <w:rsid w:val="00541E57"/>
    <w:rsid w:val="00546AA4"/>
    <w:rsid w:val="00546EB5"/>
    <w:rsid w:val="00547D33"/>
    <w:rsid w:val="005516FA"/>
    <w:rsid w:val="00553DF5"/>
    <w:rsid w:val="00561A72"/>
    <w:rsid w:val="00564339"/>
    <w:rsid w:val="0058524E"/>
    <w:rsid w:val="00590D3F"/>
    <w:rsid w:val="00590F95"/>
    <w:rsid w:val="00591F12"/>
    <w:rsid w:val="00593574"/>
    <w:rsid w:val="00594E8E"/>
    <w:rsid w:val="005979E5"/>
    <w:rsid w:val="005B04B9"/>
    <w:rsid w:val="005B661D"/>
    <w:rsid w:val="005B68C7"/>
    <w:rsid w:val="005C03A5"/>
    <w:rsid w:val="005C0937"/>
    <w:rsid w:val="005D46C1"/>
    <w:rsid w:val="005D5981"/>
    <w:rsid w:val="005E1BC2"/>
    <w:rsid w:val="005F1779"/>
    <w:rsid w:val="005F19DC"/>
    <w:rsid w:val="005F30CB"/>
    <w:rsid w:val="005F5782"/>
    <w:rsid w:val="005F6B99"/>
    <w:rsid w:val="0060586D"/>
    <w:rsid w:val="00612C36"/>
    <w:rsid w:val="00632532"/>
    <w:rsid w:val="0064135C"/>
    <w:rsid w:val="00646CB0"/>
    <w:rsid w:val="00650959"/>
    <w:rsid w:val="00651D1C"/>
    <w:rsid w:val="00652FD1"/>
    <w:rsid w:val="0066560A"/>
    <w:rsid w:val="00674CCD"/>
    <w:rsid w:val="00677AB1"/>
    <w:rsid w:val="006864C0"/>
    <w:rsid w:val="00696900"/>
    <w:rsid w:val="006A2C3A"/>
    <w:rsid w:val="006A4249"/>
    <w:rsid w:val="006B61F2"/>
    <w:rsid w:val="006B7F24"/>
    <w:rsid w:val="006C31A4"/>
    <w:rsid w:val="006C6DBC"/>
    <w:rsid w:val="006D500F"/>
    <w:rsid w:val="006E2A52"/>
    <w:rsid w:val="006E3195"/>
    <w:rsid w:val="006E3D9B"/>
    <w:rsid w:val="006E6C52"/>
    <w:rsid w:val="006F0FB8"/>
    <w:rsid w:val="006F5826"/>
    <w:rsid w:val="006F7087"/>
    <w:rsid w:val="00700181"/>
    <w:rsid w:val="00702ADD"/>
    <w:rsid w:val="00702D6C"/>
    <w:rsid w:val="00702DF1"/>
    <w:rsid w:val="00705BD7"/>
    <w:rsid w:val="007126AA"/>
    <w:rsid w:val="007141CF"/>
    <w:rsid w:val="0072324C"/>
    <w:rsid w:val="00725B63"/>
    <w:rsid w:val="007321E4"/>
    <w:rsid w:val="00732CE3"/>
    <w:rsid w:val="00740C21"/>
    <w:rsid w:val="00740F7E"/>
    <w:rsid w:val="00742E65"/>
    <w:rsid w:val="00743082"/>
    <w:rsid w:val="0074451D"/>
    <w:rsid w:val="007452BB"/>
    <w:rsid w:val="007500F7"/>
    <w:rsid w:val="007504F1"/>
    <w:rsid w:val="00755151"/>
    <w:rsid w:val="00755876"/>
    <w:rsid w:val="007572D5"/>
    <w:rsid w:val="007577E3"/>
    <w:rsid w:val="00757BD5"/>
    <w:rsid w:val="00760DB3"/>
    <w:rsid w:val="00765563"/>
    <w:rsid w:val="007823ED"/>
    <w:rsid w:val="00787481"/>
    <w:rsid w:val="007913AF"/>
    <w:rsid w:val="007A0DD1"/>
    <w:rsid w:val="007A16D0"/>
    <w:rsid w:val="007B1044"/>
    <w:rsid w:val="007B58E7"/>
    <w:rsid w:val="007B6136"/>
    <w:rsid w:val="007C1146"/>
    <w:rsid w:val="007D229C"/>
    <w:rsid w:val="007D3860"/>
    <w:rsid w:val="007D5131"/>
    <w:rsid w:val="007D669A"/>
    <w:rsid w:val="007D7734"/>
    <w:rsid w:val="007E433B"/>
    <w:rsid w:val="007E6507"/>
    <w:rsid w:val="007E6CE6"/>
    <w:rsid w:val="007F2B8E"/>
    <w:rsid w:val="007F59AC"/>
    <w:rsid w:val="007F7D7E"/>
    <w:rsid w:val="008001B8"/>
    <w:rsid w:val="00802052"/>
    <w:rsid w:val="00803935"/>
    <w:rsid w:val="00803DC0"/>
    <w:rsid w:val="00803F4B"/>
    <w:rsid w:val="008045B7"/>
    <w:rsid w:val="00807247"/>
    <w:rsid w:val="00821DAB"/>
    <w:rsid w:val="00822ED6"/>
    <w:rsid w:val="00824111"/>
    <w:rsid w:val="008253CD"/>
    <w:rsid w:val="008266BA"/>
    <w:rsid w:val="008401D0"/>
    <w:rsid w:val="00840C2B"/>
    <w:rsid w:val="008437B9"/>
    <w:rsid w:val="00851431"/>
    <w:rsid w:val="00852C9F"/>
    <w:rsid w:val="00853E06"/>
    <w:rsid w:val="0086032B"/>
    <w:rsid w:val="00866EA5"/>
    <w:rsid w:val="00871E87"/>
    <w:rsid w:val="008739FD"/>
    <w:rsid w:val="00874BBD"/>
    <w:rsid w:val="008778C6"/>
    <w:rsid w:val="00880647"/>
    <w:rsid w:val="00883106"/>
    <w:rsid w:val="00883B00"/>
    <w:rsid w:val="00884E7F"/>
    <w:rsid w:val="0088624E"/>
    <w:rsid w:val="00896709"/>
    <w:rsid w:val="00897725"/>
    <w:rsid w:val="008A4A3D"/>
    <w:rsid w:val="008B046F"/>
    <w:rsid w:val="008B1E7B"/>
    <w:rsid w:val="008B2FAE"/>
    <w:rsid w:val="008B570B"/>
    <w:rsid w:val="008C2FE1"/>
    <w:rsid w:val="008C34C8"/>
    <w:rsid w:val="008C6BD7"/>
    <w:rsid w:val="008D08DB"/>
    <w:rsid w:val="008D1BF4"/>
    <w:rsid w:val="008D4BD3"/>
    <w:rsid w:val="008D4CA2"/>
    <w:rsid w:val="008E128A"/>
    <w:rsid w:val="008E372C"/>
    <w:rsid w:val="008F467B"/>
    <w:rsid w:val="00900E91"/>
    <w:rsid w:val="00901398"/>
    <w:rsid w:val="009025F2"/>
    <w:rsid w:val="00923D76"/>
    <w:rsid w:val="00924958"/>
    <w:rsid w:val="00926F99"/>
    <w:rsid w:val="00927E6F"/>
    <w:rsid w:val="00935D28"/>
    <w:rsid w:val="00940E2C"/>
    <w:rsid w:val="00954909"/>
    <w:rsid w:val="00955B72"/>
    <w:rsid w:val="0096013B"/>
    <w:rsid w:val="009739BD"/>
    <w:rsid w:val="00980B6A"/>
    <w:rsid w:val="00981A66"/>
    <w:rsid w:val="00984DB3"/>
    <w:rsid w:val="00996FD9"/>
    <w:rsid w:val="009A15B9"/>
    <w:rsid w:val="009A4D4B"/>
    <w:rsid w:val="009A5494"/>
    <w:rsid w:val="009A6E71"/>
    <w:rsid w:val="009A6F54"/>
    <w:rsid w:val="009B57A7"/>
    <w:rsid w:val="009C365D"/>
    <w:rsid w:val="009D3BE8"/>
    <w:rsid w:val="009D6B77"/>
    <w:rsid w:val="009E153A"/>
    <w:rsid w:val="009E31A6"/>
    <w:rsid w:val="009E63A6"/>
    <w:rsid w:val="009E7AB3"/>
    <w:rsid w:val="009F417A"/>
    <w:rsid w:val="009F622D"/>
    <w:rsid w:val="00A0096B"/>
    <w:rsid w:val="00A01B58"/>
    <w:rsid w:val="00A02D5E"/>
    <w:rsid w:val="00A04BD0"/>
    <w:rsid w:val="00A12991"/>
    <w:rsid w:val="00A158A3"/>
    <w:rsid w:val="00A17260"/>
    <w:rsid w:val="00A232FD"/>
    <w:rsid w:val="00A23CB2"/>
    <w:rsid w:val="00A310E0"/>
    <w:rsid w:val="00A374F3"/>
    <w:rsid w:val="00A56DCB"/>
    <w:rsid w:val="00A6057A"/>
    <w:rsid w:val="00A6456F"/>
    <w:rsid w:val="00A74017"/>
    <w:rsid w:val="00A75A19"/>
    <w:rsid w:val="00A81F1E"/>
    <w:rsid w:val="00A843E6"/>
    <w:rsid w:val="00A93A56"/>
    <w:rsid w:val="00AA017B"/>
    <w:rsid w:val="00AA332C"/>
    <w:rsid w:val="00AA3C82"/>
    <w:rsid w:val="00AB38C7"/>
    <w:rsid w:val="00AC0E1B"/>
    <w:rsid w:val="00AC27F8"/>
    <w:rsid w:val="00AD025E"/>
    <w:rsid w:val="00AD4C72"/>
    <w:rsid w:val="00AE2AEE"/>
    <w:rsid w:val="00AE5269"/>
    <w:rsid w:val="00AE6964"/>
    <w:rsid w:val="00AF4063"/>
    <w:rsid w:val="00B113BC"/>
    <w:rsid w:val="00B16972"/>
    <w:rsid w:val="00B230EC"/>
    <w:rsid w:val="00B252B1"/>
    <w:rsid w:val="00B41F29"/>
    <w:rsid w:val="00B44E6E"/>
    <w:rsid w:val="00B45645"/>
    <w:rsid w:val="00B45989"/>
    <w:rsid w:val="00B4612C"/>
    <w:rsid w:val="00B53F2D"/>
    <w:rsid w:val="00B62791"/>
    <w:rsid w:val="00B6775C"/>
    <w:rsid w:val="00B70131"/>
    <w:rsid w:val="00B705A0"/>
    <w:rsid w:val="00B7063B"/>
    <w:rsid w:val="00B726D8"/>
    <w:rsid w:val="00B74D90"/>
    <w:rsid w:val="00B75C27"/>
    <w:rsid w:val="00B8018D"/>
    <w:rsid w:val="00B801D8"/>
    <w:rsid w:val="00B83542"/>
    <w:rsid w:val="00B83572"/>
    <w:rsid w:val="00B9312E"/>
    <w:rsid w:val="00BA5E87"/>
    <w:rsid w:val="00BB1F84"/>
    <w:rsid w:val="00BB60F3"/>
    <w:rsid w:val="00BB7DD3"/>
    <w:rsid w:val="00BC7481"/>
    <w:rsid w:val="00BD1929"/>
    <w:rsid w:val="00BD1D70"/>
    <w:rsid w:val="00BD631A"/>
    <w:rsid w:val="00BE5468"/>
    <w:rsid w:val="00BF2209"/>
    <w:rsid w:val="00BF55AB"/>
    <w:rsid w:val="00BF71E7"/>
    <w:rsid w:val="00C00F29"/>
    <w:rsid w:val="00C111B9"/>
    <w:rsid w:val="00C11EAC"/>
    <w:rsid w:val="00C134FF"/>
    <w:rsid w:val="00C136C6"/>
    <w:rsid w:val="00C13FBD"/>
    <w:rsid w:val="00C27356"/>
    <w:rsid w:val="00C30F2A"/>
    <w:rsid w:val="00C321C9"/>
    <w:rsid w:val="00C3730B"/>
    <w:rsid w:val="00C43456"/>
    <w:rsid w:val="00C4575B"/>
    <w:rsid w:val="00C53991"/>
    <w:rsid w:val="00C5576D"/>
    <w:rsid w:val="00C65C0C"/>
    <w:rsid w:val="00C6629B"/>
    <w:rsid w:val="00C70D41"/>
    <w:rsid w:val="00C80436"/>
    <w:rsid w:val="00C808FC"/>
    <w:rsid w:val="00C82090"/>
    <w:rsid w:val="00C87040"/>
    <w:rsid w:val="00C87FA6"/>
    <w:rsid w:val="00C934CF"/>
    <w:rsid w:val="00C96FF7"/>
    <w:rsid w:val="00C97D49"/>
    <w:rsid w:val="00CA2FF9"/>
    <w:rsid w:val="00CB4EF3"/>
    <w:rsid w:val="00CB55EA"/>
    <w:rsid w:val="00CB5EEC"/>
    <w:rsid w:val="00CD18E5"/>
    <w:rsid w:val="00CD3C9B"/>
    <w:rsid w:val="00CD7D97"/>
    <w:rsid w:val="00CE371F"/>
    <w:rsid w:val="00CE3EE6"/>
    <w:rsid w:val="00CE4BA1"/>
    <w:rsid w:val="00CE72EE"/>
    <w:rsid w:val="00CF1F30"/>
    <w:rsid w:val="00CF22BF"/>
    <w:rsid w:val="00CF2D55"/>
    <w:rsid w:val="00D000C7"/>
    <w:rsid w:val="00D00A2A"/>
    <w:rsid w:val="00D0148B"/>
    <w:rsid w:val="00D10050"/>
    <w:rsid w:val="00D11B1E"/>
    <w:rsid w:val="00D13B82"/>
    <w:rsid w:val="00D1453D"/>
    <w:rsid w:val="00D17387"/>
    <w:rsid w:val="00D17555"/>
    <w:rsid w:val="00D25414"/>
    <w:rsid w:val="00D2787B"/>
    <w:rsid w:val="00D362BC"/>
    <w:rsid w:val="00D363E4"/>
    <w:rsid w:val="00D45D81"/>
    <w:rsid w:val="00D509E7"/>
    <w:rsid w:val="00D52436"/>
    <w:rsid w:val="00D52A9D"/>
    <w:rsid w:val="00D55AAD"/>
    <w:rsid w:val="00D67D6E"/>
    <w:rsid w:val="00D747AE"/>
    <w:rsid w:val="00D9226C"/>
    <w:rsid w:val="00DA20BD"/>
    <w:rsid w:val="00DA3B07"/>
    <w:rsid w:val="00DA4D86"/>
    <w:rsid w:val="00DB6E61"/>
    <w:rsid w:val="00DC5947"/>
    <w:rsid w:val="00DD6EC2"/>
    <w:rsid w:val="00DE2205"/>
    <w:rsid w:val="00DE2375"/>
    <w:rsid w:val="00DE409E"/>
    <w:rsid w:val="00DE50DB"/>
    <w:rsid w:val="00DF62CA"/>
    <w:rsid w:val="00DF6AE1"/>
    <w:rsid w:val="00E020F9"/>
    <w:rsid w:val="00E07D81"/>
    <w:rsid w:val="00E117B9"/>
    <w:rsid w:val="00E11B32"/>
    <w:rsid w:val="00E126A3"/>
    <w:rsid w:val="00E15E02"/>
    <w:rsid w:val="00E17A9C"/>
    <w:rsid w:val="00E221CC"/>
    <w:rsid w:val="00E2633F"/>
    <w:rsid w:val="00E30A1F"/>
    <w:rsid w:val="00E35FED"/>
    <w:rsid w:val="00E42C69"/>
    <w:rsid w:val="00E44285"/>
    <w:rsid w:val="00E46FD5"/>
    <w:rsid w:val="00E51DB6"/>
    <w:rsid w:val="00E5385E"/>
    <w:rsid w:val="00E544BB"/>
    <w:rsid w:val="00E56545"/>
    <w:rsid w:val="00E63532"/>
    <w:rsid w:val="00E64B97"/>
    <w:rsid w:val="00E66336"/>
    <w:rsid w:val="00E76698"/>
    <w:rsid w:val="00E80966"/>
    <w:rsid w:val="00E86460"/>
    <w:rsid w:val="00E86DA3"/>
    <w:rsid w:val="00E877F6"/>
    <w:rsid w:val="00E943F5"/>
    <w:rsid w:val="00EA1C9F"/>
    <w:rsid w:val="00EA5D4F"/>
    <w:rsid w:val="00EB3087"/>
    <w:rsid w:val="00EB6C56"/>
    <w:rsid w:val="00EC146C"/>
    <w:rsid w:val="00EC29A7"/>
    <w:rsid w:val="00EC44C2"/>
    <w:rsid w:val="00EC46E6"/>
    <w:rsid w:val="00EC59AA"/>
    <w:rsid w:val="00ED4414"/>
    <w:rsid w:val="00ED509B"/>
    <w:rsid w:val="00ED54E0"/>
    <w:rsid w:val="00ED7390"/>
    <w:rsid w:val="00EF25AE"/>
    <w:rsid w:val="00EF273A"/>
    <w:rsid w:val="00F03B66"/>
    <w:rsid w:val="00F1250A"/>
    <w:rsid w:val="00F167F7"/>
    <w:rsid w:val="00F1738C"/>
    <w:rsid w:val="00F32397"/>
    <w:rsid w:val="00F35F90"/>
    <w:rsid w:val="00F3663E"/>
    <w:rsid w:val="00F40595"/>
    <w:rsid w:val="00F42295"/>
    <w:rsid w:val="00F60353"/>
    <w:rsid w:val="00F63349"/>
    <w:rsid w:val="00F72513"/>
    <w:rsid w:val="00F75818"/>
    <w:rsid w:val="00F75F41"/>
    <w:rsid w:val="00F77640"/>
    <w:rsid w:val="00F83A75"/>
    <w:rsid w:val="00F84E00"/>
    <w:rsid w:val="00F91EAA"/>
    <w:rsid w:val="00F955A7"/>
    <w:rsid w:val="00FA5EBC"/>
    <w:rsid w:val="00FB03D2"/>
    <w:rsid w:val="00FB0817"/>
    <w:rsid w:val="00FC1676"/>
    <w:rsid w:val="00FC2903"/>
    <w:rsid w:val="00FC6B64"/>
    <w:rsid w:val="00FD1D5D"/>
    <w:rsid w:val="00FD224A"/>
    <w:rsid w:val="00FD4EBB"/>
    <w:rsid w:val="00FE2730"/>
    <w:rsid w:val="00FE2FBE"/>
    <w:rsid w:val="00FE4110"/>
    <w:rsid w:val="00FE6A88"/>
    <w:rsid w:val="00FF09A2"/>
    <w:rsid w:val="00FF0C1B"/>
    <w:rsid w:val="00FF0DC2"/>
    <w:rsid w:val="00FF4616"/>
    <w:rsid w:val="00FF6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uiPriority="5"/>
    <w:lsdException w:name="footer" w:uiPriority="5"/>
    <w:lsdException w:name="caption" w:uiPriority="6" w:qFormat="1"/>
    <w:lsdException w:name="table of figures" w:uiPriority="39"/>
    <w:lsdException w:name="footnote reference" w:uiPriority="0" w:qFormat="1"/>
    <w:lsdException w:name="endnote reference"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11" w:unhideWhenUsed="0" w:qFormat="1"/>
    <w:lsdException w:name="Body Text 2" w:semiHidden="0" w:uiPriority="1" w:unhideWhenUsed="0" w:qFormat="1"/>
    <w:lsdException w:name="Body Text 3" w:semiHidden="0" w:uiPriority="1" w:unhideWhenUsed="0" w:qFormat="1"/>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60F2"/>
    <w:pPr>
      <w:jc w:val="both"/>
    </w:pPr>
    <w:rPr>
      <w:rFonts w:ascii="Verdana" w:hAnsi="Verdana"/>
      <w:sz w:val="18"/>
      <w:szCs w:val="22"/>
      <w:lang w:eastAsia="en-US"/>
    </w:rPr>
  </w:style>
  <w:style w:type="paragraph" w:styleId="Heading1">
    <w:name w:val="heading 1"/>
    <w:basedOn w:val="Normal"/>
    <w:next w:val="Heading2"/>
    <w:uiPriority w:val="2"/>
    <w:qFormat/>
    <w:rsid w:val="005160F2"/>
    <w:pPr>
      <w:keepNext/>
      <w:keepLines/>
      <w:numPr>
        <w:numId w:val="10"/>
      </w:numPr>
      <w:spacing w:after="240"/>
      <w:outlineLvl w:val="0"/>
    </w:pPr>
    <w:rPr>
      <w:rFonts w:eastAsia="Times New Roman"/>
      <w:b/>
      <w:bCs/>
      <w:caps/>
      <w:color w:val="006283"/>
      <w:szCs w:val="28"/>
      <w:lang w:eastAsia="en-GB"/>
    </w:rPr>
  </w:style>
  <w:style w:type="paragraph" w:styleId="Heading2">
    <w:name w:val="heading 2"/>
    <w:basedOn w:val="Normal"/>
    <w:next w:val="Heading3"/>
    <w:uiPriority w:val="2"/>
    <w:qFormat/>
    <w:rsid w:val="005160F2"/>
    <w:pPr>
      <w:keepNext/>
      <w:keepLines/>
      <w:numPr>
        <w:ilvl w:val="1"/>
        <w:numId w:val="10"/>
      </w:numPr>
      <w:spacing w:after="240"/>
      <w:outlineLvl w:val="1"/>
    </w:pPr>
    <w:rPr>
      <w:rFonts w:eastAsia="Times New Roman"/>
      <w:b/>
      <w:bCs/>
      <w:color w:val="006283"/>
      <w:szCs w:val="26"/>
      <w:lang w:eastAsia="en-GB"/>
    </w:rPr>
  </w:style>
  <w:style w:type="paragraph" w:styleId="Heading3">
    <w:name w:val="heading 3"/>
    <w:basedOn w:val="Normal"/>
    <w:next w:val="Heading4"/>
    <w:uiPriority w:val="2"/>
    <w:qFormat/>
    <w:rsid w:val="005160F2"/>
    <w:pPr>
      <w:keepNext/>
      <w:keepLines/>
      <w:numPr>
        <w:ilvl w:val="2"/>
        <w:numId w:val="10"/>
      </w:numPr>
      <w:spacing w:after="240"/>
      <w:outlineLvl w:val="2"/>
    </w:pPr>
    <w:rPr>
      <w:rFonts w:eastAsia="Times New Roman"/>
      <w:b/>
      <w:bCs/>
      <w:color w:val="006283"/>
      <w:szCs w:val="20"/>
      <w:lang w:eastAsia="en-GB"/>
    </w:rPr>
  </w:style>
  <w:style w:type="paragraph" w:styleId="Heading4">
    <w:name w:val="heading 4"/>
    <w:basedOn w:val="Normal"/>
    <w:next w:val="Heading5"/>
    <w:uiPriority w:val="2"/>
    <w:qFormat/>
    <w:rsid w:val="005160F2"/>
    <w:pPr>
      <w:keepNext/>
      <w:keepLines/>
      <w:numPr>
        <w:ilvl w:val="3"/>
        <w:numId w:val="10"/>
      </w:numPr>
      <w:spacing w:after="240"/>
      <w:outlineLvl w:val="3"/>
    </w:pPr>
    <w:rPr>
      <w:rFonts w:eastAsia="Times New Roman"/>
      <w:b/>
      <w:bCs/>
      <w:iCs/>
      <w:color w:val="006283"/>
      <w:szCs w:val="20"/>
      <w:lang w:eastAsia="en-GB"/>
    </w:rPr>
  </w:style>
  <w:style w:type="paragraph" w:styleId="Heading5">
    <w:name w:val="heading 5"/>
    <w:basedOn w:val="Normal"/>
    <w:next w:val="Heading6"/>
    <w:uiPriority w:val="2"/>
    <w:qFormat/>
    <w:rsid w:val="005160F2"/>
    <w:pPr>
      <w:keepNext/>
      <w:keepLines/>
      <w:numPr>
        <w:ilvl w:val="4"/>
        <w:numId w:val="10"/>
      </w:numPr>
      <w:spacing w:after="240"/>
      <w:outlineLvl w:val="4"/>
    </w:pPr>
    <w:rPr>
      <w:rFonts w:eastAsia="Times New Roman"/>
      <w:b/>
      <w:color w:val="006283"/>
      <w:szCs w:val="20"/>
      <w:lang w:eastAsia="en-GB"/>
    </w:rPr>
  </w:style>
  <w:style w:type="paragraph" w:styleId="Heading6">
    <w:name w:val="heading 6"/>
    <w:basedOn w:val="Normal"/>
    <w:next w:val="BodyText"/>
    <w:uiPriority w:val="2"/>
    <w:qFormat/>
    <w:rsid w:val="005160F2"/>
    <w:pPr>
      <w:keepNext/>
      <w:keepLines/>
      <w:numPr>
        <w:ilvl w:val="5"/>
        <w:numId w:val="10"/>
      </w:numPr>
      <w:spacing w:after="240"/>
      <w:outlineLvl w:val="5"/>
    </w:pPr>
    <w:rPr>
      <w:rFonts w:eastAsia="Times New Roman"/>
      <w:b/>
      <w:iCs/>
      <w:color w:val="006283"/>
      <w:szCs w:val="20"/>
      <w:lang w:eastAsia="en-GB"/>
    </w:rPr>
  </w:style>
  <w:style w:type="paragraph" w:styleId="Heading7">
    <w:name w:val="heading 7"/>
    <w:basedOn w:val="Normal"/>
    <w:next w:val="Normal"/>
    <w:uiPriority w:val="2"/>
    <w:rsid w:val="005160F2"/>
    <w:pPr>
      <w:keepNext/>
      <w:keepLines/>
      <w:spacing w:after="240"/>
      <w:outlineLvl w:val="6"/>
    </w:pPr>
    <w:rPr>
      <w:rFonts w:eastAsia="Times New Roman"/>
      <w:b/>
      <w:iCs/>
      <w:color w:val="006283"/>
      <w:szCs w:val="20"/>
      <w:lang w:eastAsia="en-GB"/>
    </w:rPr>
  </w:style>
  <w:style w:type="paragraph" w:styleId="Heading8">
    <w:name w:val="heading 8"/>
    <w:basedOn w:val="Normal"/>
    <w:next w:val="Normal"/>
    <w:uiPriority w:val="2"/>
    <w:rsid w:val="005160F2"/>
    <w:pPr>
      <w:keepNext/>
      <w:keepLines/>
      <w:spacing w:after="240"/>
      <w:outlineLvl w:val="7"/>
    </w:pPr>
    <w:rPr>
      <w:rFonts w:eastAsia="Times New Roman"/>
      <w:b/>
      <w:i/>
      <w:color w:val="006283"/>
      <w:szCs w:val="20"/>
      <w:lang w:eastAsia="en-GB"/>
    </w:rPr>
  </w:style>
  <w:style w:type="paragraph" w:styleId="Heading9">
    <w:name w:val="heading 9"/>
    <w:basedOn w:val="Normal"/>
    <w:next w:val="Normal"/>
    <w:uiPriority w:val="2"/>
    <w:rsid w:val="005160F2"/>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5"/>
    <w:qFormat/>
    <w:rsid w:val="005160F2"/>
    <w:pPr>
      <w:spacing w:before="480" w:after="240"/>
      <w:contextualSpacing/>
      <w:jc w:val="center"/>
    </w:pPr>
    <w:rPr>
      <w:rFonts w:eastAsia="Times New Roman"/>
      <w:b/>
      <w:caps/>
      <w:color w:val="006283"/>
      <w:kern w:val="28"/>
      <w:szCs w:val="52"/>
      <w:lang w:eastAsia="en-GB"/>
    </w:rPr>
  </w:style>
  <w:style w:type="paragraph" w:styleId="BodyText">
    <w:name w:val="Body Text"/>
    <w:basedOn w:val="Normal"/>
    <w:uiPriority w:val="1"/>
    <w:qFormat/>
    <w:rsid w:val="00ED4414"/>
    <w:pPr>
      <w:numPr>
        <w:ilvl w:val="6"/>
        <w:numId w:val="10"/>
      </w:numPr>
      <w:spacing w:after="240"/>
    </w:pPr>
    <w:rPr>
      <w:szCs w:val="20"/>
      <w:lang w:eastAsia="en-GB"/>
    </w:rPr>
  </w:style>
  <w:style w:type="paragraph" w:styleId="BodyText2">
    <w:name w:val="Body Text 2"/>
    <w:basedOn w:val="Normal"/>
    <w:uiPriority w:val="1"/>
    <w:qFormat/>
    <w:rsid w:val="00ED4414"/>
    <w:pPr>
      <w:numPr>
        <w:ilvl w:val="7"/>
        <w:numId w:val="10"/>
      </w:numPr>
      <w:spacing w:after="240"/>
    </w:pPr>
    <w:rPr>
      <w:szCs w:val="20"/>
      <w:lang w:eastAsia="en-GB"/>
    </w:rPr>
  </w:style>
  <w:style w:type="paragraph" w:styleId="BodyText3">
    <w:name w:val="Body Text 3"/>
    <w:basedOn w:val="Normal"/>
    <w:uiPriority w:val="1"/>
    <w:qFormat/>
    <w:rsid w:val="00ED4414"/>
    <w:pPr>
      <w:numPr>
        <w:ilvl w:val="8"/>
        <w:numId w:val="10"/>
      </w:numPr>
      <w:spacing w:after="240"/>
    </w:pPr>
    <w:rPr>
      <w:szCs w:val="16"/>
      <w:lang w:eastAsia="en-GB"/>
    </w:rPr>
  </w:style>
  <w:style w:type="numbering" w:customStyle="1" w:styleId="LegalHeadings">
    <w:name w:val="LegalHeadings"/>
    <w:uiPriority w:val="99"/>
    <w:rsid w:val="005160F2"/>
    <w:pPr>
      <w:numPr>
        <w:numId w:val="36"/>
      </w:numPr>
    </w:pPr>
  </w:style>
  <w:style w:type="paragraph" w:styleId="ListBullet">
    <w:name w:val="List Bullet"/>
    <w:basedOn w:val="Normal"/>
    <w:uiPriority w:val="1"/>
    <w:rsid w:val="005160F2"/>
    <w:pPr>
      <w:numPr>
        <w:numId w:val="3"/>
      </w:numPr>
      <w:spacing w:after="240"/>
    </w:pPr>
  </w:style>
  <w:style w:type="paragraph" w:styleId="ListBullet2">
    <w:name w:val="List Bullet 2"/>
    <w:basedOn w:val="Normal"/>
    <w:uiPriority w:val="1"/>
    <w:rsid w:val="005160F2"/>
    <w:pPr>
      <w:numPr>
        <w:ilvl w:val="1"/>
        <w:numId w:val="3"/>
      </w:numPr>
      <w:spacing w:after="240"/>
    </w:pPr>
  </w:style>
  <w:style w:type="paragraph" w:styleId="ListBullet3">
    <w:name w:val="List Bullet 3"/>
    <w:basedOn w:val="Normal"/>
    <w:uiPriority w:val="1"/>
    <w:rsid w:val="005160F2"/>
    <w:pPr>
      <w:numPr>
        <w:ilvl w:val="2"/>
        <w:numId w:val="3"/>
      </w:numPr>
      <w:spacing w:after="240"/>
    </w:pPr>
  </w:style>
  <w:style w:type="paragraph" w:styleId="ListBullet4">
    <w:name w:val="List Bullet 4"/>
    <w:basedOn w:val="Normal"/>
    <w:uiPriority w:val="1"/>
    <w:rsid w:val="005160F2"/>
    <w:pPr>
      <w:numPr>
        <w:ilvl w:val="3"/>
        <w:numId w:val="3"/>
      </w:numPr>
      <w:spacing w:after="240"/>
      <w:ind w:left="1587" w:hanging="340"/>
    </w:pPr>
  </w:style>
  <w:style w:type="paragraph" w:styleId="ListBullet5">
    <w:name w:val="List Bullet 5"/>
    <w:basedOn w:val="Normal"/>
    <w:uiPriority w:val="1"/>
    <w:rsid w:val="005160F2"/>
    <w:pPr>
      <w:numPr>
        <w:ilvl w:val="4"/>
        <w:numId w:val="3"/>
      </w:numPr>
      <w:spacing w:after="240"/>
    </w:pPr>
  </w:style>
  <w:style w:type="numbering" w:customStyle="1" w:styleId="ListBullets">
    <w:name w:val="ListBullets"/>
    <w:uiPriority w:val="99"/>
    <w:rsid w:val="005160F2"/>
    <w:pPr>
      <w:numPr>
        <w:numId w:val="2"/>
      </w:numPr>
    </w:pPr>
  </w:style>
  <w:style w:type="paragraph" w:customStyle="1" w:styleId="Answer">
    <w:name w:val="Answer"/>
    <w:basedOn w:val="Normal"/>
    <w:uiPriority w:val="6"/>
    <w:qFormat/>
    <w:rsid w:val="005160F2"/>
    <w:pPr>
      <w:spacing w:after="240"/>
      <w:ind w:left="1077"/>
    </w:pPr>
    <w:rPr>
      <w:szCs w:val="20"/>
      <w:lang w:eastAsia="en-GB"/>
    </w:rPr>
  </w:style>
  <w:style w:type="paragraph" w:styleId="Caption">
    <w:name w:val="caption"/>
    <w:basedOn w:val="Normal"/>
    <w:next w:val="Normal"/>
    <w:uiPriority w:val="6"/>
    <w:qFormat/>
    <w:rsid w:val="005160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5160F2"/>
    <w:rPr>
      <w:vertAlign w:val="superscript"/>
    </w:rPr>
  </w:style>
  <w:style w:type="paragraph" w:styleId="FootnoteText">
    <w:name w:val="footnote text"/>
    <w:basedOn w:val="Normal"/>
    <w:link w:val="FootnoteTextChar"/>
    <w:uiPriority w:val="1"/>
    <w:qFormat/>
    <w:rsid w:val="005160F2"/>
    <w:pPr>
      <w:ind w:firstLine="567"/>
      <w:jc w:val="left"/>
    </w:pPr>
    <w:rPr>
      <w:sz w:val="16"/>
      <w:szCs w:val="18"/>
      <w:lang w:eastAsia="en-GB"/>
    </w:rPr>
  </w:style>
  <w:style w:type="paragraph" w:styleId="EndnoteText">
    <w:name w:val="endnote text"/>
    <w:basedOn w:val="FootnoteText"/>
    <w:uiPriority w:val="99"/>
    <w:rsid w:val="005160F2"/>
    <w:rPr>
      <w:szCs w:val="20"/>
    </w:rPr>
  </w:style>
  <w:style w:type="paragraph" w:customStyle="1" w:styleId="FollowUp">
    <w:name w:val="FollowUp"/>
    <w:basedOn w:val="Normal"/>
    <w:uiPriority w:val="6"/>
    <w:qFormat/>
    <w:rsid w:val="005160F2"/>
    <w:pPr>
      <w:spacing w:after="240"/>
      <w:ind w:left="720"/>
    </w:pPr>
    <w:rPr>
      <w:i/>
      <w:szCs w:val="20"/>
      <w:lang w:eastAsia="en-GB"/>
    </w:rPr>
  </w:style>
  <w:style w:type="paragraph" w:styleId="Footer">
    <w:name w:val="footer"/>
    <w:basedOn w:val="Normal"/>
    <w:uiPriority w:val="5"/>
    <w:rsid w:val="005160F2"/>
    <w:pPr>
      <w:tabs>
        <w:tab w:val="center" w:pos="4513"/>
        <w:tab w:val="right" w:pos="9027"/>
      </w:tabs>
    </w:pPr>
    <w:rPr>
      <w:szCs w:val="18"/>
      <w:lang w:eastAsia="en-GB"/>
    </w:rPr>
  </w:style>
  <w:style w:type="paragraph" w:customStyle="1" w:styleId="FootnoteQuotation">
    <w:name w:val="Footnote Quotation"/>
    <w:basedOn w:val="FootnoteText"/>
    <w:uiPriority w:val="5"/>
    <w:rsid w:val="005160F2"/>
    <w:pPr>
      <w:ind w:left="567" w:right="567" w:firstLine="0"/>
    </w:pPr>
  </w:style>
  <w:style w:type="character" w:styleId="FootnoteReference">
    <w:name w:val="footnote reference"/>
    <w:qFormat/>
    <w:rsid w:val="005160F2"/>
    <w:rPr>
      <w:vertAlign w:val="superscript"/>
    </w:rPr>
  </w:style>
  <w:style w:type="paragraph" w:styleId="Header">
    <w:name w:val="header"/>
    <w:basedOn w:val="Normal"/>
    <w:uiPriority w:val="5"/>
    <w:rsid w:val="005160F2"/>
    <w:pPr>
      <w:tabs>
        <w:tab w:val="center" w:pos="4513"/>
        <w:tab w:val="right" w:pos="9027"/>
      </w:tabs>
      <w:jc w:val="left"/>
    </w:pPr>
    <w:rPr>
      <w:szCs w:val="18"/>
      <w:lang w:eastAsia="en-GB"/>
    </w:rPr>
  </w:style>
  <w:style w:type="paragraph" w:customStyle="1" w:styleId="Quotation">
    <w:name w:val="Quotation"/>
    <w:basedOn w:val="Normal"/>
    <w:uiPriority w:val="5"/>
    <w:qFormat/>
    <w:rsid w:val="005160F2"/>
    <w:pPr>
      <w:spacing w:after="240"/>
      <w:ind w:left="567" w:right="567"/>
    </w:pPr>
    <w:rPr>
      <w:szCs w:val="18"/>
      <w:lang w:eastAsia="en-GB"/>
    </w:rPr>
  </w:style>
  <w:style w:type="paragraph" w:customStyle="1" w:styleId="QuotationDouble">
    <w:name w:val="Quotation Double"/>
    <w:basedOn w:val="Normal"/>
    <w:uiPriority w:val="5"/>
    <w:rsid w:val="005160F2"/>
    <w:pPr>
      <w:spacing w:after="240"/>
      <w:ind w:left="1134" w:right="1134"/>
    </w:pPr>
    <w:rPr>
      <w:szCs w:val="18"/>
      <w:lang w:eastAsia="en-GB"/>
    </w:rPr>
  </w:style>
  <w:style w:type="paragraph" w:styleId="TableofAuthorities">
    <w:name w:val="table of authorities"/>
    <w:basedOn w:val="Normal"/>
    <w:next w:val="Normal"/>
    <w:uiPriority w:val="39"/>
    <w:rsid w:val="005160F2"/>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5160F2"/>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5160F2"/>
    <w:pPr>
      <w:spacing w:after="360"/>
      <w:jc w:val="center"/>
    </w:pPr>
    <w:rPr>
      <w:caps/>
      <w:color w:val="006283"/>
      <w:szCs w:val="18"/>
      <w:lang w:eastAsia="en-GB"/>
    </w:rPr>
  </w:style>
  <w:style w:type="paragraph" w:customStyle="1" w:styleId="Title3">
    <w:name w:val="Title 3"/>
    <w:basedOn w:val="Normal"/>
    <w:next w:val="Normal"/>
    <w:uiPriority w:val="5"/>
    <w:qFormat/>
    <w:rsid w:val="005160F2"/>
    <w:pPr>
      <w:spacing w:after="360"/>
      <w:jc w:val="center"/>
    </w:pPr>
    <w:rPr>
      <w:i/>
      <w:color w:val="006283"/>
      <w:szCs w:val="18"/>
      <w:lang w:eastAsia="en-GB"/>
    </w:rPr>
  </w:style>
  <w:style w:type="paragraph" w:customStyle="1" w:styleId="TitleCountry">
    <w:name w:val="Title Country"/>
    <w:basedOn w:val="Normal"/>
    <w:next w:val="Normal"/>
    <w:uiPriority w:val="5"/>
    <w:qFormat/>
    <w:rsid w:val="005160F2"/>
    <w:pPr>
      <w:spacing w:after="360"/>
      <w:jc w:val="center"/>
    </w:pPr>
    <w:rPr>
      <w:smallCaps/>
      <w:color w:val="006283"/>
      <w:szCs w:val="18"/>
      <w:lang w:eastAsia="en-GB"/>
    </w:rPr>
  </w:style>
  <w:style w:type="paragraph" w:styleId="TOC1">
    <w:name w:val="toc 1"/>
    <w:basedOn w:val="Normal"/>
    <w:next w:val="Normal"/>
    <w:autoRedefine/>
    <w:uiPriority w:val="39"/>
    <w:rsid w:val="005160F2"/>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5160F2"/>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5160F2"/>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5160F2"/>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5160F2"/>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5160F2"/>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5160F2"/>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5160F2"/>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5160F2"/>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5160F2"/>
    <w:pPr>
      <w:spacing w:before="240"/>
      <w:jc w:val="center"/>
    </w:pPr>
    <w:rPr>
      <w:rFonts w:eastAsia="Times New Roman"/>
      <w:b/>
      <w:bCs/>
      <w:szCs w:val="28"/>
      <w:lang w:eastAsia="en-GB"/>
    </w:rPr>
  </w:style>
  <w:style w:type="table" w:customStyle="1" w:styleId="WTOTable2">
    <w:name w:val="WTOTable2"/>
    <w:basedOn w:val="TableNormal"/>
    <w:uiPriority w:val="99"/>
    <w:rsid w:val="005160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uiPriority w:val="99"/>
    <w:semiHidden/>
    <w:unhideWhenUsed/>
    <w:rsid w:val="005160F2"/>
    <w:rPr>
      <w:rFonts w:ascii="Tahoma" w:hAnsi="Tahoma" w:cs="Tahoma"/>
      <w:sz w:val="16"/>
      <w:szCs w:val="16"/>
      <w:lang w:eastAsia="en-GB"/>
    </w:rPr>
  </w:style>
  <w:style w:type="paragraph" w:styleId="Subtitle">
    <w:name w:val="Subtitle"/>
    <w:basedOn w:val="Normal"/>
    <w:next w:val="Normal"/>
    <w:uiPriority w:val="11"/>
    <w:qFormat/>
    <w:rsid w:val="005160F2"/>
    <w:pPr>
      <w:numPr>
        <w:ilvl w:val="1"/>
      </w:numPr>
    </w:pPr>
    <w:rPr>
      <w:rFonts w:eastAsia="Times New Roman"/>
      <w:b/>
      <w:iCs/>
      <w:szCs w:val="24"/>
      <w:lang w:eastAsia="en-GB"/>
    </w:rPr>
  </w:style>
  <w:style w:type="paragraph" w:customStyle="1" w:styleId="SummaryHeader">
    <w:name w:val="SummaryHeader"/>
    <w:basedOn w:val="Normal"/>
    <w:uiPriority w:val="4"/>
    <w:qFormat/>
    <w:rsid w:val="005160F2"/>
    <w:pPr>
      <w:spacing w:after="240"/>
      <w:outlineLvl w:val="0"/>
    </w:pPr>
    <w:rPr>
      <w:b/>
      <w:caps/>
      <w:color w:val="006283"/>
    </w:rPr>
  </w:style>
  <w:style w:type="paragraph" w:customStyle="1" w:styleId="SummarySubheader">
    <w:name w:val="SummarySubheader"/>
    <w:basedOn w:val="Normal"/>
    <w:uiPriority w:val="4"/>
    <w:qFormat/>
    <w:rsid w:val="005160F2"/>
    <w:pPr>
      <w:spacing w:after="240"/>
      <w:outlineLvl w:val="1"/>
    </w:pPr>
    <w:rPr>
      <w:b/>
      <w:color w:val="006283"/>
    </w:rPr>
  </w:style>
  <w:style w:type="paragraph" w:customStyle="1" w:styleId="SummaryText">
    <w:name w:val="SummaryText"/>
    <w:basedOn w:val="Normal"/>
    <w:uiPriority w:val="4"/>
    <w:qFormat/>
    <w:rsid w:val="005160F2"/>
    <w:pPr>
      <w:numPr>
        <w:numId w:val="4"/>
      </w:numPr>
      <w:spacing w:after="240"/>
    </w:pPr>
  </w:style>
  <w:style w:type="paragraph" w:styleId="ListParagraph">
    <w:name w:val="List Paragraph"/>
    <w:basedOn w:val="Normal"/>
    <w:uiPriority w:val="59"/>
    <w:semiHidden/>
    <w:qFormat/>
    <w:rsid w:val="005160F2"/>
    <w:pPr>
      <w:ind w:left="720"/>
      <w:contextualSpacing/>
    </w:pPr>
  </w:style>
  <w:style w:type="table" w:customStyle="1" w:styleId="WTOBox1">
    <w:name w:val="WTOBox1"/>
    <w:basedOn w:val="TableNormal"/>
    <w:uiPriority w:val="99"/>
    <w:rsid w:val="005160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5160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5160F2"/>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5160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60F2"/>
    <w:rPr>
      <w:color w:val="0000FF" w:themeColor="hyperlink"/>
      <w:u w:val="single"/>
    </w:rPr>
  </w:style>
  <w:style w:type="paragraph" w:customStyle="1" w:styleId="PanelTitle">
    <w:name w:val="PanelTitle"/>
    <w:basedOn w:val="Normal"/>
    <w:uiPriority w:val="49"/>
    <w:qFormat/>
    <w:rsid w:val="005160F2"/>
    <w:pPr>
      <w:spacing w:before="480" w:after="240"/>
      <w:contextualSpacing/>
      <w:jc w:val="center"/>
    </w:pPr>
    <w:rPr>
      <w:b/>
      <w:caps/>
      <w:color w:val="006283"/>
      <w:kern w:val="28"/>
      <w:sz w:val="22"/>
    </w:rPr>
  </w:style>
  <w:style w:type="paragraph" w:customStyle="1" w:styleId="NoteText">
    <w:name w:val="Note Text"/>
    <w:basedOn w:val="Normal"/>
    <w:uiPriority w:val="4"/>
    <w:qFormat/>
    <w:rsid w:val="005160F2"/>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5160F2"/>
  </w:style>
  <w:style w:type="paragraph" w:styleId="BlockText">
    <w:name w:val="Block Text"/>
    <w:basedOn w:val="Normal"/>
    <w:uiPriority w:val="99"/>
    <w:semiHidden/>
    <w:unhideWhenUsed/>
    <w:rsid w:val="005160F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uiPriority w:val="99"/>
    <w:semiHidden/>
    <w:unhideWhenUsed/>
    <w:rsid w:val="005160F2"/>
    <w:pPr>
      <w:numPr>
        <w:ilvl w:val="0"/>
        <w:numId w:val="0"/>
      </w:numPr>
      <w:spacing w:after="0"/>
      <w:ind w:firstLine="360"/>
    </w:pPr>
    <w:rPr>
      <w:szCs w:val="22"/>
      <w:lang w:eastAsia="en-US"/>
    </w:rPr>
  </w:style>
  <w:style w:type="paragraph" w:styleId="BodyTextIndent">
    <w:name w:val="Body Text Indent"/>
    <w:basedOn w:val="Normal"/>
    <w:uiPriority w:val="99"/>
    <w:semiHidden/>
    <w:unhideWhenUsed/>
    <w:rsid w:val="005160F2"/>
    <w:pPr>
      <w:spacing w:after="120"/>
      <w:ind w:left="283"/>
    </w:pPr>
  </w:style>
  <w:style w:type="paragraph" w:styleId="BodyTextFirstIndent2">
    <w:name w:val="Body Text First Indent 2"/>
    <w:basedOn w:val="BodyTextIndent"/>
    <w:uiPriority w:val="99"/>
    <w:semiHidden/>
    <w:unhideWhenUsed/>
    <w:rsid w:val="005160F2"/>
    <w:pPr>
      <w:spacing w:after="0"/>
      <w:ind w:left="360" w:firstLine="360"/>
    </w:pPr>
  </w:style>
  <w:style w:type="paragraph" w:styleId="BodyTextIndent2">
    <w:name w:val="Body Text Indent 2"/>
    <w:basedOn w:val="Normal"/>
    <w:uiPriority w:val="99"/>
    <w:semiHidden/>
    <w:unhideWhenUsed/>
    <w:rsid w:val="005160F2"/>
    <w:pPr>
      <w:spacing w:after="120" w:line="480" w:lineRule="auto"/>
      <w:ind w:left="283"/>
    </w:pPr>
  </w:style>
  <w:style w:type="paragraph" w:styleId="BodyTextIndent3">
    <w:name w:val="Body Text Indent 3"/>
    <w:basedOn w:val="Normal"/>
    <w:uiPriority w:val="99"/>
    <w:semiHidden/>
    <w:unhideWhenUsed/>
    <w:rsid w:val="005160F2"/>
    <w:pPr>
      <w:spacing w:after="120"/>
      <w:ind w:left="283"/>
    </w:pPr>
    <w:rPr>
      <w:sz w:val="16"/>
      <w:szCs w:val="16"/>
    </w:rPr>
  </w:style>
  <w:style w:type="character" w:styleId="BookTitle">
    <w:name w:val="Book Title"/>
    <w:basedOn w:val="DefaultParagraphFont"/>
    <w:uiPriority w:val="99"/>
    <w:semiHidden/>
    <w:qFormat/>
    <w:rsid w:val="005160F2"/>
    <w:rPr>
      <w:b/>
      <w:bCs/>
      <w:smallCaps/>
      <w:spacing w:val="5"/>
    </w:rPr>
  </w:style>
  <w:style w:type="paragraph" w:styleId="Closing">
    <w:name w:val="Closing"/>
    <w:basedOn w:val="Normal"/>
    <w:uiPriority w:val="99"/>
    <w:semiHidden/>
    <w:unhideWhenUsed/>
    <w:rsid w:val="005160F2"/>
    <w:pPr>
      <w:ind w:left="4252"/>
    </w:pPr>
  </w:style>
  <w:style w:type="character" w:styleId="CommentReference">
    <w:name w:val="annotation reference"/>
    <w:basedOn w:val="DefaultParagraphFont"/>
    <w:uiPriority w:val="99"/>
    <w:semiHidden/>
    <w:unhideWhenUsed/>
    <w:rsid w:val="005160F2"/>
    <w:rPr>
      <w:sz w:val="16"/>
      <w:szCs w:val="16"/>
    </w:rPr>
  </w:style>
  <w:style w:type="paragraph" w:styleId="CommentText">
    <w:name w:val="annotation text"/>
    <w:basedOn w:val="Normal"/>
    <w:uiPriority w:val="99"/>
    <w:unhideWhenUsed/>
    <w:rsid w:val="005160F2"/>
    <w:rPr>
      <w:sz w:val="20"/>
      <w:szCs w:val="20"/>
    </w:rPr>
  </w:style>
  <w:style w:type="paragraph" w:styleId="CommentSubject">
    <w:name w:val="annotation subject"/>
    <w:basedOn w:val="CommentText"/>
    <w:next w:val="CommentText"/>
    <w:uiPriority w:val="99"/>
    <w:unhideWhenUsed/>
    <w:rsid w:val="005160F2"/>
    <w:rPr>
      <w:b/>
      <w:bCs/>
    </w:rPr>
  </w:style>
  <w:style w:type="paragraph" w:styleId="Date">
    <w:name w:val="Date"/>
    <w:basedOn w:val="Normal"/>
    <w:next w:val="Normal"/>
    <w:uiPriority w:val="99"/>
    <w:semiHidden/>
    <w:unhideWhenUsed/>
    <w:rsid w:val="005160F2"/>
  </w:style>
  <w:style w:type="paragraph" w:styleId="DocumentMap">
    <w:name w:val="Document Map"/>
    <w:basedOn w:val="Normal"/>
    <w:uiPriority w:val="99"/>
    <w:semiHidden/>
    <w:unhideWhenUsed/>
    <w:rsid w:val="005160F2"/>
    <w:rPr>
      <w:rFonts w:ascii="Tahoma" w:hAnsi="Tahoma" w:cs="Tahoma"/>
      <w:sz w:val="16"/>
      <w:szCs w:val="16"/>
    </w:rPr>
  </w:style>
  <w:style w:type="paragraph" w:styleId="E-mailSignature">
    <w:name w:val="E-mail Signature"/>
    <w:basedOn w:val="Normal"/>
    <w:uiPriority w:val="99"/>
    <w:semiHidden/>
    <w:unhideWhenUsed/>
    <w:rsid w:val="005160F2"/>
  </w:style>
  <w:style w:type="character" w:styleId="Emphasis">
    <w:name w:val="Emphasis"/>
    <w:basedOn w:val="DefaultParagraphFont"/>
    <w:uiPriority w:val="99"/>
    <w:semiHidden/>
    <w:qFormat/>
    <w:rsid w:val="005160F2"/>
    <w:rPr>
      <w:i/>
      <w:iCs/>
    </w:rPr>
  </w:style>
  <w:style w:type="paragraph" w:styleId="EnvelopeAddress">
    <w:name w:val="envelope address"/>
    <w:basedOn w:val="Normal"/>
    <w:uiPriority w:val="99"/>
    <w:semiHidden/>
    <w:unhideWhenUsed/>
    <w:rsid w:val="005160F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60F2"/>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160F2"/>
    <w:rPr>
      <w:color w:val="800080" w:themeColor="followedHyperlink"/>
      <w:u w:val="single"/>
    </w:rPr>
  </w:style>
  <w:style w:type="character" w:styleId="HTMLAcronym">
    <w:name w:val="HTML Acronym"/>
    <w:basedOn w:val="DefaultParagraphFont"/>
    <w:uiPriority w:val="99"/>
    <w:semiHidden/>
    <w:unhideWhenUsed/>
    <w:rsid w:val="005160F2"/>
  </w:style>
  <w:style w:type="paragraph" w:styleId="HTMLAddress">
    <w:name w:val="HTML Address"/>
    <w:basedOn w:val="Normal"/>
    <w:uiPriority w:val="99"/>
    <w:semiHidden/>
    <w:unhideWhenUsed/>
    <w:rsid w:val="005160F2"/>
    <w:rPr>
      <w:i/>
      <w:iCs/>
    </w:rPr>
  </w:style>
  <w:style w:type="character" w:styleId="HTMLCite">
    <w:name w:val="HTML Cite"/>
    <w:basedOn w:val="DefaultParagraphFont"/>
    <w:uiPriority w:val="99"/>
    <w:semiHidden/>
    <w:unhideWhenUsed/>
    <w:rsid w:val="005160F2"/>
    <w:rPr>
      <w:i/>
      <w:iCs/>
    </w:rPr>
  </w:style>
  <w:style w:type="character" w:styleId="HTMLCode">
    <w:name w:val="HTML Code"/>
    <w:basedOn w:val="DefaultParagraphFont"/>
    <w:uiPriority w:val="99"/>
    <w:semiHidden/>
    <w:unhideWhenUsed/>
    <w:rsid w:val="005160F2"/>
    <w:rPr>
      <w:rFonts w:ascii="Consolas" w:hAnsi="Consolas" w:cs="Consolas"/>
      <w:sz w:val="20"/>
      <w:szCs w:val="20"/>
    </w:rPr>
  </w:style>
  <w:style w:type="character" w:styleId="HTMLDefinition">
    <w:name w:val="HTML Definition"/>
    <w:basedOn w:val="DefaultParagraphFont"/>
    <w:uiPriority w:val="99"/>
    <w:semiHidden/>
    <w:unhideWhenUsed/>
    <w:rsid w:val="005160F2"/>
    <w:rPr>
      <w:i/>
      <w:iCs/>
    </w:rPr>
  </w:style>
  <w:style w:type="character" w:styleId="HTMLKeyboard">
    <w:name w:val="HTML Keyboard"/>
    <w:basedOn w:val="DefaultParagraphFont"/>
    <w:uiPriority w:val="99"/>
    <w:semiHidden/>
    <w:unhideWhenUsed/>
    <w:rsid w:val="005160F2"/>
    <w:rPr>
      <w:rFonts w:ascii="Consolas" w:hAnsi="Consolas" w:cs="Consolas"/>
      <w:sz w:val="20"/>
      <w:szCs w:val="20"/>
    </w:rPr>
  </w:style>
  <w:style w:type="paragraph" w:styleId="HTMLPreformatted">
    <w:name w:val="HTML Preformatted"/>
    <w:basedOn w:val="Normal"/>
    <w:uiPriority w:val="99"/>
    <w:semiHidden/>
    <w:unhideWhenUsed/>
    <w:rsid w:val="005160F2"/>
    <w:rPr>
      <w:rFonts w:ascii="Consolas" w:hAnsi="Consolas" w:cs="Consolas"/>
      <w:sz w:val="20"/>
      <w:szCs w:val="20"/>
    </w:rPr>
  </w:style>
  <w:style w:type="character" w:styleId="HTMLSample">
    <w:name w:val="HTML Sample"/>
    <w:basedOn w:val="DefaultParagraphFont"/>
    <w:uiPriority w:val="99"/>
    <w:semiHidden/>
    <w:unhideWhenUsed/>
    <w:rsid w:val="005160F2"/>
    <w:rPr>
      <w:rFonts w:ascii="Consolas" w:hAnsi="Consolas" w:cs="Consolas"/>
      <w:sz w:val="24"/>
      <w:szCs w:val="24"/>
    </w:rPr>
  </w:style>
  <w:style w:type="character" w:styleId="HTMLTypewriter">
    <w:name w:val="HTML Typewriter"/>
    <w:basedOn w:val="DefaultParagraphFont"/>
    <w:uiPriority w:val="99"/>
    <w:semiHidden/>
    <w:unhideWhenUsed/>
    <w:rsid w:val="005160F2"/>
    <w:rPr>
      <w:rFonts w:ascii="Consolas" w:hAnsi="Consolas" w:cs="Consolas"/>
      <w:sz w:val="20"/>
      <w:szCs w:val="20"/>
    </w:rPr>
  </w:style>
  <w:style w:type="character" w:styleId="HTMLVariable">
    <w:name w:val="HTML Variable"/>
    <w:basedOn w:val="DefaultParagraphFont"/>
    <w:uiPriority w:val="99"/>
    <w:semiHidden/>
    <w:unhideWhenUsed/>
    <w:rsid w:val="005160F2"/>
    <w:rPr>
      <w:i/>
      <w:iCs/>
    </w:rPr>
  </w:style>
  <w:style w:type="paragraph" w:styleId="Index1">
    <w:name w:val="index 1"/>
    <w:basedOn w:val="Normal"/>
    <w:next w:val="Normal"/>
    <w:autoRedefine/>
    <w:uiPriority w:val="99"/>
    <w:semiHidden/>
    <w:unhideWhenUsed/>
    <w:rsid w:val="005160F2"/>
    <w:pPr>
      <w:ind w:left="180" w:hanging="180"/>
    </w:pPr>
  </w:style>
  <w:style w:type="paragraph" w:styleId="Index2">
    <w:name w:val="index 2"/>
    <w:basedOn w:val="Normal"/>
    <w:next w:val="Normal"/>
    <w:autoRedefine/>
    <w:uiPriority w:val="99"/>
    <w:semiHidden/>
    <w:unhideWhenUsed/>
    <w:rsid w:val="005160F2"/>
    <w:pPr>
      <w:ind w:left="360" w:hanging="180"/>
    </w:pPr>
  </w:style>
  <w:style w:type="paragraph" w:styleId="Index3">
    <w:name w:val="index 3"/>
    <w:basedOn w:val="Normal"/>
    <w:next w:val="Normal"/>
    <w:autoRedefine/>
    <w:uiPriority w:val="99"/>
    <w:semiHidden/>
    <w:unhideWhenUsed/>
    <w:rsid w:val="005160F2"/>
    <w:pPr>
      <w:ind w:left="540" w:hanging="180"/>
    </w:pPr>
  </w:style>
  <w:style w:type="paragraph" w:styleId="Index4">
    <w:name w:val="index 4"/>
    <w:basedOn w:val="Normal"/>
    <w:next w:val="Normal"/>
    <w:autoRedefine/>
    <w:uiPriority w:val="99"/>
    <w:semiHidden/>
    <w:unhideWhenUsed/>
    <w:rsid w:val="005160F2"/>
    <w:pPr>
      <w:ind w:left="720" w:hanging="180"/>
    </w:pPr>
  </w:style>
  <w:style w:type="paragraph" w:styleId="Index5">
    <w:name w:val="index 5"/>
    <w:basedOn w:val="Normal"/>
    <w:next w:val="Normal"/>
    <w:autoRedefine/>
    <w:uiPriority w:val="99"/>
    <w:semiHidden/>
    <w:unhideWhenUsed/>
    <w:rsid w:val="005160F2"/>
    <w:pPr>
      <w:ind w:left="900" w:hanging="180"/>
    </w:pPr>
  </w:style>
  <w:style w:type="paragraph" w:styleId="Index6">
    <w:name w:val="index 6"/>
    <w:basedOn w:val="Normal"/>
    <w:next w:val="Normal"/>
    <w:autoRedefine/>
    <w:uiPriority w:val="99"/>
    <w:semiHidden/>
    <w:unhideWhenUsed/>
    <w:rsid w:val="005160F2"/>
    <w:pPr>
      <w:ind w:left="1080" w:hanging="180"/>
    </w:pPr>
  </w:style>
  <w:style w:type="paragraph" w:styleId="Index7">
    <w:name w:val="index 7"/>
    <w:basedOn w:val="Normal"/>
    <w:next w:val="Normal"/>
    <w:autoRedefine/>
    <w:uiPriority w:val="99"/>
    <w:semiHidden/>
    <w:unhideWhenUsed/>
    <w:rsid w:val="005160F2"/>
    <w:pPr>
      <w:ind w:left="1260" w:hanging="180"/>
    </w:pPr>
  </w:style>
  <w:style w:type="paragraph" w:styleId="Index8">
    <w:name w:val="index 8"/>
    <w:basedOn w:val="Normal"/>
    <w:next w:val="Normal"/>
    <w:autoRedefine/>
    <w:uiPriority w:val="99"/>
    <w:semiHidden/>
    <w:unhideWhenUsed/>
    <w:rsid w:val="005160F2"/>
    <w:pPr>
      <w:ind w:left="1440" w:hanging="180"/>
    </w:pPr>
  </w:style>
  <w:style w:type="paragraph" w:styleId="Index9">
    <w:name w:val="index 9"/>
    <w:basedOn w:val="Normal"/>
    <w:next w:val="Normal"/>
    <w:autoRedefine/>
    <w:uiPriority w:val="99"/>
    <w:semiHidden/>
    <w:unhideWhenUsed/>
    <w:rsid w:val="005160F2"/>
    <w:pPr>
      <w:ind w:left="1620" w:hanging="180"/>
    </w:pPr>
  </w:style>
  <w:style w:type="paragraph" w:styleId="IndexHeading">
    <w:name w:val="index heading"/>
    <w:basedOn w:val="Normal"/>
    <w:next w:val="Index1"/>
    <w:uiPriority w:val="99"/>
    <w:semiHidden/>
    <w:unhideWhenUsed/>
    <w:rsid w:val="005160F2"/>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160F2"/>
    <w:rPr>
      <w:b/>
      <w:bCs/>
      <w:i/>
      <w:iCs/>
      <w:color w:val="4F81BD" w:themeColor="accent1"/>
    </w:rPr>
  </w:style>
  <w:style w:type="paragraph" w:styleId="IntenseQuote">
    <w:name w:val="Intense Quote"/>
    <w:basedOn w:val="Normal"/>
    <w:next w:val="Normal"/>
    <w:uiPriority w:val="99"/>
    <w:semiHidden/>
    <w:qFormat/>
    <w:rsid w:val="005160F2"/>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semiHidden/>
    <w:qFormat/>
    <w:rsid w:val="005160F2"/>
    <w:rPr>
      <w:b/>
      <w:bCs/>
      <w:smallCaps/>
      <w:color w:val="C0504D" w:themeColor="accent2"/>
      <w:spacing w:val="5"/>
      <w:u w:val="single"/>
    </w:rPr>
  </w:style>
  <w:style w:type="character" w:styleId="LineNumber">
    <w:name w:val="line number"/>
    <w:basedOn w:val="DefaultParagraphFont"/>
    <w:uiPriority w:val="99"/>
    <w:semiHidden/>
    <w:unhideWhenUsed/>
    <w:rsid w:val="005160F2"/>
  </w:style>
  <w:style w:type="paragraph" w:styleId="List">
    <w:name w:val="List"/>
    <w:basedOn w:val="Normal"/>
    <w:uiPriority w:val="99"/>
    <w:semiHidden/>
    <w:unhideWhenUsed/>
    <w:rsid w:val="005160F2"/>
    <w:pPr>
      <w:ind w:left="283" w:hanging="283"/>
      <w:contextualSpacing/>
    </w:pPr>
  </w:style>
  <w:style w:type="paragraph" w:styleId="List2">
    <w:name w:val="List 2"/>
    <w:basedOn w:val="Normal"/>
    <w:uiPriority w:val="99"/>
    <w:semiHidden/>
    <w:unhideWhenUsed/>
    <w:rsid w:val="005160F2"/>
    <w:pPr>
      <w:ind w:left="566" w:hanging="283"/>
      <w:contextualSpacing/>
    </w:pPr>
  </w:style>
  <w:style w:type="paragraph" w:styleId="List3">
    <w:name w:val="List 3"/>
    <w:basedOn w:val="Normal"/>
    <w:uiPriority w:val="99"/>
    <w:semiHidden/>
    <w:unhideWhenUsed/>
    <w:rsid w:val="005160F2"/>
    <w:pPr>
      <w:ind w:left="849" w:hanging="283"/>
      <w:contextualSpacing/>
    </w:pPr>
  </w:style>
  <w:style w:type="paragraph" w:styleId="List4">
    <w:name w:val="List 4"/>
    <w:basedOn w:val="Normal"/>
    <w:uiPriority w:val="99"/>
    <w:semiHidden/>
    <w:unhideWhenUsed/>
    <w:rsid w:val="005160F2"/>
    <w:pPr>
      <w:ind w:left="1132" w:hanging="283"/>
      <w:contextualSpacing/>
    </w:pPr>
  </w:style>
  <w:style w:type="paragraph" w:styleId="List5">
    <w:name w:val="List 5"/>
    <w:basedOn w:val="Normal"/>
    <w:uiPriority w:val="99"/>
    <w:semiHidden/>
    <w:unhideWhenUsed/>
    <w:rsid w:val="005160F2"/>
    <w:pPr>
      <w:ind w:left="1415" w:hanging="283"/>
      <w:contextualSpacing/>
    </w:pPr>
  </w:style>
  <w:style w:type="paragraph" w:styleId="ListContinue">
    <w:name w:val="List Continue"/>
    <w:basedOn w:val="Normal"/>
    <w:uiPriority w:val="99"/>
    <w:semiHidden/>
    <w:unhideWhenUsed/>
    <w:rsid w:val="005160F2"/>
    <w:pPr>
      <w:spacing w:after="120"/>
      <w:ind w:left="283"/>
      <w:contextualSpacing/>
    </w:pPr>
  </w:style>
  <w:style w:type="paragraph" w:styleId="ListContinue2">
    <w:name w:val="List Continue 2"/>
    <w:basedOn w:val="Normal"/>
    <w:uiPriority w:val="99"/>
    <w:semiHidden/>
    <w:unhideWhenUsed/>
    <w:rsid w:val="005160F2"/>
    <w:pPr>
      <w:spacing w:after="120"/>
      <w:ind w:left="566"/>
      <w:contextualSpacing/>
    </w:pPr>
  </w:style>
  <w:style w:type="paragraph" w:styleId="ListContinue3">
    <w:name w:val="List Continue 3"/>
    <w:basedOn w:val="Normal"/>
    <w:uiPriority w:val="99"/>
    <w:semiHidden/>
    <w:unhideWhenUsed/>
    <w:rsid w:val="005160F2"/>
    <w:pPr>
      <w:spacing w:after="120"/>
      <w:ind w:left="849"/>
      <w:contextualSpacing/>
    </w:pPr>
  </w:style>
  <w:style w:type="paragraph" w:styleId="ListContinue4">
    <w:name w:val="List Continue 4"/>
    <w:basedOn w:val="Normal"/>
    <w:uiPriority w:val="99"/>
    <w:semiHidden/>
    <w:unhideWhenUsed/>
    <w:rsid w:val="005160F2"/>
    <w:pPr>
      <w:spacing w:after="120"/>
      <w:ind w:left="1132"/>
      <w:contextualSpacing/>
    </w:pPr>
  </w:style>
  <w:style w:type="paragraph" w:styleId="ListContinue5">
    <w:name w:val="List Continue 5"/>
    <w:basedOn w:val="Normal"/>
    <w:uiPriority w:val="99"/>
    <w:semiHidden/>
    <w:unhideWhenUsed/>
    <w:rsid w:val="005160F2"/>
    <w:pPr>
      <w:spacing w:after="120"/>
      <w:ind w:left="1415"/>
      <w:contextualSpacing/>
    </w:pPr>
  </w:style>
  <w:style w:type="paragraph" w:styleId="ListNumber">
    <w:name w:val="List Number"/>
    <w:basedOn w:val="Normal"/>
    <w:uiPriority w:val="49"/>
    <w:semiHidden/>
    <w:unhideWhenUsed/>
    <w:rsid w:val="005160F2"/>
    <w:pPr>
      <w:numPr>
        <w:numId w:val="5"/>
      </w:numPr>
      <w:contextualSpacing/>
    </w:pPr>
  </w:style>
  <w:style w:type="paragraph" w:styleId="ListNumber2">
    <w:name w:val="List Number 2"/>
    <w:basedOn w:val="Normal"/>
    <w:uiPriority w:val="49"/>
    <w:semiHidden/>
    <w:unhideWhenUsed/>
    <w:rsid w:val="005160F2"/>
    <w:pPr>
      <w:numPr>
        <w:numId w:val="6"/>
      </w:numPr>
      <w:contextualSpacing/>
    </w:pPr>
  </w:style>
  <w:style w:type="paragraph" w:styleId="ListNumber3">
    <w:name w:val="List Number 3"/>
    <w:basedOn w:val="Normal"/>
    <w:uiPriority w:val="49"/>
    <w:semiHidden/>
    <w:unhideWhenUsed/>
    <w:rsid w:val="005160F2"/>
    <w:pPr>
      <w:numPr>
        <w:numId w:val="7"/>
      </w:numPr>
      <w:contextualSpacing/>
    </w:pPr>
  </w:style>
  <w:style w:type="paragraph" w:styleId="ListNumber4">
    <w:name w:val="List Number 4"/>
    <w:basedOn w:val="Normal"/>
    <w:uiPriority w:val="49"/>
    <w:semiHidden/>
    <w:unhideWhenUsed/>
    <w:rsid w:val="005160F2"/>
    <w:pPr>
      <w:numPr>
        <w:numId w:val="8"/>
      </w:numPr>
      <w:contextualSpacing/>
    </w:pPr>
  </w:style>
  <w:style w:type="paragraph" w:styleId="ListNumber5">
    <w:name w:val="List Number 5"/>
    <w:basedOn w:val="Normal"/>
    <w:uiPriority w:val="49"/>
    <w:semiHidden/>
    <w:unhideWhenUsed/>
    <w:rsid w:val="005160F2"/>
    <w:pPr>
      <w:numPr>
        <w:numId w:val="9"/>
      </w:numPr>
      <w:contextualSpacing/>
    </w:pPr>
  </w:style>
  <w:style w:type="paragraph" w:styleId="MacroText">
    <w:name w:val="macro"/>
    <w:uiPriority w:val="99"/>
    <w:semiHidden/>
    <w:unhideWhenUsed/>
    <w:rsid w:val="005160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paragraph" w:styleId="MessageHeader">
    <w:name w:val="Message Header"/>
    <w:basedOn w:val="Normal"/>
    <w:uiPriority w:val="99"/>
    <w:semiHidden/>
    <w:unhideWhenUsed/>
    <w:rsid w:val="005160F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5160F2"/>
    <w:pPr>
      <w:jc w:val="both"/>
    </w:pPr>
    <w:rPr>
      <w:rFonts w:ascii="Verdana" w:hAnsi="Verdana"/>
      <w:sz w:val="18"/>
      <w:szCs w:val="22"/>
      <w:lang w:eastAsia="en-US"/>
    </w:rPr>
  </w:style>
  <w:style w:type="paragraph" w:styleId="NormalWeb">
    <w:name w:val="Normal (Web)"/>
    <w:basedOn w:val="Normal"/>
    <w:uiPriority w:val="99"/>
    <w:semiHidden/>
    <w:unhideWhenUsed/>
    <w:rsid w:val="005160F2"/>
    <w:rPr>
      <w:rFonts w:ascii="Times New Roman" w:hAnsi="Times New Roman"/>
      <w:sz w:val="24"/>
      <w:szCs w:val="24"/>
    </w:rPr>
  </w:style>
  <w:style w:type="paragraph" w:styleId="NormalIndent">
    <w:name w:val="Normal Indent"/>
    <w:basedOn w:val="Normal"/>
    <w:uiPriority w:val="99"/>
    <w:semiHidden/>
    <w:unhideWhenUsed/>
    <w:rsid w:val="005160F2"/>
    <w:pPr>
      <w:ind w:left="567"/>
    </w:pPr>
  </w:style>
  <w:style w:type="paragraph" w:styleId="NoteHeading">
    <w:name w:val="Note Heading"/>
    <w:basedOn w:val="Normal"/>
    <w:next w:val="Normal"/>
    <w:uiPriority w:val="99"/>
    <w:semiHidden/>
    <w:unhideWhenUsed/>
    <w:rsid w:val="005160F2"/>
  </w:style>
  <w:style w:type="character" w:styleId="PageNumber">
    <w:name w:val="page number"/>
    <w:basedOn w:val="DefaultParagraphFont"/>
    <w:uiPriority w:val="99"/>
    <w:semiHidden/>
    <w:unhideWhenUsed/>
    <w:rsid w:val="005160F2"/>
  </w:style>
  <w:style w:type="character" w:styleId="PlaceholderText">
    <w:name w:val="Placeholder Text"/>
    <w:basedOn w:val="DefaultParagraphFont"/>
    <w:uiPriority w:val="99"/>
    <w:semiHidden/>
    <w:rsid w:val="005160F2"/>
    <w:rPr>
      <w:color w:val="808080"/>
    </w:rPr>
  </w:style>
  <w:style w:type="paragraph" w:styleId="PlainText">
    <w:name w:val="Plain Text"/>
    <w:basedOn w:val="Normal"/>
    <w:uiPriority w:val="99"/>
    <w:unhideWhenUsed/>
    <w:rsid w:val="005160F2"/>
    <w:rPr>
      <w:rFonts w:ascii="Consolas" w:hAnsi="Consolas" w:cs="Consolas"/>
      <w:sz w:val="21"/>
      <w:szCs w:val="21"/>
    </w:rPr>
  </w:style>
  <w:style w:type="paragraph" w:styleId="Quote">
    <w:name w:val="Quote"/>
    <w:basedOn w:val="Normal"/>
    <w:next w:val="Normal"/>
    <w:uiPriority w:val="99"/>
    <w:qFormat/>
    <w:rsid w:val="005160F2"/>
    <w:rPr>
      <w:i/>
      <w:iCs/>
      <w:color w:val="000000" w:themeColor="text1"/>
    </w:rPr>
  </w:style>
  <w:style w:type="paragraph" w:styleId="Salutation">
    <w:name w:val="Salutation"/>
    <w:basedOn w:val="Normal"/>
    <w:next w:val="Normal"/>
    <w:uiPriority w:val="99"/>
    <w:semiHidden/>
    <w:unhideWhenUsed/>
    <w:rsid w:val="005160F2"/>
  </w:style>
  <w:style w:type="paragraph" w:styleId="Signature">
    <w:name w:val="Signature"/>
    <w:basedOn w:val="Normal"/>
    <w:uiPriority w:val="99"/>
    <w:semiHidden/>
    <w:unhideWhenUsed/>
    <w:rsid w:val="005160F2"/>
    <w:pPr>
      <w:ind w:left="4252"/>
    </w:pPr>
  </w:style>
  <w:style w:type="character" w:styleId="Strong">
    <w:name w:val="Strong"/>
    <w:basedOn w:val="DefaultParagraphFont"/>
    <w:uiPriority w:val="99"/>
    <w:semiHidden/>
    <w:qFormat/>
    <w:rsid w:val="005160F2"/>
    <w:rPr>
      <w:b/>
      <w:bCs/>
    </w:rPr>
  </w:style>
  <w:style w:type="character" w:styleId="SubtleEmphasis">
    <w:name w:val="Subtle Emphasis"/>
    <w:basedOn w:val="DefaultParagraphFont"/>
    <w:uiPriority w:val="99"/>
    <w:semiHidden/>
    <w:qFormat/>
    <w:rsid w:val="005160F2"/>
    <w:rPr>
      <w:i/>
      <w:iCs/>
      <w:color w:val="808080" w:themeColor="text1" w:themeTint="7F"/>
    </w:rPr>
  </w:style>
  <w:style w:type="character" w:styleId="SubtleReference">
    <w:name w:val="Subtle Reference"/>
    <w:basedOn w:val="DefaultParagraphFont"/>
    <w:uiPriority w:val="99"/>
    <w:semiHidden/>
    <w:qFormat/>
    <w:rsid w:val="005160F2"/>
    <w:rPr>
      <w:smallCaps/>
      <w:color w:val="C0504D" w:themeColor="accent2"/>
      <w:u w:val="single"/>
    </w:rPr>
  </w:style>
  <w:style w:type="paragraph" w:styleId="TOAHeading">
    <w:name w:val="toa heading"/>
    <w:basedOn w:val="Normal"/>
    <w:next w:val="Normal"/>
    <w:uiPriority w:val="39"/>
    <w:unhideWhenUsed/>
    <w:rsid w:val="005160F2"/>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5365C5"/>
    <w:rPr>
      <w:rFonts w:ascii="Verdana" w:hAnsi="Verdana"/>
      <w:sz w:val="18"/>
      <w:szCs w:val="22"/>
      <w:lang w:eastAsia="en-US"/>
    </w:rPr>
  </w:style>
  <w:style w:type="character" w:customStyle="1" w:styleId="FootnoteTextChar">
    <w:name w:val="Footnote Text Char"/>
    <w:basedOn w:val="DefaultParagraphFont"/>
    <w:link w:val="FootnoteText"/>
    <w:uiPriority w:val="1"/>
    <w:rsid w:val="001C0D17"/>
    <w:rPr>
      <w:rFonts w:ascii="Verdana" w:hAnsi="Verdana"/>
      <w:sz w:val="1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uiPriority="5"/>
    <w:lsdException w:name="footer" w:uiPriority="5"/>
    <w:lsdException w:name="caption" w:uiPriority="6" w:qFormat="1"/>
    <w:lsdException w:name="table of figures" w:uiPriority="39"/>
    <w:lsdException w:name="footnote reference" w:uiPriority="0" w:qFormat="1"/>
    <w:lsdException w:name="endnote reference"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11" w:unhideWhenUsed="0" w:qFormat="1"/>
    <w:lsdException w:name="Body Text 2" w:semiHidden="0" w:uiPriority="1" w:unhideWhenUsed="0" w:qFormat="1"/>
    <w:lsdException w:name="Body Text 3" w:semiHidden="0" w:uiPriority="1" w:unhideWhenUsed="0" w:qFormat="1"/>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60F2"/>
    <w:pPr>
      <w:jc w:val="both"/>
    </w:pPr>
    <w:rPr>
      <w:rFonts w:ascii="Verdana" w:hAnsi="Verdana"/>
      <w:sz w:val="18"/>
      <w:szCs w:val="22"/>
      <w:lang w:eastAsia="en-US"/>
    </w:rPr>
  </w:style>
  <w:style w:type="paragraph" w:styleId="Heading1">
    <w:name w:val="heading 1"/>
    <w:basedOn w:val="Normal"/>
    <w:next w:val="Heading2"/>
    <w:uiPriority w:val="2"/>
    <w:qFormat/>
    <w:rsid w:val="005160F2"/>
    <w:pPr>
      <w:keepNext/>
      <w:keepLines/>
      <w:numPr>
        <w:numId w:val="10"/>
      </w:numPr>
      <w:spacing w:after="240"/>
      <w:outlineLvl w:val="0"/>
    </w:pPr>
    <w:rPr>
      <w:rFonts w:eastAsia="Times New Roman"/>
      <w:b/>
      <w:bCs/>
      <w:caps/>
      <w:color w:val="006283"/>
      <w:szCs w:val="28"/>
      <w:lang w:eastAsia="en-GB"/>
    </w:rPr>
  </w:style>
  <w:style w:type="paragraph" w:styleId="Heading2">
    <w:name w:val="heading 2"/>
    <w:basedOn w:val="Normal"/>
    <w:next w:val="Heading3"/>
    <w:uiPriority w:val="2"/>
    <w:qFormat/>
    <w:rsid w:val="005160F2"/>
    <w:pPr>
      <w:keepNext/>
      <w:keepLines/>
      <w:numPr>
        <w:ilvl w:val="1"/>
        <w:numId w:val="10"/>
      </w:numPr>
      <w:spacing w:after="240"/>
      <w:outlineLvl w:val="1"/>
    </w:pPr>
    <w:rPr>
      <w:rFonts w:eastAsia="Times New Roman"/>
      <w:b/>
      <w:bCs/>
      <w:color w:val="006283"/>
      <w:szCs w:val="26"/>
      <w:lang w:eastAsia="en-GB"/>
    </w:rPr>
  </w:style>
  <w:style w:type="paragraph" w:styleId="Heading3">
    <w:name w:val="heading 3"/>
    <w:basedOn w:val="Normal"/>
    <w:next w:val="Heading4"/>
    <w:uiPriority w:val="2"/>
    <w:qFormat/>
    <w:rsid w:val="005160F2"/>
    <w:pPr>
      <w:keepNext/>
      <w:keepLines/>
      <w:numPr>
        <w:ilvl w:val="2"/>
        <w:numId w:val="10"/>
      </w:numPr>
      <w:spacing w:after="240"/>
      <w:outlineLvl w:val="2"/>
    </w:pPr>
    <w:rPr>
      <w:rFonts w:eastAsia="Times New Roman"/>
      <w:b/>
      <w:bCs/>
      <w:color w:val="006283"/>
      <w:szCs w:val="20"/>
      <w:lang w:eastAsia="en-GB"/>
    </w:rPr>
  </w:style>
  <w:style w:type="paragraph" w:styleId="Heading4">
    <w:name w:val="heading 4"/>
    <w:basedOn w:val="Normal"/>
    <w:next w:val="Heading5"/>
    <w:uiPriority w:val="2"/>
    <w:qFormat/>
    <w:rsid w:val="005160F2"/>
    <w:pPr>
      <w:keepNext/>
      <w:keepLines/>
      <w:numPr>
        <w:ilvl w:val="3"/>
        <w:numId w:val="10"/>
      </w:numPr>
      <w:spacing w:after="240"/>
      <w:outlineLvl w:val="3"/>
    </w:pPr>
    <w:rPr>
      <w:rFonts w:eastAsia="Times New Roman"/>
      <w:b/>
      <w:bCs/>
      <w:iCs/>
      <w:color w:val="006283"/>
      <w:szCs w:val="20"/>
      <w:lang w:eastAsia="en-GB"/>
    </w:rPr>
  </w:style>
  <w:style w:type="paragraph" w:styleId="Heading5">
    <w:name w:val="heading 5"/>
    <w:basedOn w:val="Normal"/>
    <w:next w:val="Heading6"/>
    <w:uiPriority w:val="2"/>
    <w:qFormat/>
    <w:rsid w:val="005160F2"/>
    <w:pPr>
      <w:keepNext/>
      <w:keepLines/>
      <w:numPr>
        <w:ilvl w:val="4"/>
        <w:numId w:val="10"/>
      </w:numPr>
      <w:spacing w:after="240"/>
      <w:outlineLvl w:val="4"/>
    </w:pPr>
    <w:rPr>
      <w:rFonts w:eastAsia="Times New Roman"/>
      <w:b/>
      <w:color w:val="006283"/>
      <w:szCs w:val="20"/>
      <w:lang w:eastAsia="en-GB"/>
    </w:rPr>
  </w:style>
  <w:style w:type="paragraph" w:styleId="Heading6">
    <w:name w:val="heading 6"/>
    <w:basedOn w:val="Normal"/>
    <w:next w:val="BodyText"/>
    <w:uiPriority w:val="2"/>
    <w:qFormat/>
    <w:rsid w:val="005160F2"/>
    <w:pPr>
      <w:keepNext/>
      <w:keepLines/>
      <w:numPr>
        <w:ilvl w:val="5"/>
        <w:numId w:val="10"/>
      </w:numPr>
      <w:spacing w:after="240"/>
      <w:outlineLvl w:val="5"/>
    </w:pPr>
    <w:rPr>
      <w:rFonts w:eastAsia="Times New Roman"/>
      <w:b/>
      <w:iCs/>
      <w:color w:val="006283"/>
      <w:szCs w:val="20"/>
      <w:lang w:eastAsia="en-GB"/>
    </w:rPr>
  </w:style>
  <w:style w:type="paragraph" w:styleId="Heading7">
    <w:name w:val="heading 7"/>
    <w:basedOn w:val="Normal"/>
    <w:next w:val="Normal"/>
    <w:uiPriority w:val="2"/>
    <w:rsid w:val="005160F2"/>
    <w:pPr>
      <w:keepNext/>
      <w:keepLines/>
      <w:spacing w:after="240"/>
      <w:outlineLvl w:val="6"/>
    </w:pPr>
    <w:rPr>
      <w:rFonts w:eastAsia="Times New Roman"/>
      <w:b/>
      <w:iCs/>
      <w:color w:val="006283"/>
      <w:szCs w:val="20"/>
      <w:lang w:eastAsia="en-GB"/>
    </w:rPr>
  </w:style>
  <w:style w:type="paragraph" w:styleId="Heading8">
    <w:name w:val="heading 8"/>
    <w:basedOn w:val="Normal"/>
    <w:next w:val="Normal"/>
    <w:uiPriority w:val="2"/>
    <w:rsid w:val="005160F2"/>
    <w:pPr>
      <w:keepNext/>
      <w:keepLines/>
      <w:spacing w:after="240"/>
      <w:outlineLvl w:val="7"/>
    </w:pPr>
    <w:rPr>
      <w:rFonts w:eastAsia="Times New Roman"/>
      <w:b/>
      <w:i/>
      <w:color w:val="006283"/>
      <w:szCs w:val="20"/>
      <w:lang w:eastAsia="en-GB"/>
    </w:rPr>
  </w:style>
  <w:style w:type="paragraph" w:styleId="Heading9">
    <w:name w:val="heading 9"/>
    <w:basedOn w:val="Normal"/>
    <w:next w:val="Normal"/>
    <w:uiPriority w:val="2"/>
    <w:rsid w:val="005160F2"/>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5"/>
    <w:qFormat/>
    <w:rsid w:val="005160F2"/>
    <w:pPr>
      <w:spacing w:before="480" w:after="240"/>
      <w:contextualSpacing/>
      <w:jc w:val="center"/>
    </w:pPr>
    <w:rPr>
      <w:rFonts w:eastAsia="Times New Roman"/>
      <w:b/>
      <w:caps/>
      <w:color w:val="006283"/>
      <w:kern w:val="28"/>
      <w:szCs w:val="52"/>
      <w:lang w:eastAsia="en-GB"/>
    </w:rPr>
  </w:style>
  <w:style w:type="paragraph" w:styleId="BodyText">
    <w:name w:val="Body Text"/>
    <w:basedOn w:val="Normal"/>
    <w:uiPriority w:val="1"/>
    <w:qFormat/>
    <w:rsid w:val="00ED4414"/>
    <w:pPr>
      <w:numPr>
        <w:ilvl w:val="6"/>
        <w:numId w:val="10"/>
      </w:numPr>
      <w:spacing w:after="240"/>
    </w:pPr>
    <w:rPr>
      <w:szCs w:val="20"/>
      <w:lang w:eastAsia="en-GB"/>
    </w:rPr>
  </w:style>
  <w:style w:type="paragraph" w:styleId="BodyText2">
    <w:name w:val="Body Text 2"/>
    <w:basedOn w:val="Normal"/>
    <w:uiPriority w:val="1"/>
    <w:qFormat/>
    <w:rsid w:val="00ED4414"/>
    <w:pPr>
      <w:numPr>
        <w:ilvl w:val="7"/>
        <w:numId w:val="10"/>
      </w:numPr>
      <w:spacing w:after="240"/>
    </w:pPr>
    <w:rPr>
      <w:szCs w:val="20"/>
      <w:lang w:eastAsia="en-GB"/>
    </w:rPr>
  </w:style>
  <w:style w:type="paragraph" w:styleId="BodyText3">
    <w:name w:val="Body Text 3"/>
    <w:basedOn w:val="Normal"/>
    <w:uiPriority w:val="1"/>
    <w:qFormat/>
    <w:rsid w:val="00ED4414"/>
    <w:pPr>
      <w:numPr>
        <w:ilvl w:val="8"/>
        <w:numId w:val="10"/>
      </w:numPr>
      <w:spacing w:after="240"/>
    </w:pPr>
    <w:rPr>
      <w:szCs w:val="16"/>
      <w:lang w:eastAsia="en-GB"/>
    </w:rPr>
  </w:style>
  <w:style w:type="numbering" w:customStyle="1" w:styleId="LegalHeadings">
    <w:name w:val="LegalHeadings"/>
    <w:uiPriority w:val="99"/>
    <w:rsid w:val="005160F2"/>
    <w:pPr>
      <w:numPr>
        <w:numId w:val="36"/>
      </w:numPr>
    </w:pPr>
  </w:style>
  <w:style w:type="paragraph" w:styleId="ListBullet">
    <w:name w:val="List Bullet"/>
    <w:basedOn w:val="Normal"/>
    <w:uiPriority w:val="1"/>
    <w:rsid w:val="005160F2"/>
    <w:pPr>
      <w:numPr>
        <w:numId w:val="3"/>
      </w:numPr>
      <w:spacing w:after="240"/>
    </w:pPr>
  </w:style>
  <w:style w:type="paragraph" w:styleId="ListBullet2">
    <w:name w:val="List Bullet 2"/>
    <w:basedOn w:val="Normal"/>
    <w:uiPriority w:val="1"/>
    <w:rsid w:val="005160F2"/>
    <w:pPr>
      <w:numPr>
        <w:ilvl w:val="1"/>
        <w:numId w:val="3"/>
      </w:numPr>
      <w:spacing w:after="240"/>
    </w:pPr>
  </w:style>
  <w:style w:type="paragraph" w:styleId="ListBullet3">
    <w:name w:val="List Bullet 3"/>
    <w:basedOn w:val="Normal"/>
    <w:uiPriority w:val="1"/>
    <w:rsid w:val="005160F2"/>
    <w:pPr>
      <w:numPr>
        <w:ilvl w:val="2"/>
        <w:numId w:val="3"/>
      </w:numPr>
      <w:spacing w:after="240"/>
    </w:pPr>
  </w:style>
  <w:style w:type="paragraph" w:styleId="ListBullet4">
    <w:name w:val="List Bullet 4"/>
    <w:basedOn w:val="Normal"/>
    <w:uiPriority w:val="1"/>
    <w:rsid w:val="005160F2"/>
    <w:pPr>
      <w:numPr>
        <w:ilvl w:val="3"/>
        <w:numId w:val="3"/>
      </w:numPr>
      <w:spacing w:after="240"/>
      <w:ind w:left="1587" w:hanging="340"/>
    </w:pPr>
  </w:style>
  <w:style w:type="paragraph" w:styleId="ListBullet5">
    <w:name w:val="List Bullet 5"/>
    <w:basedOn w:val="Normal"/>
    <w:uiPriority w:val="1"/>
    <w:rsid w:val="005160F2"/>
    <w:pPr>
      <w:numPr>
        <w:ilvl w:val="4"/>
        <w:numId w:val="3"/>
      </w:numPr>
      <w:spacing w:after="240"/>
    </w:pPr>
  </w:style>
  <w:style w:type="numbering" w:customStyle="1" w:styleId="ListBullets">
    <w:name w:val="ListBullets"/>
    <w:uiPriority w:val="99"/>
    <w:rsid w:val="005160F2"/>
    <w:pPr>
      <w:numPr>
        <w:numId w:val="2"/>
      </w:numPr>
    </w:pPr>
  </w:style>
  <w:style w:type="paragraph" w:customStyle="1" w:styleId="Answer">
    <w:name w:val="Answer"/>
    <w:basedOn w:val="Normal"/>
    <w:uiPriority w:val="6"/>
    <w:qFormat/>
    <w:rsid w:val="005160F2"/>
    <w:pPr>
      <w:spacing w:after="240"/>
      <w:ind w:left="1077"/>
    </w:pPr>
    <w:rPr>
      <w:szCs w:val="20"/>
      <w:lang w:eastAsia="en-GB"/>
    </w:rPr>
  </w:style>
  <w:style w:type="paragraph" w:styleId="Caption">
    <w:name w:val="caption"/>
    <w:basedOn w:val="Normal"/>
    <w:next w:val="Normal"/>
    <w:uiPriority w:val="6"/>
    <w:qFormat/>
    <w:rsid w:val="005160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5160F2"/>
    <w:rPr>
      <w:vertAlign w:val="superscript"/>
    </w:rPr>
  </w:style>
  <w:style w:type="paragraph" w:styleId="FootnoteText">
    <w:name w:val="footnote text"/>
    <w:basedOn w:val="Normal"/>
    <w:link w:val="FootnoteTextChar"/>
    <w:uiPriority w:val="1"/>
    <w:qFormat/>
    <w:rsid w:val="005160F2"/>
    <w:pPr>
      <w:ind w:firstLine="567"/>
      <w:jc w:val="left"/>
    </w:pPr>
    <w:rPr>
      <w:sz w:val="16"/>
      <w:szCs w:val="18"/>
      <w:lang w:eastAsia="en-GB"/>
    </w:rPr>
  </w:style>
  <w:style w:type="paragraph" w:styleId="EndnoteText">
    <w:name w:val="endnote text"/>
    <w:basedOn w:val="FootnoteText"/>
    <w:uiPriority w:val="99"/>
    <w:rsid w:val="005160F2"/>
    <w:rPr>
      <w:szCs w:val="20"/>
    </w:rPr>
  </w:style>
  <w:style w:type="paragraph" w:customStyle="1" w:styleId="FollowUp">
    <w:name w:val="FollowUp"/>
    <w:basedOn w:val="Normal"/>
    <w:uiPriority w:val="6"/>
    <w:qFormat/>
    <w:rsid w:val="005160F2"/>
    <w:pPr>
      <w:spacing w:after="240"/>
      <w:ind w:left="720"/>
    </w:pPr>
    <w:rPr>
      <w:i/>
      <w:szCs w:val="20"/>
      <w:lang w:eastAsia="en-GB"/>
    </w:rPr>
  </w:style>
  <w:style w:type="paragraph" w:styleId="Footer">
    <w:name w:val="footer"/>
    <w:basedOn w:val="Normal"/>
    <w:uiPriority w:val="5"/>
    <w:rsid w:val="005160F2"/>
    <w:pPr>
      <w:tabs>
        <w:tab w:val="center" w:pos="4513"/>
        <w:tab w:val="right" w:pos="9027"/>
      </w:tabs>
    </w:pPr>
    <w:rPr>
      <w:szCs w:val="18"/>
      <w:lang w:eastAsia="en-GB"/>
    </w:rPr>
  </w:style>
  <w:style w:type="paragraph" w:customStyle="1" w:styleId="FootnoteQuotation">
    <w:name w:val="Footnote Quotation"/>
    <w:basedOn w:val="FootnoteText"/>
    <w:uiPriority w:val="5"/>
    <w:rsid w:val="005160F2"/>
    <w:pPr>
      <w:ind w:left="567" w:right="567" w:firstLine="0"/>
    </w:pPr>
  </w:style>
  <w:style w:type="character" w:styleId="FootnoteReference">
    <w:name w:val="footnote reference"/>
    <w:qFormat/>
    <w:rsid w:val="005160F2"/>
    <w:rPr>
      <w:vertAlign w:val="superscript"/>
    </w:rPr>
  </w:style>
  <w:style w:type="paragraph" w:styleId="Header">
    <w:name w:val="header"/>
    <w:basedOn w:val="Normal"/>
    <w:uiPriority w:val="5"/>
    <w:rsid w:val="005160F2"/>
    <w:pPr>
      <w:tabs>
        <w:tab w:val="center" w:pos="4513"/>
        <w:tab w:val="right" w:pos="9027"/>
      </w:tabs>
      <w:jc w:val="left"/>
    </w:pPr>
    <w:rPr>
      <w:szCs w:val="18"/>
      <w:lang w:eastAsia="en-GB"/>
    </w:rPr>
  </w:style>
  <w:style w:type="paragraph" w:customStyle="1" w:styleId="Quotation">
    <w:name w:val="Quotation"/>
    <w:basedOn w:val="Normal"/>
    <w:uiPriority w:val="5"/>
    <w:qFormat/>
    <w:rsid w:val="005160F2"/>
    <w:pPr>
      <w:spacing w:after="240"/>
      <w:ind w:left="567" w:right="567"/>
    </w:pPr>
    <w:rPr>
      <w:szCs w:val="18"/>
      <w:lang w:eastAsia="en-GB"/>
    </w:rPr>
  </w:style>
  <w:style w:type="paragraph" w:customStyle="1" w:styleId="QuotationDouble">
    <w:name w:val="Quotation Double"/>
    <w:basedOn w:val="Normal"/>
    <w:uiPriority w:val="5"/>
    <w:rsid w:val="005160F2"/>
    <w:pPr>
      <w:spacing w:after="240"/>
      <w:ind w:left="1134" w:right="1134"/>
    </w:pPr>
    <w:rPr>
      <w:szCs w:val="18"/>
      <w:lang w:eastAsia="en-GB"/>
    </w:rPr>
  </w:style>
  <w:style w:type="paragraph" w:styleId="TableofAuthorities">
    <w:name w:val="table of authorities"/>
    <w:basedOn w:val="Normal"/>
    <w:next w:val="Normal"/>
    <w:uiPriority w:val="39"/>
    <w:rsid w:val="005160F2"/>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5160F2"/>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5160F2"/>
    <w:pPr>
      <w:spacing w:after="360"/>
      <w:jc w:val="center"/>
    </w:pPr>
    <w:rPr>
      <w:caps/>
      <w:color w:val="006283"/>
      <w:szCs w:val="18"/>
      <w:lang w:eastAsia="en-GB"/>
    </w:rPr>
  </w:style>
  <w:style w:type="paragraph" w:customStyle="1" w:styleId="Title3">
    <w:name w:val="Title 3"/>
    <w:basedOn w:val="Normal"/>
    <w:next w:val="Normal"/>
    <w:uiPriority w:val="5"/>
    <w:qFormat/>
    <w:rsid w:val="005160F2"/>
    <w:pPr>
      <w:spacing w:after="360"/>
      <w:jc w:val="center"/>
    </w:pPr>
    <w:rPr>
      <w:i/>
      <w:color w:val="006283"/>
      <w:szCs w:val="18"/>
      <w:lang w:eastAsia="en-GB"/>
    </w:rPr>
  </w:style>
  <w:style w:type="paragraph" w:customStyle="1" w:styleId="TitleCountry">
    <w:name w:val="Title Country"/>
    <w:basedOn w:val="Normal"/>
    <w:next w:val="Normal"/>
    <w:uiPriority w:val="5"/>
    <w:qFormat/>
    <w:rsid w:val="005160F2"/>
    <w:pPr>
      <w:spacing w:after="360"/>
      <w:jc w:val="center"/>
    </w:pPr>
    <w:rPr>
      <w:smallCaps/>
      <w:color w:val="006283"/>
      <w:szCs w:val="18"/>
      <w:lang w:eastAsia="en-GB"/>
    </w:rPr>
  </w:style>
  <w:style w:type="paragraph" w:styleId="TOC1">
    <w:name w:val="toc 1"/>
    <w:basedOn w:val="Normal"/>
    <w:next w:val="Normal"/>
    <w:autoRedefine/>
    <w:uiPriority w:val="39"/>
    <w:rsid w:val="005160F2"/>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5160F2"/>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5160F2"/>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5160F2"/>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5160F2"/>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5160F2"/>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5160F2"/>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5160F2"/>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5160F2"/>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5160F2"/>
    <w:pPr>
      <w:spacing w:before="240"/>
      <w:jc w:val="center"/>
    </w:pPr>
    <w:rPr>
      <w:rFonts w:eastAsia="Times New Roman"/>
      <w:b/>
      <w:bCs/>
      <w:szCs w:val="28"/>
      <w:lang w:eastAsia="en-GB"/>
    </w:rPr>
  </w:style>
  <w:style w:type="table" w:customStyle="1" w:styleId="WTOTable2">
    <w:name w:val="WTOTable2"/>
    <w:basedOn w:val="TableNormal"/>
    <w:uiPriority w:val="99"/>
    <w:rsid w:val="005160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uiPriority w:val="99"/>
    <w:semiHidden/>
    <w:unhideWhenUsed/>
    <w:rsid w:val="005160F2"/>
    <w:rPr>
      <w:rFonts w:ascii="Tahoma" w:hAnsi="Tahoma" w:cs="Tahoma"/>
      <w:sz w:val="16"/>
      <w:szCs w:val="16"/>
      <w:lang w:eastAsia="en-GB"/>
    </w:rPr>
  </w:style>
  <w:style w:type="paragraph" w:styleId="Subtitle">
    <w:name w:val="Subtitle"/>
    <w:basedOn w:val="Normal"/>
    <w:next w:val="Normal"/>
    <w:uiPriority w:val="11"/>
    <w:qFormat/>
    <w:rsid w:val="005160F2"/>
    <w:pPr>
      <w:numPr>
        <w:ilvl w:val="1"/>
      </w:numPr>
    </w:pPr>
    <w:rPr>
      <w:rFonts w:eastAsia="Times New Roman"/>
      <w:b/>
      <w:iCs/>
      <w:szCs w:val="24"/>
      <w:lang w:eastAsia="en-GB"/>
    </w:rPr>
  </w:style>
  <w:style w:type="paragraph" w:customStyle="1" w:styleId="SummaryHeader">
    <w:name w:val="SummaryHeader"/>
    <w:basedOn w:val="Normal"/>
    <w:uiPriority w:val="4"/>
    <w:qFormat/>
    <w:rsid w:val="005160F2"/>
    <w:pPr>
      <w:spacing w:after="240"/>
      <w:outlineLvl w:val="0"/>
    </w:pPr>
    <w:rPr>
      <w:b/>
      <w:caps/>
      <w:color w:val="006283"/>
    </w:rPr>
  </w:style>
  <w:style w:type="paragraph" w:customStyle="1" w:styleId="SummarySubheader">
    <w:name w:val="SummarySubheader"/>
    <w:basedOn w:val="Normal"/>
    <w:uiPriority w:val="4"/>
    <w:qFormat/>
    <w:rsid w:val="005160F2"/>
    <w:pPr>
      <w:spacing w:after="240"/>
      <w:outlineLvl w:val="1"/>
    </w:pPr>
    <w:rPr>
      <w:b/>
      <w:color w:val="006283"/>
    </w:rPr>
  </w:style>
  <w:style w:type="paragraph" w:customStyle="1" w:styleId="SummaryText">
    <w:name w:val="SummaryText"/>
    <w:basedOn w:val="Normal"/>
    <w:uiPriority w:val="4"/>
    <w:qFormat/>
    <w:rsid w:val="005160F2"/>
    <w:pPr>
      <w:numPr>
        <w:numId w:val="4"/>
      </w:numPr>
      <w:spacing w:after="240"/>
    </w:pPr>
  </w:style>
  <w:style w:type="paragraph" w:styleId="ListParagraph">
    <w:name w:val="List Paragraph"/>
    <w:basedOn w:val="Normal"/>
    <w:uiPriority w:val="59"/>
    <w:semiHidden/>
    <w:qFormat/>
    <w:rsid w:val="005160F2"/>
    <w:pPr>
      <w:ind w:left="720"/>
      <w:contextualSpacing/>
    </w:pPr>
  </w:style>
  <w:style w:type="table" w:customStyle="1" w:styleId="WTOBox1">
    <w:name w:val="WTOBox1"/>
    <w:basedOn w:val="TableNormal"/>
    <w:uiPriority w:val="99"/>
    <w:rsid w:val="005160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5160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5160F2"/>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5160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60F2"/>
    <w:rPr>
      <w:color w:val="0000FF" w:themeColor="hyperlink"/>
      <w:u w:val="single"/>
    </w:rPr>
  </w:style>
  <w:style w:type="paragraph" w:customStyle="1" w:styleId="PanelTitle">
    <w:name w:val="PanelTitle"/>
    <w:basedOn w:val="Normal"/>
    <w:uiPriority w:val="49"/>
    <w:qFormat/>
    <w:rsid w:val="005160F2"/>
    <w:pPr>
      <w:spacing w:before="480" w:after="240"/>
      <w:contextualSpacing/>
      <w:jc w:val="center"/>
    </w:pPr>
    <w:rPr>
      <w:b/>
      <w:caps/>
      <w:color w:val="006283"/>
      <w:kern w:val="28"/>
      <w:sz w:val="22"/>
    </w:rPr>
  </w:style>
  <w:style w:type="paragraph" w:customStyle="1" w:styleId="NoteText">
    <w:name w:val="Note Text"/>
    <w:basedOn w:val="Normal"/>
    <w:uiPriority w:val="4"/>
    <w:qFormat/>
    <w:rsid w:val="005160F2"/>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5160F2"/>
  </w:style>
  <w:style w:type="paragraph" w:styleId="BlockText">
    <w:name w:val="Block Text"/>
    <w:basedOn w:val="Normal"/>
    <w:uiPriority w:val="99"/>
    <w:semiHidden/>
    <w:unhideWhenUsed/>
    <w:rsid w:val="005160F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uiPriority w:val="99"/>
    <w:semiHidden/>
    <w:unhideWhenUsed/>
    <w:rsid w:val="005160F2"/>
    <w:pPr>
      <w:numPr>
        <w:ilvl w:val="0"/>
        <w:numId w:val="0"/>
      </w:numPr>
      <w:spacing w:after="0"/>
      <w:ind w:firstLine="360"/>
    </w:pPr>
    <w:rPr>
      <w:szCs w:val="22"/>
      <w:lang w:eastAsia="en-US"/>
    </w:rPr>
  </w:style>
  <w:style w:type="paragraph" w:styleId="BodyTextIndent">
    <w:name w:val="Body Text Indent"/>
    <w:basedOn w:val="Normal"/>
    <w:uiPriority w:val="99"/>
    <w:semiHidden/>
    <w:unhideWhenUsed/>
    <w:rsid w:val="005160F2"/>
    <w:pPr>
      <w:spacing w:after="120"/>
      <w:ind w:left="283"/>
    </w:pPr>
  </w:style>
  <w:style w:type="paragraph" w:styleId="BodyTextFirstIndent2">
    <w:name w:val="Body Text First Indent 2"/>
    <w:basedOn w:val="BodyTextIndent"/>
    <w:uiPriority w:val="99"/>
    <w:semiHidden/>
    <w:unhideWhenUsed/>
    <w:rsid w:val="005160F2"/>
    <w:pPr>
      <w:spacing w:after="0"/>
      <w:ind w:left="360" w:firstLine="360"/>
    </w:pPr>
  </w:style>
  <w:style w:type="paragraph" w:styleId="BodyTextIndent2">
    <w:name w:val="Body Text Indent 2"/>
    <w:basedOn w:val="Normal"/>
    <w:uiPriority w:val="99"/>
    <w:semiHidden/>
    <w:unhideWhenUsed/>
    <w:rsid w:val="005160F2"/>
    <w:pPr>
      <w:spacing w:after="120" w:line="480" w:lineRule="auto"/>
      <w:ind w:left="283"/>
    </w:pPr>
  </w:style>
  <w:style w:type="paragraph" w:styleId="BodyTextIndent3">
    <w:name w:val="Body Text Indent 3"/>
    <w:basedOn w:val="Normal"/>
    <w:uiPriority w:val="99"/>
    <w:semiHidden/>
    <w:unhideWhenUsed/>
    <w:rsid w:val="005160F2"/>
    <w:pPr>
      <w:spacing w:after="120"/>
      <w:ind w:left="283"/>
    </w:pPr>
    <w:rPr>
      <w:sz w:val="16"/>
      <w:szCs w:val="16"/>
    </w:rPr>
  </w:style>
  <w:style w:type="character" w:styleId="BookTitle">
    <w:name w:val="Book Title"/>
    <w:basedOn w:val="DefaultParagraphFont"/>
    <w:uiPriority w:val="99"/>
    <w:semiHidden/>
    <w:qFormat/>
    <w:rsid w:val="005160F2"/>
    <w:rPr>
      <w:b/>
      <w:bCs/>
      <w:smallCaps/>
      <w:spacing w:val="5"/>
    </w:rPr>
  </w:style>
  <w:style w:type="paragraph" w:styleId="Closing">
    <w:name w:val="Closing"/>
    <w:basedOn w:val="Normal"/>
    <w:uiPriority w:val="99"/>
    <w:semiHidden/>
    <w:unhideWhenUsed/>
    <w:rsid w:val="005160F2"/>
    <w:pPr>
      <w:ind w:left="4252"/>
    </w:pPr>
  </w:style>
  <w:style w:type="character" w:styleId="CommentReference">
    <w:name w:val="annotation reference"/>
    <w:basedOn w:val="DefaultParagraphFont"/>
    <w:uiPriority w:val="99"/>
    <w:semiHidden/>
    <w:unhideWhenUsed/>
    <w:rsid w:val="005160F2"/>
    <w:rPr>
      <w:sz w:val="16"/>
      <w:szCs w:val="16"/>
    </w:rPr>
  </w:style>
  <w:style w:type="paragraph" w:styleId="CommentText">
    <w:name w:val="annotation text"/>
    <w:basedOn w:val="Normal"/>
    <w:uiPriority w:val="99"/>
    <w:unhideWhenUsed/>
    <w:rsid w:val="005160F2"/>
    <w:rPr>
      <w:sz w:val="20"/>
      <w:szCs w:val="20"/>
    </w:rPr>
  </w:style>
  <w:style w:type="paragraph" w:styleId="CommentSubject">
    <w:name w:val="annotation subject"/>
    <w:basedOn w:val="CommentText"/>
    <w:next w:val="CommentText"/>
    <w:uiPriority w:val="99"/>
    <w:unhideWhenUsed/>
    <w:rsid w:val="005160F2"/>
    <w:rPr>
      <w:b/>
      <w:bCs/>
    </w:rPr>
  </w:style>
  <w:style w:type="paragraph" w:styleId="Date">
    <w:name w:val="Date"/>
    <w:basedOn w:val="Normal"/>
    <w:next w:val="Normal"/>
    <w:uiPriority w:val="99"/>
    <w:semiHidden/>
    <w:unhideWhenUsed/>
    <w:rsid w:val="005160F2"/>
  </w:style>
  <w:style w:type="paragraph" w:styleId="DocumentMap">
    <w:name w:val="Document Map"/>
    <w:basedOn w:val="Normal"/>
    <w:uiPriority w:val="99"/>
    <w:semiHidden/>
    <w:unhideWhenUsed/>
    <w:rsid w:val="005160F2"/>
    <w:rPr>
      <w:rFonts w:ascii="Tahoma" w:hAnsi="Tahoma" w:cs="Tahoma"/>
      <w:sz w:val="16"/>
      <w:szCs w:val="16"/>
    </w:rPr>
  </w:style>
  <w:style w:type="paragraph" w:styleId="E-mailSignature">
    <w:name w:val="E-mail Signature"/>
    <w:basedOn w:val="Normal"/>
    <w:uiPriority w:val="99"/>
    <w:semiHidden/>
    <w:unhideWhenUsed/>
    <w:rsid w:val="005160F2"/>
  </w:style>
  <w:style w:type="character" w:styleId="Emphasis">
    <w:name w:val="Emphasis"/>
    <w:basedOn w:val="DefaultParagraphFont"/>
    <w:uiPriority w:val="99"/>
    <w:semiHidden/>
    <w:qFormat/>
    <w:rsid w:val="005160F2"/>
    <w:rPr>
      <w:i/>
      <w:iCs/>
    </w:rPr>
  </w:style>
  <w:style w:type="paragraph" w:styleId="EnvelopeAddress">
    <w:name w:val="envelope address"/>
    <w:basedOn w:val="Normal"/>
    <w:uiPriority w:val="99"/>
    <w:semiHidden/>
    <w:unhideWhenUsed/>
    <w:rsid w:val="005160F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60F2"/>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160F2"/>
    <w:rPr>
      <w:color w:val="800080" w:themeColor="followedHyperlink"/>
      <w:u w:val="single"/>
    </w:rPr>
  </w:style>
  <w:style w:type="character" w:styleId="HTMLAcronym">
    <w:name w:val="HTML Acronym"/>
    <w:basedOn w:val="DefaultParagraphFont"/>
    <w:uiPriority w:val="99"/>
    <w:semiHidden/>
    <w:unhideWhenUsed/>
    <w:rsid w:val="005160F2"/>
  </w:style>
  <w:style w:type="paragraph" w:styleId="HTMLAddress">
    <w:name w:val="HTML Address"/>
    <w:basedOn w:val="Normal"/>
    <w:uiPriority w:val="99"/>
    <w:semiHidden/>
    <w:unhideWhenUsed/>
    <w:rsid w:val="005160F2"/>
    <w:rPr>
      <w:i/>
      <w:iCs/>
    </w:rPr>
  </w:style>
  <w:style w:type="character" w:styleId="HTMLCite">
    <w:name w:val="HTML Cite"/>
    <w:basedOn w:val="DefaultParagraphFont"/>
    <w:uiPriority w:val="99"/>
    <w:semiHidden/>
    <w:unhideWhenUsed/>
    <w:rsid w:val="005160F2"/>
    <w:rPr>
      <w:i/>
      <w:iCs/>
    </w:rPr>
  </w:style>
  <w:style w:type="character" w:styleId="HTMLCode">
    <w:name w:val="HTML Code"/>
    <w:basedOn w:val="DefaultParagraphFont"/>
    <w:uiPriority w:val="99"/>
    <w:semiHidden/>
    <w:unhideWhenUsed/>
    <w:rsid w:val="005160F2"/>
    <w:rPr>
      <w:rFonts w:ascii="Consolas" w:hAnsi="Consolas" w:cs="Consolas"/>
      <w:sz w:val="20"/>
      <w:szCs w:val="20"/>
    </w:rPr>
  </w:style>
  <w:style w:type="character" w:styleId="HTMLDefinition">
    <w:name w:val="HTML Definition"/>
    <w:basedOn w:val="DefaultParagraphFont"/>
    <w:uiPriority w:val="99"/>
    <w:semiHidden/>
    <w:unhideWhenUsed/>
    <w:rsid w:val="005160F2"/>
    <w:rPr>
      <w:i/>
      <w:iCs/>
    </w:rPr>
  </w:style>
  <w:style w:type="character" w:styleId="HTMLKeyboard">
    <w:name w:val="HTML Keyboard"/>
    <w:basedOn w:val="DefaultParagraphFont"/>
    <w:uiPriority w:val="99"/>
    <w:semiHidden/>
    <w:unhideWhenUsed/>
    <w:rsid w:val="005160F2"/>
    <w:rPr>
      <w:rFonts w:ascii="Consolas" w:hAnsi="Consolas" w:cs="Consolas"/>
      <w:sz w:val="20"/>
      <w:szCs w:val="20"/>
    </w:rPr>
  </w:style>
  <w:style w:type="paragraph" w:styleId="HTMLPreformatted">
    <w:name w:val="HTML Preformatted"/>
    <w:basedOn w:val="Normal"/>
    <w:uiPriority w:val="99"/>
    <w:semiHidden/>
    <w:unhideWhenUsed/>
    <w:rsid w:val="005160F2"/>
    <w:rPr>
      <w:rFonts w:ascii="Consolas" w:hAnsi="Consolas" w:cs="Consolas"/>
      <w:sz w:val="20"/>
      <w:szCs w:val="20"/>
    </w:rPr>
  </w:style>
  <w:style w:type="character" w:styleId="HTMLSample">
    <w:name w:val="HTML Sample"/>
    <w:basedOn w:val="DefaultParagraphFont"/>
    <w:uiPriority w:val="99"/>
    <w:semiHidden/>
    <w:unhideWhenUsed/>
    <w:rsid w:val="005160F2"/>
    <w:rPr>
      <w:rFonts w:ascii="Consolas" w:hAnsi="Consolas" w:cs="Consolas"/>
      <w:sz w:val="24"/>
      <w:szCs w:val="24"/>
    </w:rPr>
  </w:style>
  <w:style w:type="character" w:styleId="HTMLTypewriter">
    <w:name w:val="HTML Typewriter"/>
    <w:basedOn w:val="DefaultParagraphFont"/>
    <w:uiPriority w:val="99"/>
    <w:semiHidden/>
    <w:unhideWhenUsed/>
    <w:rsid w:val="005160F2"/>
    <w:rPr>
      <w:rFonts w:ascii="Consolas" w:hAnsi="Consolas" w:cs="Consolas"/>
      <w:sz w:val="20"/>
      <w:szCs w:val="20"/>
    </w:rPr>
  </w:style>
  <w:style w:type="character" w:styleId="HTMLVariable">
    <w:name w:val="HTML Variable"/>
    <w:basedOn w:val="DefaultParagraphFont"/>
    <w:uiPriority w:val="99"/>
    <w:semiHidden/>
    <w:unhideWhenUsed/>
    <w:rsid w:val="005160F2"/>
    <w:rPr>
      <w:i/>
      <w:iCs/>
    </w:rPr>
  </w:style>
  <w:style w:type="paragraph" w:styleId="Index1">
    <w:name w:val="index 1"/>
    <w:basedOn w:val="Normal"/>
    <w:next w:val="Normal"/>
    <w:autoRedefine/>
    <w:uiPriority w:val="99"/>
    <w:semiHidden/>
    <w:unhideWhenUsed/>
    <w:rsid w:val="005160F2"/>
    <w:pPr>
      <w:ind w:left="180" w:hanging="180"/>
    </w:pPr>
  </w:style>
  <w:style w:type="paragraph" w:styleId="Index2">
    <w:name w:val="index 2"/>
    <w:basedOn w:val="Normal"/>
    <w:next w:val="Normal"/>
    <w:autoRedefine/>
    <w:uiPriority w:val="99"/>
    <w:semiHidden/>
    <w:unhideWhenUsed/>
    <w:rsid w:val="005160F2"/>
    <w:pPr>
      <w:ind w:left="360" w:hanging="180"/>
    </w:pPr>
  </w:style>
  <w:style w:type="paragraph" w:styleId="Index3">
    <w:name w:val="index 3"/>
    <w:basedOn w:val="Normal"/>
    <w:next w:val="Normal"/>
    <w:autoRedefine/>
    <w:uiPriority w:val="99"/>
    <w:semiHidden/>
    <w:unhideWhenUsed/>
    <w:rsid w:val="005160F2"/>
    <w:pPr>
      <w:ind w:left="540" w:hanging="180"/>
    </w:pPr>
  </w:style>
  <w:style w:type="paragraph" w:styleId="Index4">
    <w:name w:val="index 4"/>
    <w:basedOn w:val="Normal"/>
    <w:next w:val="Normal"/>
    <w:autoRedefine/>
    <w:uiPriority w:val="99"/>
    <w:semiHidden/>
    <w:unhideWhenUsed/>
    <w:rsid w:val="005160F2"/>
    <w:pPr>
      <w:ind w:left="720" w:hanging="180"/>
    </w:pPr>
  </w:style>
  <w:style w:type="paragraph" w:styleId="Index5">
    <w:name w:val="index 5"/>
    <w:basedOn w:val="Normal"/>
    <w:next w:val="Normal"/>
    <w:autoRedefine/>
    <w:uiPriority w:val="99"/>
    <w:semiHidden/>
    <w:unhideWhenUsed/>
    <w:rsid w:val="005160F2"/>
    <w:pPr>
      <w:ind w:left="900" w:hanging="180"/>
    </w:pPr>
  </w:style>
  <w:style w:type="paragraph" w:styleId="Index6">
    <w:name w:val="index 6"/>
    <w:basedOn w:val="Normal"/>
    <w:next w:val="Normal"/>
    <w:autoRedefine/>
    <w:uiPriority w:val="99"/>
    <w:semiHidden/>
    <w:unhideWhenUsed/>
    <w:rsid w:val="005160F2"/>
    <w:pPr>
      <w:ind w:left="1080" w:hanging="180"/>
    </w:pPr>
  </w:style>
  <w:style w:type="paragraph" w:styleId="Index7">
    <w:name w:val="index 7"/>
    <w:basedOn w:val="Normal"/>
    <w:next w:val="Normal"/>
    <w:autoRedefine/>
    <w:uiPriority w:val="99"/>
    <w:semiHidden/>
    <w:unhideWhenUsed/>
    <w:rsid w:val="005160F2"/>
    <w:pPr>
      <w:ind w:left="1260" w:hanging="180"/>
    </w:pPr>
  </w:style>
  <w:style w:type="paragraph" w:styleId="Index8">
    <w:name w:val="index 8"/>
    <w:basedOn w:val="Normal"/>
    <w:next w:val="Normal"/>
    <w:autoRedefine/>
    <w:uiPriority w:val="99"/>
    <w:semiHidden/>
    <w:unhideWhenUsed/>
    <w:rsid w:val="005160F2"/>
    <w:pPr>
      <w:ind w:left="1440" w:hanging="180"/>
    </w:pPr>
  </w:style>
  <w:style w:type="paragraph" w:styleId="Index9">
    <w:name w:val="index 9"/>
    <w:basedOn w:val="Normal"/>
    <w:next w:val="Normal"/>
    <w:autoRedefine/>
    <w:uiPriority w:val="99"/>
    <w:semiHidden/>
    <w:unhideWhenUsed/>
    <w:rsid w:val="005160F2"/>
    <w:pPr>
      <w:ind w:left="1620" w:hanging="180"/>
    </w:pPr>
  </w:style>
  <w:style w:type="paragraph" w:styleId="IndexHeading">
    <w:name w:val="index heading"/>
    <w:basedOn w:val="Normal"/>
    <w:next w:val="Index1"/>
    <w:uiPriority w:val="99"/>
    <w:semiHidden/>
    <w:unhideWhenUsed/>
    <w:rsid w:val="005160F2"/>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160F2"/>
    <w:rPr>
      <w:b/>
      <w:bCs/>
      <w:i/>
      <w:iCs/>
      <w:color w:val="4F81BD" w:themeColor="accent1"/>
    </w:rPr>
  </w:style>
  <w:style w:type="paragraph" w:styleId="IntenseQuote">
    <w:name w:val="Intense Quote"/>
    <w:basedOn w:val="Normal"/>
    <w:next w:val="Normal"/>
    <w:uiPriority w:val="99"/>
    <w:semiHidden/>
    <w:qFormat/>
    <w:rsid w:val="005160F2"/>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semiHidden/>
    <w:qFormat/>
    <w:rsid w:val="005160F2"/>
    <w:rPr>
      <w:b/>
      <w:bCs/>
      <w:smallCaps/>
      <w:color w:val="C0504D" w:themeColor="accent2"/>
      <w:spacing w:val="5"/>
      <w:u w:val="single"/>
    </w:rPr>
  </w:style>
  <w:style w:type="character" w:styleId="LineNumber">
    <w:name w:val="line number"/>
    <w:basedOn w:val="DefaultParagraphFont"/>
    <w:uiPriority w:val="99"/>
    <w:semiHidden/>
    <w:unhideWhenUsed/>
    <w:rsid w:val="005160F2"/>
  </w:style>
  <w:style w:type="paragraph" w:styleId="List">
    <w:name w:val="List"/>
    <w:basedOn w:val="Normal"/>
    <w:uiPriority w:val="99"/>
    <w:semiHidden/>
    <w:unhideWhenUsed/>
    <w:rsid w:val="005160F2"/>
    <w:pPr>
      <w:ind w:left="283" w:hanging="283"/>
      <w:contextualSpacing/>
    </w:pPr>
  </w:style>
  <w:style w:type="paragraph" w:styleId="List2">
    <w:name w:val="List 2"/>
    <w:basedOn w:val="Normal"/>
    <w:uiPriority w:val="99"/>
    <w:semiHidden/>
    <w:unhideWhenUsed/>
    <w:rsid w:val="005160F2"/>
    <w:pPr>
      <w:ind w:left="566" w:hanging="283"/>
      <w:contextualSpacing/>
    </w:pPr>
  </w:style>
  <w:style w:type="paragraph" w:styleId="List3">
    <w:name w:val="List 3"/>
    <w:basedOn w:val="Normal"/>
    <w:uiPriority w:val="99"/>
    <w:semiHidden/>
    <w:unhideWhenUsed/>
    <w:rsid w:val="005160F2"/>
    <w:pPr>
      <w:ind w:left="849" w:hanging="283"/>
      <w:contextualSpacing/>
    </w:pPr>
  </w:style>
  <w:style w:type="paragraph" w:styleId="List4">
    <w:name w:val="List 4"/>
    <w:basedOn w:val="Normal"/>
    <w:uiPriority w:val="99"/>
    <w:semiHidden/>
    <w:unhideWhenUsed/>
    <w:rsid w:val="005160F2"/>
    <w:pPr>
      <w:ind w:left="1132" w:hanging="283"/>
      <w:contextualSpacing/>
    </w:pPr>
  </w:style>
  <w:style w:type="paragraph" w:styleId="List5">
    <w:name w:val="List 5"/>
    <w:basedOn w:val="Normal"/>
    <w:uiPriority w:val="99"/>
    <w:semiHidden/>
    <w:unhideWhenUsed/>
    <w:rsid w:val="005160F2"/>
    <w:pPr>
      <w:ind w:left="1415" w:hanging="283"/>
      <w:contextualSpacing/>
    </w:pPr>
  </w:style>
  <w:style w:type="paragraph" w:styleId="ListContinue">
    <w:name w:val="List Continue"/>
    <w:basedOn w:val="Normal"/>
    <w:uiPriority w:val="99"/>
    <w:semiHidden/>
    <w:unhideWhenUsed/>
    <w:rsid w:val="005160F2"/>
    <w:pPr>
      <w:spacing w:after="120"/>
      <w:ind w:left="283"/>
      <w:contextualSpacing/>
    </w:pPr>
  </w:style>
  <w:style w:type="paragraph" w:styleId="ListContinue2">
    <w:name w:val="List Continue 2"/>
    <w:basedOn w:val="Normal"/>
    <w:uiPriority w:val="99"/>
    <w:semiHidden/>
    <w:unhideWhenUsed/>
    <w:rsid w:val="005160F2"/>
    <w:pPr>
      <w:spacing w:after="120"/>
      <w:ind w:left="566"/>
      <w:contextualSpacing/>
    </w:pPr>
  </w:style>
  <w:style w:type="paragraph" w:styleId="ListContinue3">
    <w:name w:val="List Continue 3"/>
    <w:basedOn w:val="Normal"/>
    <w:uiPriority w:val="99"/>
    <w:semiHidden/>
    <w:unhideWhenUsed/>
    <w:rsid w:val="005160F2"/>
    <w:pPr>
      <w:spacing w:after="120"/>
      <w:ind w:left="849"/>
      <w:contextualSpacing/>
    </w:pPr>
  </w:style>
  <w:style w:type="paragraph" w:styleId="ListContinue4">
    <w:name w:val="List Continue 4"/>
    <w:basedOn w:val="Normal"/>
    <w:uiPriority w:val="99"/>
    <w:semiHidden/>
    <w:unhideWhenUsed/>
    <w:rsid w:val="005160F2"/>
    <w:pPr>
      <w:spacing w:after="120"/>
      <w:ind w:left="1132"/>
      <w:contextualSpacing/>
    </w:pPr>
  </w:style>
  <w:style w:type="paragraph" w:styleId="ListContinue5">
    <w:name w:val="List Continue 5"/>
    <w:basedOn w:val="Normal"/>
    <w:uiPriority w:val="99"/>
    <w:semiHidden/>
    <w:unhideWhenUsed/>
    <w:rsid w:val="005160F2"/>
    <w:pPr>
      <w:spacing w:after="120"/>
      <w:ind w:left="1415"/>
      <w:contextualSpacing/>
    </w:pPr>
  </w:style>
  <w:style w:type="paragraph" w:styleId="ListNumber">
    <w:name w:val="List Number"/>
    <w:basedOn w:val="Normal"/>
    <w:uiPriority w:val="49"/>
    <w:semiHidden/>
    <w:unhideWhenUsed/>
    <w:rsid w:val="005160F2"/>
    <w:pPr>
      <w:numPr>
        <w:numId w:val="5"/>
      </w:numPr>
      <w:contextualSpacing/>
    </w:pPr>
  </w:style>
  <w:style w:type="paragraph" w:styleId="ListNumber2">
    <w:name w:val="List Number 2"/>
    <w:basedOn w:val="Normal"/>
    <w:uiPriority w:val="49"/>
    <w:semiHidden/>
    <w:unhideWhenUsed/>
    <w:rsid w:val="005160F2"/>
    <w:pPr>
      <w:numPr>
        <w:numId w:val="6"/>
      </w:numPr>
      <w:contextualSpacing/>
    </w:pPr>
  </w:style>
  <w:style w:type="paragraph" w:styleId="ListNumber3">
    <w:name w:val="List Number 3"/>
    <w:basedOn w:val="Normal"/>
    <w:uiPriority w:val="49"/>
    <w:semiHidden/>
    <w:unhideWhenUsed/>
    <w:rsid w:val="005160F2"/>
    <w:pPr>
      <w:numPr>
        <w:numId w:val="7"/>
      </w:numPr>
      <w:contextualSpacing/>
    </w:pPr>
  </w:style>
  <w:style w:type="paragraph" w:styleId="ListNumber4">
    <w:name w:val="List Number 4"/>
    <w:basedOn w:val="Normal"/>
    <w:uiPriority w:val="49"/>
    <w:semiHidden/>
    <w:unhideWhenUsed/>
    <w:rsid w:val="005160F2"/>
    <w:pPr>
      <w:numPr>
        <w:numId w:val="8"/>
      </w:numPr>
      <w:contextualSpacing/>
    </w:pPr>
  </w:style>
  <w:style w:type="paragraph" w:styleId="ListNumber5">
    <w:name w:val="List Number 5"/>
    <w:basedOn w:val="Normal"/>
    <w:uiPriority w:val="49"/>
    <w:semiHidden/>
    <w:unhideWhenUsed/>
    <w:rsid w:val="005160F2"/>
    <w:pPr>
      <w:numPr>
        <w:numId w:val="9"/>
      </w:numPr>
      <w:contextualSpacing/>
    </w:pPr>
  </w:style>
  <w:style w:type="paragraph" w:styleId="MacroText">
    <w:name w:val="macro"/>
    <w:uiPriority w:val="99"/>
    <w:semiHidden/>
    <w:unhideWhenUsed/>
    <w:rsid w:val="005160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paragraph" w:styleId="MessageHeader">
    <w:name w:val="Message Header"/>
    <w:basedOn w:val="Normal"/>
    <w:uiPriority w:val="99"/>
    <w:semiHidden/>
    <w:unhideWhenUsed/>
    <w:rsid w:val="005160F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5160F2"/>
    <w:pPr>
      <w:jc w:val="both"/>
    </w:pPr>
    <w:rPr>
      <w:rFonts w:ascii="Verdana" w:hAnsi="Verdana"/>
      <w:sz w:val="18"/>
      <w:szCs w:val="22"/>
      <w:lang w:eastAsia="en-US"/>
    </w:rPr>
  </w:style>
  <w:style w:type="paragraph" w:styleId="NormalWeb">
    <w:name w:val="Normal (Web)"/>
    <w:basedOn w:val="Normal"/>
    <w:uiPriority w:val="99"/>
    <w:semiHidden/>
    <w:unhideWhenUsed/>
    <w:rsid w:val="005160F2"/>
    <w:rPr>
      <w:rFonts w:ascii="Times New Roman" w:hAnsi="Times New Roman"/>
      <w:sz w:val="24"/>
      <w:szCs w:val="24"/>
    </w:rPr>
  </w:style>
  <w:style w:type="paragraph" w:styleId="NormalIndent">
    <w:name w:val="Normal Indent"/>
    <w:basedOn w:val="Normal"/>
    <w:uiPriority w:val="99"/>
    <w:semiHidden/>
    <w:unhideWhenUsed/>
    <w:rsid w:val="005160F2"/>
    <w:pPr>
      <w:ind w:left="567"/>
    </w:pPr>
  </w:style>
  <w:style w:type="paragraph" w:styleId="NoteHeading">
    <w:name w:val="Note Heading"/>
    <w:basedOn w:val="Normal"/>
    <w:next w:val="Normal"/>
    <w:uiPriority w:val="99"/>
    <w:semiHidden/>
    <w:unhideWhenUsed/>
    <w:rsid w:val="005160F2"/>
  </w:style>
  <w:style w:type="character" w:styleId="PageNumber">
    <w:name w:val="page number"/>
    <w:basedOn w:val="DefaultParagraphFont"/>
    <w:uiPriority w:val="99"/>
    <w:semiHidden/>
    <w:unhideWhenUsed/>
    <w:rsid w:val="005160F2"/>
  </w:style>
  <w:style w:type="character" w:styleId="PlaceholderText">
    <w:name w:val="Placeholder Text"/>
    <w:basedOn w:val="DefaultParagraphFont"/>
    <w:uiPriority w:val="99"/>
    <w:semiHidden/>
    <w:rsid w:val="005160F2"/>
    <w:rPr>
      <w:color w:val="808080"/>
    </w:rPr>
  </w:style>
  <w:style w:type="paragraph" w:styleId="PlainText">
    <w:name w:val="Plain Text"/>
    <w:basedOn w:val="Normal"/>
    <w:uiPriority w:val="99"/>
    <w:unhideWhenUsed/>
    <w:rsid w:val="005160F2"/>
    <w:rPr>
      <w:rFonts w:ascii="Consolas" w:hAnsi="Consolas" w:cs="Consolas"/>
      <w:sz w:val="21"/>
      <w:szCs w:val="21"/>
    </w:rPr>
  </w:style>
  <w:style w:type="paragraph" w:styleId="Quote">
    <w:name w:val="Quote"/>
    <w:basedOn w:val="Normal"/>
    <w:next w:val="Normal"/>
    <w:uiPriority w:val="99"/>
    <w:qFormat/>
    <w:rsid w:val="005160F2"/>
    <w:rPr>
      <w:i/>
      <w:iCs/>
      <w:color w:val="000000" w:themeColor="text1"/>
    </w:rPr>
  </w:style>
  <w:style w:type="paragraph" w:styleId="Salutation">
    <w:name w:val="Salutation"/>
    <w:basedOn w:val="Normal"/>
    <w:next w:val="Normal"/>
    <w:uiPriority w:val="99"/>
    <w:semiHidden/>
    <w:unhideWhenUsed/>
    <w:rsid w:val="005160F2"/>
  </w:style>
  <w:style w:type="paragraph" w:styleId="Signature">
    <w:name w:val="Signature"/>
    <w:basedOn w:val="Normal"/>
    <w:uiPriority w:val="99"/>
    <w:semiHidden/>
    <w:unhideWhenUsed/>
    <w:rsid w:val="005160F2"/>
    <w:pPr>
      <w:ind w:left="4252"/>
    </w:pPr>
  </w:style>
  <w:style w:type="character" w:styleId="Strong">
    <w:name w:val="Strong"/>
    <w:basedOn w:val="DefaultParagraphFont"/>
    <w:uiPriority w:val="99"/>
    <w:semiHidden/>
    <w:qFormat/>
    <w:rsid w:val="005160F2"/>
    <w:rPr>
      <w:b/>
      <w:bCs/>
    </w:rPr>
  </w:style>
  <w:style w:type="character" w:styleId="SubtleEmphasis">
    <w:name w:val="Subtle Emphasis"/>
    <w:basedOn w:val="DefaultParagraphFont"/>
    <w:uiPriority w:val="99"/>
    <w:semiHidden/>
    <w:qFormat/>
    <w:rsid w:val="005160F2"/>
    <w:rPr>
      <w:i/>
      <w:iCs/>
      <w:color w:val="808080" w:themeColor="text1" w:themeTint="7F"/>
    </w:rPr>
  </w:style>
  <w:style w:type="character" w:styleId="SubtleReference">
    <w:name w:val="Subtle Reference"/>
    <w:basedOn w:val="DefaultParagraphFont"/>
    <w:uiPriority w:val="99"/>
    <w:semiHidden/>
    <w:qFormat/>
    <w:rsid w:val="005160F2"/>
    <w:rPr>
      <w:smallCaps/>
      <w:color w:val="C0504D" w:themeColor="accent2"/>
      <w:u w:val="single"/>
    </w:rPr>
  </w:style>
  <w:style w:type="paragraph" w:styleId="TOAHeading">
    <w:name w:val="toa heading"/>
    <w:basedOn w:val="Normal"/>
    <w:next w:val="Normal"/>
    <w:uiPriority w:val="39"/>
    <w:unhideWhenUsed/>
    <w:rsid w:val="005160F2"/>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5365C5"/>
    <w:rPr>
      <w:rFonts w:ascii="Verdana" w:hAnsi="Verdana"/>
      <w:sz w:val="18"/>
      <w:szCs w:val="22"/>
      <w:lang w:eastAsia="en-US"/>
    </w:rPr>
  </w:style>
  <w:style w:type="character" w:customStyle="1" w:styleId="FootnoteTextChar">
    <w:name w:val="Footnote Text Char"/>
    <w:basedOn w:val="DefaultParagraphFont"/>
    <w:link w:val="FootnoteText"/>
    <w:uiPriority w:val="1"/>
    <w:rsid w:val="001C0D17"/>
    <w:rPr>
      <w:rFonts w:ascii="Verdana" w:hAnsi="Verdana"/>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s://docs.wto.org/dol2fe/Pages/FE_Search/FE_S_S006.aspx?DataSource=Cat&amp;query=@Symbol=WT/DS445/AB/R&amp;Language=English&amp;Context=ScriptedSearches&amp;languageUIChanged=true" TargetMode="External"/><Relationship Id="rId18" Type="http://schemas.openxmlformats.org/officeDocument/2006/relationships/hyperlink" Target="https://docs.wto.org/dol2fe/Pages/FE_Search/FE_S_S006.aspx?DataSource=Cat&amp;query=@Symbol=WT/DS412/AB/R%20&amp;Language=English&amp;Context=ScriptedSearches&amp;languageUIChanged=true" TargetMode="External"/><Relationship Id="rId26" Type="http://schemas.openxmlformats.org/officeDocument/2006/relationships/hyperlink" Target="https://docs.wto.org/dol2fe/Pages/FE_Search/FE_S_S006.aspx?DataSource=Cat&amp;query=@Symbol=WT/DS394/AB/R%20&amp;Language=English&amp;Context=ScriptedSearches&amp;languageUIChanged=true" TargetMode="External"/><Relationship Id="rId39" Type="http://schemas.openxmlformats.org/officeDocument/2006/relationships/hyperlink" Target="https://docs.wto.org/dol2fe/Pages/FE_Search/FE_S_S006.aspx?DataSource=Cat&amp;query=@Symbol=WT/DS231/AB/R&amp;Language=English&amp;Context=ScriptedSearches&amp;languageUIChanged=true" TargetMode="External"/><Relationship Id="rId21" Type="http://schemas.openxmlformats.org/officeDocument/2006/relationships/hyperlink" Target="https://docs.wto.org/dol2fe/Pages/FE_Search/FE_S_S006.aspx?DataSource=Cat&amp;query=@Symbol=WT/DS207/AB/R*&amp;Language=English&amp;Context=ScriptedSearches&amp;languageUIChanged=true" TargetMode="External"/><Relationship Id="rId34" Type="http://schemas.openxmlformats.org/officeDocument/2006/relationships/hyperlink" Target="https://docs.wto.org/dol2fe/Pages/FE_Search/FE_S_S006.aspx?DataSource=Cat&amp;query=@Symbol=WT/DS265/AB/R&amp;Language=English&amp;Context=ScriptedSearches&amp;languageUIChanged=true" TargetMode="External"/><Relationship Id="rId42" Type="http://schemas.openxmlformats.org/officeDocument/2006/relationships/hyperlink" Target="https://docs.wto.org/dol2fe/Pages/FE_Search/FE_S_S006.aspx?DataSource=Cat&amp;query=@Symbol=WT/DS146/R*&amp;Language=English&amp;Context=ScriptedSearches&amp;languageUIChanged=true" TargetMode="External"/><Relationship Id="rId47" Type="http://schemas.openxmlformats.org/officeDocument/2006/relationships/hyperlink" Target="https://docs.wto.org/dol2fe/Pages/FE_Search/FE_S_S006.aspx?DataSource=Cat&amp;query=@Symbol=WT/DS285/AB/R*&amp;Language=English&amp;Context=ScriptedSearches&amp;languageUIChanged=true" TargetMode="External"/><Relationship Id="rId50" Type="http://schemas.openxmlformats.org/officeDocument/2006/relationships/hyperlink" Target="https://docs.wto.org/dol2fe/Pages/FE_Search/FE_S_S006.aspx?DataSource=Cat&amp;query=@Symbol=WT/DS58/AB/RW&amp;Language=English&amp;Context=ScriptedSearches&amp;languageUIChanged=true" TargetMode="External"/><Relationship Id="rId55" Type="http://schemas.openxmlformats.org/officeDocument/2006/relationships/hyperlink" Target="https://docs.wto.org/dol2fe/Pages/FE_Search/FE_S_S006.aspx?DataSource=Cat&amp;query=@Symbol=WT/DS253/AB/R&amp;Language=English&amp;Context=ScriptedSearches&amp;languageUIChanged=true"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cs.wto.org/dol2fe/Pages/FE_Search/FE_S_S006.aspx?DataSource=Cat&amp;query=@Symbol=WT/DS139/AB/R&amp;Language=English&amp;Context=ScriptedSearches&amp;languageUIChanged=true" TargetMode="External"/><Relationship Id="rId29" Type="http://schemas.openxmlformats.org/officeDocument/2006/relationships/hyperlink" Target="https://docs.wto.org/dol2fe/Pages/FE_Search/FE_S_S006.aspx?DataSource=Cat&amp;query=@Symbol=WT/DS461/AB/R*&amp;Language=English&amp;Context=ScriptedSearches&amp;languageUIChanged=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wto.org/dol2fe/Pages/FE_Search/FE_S_S006.aspx?DataSource=Cat&amp;query=@Symbol=WT/DS438/AB/R%20&amp;Language=English&amp;Context=ScriptedSearches&amp;languageUIChanged=true" TargetMode="External"/><Relationship Id="rId24" Type="http://schemas.openxmlformats.org/officeDocument/2006/relationships/hyperlink" Target="https://docs.wto.org/dol2fe/Pages/FE_Search/FE_S_S006.aspx?DataSource=Cat&amp;query=@Symbol=WT/DS432/AB/R%20&amp;Language=English&amp;Context=ScriptedSearches&amp;languageUIChanged=true" TargetMode="External"/><Relationship Id="rId32" Type="http://schemas.openxmlformats.org/officeDocument/2006/relationships/hyperlink" Target="https://docs.wto.org/dol2fe/Pages/FE_Search/FE_S_S006.aspx?DataSource=Cat&amp;query=@Symbol=WT/DS26/AB/R&amp;Language=English&amp;Context=ScriptedSearches&amp;languageUIChanged=true" TargetMode="External"/><Relationship Id="rId37" Type="http://schemas.openxmlformats.org/officeDocument/2006/relationships/hyperlink" Target="https://docs.wto.org/dol2fe/Pages/FE_Search/FE_S_S006.aspx?DataSource=Cat&amp;query=@Symbol=WT/DS397/AB/R&amp;Language=English&amp;Context=ScriptedSearches&amp;languageUIChanged=true" TargetMode="External"/><Relationship Id="rId40" Type="http://schemas.openxmlformats.org/officeDocument/2006/relationships/hyperlink" Target="https://docs.wto.org/dol2fe/Pages/FE_Search/FE_S_S006.aspx?DataSource=Cat&amp;query=@Symbol=WT/DS400/AB/R%20&amp;Language=English&amp;Context=ScriptedSearches&amp;languageUIChanged=true" TargetMode="External"/><Relationship Id="rId45" Type="http://schemas.openxmlformats.org/officeDocument/2006/relationships/hyperlink" Target="https://docs.wto.org/dol2fe/Pages/FE_Search/FE_S_S006.aspx?DataSource=Cat&amp;query=@Symbol=WT/DS379/AB/R&amp;Language=English&amp;Context=ScriptedSearches&amp;languageUIChanged=true" TargetMode="External"/><Relationship Id="rId53" Type="http://schemas.openxmlformats.org/officeDocument/2006/relationships/hyperlink" Target="https://docs.wto.org/dol2fe/Pages/FE_Search/FE_S_S006.aspx?DataSource=Cat&amp;query=@Symbol=WT/DS251/AB/R&amp;Language=English&amp;Context=ScriptedSearches&amp;languageUIChanged=true" TargetMode="External"/><Relationship Id="rId58" Type="http://schemas.openxmlformats.org/officeDocument/2006/relationships/hyperlink" Target="https://docs.wto.org/dol2fe/Pages/FE_Search/FE_S_S006.aspx?DataSource=Cat&amp;query=@Symbol=WT/DS259/AB/R&amp;Language=English&amp;Context=ScriptedSearches&amp;languageUIChanged=true"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wto.org/dol2fe/Pages/FE_Search/FE_S_S006.aspx?DataSource=Cat&amp;query=@Symbol=WT/DS332/AB/R&amp;Language=English&amp;Context=ScriptedSearches&amp;languageUIChanged=true" TargetMode="External"/><Relationship Id="rId23" Type="http://schemas.openxmlformats.org/officeDocument/2006/relationships/hyperlink" Target="https://docs.wto.org/dol2fe/Pages/FE_Search/FE_S_S006.aspx?DataSource=Cat&amp;query=@Symbol=WT/DS431/AB/R%20&amp;Language=English&amp;Context=ScriptedSearches&amp;languageUIChanged=true" TargetMode="External"/><Relationship Id="rId28" Type="http://schemas.openxmlformats.org/officeDocument/2006/relationships/hyperlink" Target="https://docs.wto.org/dol2fe/Pages/FE_Search/FE_S_S006.aspx?DataSource=Cat&amp;query=@Symbol=WT/DS398/AB/R&amp;Language=English&amp;Context=ScriptedSearches&amp;languageUIChanged=true" TargetMode="External"/><Relationship Id="rId36" Type="http://schemas.openxmlformats.org/officeDocument/2006/relationships/hyperlink" Target="https://docs.wto.org/dol2fe/Pages/FE_Search/FE_S_S006.aspx?DataSource=Cat&amp;query=@Symbol=WT/DS283/AB/R&amp;Language=English&amp;Context=ScriptedSearches&amp;languageUIChanged=true" TargetMode="External"/><Relationship Id="rId49" Type="http://schemas.openxmlformats.org/officeDocument/2006/relationships/hyperlink" Target="https://docs.wto.org/dol2fe/Pages/FE_Search/FE_S_S006.aspx?DataSource=Cat&amp;query=@Symbol=WT/DS58/AB/R&amp;Language=English&amp;Context=ScriptedSearches&amp;languageUIChanged=true" TargetMode="External"/><Relationship Id="rId57" Type="http://schemas.openxmlformats.org/officeDocument/2006/relationships/hyperlink" Target="https://docs.wto.org/dol2fe/Pages/FE_Search/FE_S_S006.aspx?DataSource=Cat&amp;query=@Symbol=WT/DS258/AB/R&amp;Language=English&amp;Context=ScriptedSearches&amp;languageUIChanged=true" TargetMode="External"/><Relationship Id="rId61" Type="http://schemas.openxmlformats.org/officeDocument/2006/relationships/hyperlink" Target="https://docs.wto.org/dol2fe/Pages/FE_Search/FE_S_S006.aspx?DataSource=Cat&amp;query=@Symbol=WT/DS33/AB/R*&amp;Language=English&amp;Context=ScriptedSearches&amp;languageUIChanged=true" TargetMode="External"/><Relationship Id="rId10" Type="http://schemas.openxmlformats.org/officeDocument/2006/relationships/hyperlink" Target="https://docs.wto.org/dol2festaff/Pages/FE_Search/FE_S_S006.aspx?Query=(@Symbol=%20wt/ds477/r*%20not%20rw*)&amp;Language=ENGLISH&amp;Context=FomerScriptedSearch&amp;languageUIChanged=true" TargetMode="External"/><Relationship Id="rId19" Type="http://schemas.openxmlformats.org/officeDocument/2006/relationships/hyperlink" Target="https://docs.wto.org/dol2fe/Pages/FE_Search/FE_S_S006.aspx?DataSource=Cat&amp;query=@Symbol=WT/DS426/AB/R&amp;Language=English&amp;Context=ScriptedSearches&amp;languageUIChanged=true" TargetMode="External"/><Relationship Id="rId31" Type="http://schemas.openxmlformats.org/officeDocument/2006/relationships/hyperlink" Target="https://docs.wto.org/dol2fe/Pages/FE_Search/FE_S_S006.aspx?DataSource=Cat&amp;query=@Symbol=WT/DS27/AB/R&amp;Language=English&amp;Context=ScriptedSearches&amp;languageUIChanged=true" TargetMode="External"/><Relationship Id="rId44" Type="http://schemas.openxmlformats.org/officeDocument/2006/relationships/hyperlink" Target="https://docs.wto.org/dol2fe/Pages/FE_Search/FE_S_S006.aspx?DataSource=Cat&amp;query=@Symbol=WT/DS457/AB/R*&amp;Language=English&amp;Context=ScriptedSearches&amp;languageUIChanged=true" TargetMode="External"/><Relationship Id="rId52" Type="http://schemas.openxmlformats.org/officeDocument/2006/relationships/hyperlink" Target="https://docs.wto.org/dol2fe/Pages/FE_Search/FE_S_S006.aspx?DataSource=Cat&amp;query=@Symbol=WT/DS249/AB/R&amp;Language=English&amp;Context=ScriptedSearches&amp;languageUIChanged=true" TargetMode="External"/><Relationship Id="rId60" Type="http://schemas.openxmlformats.org/officeDocument/2006/relationships/hyperlink" Target="https://docs.wto.org/dol2fe/Pages/FE_Search/FE_S_S006.aspx?DataSource=Cat&amp;query=@Symbol=WT/DS267/AB/R&amp;Language=English&amp;Context=ScriptedSearches&amp;languageUIChanged=true" TargetMode="External"/><Relationship Id="rId6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docs.wto.org/dol2festaff/Pages/FE_Search/FE_S_S006.aspx?Query=(@Symbol=%20wt/ds477/r*%20not%20rw*)&amp;Language=ENGLISH&amp;Context=FomerScriptedSearch&amp;languageUIChanged=true" TargetMode="External"/><Relationship Id="rId14" Type="http://schemas.openxmlformats.org/officeDocument/2006/relationships/hyperlink" Target="https://docs.wto.org/dol2fe/Pages/FE_Search/FE_S_S006.aspx?DataSource=Cat&amp;query=@Symbol=WT/DS367/AB/R&amp;Language=English&amp;Context=ScriptedSearches&amp;languageUIChanged=true" TargetMode="External"/><Relationship Id="rId22" Type="http://schemas.openxmlformats.org/officeDocument/2006/relationships/hyperlink" Target="https://docs.wto.org/dol2fe/Pages/FE_Search/FE_S_S006.aspx?DataSource=Cat&amp;query=@Symbol=WT/DS207/AB/RW&amp;Language=English&amp;Context=ScriptedSearches&amp;languageUIChanged=true" TargetMode="External"/><Relationship Id="rId27" Type="http://schemas.openxmlformats.org/officeDocument/2006/relationships/hyperlink" Target="https://docs.wto.org/dol2fe/Pages/FE_Search/FE_S_S006.aspx?DataSource=Cat&amp;query=@Symbol=WT/DS395/AB/R%20&amp;Language=English&amp;Context=ScriptedSearches&amp;languageUIChanged=true" TargetMode="External"/><Relationship Id="rId30" Type="http://schemas.openxmlformats.org/officeDocument/2006/relationships/hyperlink" Target="https://docs.wto.org/dol2fe/Pages/FE_Search/FE_S_S006.aspx?DataSource=Cat&amp;query=@Symbol=WT/DS302/AB/R&amp;Language=English&amp;Context=ScriptedSearches&amp;languageUIChanged=true" TargetMode="External"/><Relationship Id="rId35" Type="http://schemas.openxmlformats.org/officeDocument/2006/relationships/hyperlink" Target="https://docs.wto.org/dol2fe/Pages/FE_Search/FE_S_S006.aspx?DataSource=Cat&amp;query=@Symbol=WT/DS266/AB/R&amp;Language=English&amp;Context=ScriptedSearches&amp;languageUIChanged=true" TargetMode="External"/><Relationship Id="rId43" Type="http://schemas.openxmlformats.org/officeDocument/2006/relationships/hyperlink" Target="https://docs.wto.org/dol2fe/Pages/FE_Search/FE_S_S006.aspx?DataSource=Cat&amp;query=@Symbol=WT/DS175/R*&amp;Language=English&amp;Context=ScriptedSearches&amp;languageUIChanged=true" TargetMode="External"/><Relationship Id="rId48" Type="http://schemas.openxmlformats.org/officeDocument/2006/relationships/hyperlink" Target="https://docs.wto.org/dol2fe/Pages/FE_Search/FE_S_S006.aspx?DataSource=Cat&amp;query=@Symbol=WT/DS2/AB/R&amp;Language=English&amp;Context=ScriptedSearches&amp;languageUIChanged=true" TargetMode="External"/><Relationship Id="rId56" Type="http://schemas.openxmlformats.org/officeDocument/2006/relationships/hyperlink" Target="https://docs.wto.org/dol2fe/Pages/FE_Search/FE_S_S006.aspx?DataSource=Cat&amp;query=@Symbol=WT/DS254/AB/R&amp;Language=English&amp;Context=ScriptedSearches&amp;languageUIChanged=true"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docs.wto.org/dol2fe/Pages/FE_Search/FE_S_S006.aspx?DataSource=Cat&amp;query=@Symbol=WT/DS248/AB/R&amp;Language=English&amp;Context=ScriptedSearches&amp;languageUIChanged=true" TargetMode="External"/><Relationship Id="rId3" Type="http://schemas.openxmlformats.org/officeDocument/2006/relationships/styles" Target="styles.xml"/><Relationship Id="rId12" Type="http://schemas.openxmlformats.org/officeDocument/2006/relationships/hyperlink" Target="https://docs.wto.org/dol2fe/Pages/FE_Search/FE_S_S006.aspx?DataSource=Cat&amp;query=@Symbol=WT/DS444/AB/R%20&amp;Language=English&amp;Context=ScriptedSearches&amp;languageUIChanged=true" TargetMode="External"/><Relationship Id="rId17" Type="http://schemas.openxmlformats.org/officeDocument/2006/relationships/hyperlink" Target="https://docs.wto.org/dol2fe/Pages/FE_Search/FE_S_S006.aspx?DataSource=Cat&amp;query=@Symbol=WT/DS142/AB/R&amp;Language=English&amp;Context=ScriptedSearches&amp;languageUIChanged=true" TargetMode="External"/><Relationship Id="rId25" Type="http://schemas.openxmlformats.org/officeDocument/2006/relationships/hyperlink" Target="https://docs.wto.org/dol2fe/Pages/FE_Search/FE_S_S006.aspx?DataSource=Cat&amp;query=@Symbol=WT/DS433/AB/R&amp;Language=English&amp;Context=ScriptedSearches&amp;languageUIChanged=true" TargetMode="External"/><Relationship Id="rId33" Type="http://schemas.openxmlformats.org/officeDocument/2006/relationships/hyperlink" Target="https://docs.wto.org/dol2fe/Pages/FE_Search/FE_S_S006.aspx?DataSource=Cat&amp;query=@Symbol=WT/DS48/AB/R&amp;Language=English&amp;Context=ScriptedSearches&amp;languageUIChanged=true" TargetMode="External"/><Relationship Id="rId38" Type="http://schemas.openxmlformats.org/officeDocument/2006/relationships/hyperlink" Target="https://docs.wto.org/dol2fe/Pages/FE_Search/FE_S_S006.aspx?DataSource=Cat&amp;query=@Symbol=WT/DS69/AB/R&amp;Language=English&amp;Context=ScriptedSearches&amp;languageUIChanged=true" TargetMode="External"/><Relationship Id="rId46" Type="http://schemas.openxmlformats.org/officeDocument/2006/relationships/hyperlink" Target="https://docs.wto.org/dol2fe/Pages/FE_Search/FE_S_S006.aspx?DataSource=Cat&amp;query=@Symbol=WT/DS406/AB/R&amp;Language=English&amp;Context=ScriptedSearches&amp;languageUIChanged=true" TargetMode="External"/><Relationship Id="rId59" Type="http://schemas.openxmlformats.org/officeDocument/2006/relationships/hyperlink" Target="https://docs.wto.org/dol2fe/Pages/FE_Search/FE_S_S006.aspx?DataSource=Cat&amp;query=@Symbol=WT/DS381/AB/R&amp;Language=English&amp;Context=ScriptedSearches&amp;languageUIChanged=true" TargetMode="External"/><Relationship Id="rId67" Type="http://schemas.openxmlformats.org/officeDocument/2006/relationships/theme" Target="theme/theme1.xml"/><Relationship Id="rId20" Type="http://schemas.openxmlformats.org/officeDocument/2006/relationships/hyperlink" Target="https://docs.wto.org/dol2fe/Pages/FE_Search/FE_S_S006.aspx?DataSource=Cat&amp;query=@Symbol=WT/DS276/AB/R&amp;Language=English&amp;Context=ScriptedSearches&amp;languageUIChanged=true" TargetMode="External"/><Relationship Id="rId41" Type="http://schemas.openxmlformats.org/officeDocument/2006/relationships/hyperlink" Target="https://docs.wto.org/dol2fe/Pages/FE_Search/FE_S_S006.aspx?DataSource=Cat&amp;query=@Symbol=WT/DS401/AB/R&amp;Language=English&amp;Context=ScriptedSearches&amp;languageUIChanged=true" TargetMode="External"/><Relationship Id="rId54" Type="http://schemas.openxmlformats.org/officeDocument/2006/relationships/hyperlink" Target="https://docs.wto.org/dol2fe/Pages/FE_Search/FE_S_S006.aspx?DataSource=Cat&amp;query=@Symbol=WT/DS252/AB/R&amp;Language=English&amp;Context=ScriptedSearches&amp;languageUIChanged=true" TargetMode="External"/><Relationship Id="rId6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reras\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D3B7436-274C-4E67-81A2-076460F6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1</TotalTime>
  <Pages>44</Pages>
  <Words>21327</Words>
  <Characters>121566</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Indonesia - Import Licensing Regimes (AB)</vt:lpstr>
    </vt:vector>
  </TitlesOfParts>
  <Company/>
  <LinksUpToDate>false</LinksUpToDate>
  <CharactersWithSpaces>142608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 - Import Licensing Regimes (AB)</dc:title>
  <dc:creator>Simon Lester</dc:creator>
  <cp:lastModifiedBy>Simon Lester</cp:lastModifiedBy>
  <cp:revision>2</cp:revision>
  <cp:lastPrinted>2017-10-11T08:15:00Z</cp:lastPrinted>
  <dcterms:created xsi:type="dcterms:W3CDTF">2017-11-11T03:34:00Z</dcterms:created>
  <dcterms:modified xsi:type="dcterms:W3CDTF">2017-11-11T03:34:00Z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WT/DS477/AB/R</vt:lpwstr>
  </property>
  <property fmtid="{D5CDD505-2E9C-101B-9397-08002B2CF9AE}" pid="3" name="Symbol2">
    <vt:lpwstr>WT/DS478/AB/R</vt:lpwstr>
  </property>
</Properties>
</file>